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jc w:val="left"/>
        <w:rPr/>
      </w:pPr>
      <w:r w:rsidDel="00000000" w:rsidR="00000000" w:rsidRPr="00000000">
        <w:rPr/>
        <w:drawing>
          <wp:inline distB="0" distT="0" distL="114300" distR="114300">
            <wp:extent cx="1828800" cy="44958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495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after="320" w:before="3400" w:line="2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46"/>
          <w:szCs w:val="46"/>
          <w:rtl w:val="0"/>
        </w:rPr>
        <w:t xml:space="preserve">Metodología incremental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40" w:before="0" w:line="2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34"/>
          <w:szCs w:val="34"/>
          <w:rtl w:val="0"/>
        </w:rPr>
        <w:t xml:space="preserve">Aprueba Administración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900" w:before="0" w:line="2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8"/>
          <w:szCs w:val="28"/>
          <w:rtl w:val="0"/>
        </w:rPr>
        <w:t xml:space="preserve">Módulo de pago y suscripción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before="0" w:line="240" w:lineRule="auto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before="0"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0"/>
          <w:szCs w:val="20"/>
          <w:rtl w:val="0"/>
        </w:rPr>
        <w:t xml:space="preserve">Integrantes: Sebastián Araya, César Garrido y Thiare Gómez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before="0"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0"/>
          <w:szCs w:val="20"/>
          <w:rtl w:val="0"/>
        </w:rPr>
        <w:t xml:space="preserve">Asignatura: Capstone PTY4614 · Sección 004D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before="0"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0"/>
          <w:szCs w:val="20"/>
          <w:rtl w:val="0"/>
        </w:rPr>
        <w:t xml:space="preserve">Institución: Duoc UC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0"/>
          <w:szCs w:val="20"/>
          <w:rtl w:val="0"/>
        </w:rPr>
        <w:t xml:space="preserve">Fecha de referencia: 30 de octubre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="259" w:lineRule="auto"/>
        <w:rPr/>
      </w:pPr>
      <w:r w:rsidDel="00000000" w:rsidR="00000000" w:rsidRPr="00000000">
        <w:rPr>
          <w:rtl w:val="0"/>
        </w:rPr>
        <w:t xml:space="preserve">El equipo desarrolla el módulo de pagos y suscripciones sobre la plataforma recibida de Alloxentric. El trabajo se organiza en cinco incrementos con actividades de análisis, diseño, construcción y evaluación. Esta entrega registra el avance disponible y las brechas para el desarrollo posterior.</w:t>
      </w:r>
    </w:p>
    <w:p w:rsidR="00000000" w:rsidDel="00000000" w:rsidP="00000000" w:rsidRDefault="00000000" w:rsidRPr="00000000" w14:paraId="00000015">
      <w:pPr>
        <w:pStyle w:val="Heading1"/>
        <w:keepNext w:val="1"/>
        <w:spacing w:after="120" w:line="259" w:lineRule="auto"/>
        <w:rPr/>
      </w:pPr>
      <w:r w:rsidDel="00000000" w:rsidR="00000000" w:rsidRPr="00000000">
        <w:rPr>
          <w:rtl w:val="0"/>
        </w:rPr>
        <w:t xml:space="preserve">Organización del trabajo</w:t>
      </w:r>
    </w:p>
    <w:p w:rsidR="00000000" w:rsidDel="00000000" w:rsidP="00000000" w:rsidRDefault="00000000" w:rsidRPr="00000000" w14:paraId="00000016">
      <w:pPr>
        <w:spacing w:after="120" w:line="259" w:lineRule="auto"/>
        <w:rPr/>
      </w:pPr>
      <w:r w:rsidDel="00000000" w:rsidR="00000000" w:rsidRPr="00000000">
        <w:rPr>
          <w:rtl w:val="0"/>
        </w:rPr>
        <w:t xml:space="preserve">La metodología aplicada es incremental. Los incrementos pueden superponerse cuando sus dependencias lo permiten. I3 e I4 se trabajaron conjuntamente para la demostración de contratación con Stripe en modo de pruebas del 7 de octubre de 2026. La existencia de una demostración no acredita el cierre integral del módulo.</w:t>
      </w:r>
    </w:p>
    <w:p w:rsidR="00000000" w:rsidDel="00000000" w:rsidP="00000000" w:rsidRDefault="00000000" w:rsidRPr="00000000" w14:paraId="00000017">
      <w:pPr>
        <w:spacing w:after="120" w:line="259" w:lineRule="auto"/>
        <w:rPr/>
      </w:pPr>
      <w:r w:rsidDel="00000000" w:rsidR="00000000" w:rsidRPr="00000000">
        <w:rPr>
          <w:rtl w:val="0"/>
        </w:rPr>
        <w:t xml:space="preserve">Sebastián Araya se ocupa del análisis funcional, validación e integración; César Garrido aporta diseño técnico y datos; Thiare Gómez participa en gestión, documentación formal y mockups. La programación del MVP fue compartida. La autoría de cada evidencia se toma de su registro, sin atribuir automáticamente una ejecución al responsable de una tarea planificada.</w:t>
      </w:r>
    </w:p>
    <w:p w:rsidR="00000000" w:rsidDel="00000000" w:rsidP="00000000" w:rsidRDefault="00000000" w:rsidRPr="00000000" w14:paraId="00000018">
      <w:pPr>
        <w:pStyle w:val="Heading1"/>
        <w:keepNext w:val="1"/>
        <w:spacing w:after="120" w:line="259" w:lineRule="auto"/>
        <w:rPr/>
      </w:pPr>
      <w:r w:rsidDel="00000000" w:rsidR="00000000" w:rsidRPr="00000000">
        <w:rPr>
          <w:rtl w:val="0"/>
        </w:rPr>
        <w:t xml:space="preserve">Incrementos y estado observado</w:t>
      </w:r>
    </w:p>
    <w:tbl>
      <w:tblPr>
        <w:tblStyle w:val="Table1"/>
        <w:tblW w:w="9639.0" w:type="dxa"/>
        <w:jc w:val="center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400"/>
      </w:tblPr>
      <w:tblGrid>
        <w:gridCol w:w="3213"/>
        <w:gridCol w:w="3213"/>
        <w:gridCol w:w="3213"/>
        <w:tblGridChange w:id="0">
          <w:tblGrid>
            <w:gridCol w:w="3213"/>
            <w:gridCol w:w="3213"/>
            <w:gridCol w:w="3213"/>
          </w:tblGrid>
        </w:tblGridChange>
      </w:tblGrid>
      <w:tr>
        <w:trPr>
          <w:cantSplit w:val="1"/>
          <w:tblHeader w:val="1"/>
        </w:trPr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1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Incremento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1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Planificación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1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Estado al 30 de octubre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I1 Levantamiento y modelo 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Semanas 1 a 4, del 13-08 al 09-09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Documentación de requisitos, diseño y gestión disponible. Su entrega no acredita la implementación de todas las funciones.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I2 Gestión de planes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Semanas 4 a 6, del 03-09 al 23-09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Parcial. Catálogo consultado; creación, eliminación, publicación y cambios de precio no están habilitados o no cuentan con prueba suficiente. DP12–DP15 bloqueados y DP16 parcial.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I3 Checkout y suscripción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Semanas 7 a 9, del 24-09 al 14-10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Parcial. Contratación mensual y anual, rechazo, cambios, cancelación programada y reactivación documentados. Acceso por M2 e Historia sin validación completa por dependencia externa.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I4 Integración con Stripe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Semanas 10 a 13, del 15-10 al 11-11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Parcial. Eventos, facturas y persistencia observados. Ciclo de suscripción limitado por relojes distintos; concurrencia, recuperación, auditoría y rendimiento no están íntegramente acreditados.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I5 Cierre y entrega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Semanas 14 a 18, del 12-11 al 16-12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Pendiente como cierre del producto. La evaluación y documentación del avance de Fase 2 están realizadas con los límites disponibles. No consta aceptación final de Alloxentric.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pStyle w:val="Heading1"/>
        <w:keepNext w:val="1"/>
        <w:spacing w:after="120" w:line="259" w:lineRule="auto"/>
        <w:rPr/>
      </w:pPr>
      <w:r w:rsidDel="00000000" w:rsidR="00000000" w:rsidRPr="00000000">
        <w:rPr>
          <w:rtl w:val="0"/>
        </w:rPr>
        <w:t xml:space="preserve">Seguimiento y evidencias</w:t>
      </w:r>
    </w:p>
    <w:p w:rsidR="00000000" w:rsidDel="00000000" w:rsidP="00000000" w:rsidRDefault="00000000" w:rsidRPr="00000000" w14:paraId="0000002C">
      <w:pPr>
        <w:spacing w:after="120" w:line="259" w:lineRule="auto"/>
        <w:rPr/>
      </w:pPr>
      <w:r w:rsidDel="00000000" w:rsidR="00000000" w:rsidRPr="00000000">
        <w:rPr>
          <w:rtl w:val="0"/>
        </w:rPr>
        <w:t xml:space="preserve">Las actas ACTA-01 a ACTA-07 registran reuniones entre el 2 de septiembre y el 14 de octubre. ACTA-02 a ACTA-07 se identifican como reconstrucciones posteriores. No se recibieron nuevas actas después del 14 de octubre ni feedback o correcciones nuevas de Alloxentric. Las reuniones internas semanales eran una previsión; no se presentan como realizadas sin actas.</w:t>
      </w:r>
    </w:p>
    <w:p w:rsidR="00000000" w:rsidDel="00000000" w:rsidP="00000000" w:rsidRDefault="00000000" w:rsidRPr="00000000" w14:paraId="0000002D">
      <w:pPr>
        <w:spacing w:after="120" w:line="259" w:lineRule="auto"/>
        <w:rPr/>
      </w:pPr>
      <w:r w:rsidDel="00000000" w:rsidR="00000000" w:rsidRPr="00000000">
        <w:rPr>
          <w:rtl w:val="0"/>
        </w:rPr>
        <w:t xml:space="preserve">La Carta Gantt contiene las actividades y fechas previstas. Los estados de avance registran cortes sucesivos; EA-04 corresponde al 30 de octubre. El inicio del proyecto es el 13-08-2026 y el calendario comprende 18 semanas. Las diferencias entre semanas académicas y calendario del equipo se mantienen identificadas sin inventar una fecha de entrega confirmada.</w:t>
      </w:r>
    </w:p>
    <w:p w:rsidR="00000000" w:rsidDel="00000000" w:rsidP="00000000" w:rsidRDefault="00000000" w:rsidRPr="00000000" w14:paraId="0000002E">
      <w:pPr>
        <w:spacing w:after="120" w:line="259" w:lineRule="auto"/>
        <w:rPr/>
      </w:pPr>
      <w:r w:rsidDel="00000000" w:rsidR="00000000" w:rsidRPr="00000000">
        <w:rPr>
          <w:rtl w:val="0"/>
        </w:rPr>
        <w:t xml:space="preserve">Los repositorios indicados por el equipo son aprueba_student_web y aprueba-admin. La documentación de organización menciona feature/stripe-mvp y ramas por integrante. Esa declaración no prueba por sí sola qué revisión estaba desplegada en cada captura; la versión de cada ensayo se identifica en su registro.</w:t>
      </w:r>
    </w:p>
    <w:p w:rsidR="00000000" w:rsidDel="00000000" w:rsidP="00000000" w:rsidRDefault="00000000" w:rsidRPr="00000000" w14:paraId="0000002F">
      <w:pPr>
        <w:pStyle w:val="Heading1"/>
        <w:keepNext w:val="1"/>
        <w:spacing w:after="120" w:line="259" w:lineRule="auto"/>
        <w:rPr/>
      </w:pPr>
      <w:r w:rsidDel="00000000" w:rsidR="00000000" w:rsidRPr="00000000">
        <w:rPr>
          <w:rtl w:val="0"/>
        </w:rPr>
        <w:t xml:space="preserve">Evaluación de la versión disponible</w:t>
      </w:r>
    </w:p>
    <w:p w:rsidR="00000000" w:rsidDel="00000000" w:rsidP="00000000" w:rsidRDefault="00000000" w:rsidRPr="00000000" w14:paraId="00000030">
      <w:pPr>
        <w:spacing w:after="120" w:line="259" w:lineRule="auto"/>
        <w:rPr/>
      </w:pPr>
      <w:r w:rsidDel="00000000" w:rsidR="00000000" w:rsidRPr="00000000">
        <w:rPr>
          <w:rtl w:val="0"/>
        </w:rPr>
        <w:t xml:space="preserve">57 casos principales: 30 aprobados, 17 parciales, 2 fallidos, 7 bloqueados y 1 no ejecutado.</w:t>
      </w:r>
    </w:p>
    <w:tbl>
      <w:tblPr>
        <w:tblStyle w:val="Table2"/>
        <w:tblW w:w="9639.0" w:type="dxa"/>
        <w:jc w:val="center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400"/>
      </w:tblPr>
      <w:tblGrid>
        <w:gridCol w:w="1377"/>
        <w:gridCol w:w="1377"/>
        <w:gridCol w:w="1377"/>
        <w:gridCol w:w="1377"/>
        <w:gridCol w:w="1377"/>
        <w:gridCol w:w="1377"/>
        <w:gridCol w:w="1377"/>
        <w:tblGridChange w:id="0">
          <w:tblGrid>
            <w:gridCol w:w="1377"/>
            <w:gridCol w:w="1377"/>
            <w:gridCol w:w="1377"/>
            <w:gridCol w:w="1377"/>
            <w:gridCol w:w="1377"/>
            <w:gridCol w:w="1377"/>
            <w:gridCol w:w="1377"/>
          </w:tblGrid>
        </w:tblGridChange>
      </w:tblGrid>
      <w:tr>
        <w:trPr>
          <w:cantSplit w:val="1"/>
          <w:tblHeader w:val="1"/>
        </w:trPr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keepNext w:val="1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Paquete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keepNext w:val="1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Casos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1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Aprobados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keepNext w:val="1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Parciales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1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Fallidos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1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Bloqueados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eeee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1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No ejecutados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Interfaz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Datos y permisos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90.0" w:type="dxa"/>
              <w:bottom w:w="8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spacing w:after="60" w:line="246.99999999999994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spacing w:after="120" w:line="259" w:lineRule="auto"/>
        <w:rPr/>
      </w:pPr>
      <w:r w:rsidDel="00000000" w:rsidR="00000000" w:rsidRPr="00000000">
        <w:rPr>
          <w:rtl w:val="0"/>
        </w:rPr>
        <w:t xml:space="preserve">Las 18 comprobaciones EX, los intentos sucesivos y los ensayos auxiliares se informan aparte para no duplicar los 57 casos. Las pruebas sobre módulos originales ejecutadas localmente conservan su alcance de entorno; los candidatos modificados no sirven para aprobar el proyecto actual.</w:t>
      </w:r>
    </w:p>
    <w:p w:rsidR="00000000" w:rsidDel="00000000" w:rsidP="00000000" w:rsidRDefault="00000000" w:rsidRPr="00000000" w14:paraId="0000004E">
      <w:pPr>
        <w:spacing w:after="120" w:line="259" w:lineRule="auto"/>
        <w:rPr/>
      </w:pPr>
      <w:r w:rsidDel="00000000" w:rsidR="00000000" w:rsidRPr="00000000">
        <w:rPr>
          <w:rtl w:val="0"/>
        </w:rPr>
        <w:t xml:space="preserve">Los resultados muestran compras y consultas operativas junto con defectos y validaciones incompletas. La vista móvil corresponde a emulación web, no a una aplicación nativa ni a un teléfono físico. La apertura de Stripe mediante Enter está confirmada por Sebastián y no acredita accesibilidad completa.</w:t>
      </w:r>
    </w:p>
    <w:p w:rsidR="00000000" w:rsidDel="00000000" w:rsidP="00000000" w:rsidRDefault="00000000" w:rsidRPr="00000000" w14:paraId="0000004F">
      <w:pPr>
        <w:pStyle w:val="Heading1"/>
        <w:keepNext w:val="1"/>
        <w:spacing w:after="120" w:line="259" w:lineRule="auto"/>
        <w:rPr/>
      </w:pPr>
      <w:r w:rsidDel="00000000" w:rsidR="00000000" w:rsidRPr="00000000">
        <w:rPr>
          <w:rtl w:val="0"/>
        </w:rPr>
        <w:t xml:space="preserve">Alcance de Fase 2 y trabajo posterior</w:t>
      </w:r>
    </w:p>
    <w:p w:rsidR="00000000" w:rsidDel="00000000" w:rsidP="00000000" w:rsidRDefault="00000000" w:rsidRPr="00000000" w14:paraId="00000050">
      <w:pPr>
        <w:spacing w:after="120" w:line="259" w:lineRule="auto"/>
        <w:rPr/>
      </w:pPr>
      <w:r w:rsidDel="00000000" w:rsidR="00000000" w:rsidRPr="00000000">
        <w:rPr>
          <w:rtl w:val="0"/>
        </w:rPr>
        <w:t xml:space="preserve">La Fase 2 presenta el estado del módulo al 30 de octubre de 2026. Los resultados describen lo comprobado y sus límites; no representan una certificación del producto completo. Los requisitos originales permanecen dentro del alcance aunque su implementación o validación esté pendiente. Las ampliaciones sin confirmación de Alloxentric se identifican como propuestas.</w:t>
      </w:r>
    </w:p>
    <w:p w:rsidR="00000000" w:rsidDel="00000000" w:rsidP="00000000" w:rsidRDefault="00000000" w:rsidRPr="00000000" w14:paraId="00000051">
      <w:pPr>
        <w:spacing w:after="120" w:line="259" w:lineRule="auto"/>
        <w:rPr/>
      </w:pPr>
      <w:r w:rsidDel="00000000" w:rsidR="00000000" w:rsidRPr="00000000">
        <w:rPr>
          <w:rtl w:val="0"/>
        </w:rPr>
        <w:t xml:space="preserve">El cierre de la evaluación documental no equivale a aprobación funcional. Los casos fallidos, parciales, bloqueados y no ejecutados mantienen su estado y causa. Las nuevas implementaciones y su validación corresponden a entregas posteriores.</w:t>
      </w:r>
    </w:p>
    <w:p w:rsidR="00000000" w:rsidDel="00000000" w:rsidP="00000000" w:rsidRDefault="00000000" w:rsidRPr="00000000" w14:paraId="00000052">
      <w:pPr>
        <w:spacing w:after="120" w:line="259" w:lineRule="auto"/>
        <w:rPr/>
      </w:pPr>
      <w:r w:rsidDel="00000000" w:rsidR="00000000" w:rsidRPr="00000000">
        <w:rPr>
          <w:rtl w:val="0"/>
        </w:rPr>
        <w:t xml:space="preserve">El seguimiento funcional comprende catálogo, acceso por materias, transición temporal de beneficios, auditoría por intento, notificaciones, rendimiento y compatibilidad. La corrección del código y las nuevas ejecuciones se planifican para una versión posterior; no se cambian reglas de negocio para obtener pruebas favorables.</w:t>
      </w:r>
    </w:p>
    <w:p w:rsidR="00000000" w:rsidDel="00000000" w:rsidP="00000000" w:rsidRDefault="00000000" w:rsidRPr="00000000" w14:paraId="00000053">
      <w:pPr>
        <w:pStyle w:val="Heading1"/>
        <w:keepNext w:val="1"/>
        <w:spacing w:after="120" w:line="259" w:lineRule="auto"/>
        <w:rPr/>
      </w:pPr>
      <w:r w:rsidDel="00000000" w:rsidR="00000000" w:rsidRPr="00000000">
        <w:rPr>
          <w:rtl w:val="0"/>
        </w:rPr>
        <w:t xml:space="preserve">Fuentes</w:t>
      </w:r>
    </w:p>
    <w:p w:rsidR="00000000" w:rsidDel="00000000" w:rsidP="00000000" w:rsidRDefault="00000000" w:rsidRPr="00000000" w14:paraId="00000054">
      <w:pPr>
        <w:spacing w:after="120" w:line="259" w:lineRule="auto"/>
        <w:rPr/>
      </w:pPr>
      <w:r w:rsidDel="00000000" w:rsidR="00000000" w:rsidRPr="00000000">
        <w:rPr>
          <w:rtl w:val="0"/>
        </w:rPr>
        <w:t xml:space="preserve">Actas_de_reunión.docx; Estados_de _avance.docx; Plan_de_proyecto_APT.docx; Carta_Gantt_Proyecto.xlsx; ../Plan de pruebas/Plan_de_pruebas.docx; ../Resultados de las pruebas/Resultados_de_pruebas.docx y los libros de casos de Pagos, Interfaz y Datos y permisos.</w:t>
      </w:r>
    </w:p>
    <w:sectPr>
      <w:headerReference r:id="rId8" w:type="default"/>
      <w:headerReference r:id="rId9" w:type="first"/>
      <w:headerReference r:id="rId10" w:type="even"/>
      <w:footerReference r:id="rId11" w:type="default"/>
      <w:footerReference r:id="rId12" w:type="first"/>
      <w:footerReference r:id="rId13" w:type="even"/>
      <w:pgSz w:h="16838" w:w="11906" w:orient="portrait"/>
      <w:pgMar w:bottom="1134" w:top="1134" w:left="1134" w:right="1134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8">
    <w:pPr>
      <w:jc w:val="right"/>
      <w:rPr/>
    </w:pPr>
    <w:r w:rsidDel="00000000" w:rsidR="00000000" w:rsidRPr="00000000">
      <w:rPr>
        <w:rtl w:val="0"/>
      </w:rPr>
      <w:t xml:space="preserve">Página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jc w:val="right"/>
      <w:rPr/>
    </w:pPr>
    <w:r w:rsidDel="00000000" w:rsidR="00000000" w:rsidRPr="00000000">
      <w:rPr>
        <w:rtl w:val="0"/>
      </w:rPr>
      <w:t xml:space="preserve">Página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120" w:before="0" w:line="25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Aprueba Administración · Fase 2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120" w:before="0" w:line="25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Aprueba Administración · Fase 2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12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200" w:line="259" w:lineRule="auto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00" w:line="259" w:lineRule="auto"/>
    </w:pPr>
    <w:rPr>
      <w:rFonts w:ascii="Arial" w:cs="Arial" w:eastAsia="Arial" w:hAnsi="Arial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120" w:before="200" w:line="259" w:lineRule="auto"/>
    </w:pPr>
    <w:rPr>
      <w:rFonts w:ascii="Arial" w:cs="Arial" w:eastAsia="Arial" w:hAnsi="Arial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i w:val="1"/>
      <w:i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color w:val="000000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i w:val="1"/>
      <w:iCs w:val="1"/>
      <w:color w:val="000000"/>
    </w:rPr>
  </w:style>
  <w:style w:type="paragraph" w:styleId="Title">
    <w:name w:val="Title"/>
    <w:basedOn w:val="Normal"/>
    <w:next w:val="Normal"/>
    <w:pPr>
      <w:spacing w:after="120" w:before="0" w:line="259" w:lineRule="auto"/>
    </w:pPr>
    <w:rPr>
      <w:rFonts w:ascii="Arial" w:cs="Arial" w:eastAsia="Arial" w:hAnsi="Arial"/>
      <w:b w:val="1"/>
      <w:bCs w:val="1"/>
      <w:color w:val="000000"/>
      <w:sz w:val="36"/>
      <w:szCs w:val="36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120" w:before="0" w:line="259" w:lineRule="auto"/>
    </w:pPr>
    <w:rPr>
      <w:rFonts w:ascii="Arial" w:hAnsi="Arial"/>
      <w:b w:val="0"/>
      <w:color w:val="000000"/>
      <w:sz w:val="18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>
      <w:rFonts w:ascii="Arial" w:hAnsi="Arial"/>
      <w:color w:val="000000"/>
    </w:rPr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120" w:before="0" w:line="259" w:lineRule="auto"/>
    </w:pPr>
    <w:rPr>
      <w:rFonts w:ascii="Arial" w:hAnsi="Arial"/>
      <w:b w:val="0"/>
      <w:color w:val="000000"/>
      <w:sz w:val="18"/>
    </w:rPr>
  </w:style>
  <w:style w:type="character" w:styleId="FooterChar" w:customStyle="1">
    <w:name w:val="Footer Char"/>
    <w:basedOn w:val="DefaultParagraphFont"/>
    <w:link w:val="Footer"/>
    <w:uiPriority w:val="99"/>
    <w:rsid w:val="00E618BF"/>
    <w:rPr>
      <w:rFonts w:ascii="Arial" w:hAnsi="Arial"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="Arial" w:hAnsi="Arial" w:asciiTheme="majorHAnsi" w:cstheme="majorBidi" w:eastAsiaTheme="majorEastAsia" w:hAnsiTheme="majorHAnsi"/>
      <w:i w:val="1"/>
      <w:iCs w:val="1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="Arial" w:hAnsi="Arial" w:asciiTheme="majorHAnsi" w:cstheme="majorBidi" w:eastAsiaTheme="majorEastAsia" w:hAnsiTheme="majorHAns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="Arial" w:hAnsi="Arial" w:asciiTheme="majorHAnsi" w:cstheme="majorBidi" w:eastAsiaTheme="majorEastAsia" w:hAnsiTheme="majorHAnsi"/>
      <w:i w:val="1"/>
      <w:iCs w:val="1"/>
      <w:color w:val="000000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  <w:rPr>
      <w:rFonts w:ascii="Arial" w:hAnsi="Arial"/>
      <w:color w:val="000000"/>
    </w:rPr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  <w:rPr>
      <w:rFonts w:ascii="Arial" w:hAnsi="Arial"/>
      <w:color w:val="000000"/>
    </w:r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Arial" w:hAnsi="Arial" w:asciiTheme="majorHAnsi" w:cstheme="majorBidi" w:eastAsiaTheme="majorEastAsia" w:hAnsiTheme="majorHAnsi"/>
      <w:b w:val="1"/>
      <w:bCs w:val="1"/>
      <w:color w:val="000000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Arial" w:hAnsi="Arial" w:asciiTheme="majorHAnsi" w:cstheme="majorBidi" w:eastAsiaTheme="majorEastAsia" w:hAnsiTheme="majorHAnsi"/>
      <w:b w:val="1"/>
      <w:bCs w:val="1"/>
      <w:color w:val="000000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Arial" w:hAnsi="Arial" w:asciiTheme="majorHAnsi" w:cstheme="majorBidi" w:eastAsiaTheme="majorEastAsia" w:hAnsiTheme="majorHAnsi"/>
      <w:b w:val="1"/>
      <w:bCs w:val="1"/>
      <w:color w:val="000000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Arial" w:hAnsi="Arial" w:asciiTheme="majorHAnsi" w:cstheme="majorBidi" w:eastAsiaTheme="majorEastAsia" w:hAnsiTheme="majorHAnsi"/>
      <w:color w:val="000000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Arial" w:hAnsi="Arial" w:asciiTheme="majorHAnsi" w:cstheme="majorBidi" w:eastAsiaTheme="majorEastAsia" w:hAnsiTheme="majorHAnsi"/>
      <w:i w:val="1"/>
      <w:iCs w:val="1"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  <w:rPr>
      <w:rFonts w:ascii="Arial" w:hAnsi="Arial"/>
      <w:color w:val="000000"/>
    </w:r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  <w:rPr>
      <w:rFonts w:ascii="Arial" w:hAnsi="Arial"/>
      <w:color w:val="000000"/>
    </w:rPr>
  </w:style>
  <w:style w:type="character" w:styleId="BodyTextChar" w:customStyle="1">
    <w:name w:val="Body Text Char"/>
    <w:basedOn w:val="DefaultParagraphFont"/>
    <w:link w:val="BodyText"/>
    <w:uiPriority w:val="99"/>
    <w:rsid w:val="00AA1D8D"/>
    <w:rPr>
      <w:rFonts w:ascii="Arial" w:hAnsi="Arial"/>
      <w:color w:val="000000"/>
    </w:rPr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  <w:rPr>
      <w:rFonts w:ascii="Arial" w:hAnsi="Arial"/>
      <w:color w:val="000000"/>
    </w:rPr>
  </w:style>
  <w:style w:type="character" w:styleId="BodyText2Char" w:customStyle="1">
    <w:name w:val="Body Text 2 Char"/>
    <w:basedOn w:val="DefaultParagraphFont"/>
    <w:link w:val="BodyText2"/>
    <w:uiPriority w:val="99"/>
    <w:rsid w:val="00AA1D8D"/>
    <w:rPr>
      <w:rFonts w:ascii="Arial" w:hAnsi="Arial"/>
      <w:color w:val="000000"/>
    </w:rPr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rFonts w:ascii="Arial" w:hAnsi="Arial"/>
      <w:color w:val="000000"/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rFonts w:ascii="Arial" w:hAnsi="Arial"/>
      <w:color w:val="000000"/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  <w:rPr>
      <w:rFonts w:ascii="Arial" w:hAnsi="Arial"/>
      <w:color w:val="000000"/>
    </w:r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  <w:rPr>
      <w:rFonts w:ascii="Arial" w:hAnsi="Arial"/>
      <w:color w:val="000000"/>
    </w:r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  <w:rPr>
      <w:rFonts w:ascii="Arial" w:hAnsi="Arial"/>
      <w:color w:val="000000"/>
    </w:r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  <w:rPr>
      <w:rFonts w:ascii="Arial" w:hAnsi="Arial"/>
      <w:color w:val="000000"/>
    </w:r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  <w:rPr>
      <w:rFonts w:ascii="Arial" w:hAnsi="Arial"/>
      <w:color w:val="000000"/>
    </w:r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  <w:rPr>
      <w:rFonts w:ascii="Arial" w:hAnsi="Arial"/>
      <w:color w:val="000000"/>
    </w:r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  <w:rPr>
      <w:rFonts w:ascii="Arial" w:hAnsi="Arial"/>
      <w:color w:val="000000"/>
    </w:r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  <w:rPr>
      <w:rFonts w:ascii="Arial" w:hAnsi="Arial"/>
      <w:color w:val="000000"/>
    </w:r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  <w:rPr>
      <w:rFonts w:ascii="Arial" w:hAnsi="Arial"/>
      <w:color w:val="000000"/>
    </w:r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  <w:rPr>
      <w:rFonts w:ascii="Arial" w:hAnsi="Arial"/>
      <w:color w:val="000000"/>
    </w:r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  <w:rPr>
      <w:rFonts w:ascii="Arial" w:hAnsi="Arial"/>
      <w:color w:val="000000"/>
    </w:r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  <w:rPr>
      <w:rFonts w:ascii="Arial" w:hAnsi="Arial"/>
      <w:color w:val="000000"/>
    </w:r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000000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Arial" w:hAnsi="Arial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rFonts w:ascii="Arial" w:hAnsi="Arial"/>
      <w:i w:val="1"/>
      <w:iCs w:val="1"/>
      <w:color w:val="00000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rFonts w:ascii="Arial" w:hAnsi="Arial"/>
      <w:i w:val="1"/>
      <w:iCs w:val="1"/>
      <w:color w:val="000000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="Arial" w:hAnsi="Arial" w:asciiTheme="majorHAnsi" w:cstheme="majorBidi" w:eastAsiaTheme="majorEastAsia" w:hAnsiTheme="majorHAnsi"/>
      <w:b w:val="1"/>
      <w:bCs w:val="1"/>
      <w:i w:val="1"/>
      <w:iCs w:val="1"/>
      <w:color w:val="000000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="Arial" w:hAnsi="Arial" w:asciiTheme="majorHAnsi" w:cstheme="majorBidi" w:eastAsiaTheme="majorEastAsia" w:hAnsiTheme="majorHAnsi"/>
      <w:color w:val="000000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="Arial" w:hAnsi="Arial" w:asciiTheme="majorHAnsi" w:cstheme="majorBidi" w:eastAsiaTheme="majorEastAsia" w:hAnsiTheme="majorHAnsi"/>
      <w:i w:val="1"/>
      <w:iCs w:val="1"/>
      <w:color w:val="000000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="Arial" w:hAnsi="Arial" w:asciiTheme="majorHAnsi" w:cstheme="majorBidi" w:eastAsiaTheme="majorEastAsia" w:hAnsiTheme="majorHAnsi"/>
      <w:i w:val="1"/>
      <w:iCs w:val="1"/>
      <w:color w:val="000000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="Arial" w:hAnsi="Arial" w:asciiTheme="majorHAnsi" w:cstheme="majorBidi" w:eastAsiaTheme="majorEastAsia" w:hAnsiTheme="majorHAnsi"/>
      <w:color w:val="000000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="Arial" w:hAnsi="Arial" w:asciiTheme="majorHAnsi" w:cstheme="majorBidi" w:eastAsiaTheme="majorEastAsia" w:hAnsiTheme="majorHAnsi"/>
      <w:i w:val="1"/>
      <w:iCs w:val="1"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rFonts w:ascii="Arial" w:hAnsi="Arial"/>
      <w:b w:val="1"/>
      <w:bCs w:val="1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rFonts w:ascii="Arial" w:hAnsi="Arial"/>
      <w:b w:val="1"/>
      <w:bCs w:val="1"/>
      <w:color w:val="000000"/>
    </w:rPr>
  </w:style>
  <w:style w:type="character" w:styleId="Emphasis">
    <w:name w:val="Emphasis"/>
    <w:basedOn w:val="DefaultParagraphFont"/>
    <w:uiPriority w:val="20"/>
    <w:qFormat w:val="1"/>
    <w:rsid w:val="00FC693F"/>
    <w:rPr>
      <w:rFonts w:ascii="Arial" w:hAnsi="Arial"/>
      <w:i w:val="1"/>
      <w:iCs w:val="1"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spacing w:after="280" w:before="200"/>
      <w:ind w:left="936" w:right="936"/>
    </w:pPr>
    <w:rPr>
      <w:rFonts w:ascii="Arial" w:hAnsi="Arial"/>
      <w:b w:val="1"/>
      <w:bCs w:val="1"/>
      <w:i w:val="1"/>
      <w:iCs w:val="1"/>
      <w:color w:val="000000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rFonts w:ascii="Arial" w:hAnsi="Arial"/>
      <w:b w:val="1"/>
      <w:bCs w:val="1"/>
      <w:i w:val="1"/>
      <w:iCs w:val="1"/>
      <w:color w:val="000000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rFonts w:ascii="Arial" w:hAnsi="Arial"/>
      <w:i w:val="1"/>
      <w:iCs w:val="1"/>
      <w:color w:val="000000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rFonts w:ascii="Arial" w:hAnsi="Arial"/>
      <w:b w:val="1"/>
      <w:bCs w:val="1"/>
      <w:i w:val="1"/>
      <w:iCs w:val="1"/>
      <w:color w:val="000000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rFonts w:ascii="Arial" w:hAnsi="Arial"/>
      <w:smallCaps w:val="1"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rFonts w:ascii="Arial" w:hAnsi="Arial"/>
      <w:b w:val="1"/>
      <w:bCs w:val="1"/>
      <w:smallCaps w:val="1"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rFonts w:ascii="Arial" w:hAnsi="Arial"/>
      <w:b w:val="1"/>
      <w:bCs w:val="1"/>
      <w:smallCaps w:val="1"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  <w:rPr>
      <w:rFonts w:ascii="Arial" w:hAnsi="Arial"/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>
      <w:spacing w:after="120" w:before="0" w:line="259" w:lineRule="auto"/>
    </w:pPr>
    <w:rPr>
      <w:rFonts w:ascii="Arial" w:cs="Arial" w:eastAsia="Arial" w:hAnsi="Arial"/>
      <w:b w:val="0"/>
      <w:bCs w:val="0"/>
      <w:i w:val="1"/>
      <w:iCs w:val="1"/>
      <w:color w:val="000000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1.xml"/><Relationship Id="rId10" Type="http://schemas.openxmlformats.org/officeDocument/2006/relationships/header" Target="header3.xml"/><Relationship Id="rId13" Type="http://schemas.openxmlformats.org/officeDocument/2006/relationships/footer" Target="footer3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yC6tJwIIshLBWo+okuRK0wJ6Nw==">CgMxLjA4AHIhMWNMUXVLZ1hYZEgtWnFYblRycUo2RW9qMmpkck15b2pq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Equipo Aprueba Administración</dc:creator>
</cp:coreProperties>
</file>