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pPr>
              <w:pStyle w:val="Piedepgina"/>
              <w:jc w:val="left"/>
              <w:spacing w:after="100" w:line="240" w:lineRule="auto"/>
            </w:pPr>
            <w:r>
              <w:rPr>
                <w:rFonts w:ascii="Calibri" w:hAnsi="Calibri" w:cs="Calibri"/>
                <w:sz w:val="20"/>
                <w:szCs w:val="20"/>
                <w:color w:val="365F91"/>
              </w:rPr>
              <w:t>Aprueba Administración · Fase 2 · Estado del proyecto al 30 de octubre de 2026.</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jc w:val="left"/>
              <w:spacing w:after="100" w:line="240" w:lineRule="auto"/>
            </w:pPr>
            <w:r>
              <w:rPr>
                <w:rFonts w:ascii="Calibri" w:hAnsi="Calibri" w:cs="Calibri"/>
                <w:sz w:val="20"/>
                <w:szCs w:val="20"/>
                <w:color w:val="000000"/>
              </w:rPr>
              <w:t>Durante la Fase 2 desarrollamos el MVP del módulo de pagos y suscripciones de Aprueba. Integramos Stripe en modo de pruebas para la contratación y gestión de suscripciones, la consulta del plan del estudiante y la consulta administrativa de información de facturación. El MVP fue presentado a Alloxentric durante el Hito 1.</w:t>
            </w:r>
          </w:p>
          <w:p>
            <w:pPr>
              <w:jc w:val="left"/>
              <w:spacing w:after="100" w:line="240" w:lineRule="auto"/>
            </w:pPr>
            <w:r>
              <w:rPr>
                <w:rFonts w:ascii="Calibri" w:hAnsi="Calibri" w:cs="Calibri"/>
                <w:sz w:val="20"/>
                <w:szCs w:val="20"/>
                <w:color w:val="000000"/>
              </w:rPr>
              <w:t>La evaluación del estado disponible del proyecto comprende 57 casos principales: 30 aprobados, 17 parciales, 2 fallidos, 7 bloqueados y 1 no ejecutado. Las pruebas abarcan pagos, interfaz, datos y permisos. Los resultados permiten reconocer las funciones comprobadas, los defectos encontrados y las validaciones que requieren desarrollo adicional o dependen de otros equipos.</w:t>
            </w:r>
          </w:p>
          <w:p>
            <w:pPr>
              <w:jc w:val="left"/>
              <w:spacing w:after="100" w:line="240" w:lineRule="auto"/>
            </w:pPr>
            <w:r>
              <w:rPr>
                <w:rFonts w:ascii="Calibri" w:hAnsi="Calibri" w:cs="Calibri"/>
                <w:sz w:val="20"/>
                <w:szCs w:val="20"/>
                <w:color w:val="000000"/>
              </w:rPr>
              <w:t>La documentación de requisitos, diseño, gestión y pruebas relaciona el alcance del proyecto con el comportamiento observado. Las capturas y los registros técnicos respaldan los resultados de cada caso.</w:t>
            </w:r>
          </w:p>
          <w:p>
            <w:pPr>
              <w:jc w:val="left"/>
              <w:spacing w:after="100" w:line="240" w:lineRule="auto"/>
            </w:pPr>
            <w:r>
              <w:rPr>
                <w:rFonts w:ascii="Calibri" w:hAnsi="Calibri" w:cs="Calibri"/>
                <w:sz w:val="20"/>
                <w:szCs w:val="20"/>
                <w:color w:val="000000"/>
              </w:rPr>
              <w:t>Este avance corresponde al estado del proyecto al 30 de octubre de 2026. Los casos parciales, fallidos, bloqueados y no ejecutados conservan esas condiciones para su seguimiento en las próximas etapas. A esa fecha no habíamos recibido nuevas observaciones ni correcciones de Alloxentric.</w:t>
            </w:r>
          </w:p>
        </w:tc>
        <w:trPr>
          <w:cantSplit/>
        </w:trPr>
      </w:tr>
      <w:tr w:rsidR="0003309E" w14:paraId="054DAFFB" w14:textId="77777777" w:rsidTr="000A1331">
        <w:trPr>
          <w:trHeight w:val="1247"/>
          <w:cantSplit/>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jc w:val="left"/>
              <w:spacing w:after="100" w:line="240" w:lineRule="auto"/>
            </w:pPr>
            <w:r>
              <w:rPr>
                <w:rFonts w:ascii="Calibri" w:hAnsi="Calibri" w:cs="Calibri"/>
                <w:sz w:val="20"/>
                <w:szCs w:val="20"/>
                <w:color w:val="000000"/>
              </w:rPr>
              <w:t>Implementar una solución para la gestión de pagos y suscripciones de Aprueba, utilizando Stripe en modo de pruebas, que permita a los estudiantes contratar planes, mantener un registro persistente de las operaciones y proporcionar al equipo administrativo herramientas para su consulta y seguimiento, con el propósito de centralizar y mejorar la gestión de las suscripciones y pagos de la empresa, dentro de las 18 semanas planificadas.</w:t>
            </w:r>
          </w:p>
        </w:tc>
      </w:tr>
      <w:tr w:rsidR="0003309E" w14:paraId="2FEF1C0D" w14:textId="77777777" w:rsidTr="000A1331">
        <w:trPr>
          <w:trHeight w:val="939"/>
          <w:cantSplit/>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jc w:val="left"/>
              <w:spacing w:after="100" w:line="240" w:lineRule="auto"/>
            </w:pPr>
            <w:r>
              <w:rPr>
                <w:rFonts w:ascii="Calibri" w:hAnsi="Calibri" w:cs="Calibri"/>
                <w:sz w:val="20"/>
                <w:szCs w:val="20"/>
                <w:color w:val="000000"/>
              </w:rPr>
              <w:t>Aplicamos una metodología incremental, mediante avances sucesivos que permiten incorporar funcionalidades, comprobar su comportamiento y registrar los aspectos que requieren corrección.</w:t>
            </w:r>
          </w:p>
          <w:p>
            <w:pPr>
              <w:jc w:val="left"/>
              <w:spacing w:after="100" w:line="240" w:lineRule="auto"/>
            </w:pPr>
            <w:r>
              <w:rPr>
                <w:rFonts w:ascii="Calibri" w:hAnsi="Calibri" w:cs="Calibri"/>
                <w:sz w:val="20"/>
                <w:szCs w:val="20"/>
                <w:color w:val="000000"/>
              </w:rPr>
              <w:t>En esta etapa trabajamos en la integración con Stripe, la contratación y gestión de suscripciones, la persistencia de información y su consulta desde las interfaces de estudiante y administración. El seguimiento se apoya en la Carta Gantt, los registros de avance y la distribución de responsabilidades del equipo.</w:t>
            </w:r>
          </w:p>
          <w:p>
            <w:pPr>
              <w:jc w:val="left"/>
              <w:spacing w:after="100" w:line="240" w:lineRule="auto"/>
            </w:pPr>
            <w:r>
              <w:rPr>
                <w:rFonts w:ascii="Calibri" w:hAnsi="Calibri" w:cs="Calibri"/>
                <w:sz w:val="20"/>
                <w:szCs w:val="20"/>
                <w:color w:val="000000"/>
              </w:rPr>
              <w:t>Las pruebas buscan determinar el estado actual del sistema. Se registran los resultados satisfactorios, los fallos y las limitaciones. Las comprobaciones que requieren funciones todavía no disponibles quedan identificadas para su ejecución posterior.</w:t>
            </w:r>
          </w:p>
        </w:tc>
      </w:tr>
      <w:tr w:rsidR="0003309E" w14:paraId="74E704B1" w14:textId="77777777" w:rsidTr="000A1331">
        <w:trPr>
          <w:trHeight w:val="2377"/>
          <w:cantSplit/>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jc w:val="left"/>
              <w:spacing w:after="100" w:line="240" w:lineRule="auto"/>
            </w:pPr>
            <w:r>
              <w:rPr>
                <w:rFonts w:ascii="Calibri" w:hAnsi="Calibri" w:cs="Calibri"/>
                <w:sz w:val="20"/>
                <w:szCs w:val="20"/>
                <w:color w:val="000000"/>
              </w:rPr>
              <w:t>La entrega incluye requisitos, casos de uso, diagramas de actividad y clases, modelo de datos, vistas de interfaz y documentación de la metodología. Estos documentos permiten revisar el diseño del módulo y contrastarlo con las funciones disponibles.</w:t>
            </w:r>
          </w:p>
          <w:p>
            <w:pPr>
              <w:jc w:val="left"/>
              <w:spacing w:after="100" w:line="240" w:lineRule="auto"/>
            </w:pPr>
            <w:r>
              <w:rPr>
                <w:rFonts w:ascii="Calibri" w:hAnsi="Calibri" w:cs="Calibri"/>
                <w:sz w:val="20"/>
                <w:szCs w:val="20"/>
                <w:color w:val="000000"/>
              </w:rPr>
              <w:t>El plan de pruebas y los libros de resultados de pagos, interfaz, datos y permisos se acompañan de capturas y registros técnicos. Cada caso identifica el resultado y los límites de la comprobación. Los pagos se realizaron en el entorno de pruebas de Stripe, sin utilizar dinero real.</w:t>
            </w:r>
          </w:p>
          <w:p>
            <w:pPr>
              <w:jc w:val="left"/>
              <w:spacing w:after="100" w:line="240" w:lineRule="auto"/>
            </w:pPr>
            <w:r>
              <w:rPr>
                <w:rFonts w:ascii="Calibri" w:hAnsi="Calibri" w:cs="Calibri"/>
                <w:sz w:val="20"/>
                <w:szCs w:val="20"/>
                <w:color w:val="000000"/>
              </w:rPr>
              <w:t>La documentación de gestión comprende la Carta Gantt, el plan del proyecto, las actas disponibles, los estados de avance y los registros de interesados y conflictos. Los diarios individuales describen la reflexión de cada integrante sobre su participación.</w:t>
            </w:r>
          </w:p>
          <w:p>
            <w:pPr>
              <w:jc w:val="left"/>
              <w:spacing w:after="100" w:line="240" w:lineRule="auto"/>
            </w:pPr>
            <w:r>
              <w:rPr>
                <w:rFonts w:ascii="Calibri" w:hAnsi="Calibri" w:cs="Calibri"/>
                <w:sz w:val="20"/>
                <w:szCs w:val="20"/>
                <w:color w:val="000000"/>
              </w:rPr>
              <w:t>Para resguardar la calidad, se contrastaron los resultados con sus respaldos y se identificó el entorno de cada prueba. Los ensayos locales o experimentales no acreditan por sí solos el funcionamiento de la versión publicada. La revisión de tamaño móvil corresponde a emulación en navegador.</w:t>
            </w:r>
          </w:p>
          <w:p>
            <w:pPr>
              <w:jc w:val="left"/>
              <w:spacing w:after="100" w:line="240" w:lineRule="auto"/>
            </w:pPr>
            <w:r>
              <w:rPr>
                <w:rFonts w:ascii="Calibri" w:hAnsi="Calibri" w:cs="Calibri"/>
                <w:sz w:val="20"/>
                <w:szCs w:val="20"/>
                <w:color w:val="000000"/>
              </w:rPr>
              <w:t>Aplicación de estudiantes: https://aprueba-student.vercel.app/</w:t>
            </w:r>
          </w:p>
          <w:p>
            <w:pPr>
              <w:jc w:val="left"/>
              <w:spacing w:after="100" w:line="240" w:lineRule="auto"/>
            </w:pPr>
            <w:r>
              <w:rPr>
                <w:rFonts w:ascii="Calibri" w:hAnsi="Calibri" w:cs="Calibri"/>
                <w:sz w:val="20"/>
                <w:szCs w:val="20"/>
                <w:color w:val="000000"/>
              </w:rPr>
              <w:t>Consola administrativa: https://aprueba-admin.vercel.app/</w:t>
            </w:r>
          </w:p>
        </w:tc>
      </w:tr>
    </w:tbl>
    <w:p>
      <w:pPr>
        <w:pageBreakBefore/>
        <w:spacing w:before="0" w:after="0"/>
      </w:pP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719" w:type="dxa"/>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pPr>
              <w:jc w:val="left"/>
              <w:spacing w:after="100" w:line="240" w:lineRule="auto"/>
            </w:pPr>
            <w:r>
              <w:rPr>
                <w:rFonts w:ascii="Calibri" w:hAnsi="Calibri" w:cs="Calibri"/>
                <w:sz w:val="20"/>
                <w:szCs w:val="20"/>
                <w:color w:val="365F91"/>
              </w:rPr>
              <w:t>Seguimiento de las actividades del módulo de pagos y suscripciones de Aprueba.</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Ind w:w="-572" w:type="dxa"/>
      </w:tblPr>
      <w:tblGrid>
        <w:gridCol w:w="1328"/>
        <w:gridCol w:w="1077"/>
        <w:gridCol w:w="1276"/>
        <w:gridCol w:w="1276"/>
        <w:gridCol w:w="1275"/>
        <w:gridCol w:w="1276"/>
        <w:gridCol w:w="1418"/>
        <w:gridCol w:w="850"/>
      </w:tblGrid>
      <w:tr w:rsidR="00FD5149" w:rsidRPr="006E3B0D" w14:paraId="66FA4353" w14:textId="77777777" w:rsidTr="00EA0C09">
        <w:trPr>
          <w:trHeight w:val="415"/>
          <w:tblHeader/>
          <w:cantSplit/>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blHeader/>
          <w:cantSplit/>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cantSplit/>
        </w:trPr>
        <w:tc>
          <w:tcPr>
            <w:tcW w:w="1328" w:type="dxa"/>
          </w:tcPr>
          <w:p>
            <w:pPr>
              <w:jc w:val="left"/>
              <w:spacing w:after="40" w:line="240" w:lineRule="auto"/>
            </w:pPr>
            <w:r>
              <w:rPr>
                <w:rFonts w:ascii="Calibri" w:hAnsi="Calibri" w:cs="Calibri"/>
                <w:sz w:val="18"/>
                <w:szCs w:val="18"/>
                <w:color w:val="000000"/>
              </w:rPr>
              <w:t>Ofrecer propuestas de solución informática / Gestionar proyectos informáticos</w:t>
            </w:r>
          </w:p>
        </w:tc>
        <w:tc>
          <w:tcPr>
            <w:tcW w:w="1077" w:type="dxa"/>
          </w:tcPr>
          <w:p>
            <w:pPr>
              <w:jc w:val="left"/>
              <w:spacing w:after="40" w:line="240" w:lineRule="auto"/>
            </w:pPr>
            <w:r>
              <w:rPr>
                <w:rFonts w:ascii="Calibri" w:hAnsi="Calibri" w:cs="Calibri"/>
                <w:sz w:val="18"/>
                <w:szCs w:val="18"/>
                <w:color w:val="000000"/>
              </w:rPr>
              <w:t>Definición y planificación del proyecto</w:t>
            </w:r>
          </w:p>
        </w:tc>
        <w:tc>
          <w:tcPr>
            <w:tcW w:w="1276" w:type="dxa"/>
          </w:tcPr>
          <w:p>
            <w:pPr>
              <w:jc w:val="left"/>
              <w:spacing w:after="40" w:line="240" w:lineRule="auto"/>
            </w:pPr>
            <w:r>
              <w:rPr>
                <w:rFonts w:ascii="Calibri" w:hAnsi="Calibri" w:cs="Calibri"/>
                <w:sz w:val="18"/>
                <w:szCs w:val="18"/>
                <w:color w:val="000000"/>
              </w:rPr>
              <w:t>Documentación de Alloxentric y plantilla institucional</w:t>
            </w:r>
          </w:p>
        </w:tc>
        <w:tc>
          <w:tcPr>
            <w:tcW w:w="1276" w:type="dxa"/>
          </w:tcPr>
          <w:p>
            <w:pPr>
              <w:jc w:val="left"/>
              <w:spacing w:after="40" w:line="240" w:lineRule="auto"/>
            </w:pPr>
            <w:r>
              <w:rPr>
                <w:rFonts w:ascii="Calibri" w:hAnsi="Calibri" w:cs="Calibri"/>
                <w:sz w:val="18"/>
                <w:szCs w:val="18"/>
                <w:color w:val="000000"/>
              </w:rPr>
              <w:t>1 semana</w:t>
            </w:r>
          </w:p>
        </w:tc>
        <w:tc>
          <w:tcPr>
            <w:tcW w:w="1275" w:type="dxa"/>
          </w:tcPr>
          <w:p>
            <w:pPr>
              <w:jc w:val="left"/>
              <w:spacing w:after="40" w:line="240" w:lineRule="auto"/>
            </w:pPr>
            <w:r>
              <w:rPr>
                <w:rFonts w:ascii="Calibri" w:hAnsi="Calibri" w:cs="Calibri"/>
                <w:sz w:val="18"/>
                <w:szCs w:val="18"/>
                <w:color w:val="000000"/>
              </w:rPr>
              <w:t>Thiare Gómez</w:t>
            </w:r>
          </w:p>
        </w:tc>
        <w:tc>
          <w:tcPr>
            <w:tcW w:w="1276" w:type="dxa"/>
          </w:tcPr>
          <w:p>
            <w:pPr>
              <w:jc w:val="left"/>
              <w:spacing w:after="40" w:line="240" w:lineRule="auto"/>
            </w:pPr>
            <w:r>
              <w:rPr>
                <w:rFonts w:ascii="Calibri" w:hAnsi="Calibri" w:cs="Calibri"/>
                <w:sz w:val="18"/>
                <w:szCs w:val="18"/>
                <w:color w:val="000000"/>
              </w:rPr>
              <w:t>La documentación inicial permitió definir el módulo y organizar el trabajo.</w:t>
            </w:r>
          </w:p>
        </w:tc>
        <w:tc>
          <w:tcPr>
            <w:tcW w:w="1418" w:type="dxa"/>
          </w:tcPr>
          <w:p>
            <w:pPr>
              <w:jc w:val="left"/>
              <w:spacing w:after="40" w:line="240" w:lineRule="auto"/>
            </w:pPr>
            <w:r>
              <w:rPr>
                <w:rFonts w:ascii="Calibri" w:hAnsi="Calibri" w:cs="Calibri"/>
                <w:sz w:val="18"/>
                <w:szCs w:val="18"/>
                <w:color w:val="000000"/>
              </w:rPr>
              <w:t>Completado</w:t>
            </w:r>
          </w:p>
        </w:tc>
        <w:tc>
          <w:tcPr>
            <w:tcW w:w="850" w:type="dxa"/>
          </w:tcPr>
          <w:p>
            <w:pPr>
              <w:jc w:val="left"/>
              <w:spacing w:after="40" w:line="240" w:lineRule="auto"/>
            </w:pPr>
            <w:r>
              <w:rPr>
                <w:rFonts w:ascii="Calibri" w:hAnsi="Calibri" w:cs="Calibri"/>
                <w:sz w:val="18"/>
                <w:szCs w:val="18"/>
                <w:color w:val="000000"/>
              </w:rPr>
              <w:t>Priorización del MVP de pagos y suscripciones.</w:t>
            </w:r>
          </w:p>
        </w:tc>
      </w:tr>
      <w:tr w:rsidR="00FD5149" w:rsidRPr="006E3B0D" w14:paraId="0D4FAAA2" w14:textId="77777777" w:rsidTr="00EA0C09">
        <w:trPr>
          <w:cantSplit/>
        </w:trPr>
        <w:tc>
          <w:tcPr>
            <w:tcW w:w="1328" w:type="dxa"/>
          </w:tcPr>
          <w:p>
            <w:pPr>
              <w:jc w:val="left"/>
              <w:spacing w:after="40" w:line="240" w:lineRule="auto"/>
            </w:pPr>
            <w:r>
              <w:rPr>
                <w:rFonts w:ascii="Calibri" w:hAnsi="Calibri" w:cs="Calibri"/>
                <w:sz w:val="18"/>
                <w:szCs w:val="18"/>
                <w:color w:val="000000"/>
              </w:rPr>
              <w:t>Ofrecer propuestas de solución informática</w:t>
            </w:r>
          </w:p>
        </w:tc>
        <w:tc>
          <w:tcPr>
            <w:tcW w:w="1077" w:type="dxa"/>
          </w:tcPr>
          <w:p>
            <w:pPr>
              <w:jc w:val="left"/>
              <w:spacing w:after="40" w:line="240" w:lineRule="auto"/>
            </w:pPr>
            <w:r>
              <w:rPr>
                <w:rFonts w:ascii="Calibri" w:hAnsi="Calibri" w:cs="Calibri"/>
                <w:sz w:val="18"/>
                <w:szCs w:val="18"/>
                <w:color w:val="000000"/>
              </w:rPr>
              <w:t>Requerimientos, casos de uso y diagramas de actividad</w:t>
            </w:r>
          </w:p>
        </w:tc>
        <w:tc>
          <w:tcPr>
            <w:tcW w:w="1276" w:type="dxa"/>
          </w:tcPr>
          <w:p>
            <w:pPr>
              <w:jc w:val="left"/>
              <w:spacing w:after="40" w:line="240" w:lineRule="auto"/>
            </w:pPr>
            <w:r>
              <w:rPr>
                <w:rFonts w:ascii="Calibri" w:hAnsi="Calibri" w:cs="Calibri"/>
                <w:sz w:val="18"/>
                <w:szCs w:val="18"/>
                <w:color w:val="000000"/>
              </w:rPr>
              <w:t>Documentación, código y wireframes</w:t>
            </w:r>
          </w:p>
        </w:tc>
        <w:tc>
          <w:tcPr>
            <w:tcW w:w="1276" w:type="dxa"/>
          </w:tcPr>
          <w:p>
            <w:pPr>
              <w:jc w:val="left"/>
              <w:spacing w:after="40" w:line="240" w:lineRule="auto"/>
            </w:pPr>
            <w:r>
              <w:rPr>
                <w:rFonts w:ascii="Calibri" w:hAnsi="Calibri" w:cs="Calibri"/>
                <w:sz w:val="18"/>
                <w:szCs w:val="18"/>
                <w:color w:val="000000"/>
              </w:rPr>
              <w:t>1 semana</w:t>
            </w:r>
          </w:p>
        </w:tc>
        <w:tc>
          <w:tcPr>
            <w:tcW w:w="1275" w:type="dxa"/>
          </w:tcPr>
          <w:p>
            <w:pPr>
              <w:jc w:val="left"/>
              <w:spacing w:after="40" w:line="240" w:lineRule="auto"/>
            </w:pPr>
            <w:r>
              <w:rPr>
                <w:rFonts w:ascii="Calibri" w:hAnsi="Calibri" w:cs="Calibri"/>
                <w:sz w:val="18"/>
                <w:szCs w:val="18"/>
                <w:color w:val="000000"/>
              </w:rPr>
              <w:t>Sebastián Araya</w:t>
            </w:r>
          </w:p>
        </w:tc>
        <w:tc>
          <w:tcPr>
            <w:tcW w:w="1276" w:type="dxa"/>
          </w:tcPr>
          <w:p>
            <w:pPr>
              <w:jc w:val="left"/>
              <w:spacing w:after="40" w:line="240" w:lineRule="auto"/>
            </w:pPr>
            <w:r>
              <w:rPr>
                <w:rFonts w:ascii="Calibri" w:hAnsi="Calibri" w:cs="Calibri"/>
                <w:sz w:val="18"/>
                <w:szCs w:val="18"/>
                <w:color w:val="000000"/>
              </w:rPr>
              <w:t>El diseño esperado se distingue del funcionamiento comprobado.</w:t>
            </w:r>
          </w:p>
        </w:tc>
        <w:tc>
          <w:tcPr>
            <w:tcW w:w="1418" w:type="dxa"/>
          </w:tcPr>
          <w:p>
            <w:pPr>
              <w:jc w:val="left"/>
              <w:spacing w:after="40" w:line="240" w:lineRule="auto"/>
            </w:pPr>
            <w:r>
              <w:rPr>
                <w:rFonts w:ascii="Calibri" w:hAnsi="Calibri" w:cs="Calibri"/>
                <w:sz w:val="18"/>
                <w:szCs w:val="18"/>
                <w:color w:val="000000"/>
              </w:rPr>
              <w:t>Completado</w:t>
            </w:r>
          </w:p>
        </w:tc>
        <w:tc>
          <w:tcPr>
            <w:tcW w:w="850" w:type="dxa"/>
          </w:tcPr>
          <w:p>
            <w:pPr>
              <w:jc w:val="left"/>
              <w:spacing w:after="40" w:line="240" w:lineRule="auto"/>
            </w:pPr>
            <w:r>
              <w:rPr>
                <w:rFonts w:ascii="Calibri" w:hAnsi="Calibri" w:cs="Calibri"/>
                <w:sz w:val="18"/>
                <w:szCs w:val="18"/>
                <w:color w:val="000000"/>
              </w:rPr>
              <w:t>Identificación de las diferencias entre requisitos y comportamiento disponible.</w:t>
            </w:r>
          </w:p>
        </w:tc>
      </w:tr>
      <w:tr w:rsidR="00FD5149" w:rsidRPr="006E3B0D" w14:paraId="0D4FAAA2" w14:textId="77777777" w:rsidTr="00EA0C09">
        <w:trPr>
          <w:cantSplit/>
        </w:trPr>
        <w:tc>
          <w:tcPr>
            <w:tcW w:w="1328" w:type="dxa"/>
          </w:tcPr>
          <w:p>
            <w:pPr>
              <w:jc w:val="left"/>
              <w:spacing w:after="40" w:line="240" w:lineRule="auto"/>
            </w:pPr>
            <w:r>
              <w:rPr>
                <w:rFonts w:ascii="Calibri" w:hAnsi="Calibri" w:cs="Calibri"/>
                <w:sz w:val="18"/>
                <w:szCs w:val="18"/>
                <w:color w:val="000000"/>
              </w:rPr>
              <w:t>Construir modelos de datos</w:t>
            </w:r>
          </w:p>
        </w:tc>
        <w:tc>
          <w:tcPr>
            <w:tcW w:w="1077" w:type="dxa"/>
          </w:tcPr>
          <w:p>
            <w:pPr>
              <w:jc w:val="left"/>
              <w:spacing w:after="40" w:line="240" w:lineRule="auto"/>
            </w:pPr>
            <w:r>
              <w:rPr>
                <w:rFonts w:ascii="Calibri" w:hAnsi="Calibri" w:cs="Calibri"/>
                <w:sz w:val="18"/>
                <w:szCs w:val="18"/>
                <w:color w:val="000000"/>
              </w:rPr>
              <w:t>Diseño técnico, modelo de datos e interesados</w:t>
            </w:r>
          </w:p>
        </w:tc>
        <w:tc>
          <w:tcPr>
            <w:tcW w:w="1276" w:type="dxa"/>
          </w:tcPr>
          <w:p>
            <w:pPr>
              <w:jc w:val="left"/>
              <w:spacing w:after="40" w:line="240" w:lineRule="auto"/>
            </w:pPr>
            <w:r>
              <w:rPr>
                <w:rFonts w:ascii="Calibri" w:hAnsi="Calibri" w:cs="Calibri"/>
                <w:sz w:val="18"/>
                <w:szCs w:val="18"/>
                <w:color w:val="000000"/>
              </w:rPr>
              <w:t>Modelo existente y evidencias de Firestore</w:t>
            </w:r>
          </w:p>
        </w:tc>
        <w:tc>
          <w:tcPr>
            <w:tcW w:w="1276" w:type="dxa"/>
          </w:tcPr>
          <w:p>
            <w:pPr>
              <w:jc w:val="left"/>
              <w:spacing w:after="40" w:line="240" w:lineRule="auto"/>
            </w:pPr>
            <w:r>
              <w:rPr>
                <w:rFonts w:ascii="Calibri" w:hAnsi="Calibri" w:cs="Calibri"/>
                <w:sz w:val="18"/>
                <w:szCs w:val="18"/>
                <w:color w:val="000000"/>
              </w:rPr>
              <w:t>1 semana</w:t>
            </w:r>
          </w:p>
        </w:tc>
        <w:tc>
          <w:tcPr>
            <w:tcW w:w="1275" w:type="dxa"/>
          </w:tcPr>
          <w:p>
            <w:pPr>
              <w:jc w:val="left"/>
              <w:spacing w:after="40" w:line="240" w:lineRule="auto"/>
            </w:pPr>
            <w:r>
              <w:rPr>
                <w:rFonts w:ascii="Calibri" w:hAnsi="Calibri" w:cs="Calibri"/>
                <w:sz w:val="18"/>
                <w:szCs w:val="18"/>
                <w:color w:val="000000"/>
              </w:rPr>
              <w:t>César Garrido</w:t>
            </w:r>
          </w:p>
        </w:tc>
        <w:tc>
          <w:tcPr>
            <w:tcW w:w="1276" w:type="dxa"/>
          </w:tcPr>
          <w:p>
            <w:pPr>
              <w:jc w:val="left"/>
              <w:spacing w:after="40" w:line="240" w:lineRule="auto"/>
            </w:pPr>
            <w:r>
              <w:rPr>
                <w:rFonts w:ascii="Calibri" w:hAnsi="Calibri" w:cs="Calibri"/>
                <w:sz w:val="18"/>
                <w:szCs w:val="18"/>
                <w:color w:val="000000"/>
              </w:rPr>
              <w:t>El modelo contempla información de pagos y suscripciones. Los permisos mantienen los límites de sus pruebas.</w:t>
            </w:r>
          </w:p>
        </w:tc>
        <w:tc>
          <w:tcPr>
            <w:tcW w:w="1418" w:type="dxa"/>
          </w:tcPr>
          <w:p>
            <w:pPr>
              <w:jc w:val="left"/>
              <w:spacing w:after="40" w:line="240" w:lineRule="auto"/>
            </w:pPr>
            <w:r>
              <w:rPr>
                <w:rFonts w:ascii="Calibri" w:hAnsi="Calibri" w:cs="Calibri"/>
                <w:sz w:val="18"/>
                <w:szCs w:val="18"/>
                <w:color w:val="000000"/>
              </w:rPr>
              <w:t>Completado</w:t>
            </w:r>
          </w:p>
        </w:tc>
        <w:tc>
          <w:tcPr>
            <w:tcW w:w="850" w:type="dxa"/>
          </w:tcPr>
          <w:p>
            <w:pPr>
              <w:jc w:val="left"/>
              <w:spacing w:after="40" w:line="240" w:lineRule="auto"/>
            </w:pPr>
            <w:r>
              <w:rPr>
                <w:rFonts w:ascii="Calibri" w:hAnsi="Calibri" w:cs="Calibri"/>
                <w:sz w:val="18"/>
                <w:szCs w:val="18"/>
                <w:color w:val="000000"/>
              </w:rPr>
              <w:t>Consideración de la persistencia de suscripciones, facturas y eventos de Stripe.</w:t>
            </w:r>
          </w:p>
        </w:tc>
      </w:tr>
      <w:tr w:rsidR="00FD5149" w:rsidRPr="006E3B0D" w14:paraId="0D4FAAA2" w14:textId="77777777" w:rsidTr="00EA0C09">
        <w:trPr>
          <w:cantSplit/>
        </w:trPr>
        <w:tc>
          <w:tcPr>
            <w:tcW w:w="1328" w:type="dxa"/>
          </w:tcPr>
          <w:p>
            <w:pPr>
              <w:jc w:val="left"/>
              <w:spacing w:after="40" w:line="240" w:lineRule="auto"/>
            </w:pPr>
            <w:r>
              <w:rPr>
                <w:rFonts w:ascii="Calibri" w:hAnsi="Calibri" w:cs="Calibri"/>
                <w:sz w:val="18"/>
                <w:szCs w:val="18"/>
                <w:color w:val="000000"/>
              </w:rPr>
              <w:t>Gestionar proyectos informáticos</w:t>
            </w:r>
          </w:p>
        </w:tc>
        <w:tc>
          <w:tcPr>
            <w:tcW w:w="1077" w:type="dxa"/>
          </w:tcPr>
          <w:p>
            <w:pPr>
              <w:jc w:val="left"/>
              <w:spacing w:after="40" w:line="240" w:lineRule="auto"/>
            </w:pPr>
            <w:r>
              <w:rPr>
                <w:rFonts w:ascii="Calibri" w:hAnsi="Calibri" w:cs="Calibri"/>
                <w:sz w:val="18"/>
                <w:szCs w:val="18"/>
                <w:color w:val="000000"/>
              </w:rPr>
              <w:t>Gestión de planes: mockups y validación</w:t>
            </w:r>
          </w:p>
        </w:tc>
        <w:tc>
          <w:tcPr>
            <w:tcW w:w="1276" w:type="dxa"/>
          </w:tcPr>
          <w:p>
            <w:pPr>
              <w:jc w:val="left"/>
              <w:spacing w:after="40" w:line="240" w:lineRule="auto"/>
            </w:pPr>
            <w:r>
              <w:rPr>
                <w:rFonts w:ascii="Calibri" w:hAnsi="Calibri" w:cs="Calibri"/>
                <w:sz w:val="18"/>
                <w:szCs w:val="18"/>
                <w:color w:val="000000"/>
              </w:rPr>
              <w:t>Wireframes, interfaz y evidencias</w:t>
            </w:r>
          </w:p>
        </w:tc>
        <w:tc>
          <w:tcPr>
            <w:tcW w:w="1276" w:type="dxa"/>
          </w:tcPr>
          <w:p>
            <w:pPr>
              <w:jc w:val="left"/>
              <w:spacing w:after="40" w:line="240" w:lineRule="auto"/>
            </w:pPr>
            <w:r>
              <w:rPr>
                <w:rFonts w:ascii="Calibri" w:hAnsi="Calibri" w:cs="Calibri"/>
                <w:sz w:val="18"/>
                <w:szCs w:val="18"/>
                <w:color w:val="000000"/>
              </w:rPr>
              <w:t>1 semana</w:t>
            </w:r>
          </w:p>
        </w:tc>
        <w:tc>
          <w:tcPr>
            <w:tcW w:w="1275" w:type="dxa"/>
          </w:tcPr>
          <w:p>
            <w:pPr>
              <w:jc w:val="left"/>
              <w:spacing w:after="40" w:line="240" w:lineRule="auto"/>
            </w:pPr>
            <w:r>
              <w:rPr>
                <w:rFonts w:ascii="Calibri" w:hAnsi="Calibri" w:cs="Calibri"/>
                <w:sz w:val="18"/>
                <w:szCs w:val="18"/>
                <w:color w:val="000000"/>
              </w:rPr>
              <w:t>Thiare Gómez</w:t>
            </w:r>
          </w:p>
        </w:tc>
        <w:tc>
          <w:tcPr>
            <w:tcW w:w="1276" w:type="dxa"/>
          </w:tcPr>
          <w:p>
            <w:pPr>
              <w:jc w:val="left"/>
              <w:spacing w:after="40" w:line="240" w:lineRule="auto"/>
            </w:pPr>
            <w:r>
              <w:rPr>
                <w:rFonts w:ascii="Calibri" w:hAnsi="Calibri" w:cs="Calibri"/>
                <w:sz w:val="18"/>
                <w:szCs w:val="18"/>
                <w:color w:val="000000"/>
              </w:rPr>
              <w:t>La revisión de vistas está realizada. La validación funcional del catálogo es parcial.</w:t>
            </w:r>
          </w:p>
        </w:tc>
        <w:tc>
          <w:tcPr>
            <w:tcW w:w="1418" w:type="dxa"/>
          </w:tcPr>
          <w:p>
            <w:pPr>
              <w:jc w:val="left"/>
              <w:spacing w:after="40" w:line="240" w:lineRule="auto"/>
            </w:pPr>
            <w:r>
              <w:rPr>
                <w:rFonts w:ascii="Calibri" w:hAnsi="Calibri" w:cs="Calibri"/>
                <w:sz w:val="18"/>
                <w:szCs w:val="18"/>
                <w:color w:val="000000"/>
              </w:rPr>
              <w:t>Ajustada</w:t>
            </w:r>
          </w:p>
        </w:tc>
        <w:tc>
          <w:tcPr>
            <w:tcW w:w="850" w:type="dxa"/>
          </w:tcPr>
          <w:p>
            <w:pPr>
              <w:jc w:val="left"/>
              <w:spacing w:after="40" w:line="240" w:lineRule="auto"/>
            </w:pPr>
            <w:r>
              <w:rPr>
                <w:rFonts w:ascii="Calibri" w:hAnsi="Calibri" w:cs="Calibri"/>
                <w:sz w:val="18"/>
                <w:szCs w:val="18"/>
                <w:color w:val="000000"/>
              </w:rPr>
              <w:t>Seguimiento de la creación, retiro y cambios de precio según disponibilidad del código.</w:t>
            </w:r>
          </w:p>
        </w:tc>
      </w:tr>
      <w:tr w:rsidR="00FD5149" w:rsidRPr="006E3B0D" w14:paraId="0D4FAAA2" w14:textId="77777777" w:rsidTr="00EA0C09">
        <w:trPr>
          <w:cantSplit/>
        </w:trPr>
        <w:tc>
          <w:tcPr>
            <w:tcW w:w="1328" w:type="dxa"/>
          </w:tcPr>
          <w:p>
            <w:pPr>
              <w:jc w:val="left"/>
              <w:spacing w:after="40" w:line="240" w:lineRule="auto"/>
            </w:pPr>
            <w:r>
              <w:rPr>
                <w:rFonts w:ascii="Calibri" w:hAnsi="Calibri" w:cs="Calibri"/>
                <w:sz w:val="18"/>
                <w:szCs w:val="18"/>
                <w:color w:val="000000"/>
              </w:rPr>
              <w:t>Desarrollar una solución de software</w:t>
            </w:r>
          </w:p>
        </w:tc>
        <w:tc>
          <w:tcPr>
            <w:tcW w:w="1077" w:type="dxa"/>
          </w:tcPr>
          <w:p>
            <w:pPr>
              <w:jc w:val="left"/>
              <w:spacing w:after="40" w:line="240" w:lineRule="auto"/>
            </w:pPr>
            <w:r>
              <w:rPr>
                <w:rFonts w:ascii="Calibri" w:hAnsi="Calibri" w:cs="Calibri"/>
                <w:sz w:val="18"/>
                <w:szCs w:val="18"/>
                <w:color w:val="000000"/>
              </w:rPr>
              <w:t>Integración con Stripe</w:t>
            </w:r>
          </w:p>
        </w:tc>
        <w:tc>
          <w:tcPr>
            <w:tcW w:w="1276" w:type="dxa"/>
          </w:tcPr>
          <w:p>
            <w:pPr>
              <w:jc w:val="left"/>
              <w:spacing w:after="40" w:line="240" w:lineRule="auto"/>
            </w:pPr>
            <w:r>
              <w:rPr>
                <w:rFonts w:ascii="Calibri" w:hAnsi="Calibri" w:cs="Calibri"/>
                <w:sz w:val="18"/>
                <w:szCs w:val="18"/>
                <w:color w:val="000000"/>
              </w:rPr>
              <w:t>SDK de Stripe, entorno de pruebas, Firebase y Vercel</w:t>
            </w:r>
          </w:p>
        </w:tc>
        <w:tc>
          <w:tcPr>
            <w:tcW w:w="1276" w:type="dxa"/>
          </w:tcPr>
          <w:p>
            <w:pPr>
              <w:jc w:val="left"/>
              <w:spacing w:after="40" w:line="240" w:lineRule="auto"/>
            </w:pPr>
            <w:r>
              <w:rPr>
                <w:rFonts w:ascii="Calibri" w:hAnsi="Calibri" w:cs="Calibri"/>
                <w:sz w:val="18"/>
                <w:szCs w:val="18"/>
                <w:color w:val="000000"/>
              </w:rPr>
              <w:t>11 semanas</w:t>
            </w:r>
          </w:p>
        </w:tc>
        <w:tc>
          <w:tcPr>
            <w:tcW w:w="1275" w:type="dxa"/>
          </w:tcPr>
          <w:p>
            <w:pPr>
              <w:jc w:val="left"/>
              <w:spacing w:after="40" w:line="240" w:lineRule="auto"/>
            </w:pPr>
            <w:r>
              <w:rPr>
                <w:rFonts w:ascii="Calibri" w:hAnsi="Calibri" w:cs="Calibri"/>
                <w:sz w:val="18"/>
                <w:szCs w:val="18"/>
                <w:color w:val="000000"/>
              </w:rPr>
              <w:t>Todo el equipo</w:t>
            </w:r>
          </w:p>
        </w:tc>
        <w:tc>
          <w:tcPr>
            <w:tcW w:w="1276" w:type="dxa"/>
          </w:tcPr>
          <w:p>
            <w:pPr>
              <w:jc w:val="left"/>
              <w:spacing w:after="40" w:line="240" w:lineRule="auto"/>
            </w:pPr>
            <w:r>
              <w:rPr>
                <w:rFonts w:ascii="Calibri" w:hAnsi="Calibri" w:cs="Calibri"/>
                <w:sz w:val="18"/>
                <w:szCs w:val="18"/>
                <w:color w:val="000000"/>
              </w:rPr>
              <w:t>El MVP permite comprobar flujos de pagos y suscripciones. Persisten brechas de implementación e integración.</w:t>
            </w:r>
          </w:p>
        </w:tc>
        <w:tc>
          <w:tcPr>
            <w:tcW w:w="1418" w:type="dxa"/>
          </w:tcPr>
          <w:p>
            <w:pPr>
              <w:jc w:val="left"/>
              <w:spacing w:after="40" w:line="240" w:lineRule="auto"/>
            </w:pPr>
            <w:r>
              <w:rPr>
                <w:rFonts w:ascii="Calibri" w:hAnsi="Calibri" w:cs="Calibri"/>
                <w:sz w:val="18"/>
                <w:szCs w:val="18"/>
                <w:color w:val="000000"/>
              </w:rPr>
              <w:t>En curso</w:t>
            </w:r>
          </w:p>
        </w:tc>
        <w:tc>
          <w:tcPr>
            <w:tcW w:w="850" w:type="dxa"/>
          </w:tcPr>
          <w:p>
            <w:pPr>
              <w:jc w:val="left"/>
              <w:spacing w:after="40" w:line="240" w:lineRule="auto"/>
            </w:pPr>
            <w:r>
              <w:rPr>
                <w:rFonts w:ascii="Calibri" w:hAnsi="Calibri" w:cs="Calibri"/>
                <w:sz w:val="18"/>
                <w:szCs w:val="18"/>
                <w:color w:val="000000"/>
              </w:rPr>
              <w:t>Uso de Checkout y Customer Portal. Priorización de correcciones según los resultados de pruebas.</w:t>
            </w:r>
          </w:p>
        </w:tc>
      </w:tr>
      <w:tr w:rsidR="00FD5149" w:rsidRPr="006E3B0D" w14:paraId="0D4FAAA2" w14:textId="77777777" w:rsidTr="00EA0C09">
        <w:trPr>
          <w:cantSplit/>
        </w:trPr>
        <w:tc>
          <w:tcPr>
            <w:tcW w:w="1328" w:type="dxa"/>
          </w:tcPr>
          <w:p>
            <w:pPr>
              <w:jc w:val="left"/>
              <w:spacing w:after="40" w:line="240" w:lineRule="auto"/>
            </w:pPr>
            <w:r>
              <w:rPr>
                <w:rFonts w:ascii="Calibri" w:hAnsi="Calibri" w:cs="Calibri"/>
                <w:sz w:val="18"/>
                <w:szCs w:val="18"/>
                <w:color w:val="000000"/>
              </w:rPr>
              <w:t>Realizar pruebas de certificación</w:t>
            </w:r>
          </w:p>
        </w:tc>
        <w:tc>
          <w:tcPr>
            <w:tcW w:w="1077" w:type="dxa"/>
          </w:tcPr>
          <w:p>
            <w:pPr>
              <w:jc w:val="left"/>
              <w:spacing w:after="40" w:line="240" w:lineRule="auto"/>
            </w:pPr>
            <w:r>
              <w:rPr>
                <w:rFonts w:ascii="Calibri" w:hAnsi="Calibri" w:cs="Calibri"/>
                <w:sz w:val="18"/>
                <w:szCs w:val="18"/>
                <w:color w:val="000000"/>
              </w:rPr>
              <w:t>Pruebas, documentación y entrega final</w:t>
            </w:r>
          </w:p>
        </w:tc>
        <w:tc>
          <w:tcPr>
            <w:tcW w:w="1276" w:type="dxa"/>
          </w:tcPr>
          <w:p>
            <w:pPr>
              <w:jc w:val="left"/>
              <w:spacing w:after="40" w:line="240" w:lineRule="auto"/>
            </w:pPr>
            <w:r>
              <w:rPr>
                <w:rFonts w:ascii="Calibri" w:hAnsi="Calibri" w:cs="Calibri"/>
                <w:sz w:val="18"/>
                <w:szCs w:val="18"/>
                <w:color w:val="000000"/>
              </w:rPr>
              <w:t>Aplicación disponible, casos y evidencias</w:t>
            </w:r>
          </w:p>
        </w:tc>
        <w:tc>
          <w:tcPr>
            <w:tcW w:w="1276" w:type="dxa"/>
          </w:tcPr>
          <w:p>
            <w:pPr>
              <w:jc w:val="left"/>
              <w:spacing w:after="40" w:line="240" w:lineRule="auto"/>
            </w:pPr>
            <w:r>
              <w:rPr>
                <w:rFonts w:ascii="Calibri" w:hAnsi="Calibri" w:cs="Calibri"/>
                <w:sz w:val="18"/>
                <w:szCs w:val="18"/>
                <w:color w:val="000000"/>
              </w:rPr>
              <w:t>3 semanas</w:t>
            </w:r>
          </w:p>
        </w:tc>
        <w:tc>
          <w:tcPr>
            <w:tcW w:w="1275" w:type="dxa"/>
          </w:tcPr>
          <w:p>
            <w:pPr>
              <w:jc w:val="left"/>
              <w:spacing w:after="40" w:line="240" w:lineRule="auto"/>
            </w:pPr>
            <w:r>
              <w:rPr>
                <w:rFonts w:ascii="Calibri" w:hAnsi="Calibri" w:cs="Calibri"/>
                <w:sz w:val="18"/>
                <w:szCs w:val="18"/>
                <w:color w:val="000000"/>
              </w:rPr>
              <w:t>Todo el equipo</w:t>
            </w:r>
          </w:p>
        </w:tc>
        <w:tc>
          <w:tcPr>
            <w:tcW w:w="1276" w:type="dxa"/>
          </w:tcPr>
          <w:p>
            <w:pPr>
              <w:jc w:val="left"/>
              <w:spacing w:after="40" w:line="240" w:lineRule="auto"/>
            </w:pPr>
            <w:r>
              <w:rPr>
                <w:rFonts w:ascii="Calibri" w:hAnsi="Calibri" w:cs="Calibri"/>
                <w:sz w:val="18"/>
                <w:szCs w:val="18"/>
                <w:color w:val="000000"/>
              </w:rPr>
              <w:t>El catastro del avance está documentado. La validación final del producto sigue pendiente.</w:t>
            </w:r>
          </w:p>
        </w:tc>
        <w:tc>
          <w:tcPr>
            <w:tcW w:w="1418" w:type="dxa"/>
          </w:tcPr>
          <w:p>
            <w:pPr>
              <w:jc w:val="left"/>
              <w:spacing w:after="40" w:line="240" w:lineRule="auto"/>
            </w:pPr>
            <w:r>
              <w:rPr>
                <w:rFonts w:ascii="Calibri" w:hAnsi="Calibri" w:cs="Calibri"/>
                <w:sz w:val="18"/>
                <w:szCs w:val="18"/>
                <w:color w:val="000000"/>
              </w:rPr>
              <w:t>En curso</w:t>
            </w:r>
          </w:p>
        </w:tc>
        <w:tc>
          <w:tcPr>
            <w:tcW w:w="850" w:type="dxa"/>
          </w:tcPr>
          <w:p>
            <w:pPr>
              <w:jc w:val="left"/>
              <w:spacing w:after="40" w:line="240" w:lineRule="auto"/>
            </w:pPr>
            <w:r>
              <w:rPr>
                <w:rFonts w:ascii="Calibri" w:hAnsi="Calibri" w:cs="Calibri"/>
                <w:sz w:val="18"/>
                <w:szCs w:val="18"/>
                <w:color w:val="000000"/>
              </w:rPr>
              <w:t>Evaluación del estado actual y seguimiento de casos parciales, fallidos, bloqueados y no ejecutados.</w:t>
            </w:r>
          </w:p>
        </w:tc>
      </w:tr>
    </w:tbl>
    <w:p w14:paraId="66FF4E8D" w14:textId="77777777" w:rsidR="0003309E" w:rsidRDefault="0003309E" w:rsidP="0003309E">
      <w:pPr>
        <w:rPr>
          <w:rFonts w:cs="Calibri Light"/>
          <w:color w:val="595959" w:themeColor="text1" w:themeTint="A6"/>
          <w:sz w:val="24"/>
          <w:szCs w:val="24"/>
          <w:lang w:val="es-ES"/>
        </w:rPr>
      </w:pPr>
    </w:p>
    <w:p>
      <w:pPr>
        <w:pageBreakBefore/>
        <w:spacing w:before="0" w:after="0"/>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pPr>
              <w:pStyle w:val="Piedepgina"/>
              <w:jc w:val="left"/>
              <w:spacing w:after="100" w:line="240" w:lineRule="auto"/>
            </w:pPr>
            <w:r>
              <w:rPr>
                <w:rFonts w:ascii="Calibri" w:hAnsi="Calibri" w:cs="Calibri"/>
                <w:sz w:val="20"/>
                <w:szCs w:val="20"/>
                <w:color w:val="365F91"/>
              </w:rPr>
              <w:t>Factores del desarrollo, decisiones del equipo y actividades pendientes para las próximas etapas.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949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Pr>
      <w:tblGrid>
        <w:gridCol w:w="9496"/>
      </w:tblGrid>
      <w:tr w:rsidR="0003309E" w14:paraId="5B12D08B" w14:textId="77777777" w:rsidTr="00C5122E">
        <w:trPr>
          <w:trHeight w:val="1936"/>
          <w:cantSplit/>
        </w:trPr>
        <w:tc>
          <w:tcPr>
            <w:tcW w:w="5000" w:type="pct"/>
            <w:vAlign w:val="center"/>
          </w:tcPr>
          <w:p>
            <w:pPr>
              <w:jc w:val="left"/>
              <w:spacing w:after="100" w:line="240" w:lineRule="auto"/>
            </w:pPr>
            <w:r>
              <w:rPr>
                <w:rFonts w:ascii="Calibri" w:hAnsi="Calibri" w:cs="Calibri"/>
                <w:sz w:val="20"/>
                <w:szCs w:val="20"/>
                <w:color w:val="365F91"/>
              </w:rPr>
              <w:t>Factores que han facilitado y/o dificultado el desarrollo de mi plan de trabajo:</w:t>
            </w:r>
          </w:p>
          <w:p>
            <w:pPr>
              <w:jc w:val="left"/>
              <w:spacing w:after="100" w:line="240" w:lineRule="auto"/>
            </w:pPr>
            <w:r>
              <w:rPr>
                <w:rFonts w:ascii="Calibri" w:hAnsi="Calibri" w:cs="Calibri"/>
                <w:sz w:val="20"/>
                <w:szCs w:val="20"/>
                <w:color w:val="000000"/>
              </w:rPr>
              <w:t>Contar con una base de código y documentación de Alloxentric facilitó la comprensión inicial del proyecto y permitió concentrar el trabajo en el módulo de pagos y suscripciones. Stripe en modo de pruebas, Firebase y Vercel facilitaron la implementación del MVP y la obtención de evidencias.</w:t>
            </w:r>
          </w:p>
          <w:p>
            <w:pPr>
              <w:jc w:val="left"/>
              <w:spacing w:after="100" w:line="240" w:lineRule="auto"/>
            </w:pPr>
            <w:r>
              <w:rPr>
                <w:rFonts w:ascii="Calibri" w:hAnsi="Calibri" w:cs="Calibri"/>
                <w:sz w:val="20"/>
                <w:szCs w:val="20"/>
                <w:color w:val="000000"/>
              </w:rPr>
              <w:t>Las principales dificultades fueron comprender una plataforma desarrollada previamente, identificar diferencias entre el diseño y las funciones disponibles, y coordinar las dependencias con otros equipos. Algunas comprobaciones requieren contenido o código que todavía no está disponible.</w:t>
            </w:r>
          </w:p>
          <w:p>
            <w:pPr>
              <w:jc w:val="left"/>
              <w:spacing w:after="100" w:line="240" w:lineRule="auto"/>
            </w:pPr>
            <w:r>
              <w:rPr>
                <w:rFonts w:ascii="Calibri" w:hAnsi="Calibri" w:cs="Calibri"/>
                <w:sz w:val="20"/>
                <w:szCs w:val="20"/>
                <w:color w:val="000000"/>
              </w:rPr>
              <w:t>Para abordar estas dificultades revisamos la documentación, ejecutamos las pruebas posibles y registramos los resultados con sus limitaciones. Este catastro permite priorizar las correcciones y repetir las pruebas afectadas cuando existan nuevas versiones.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949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Pr>
      <w:tblGrid>
        <w:gridCol w:w="9493"/>
      </w:tblGrid>
      <w:tr w:rsidR="0003309E" w:rsidRPr="00711C16" w14:paraId="56B8FCE9" w14:textId="77777777" w:rsidTr="00C5122E">
        <w:trPr>
          <w:trHeight w:val="1936"/>
          <w:cantSplit/>
        </w:trPr>
        <w:tc>
          <w:tcPr>
            <w:tcW w:w="5000" w:type="pct"/>
            <w:vAlign w:val="center"/>
          </w:tcPr>
          <w:p>
            <w:pPr>
              <w:jc w:val="left"/>
              <w:spacing w:after="100" w:line="240" w:lineRule="auto"/>
            </w:pPr>
            <w:r>
              <w:rPr>
                <w:rFonts w:ascii="Calibri" w:hAnsi="Calibri" w:cs="Calibri"/>
                <w:sz w:val="20"/>
                <w:szCs w:val="20"/>
                <w:color w:val="365F91"/>
              </w:rPr>
              <w:t>Actividades ajustadas o eliminadas:</w:t>
            </w:r>
          </w:p>
          <w:p>
            <w:pPr>
              <w:jc w:val="left"/>
              <w:spacing w:after="100" w:line="240" w:lineRule="auto"/>
            </w:pPr>
            <w:r>
              <w:rPr>
                <w:rFonts w:ascii="Calibri" w:hAnsi="Calibri" w:cs="Calibri"/>
                <w:sz w:val="20"/>
                <w:szCs w:val="20"/>
                <w:color w:val="000000"/>
              </w:rPr>
              <w:t>Se mantuvieron las actividades principales y los objetivos específicos del proyecto. La contratación y la autogestión de suscripciones se implementaron mediante Stripe Checkout y Customer Portal, aprovechando las funcionalidades del proveedor para avanzar en el MVP.</w:t>
            </w:r>
          </w:p>
          <w:p>
            <w:pPr>
              <w:jc w:val="left"/>
              <w:spacing w:after="100" w:line="240" w:lineRule="auto"/>
            </w:pPr>
            <w:r>
              <w:rPr>
                <w:rFonts w:ascii="Calibri" w:hAnsi="Calibri" w:cs="Calibri"/>
                <w:sz w:val="20"/>
                <w:szCs w:val="20"/>
                <w:color w:val="000000"/>
              </w:rPr>
              <w:t>Las pruebas de esta entrega se concentraron en evaluar el código disponible. Los casos que no pudieron completarse quedaron registrados como parciales, bloqueados o no ejecutados, según correspondiera. Su evaluación documental para este avance está concluida; las validaciones funcionales pendientes permanecen en seguimiento.</w:t>
            </w:r>
          </w:p>
          <w:p>
            <w:pPr>
              <w:jc w:val="left"/>
              <w:spacing w:after="100" w:line="240" w:lineRule="auto"/>
            </w:pPr>
            <w:r>
              <w:rPr>
                <w:rFonts w:ascii="Calibri" w:hAnsi="Calibri" w:cs="Calibri"/>
                <w:sz w:val="20"/>
                <w:szCs w:val="20"/>
                <w:color w:val="000000"/>
              </w:rPr>
              <w:t>El acceso a M2 e Historia sigue formando parte de la validación del plan que incluye todas las pruebas. Su comprobación completa depende del contenido o código correspondiente a otro equipo. El desarrollo del banco de preguntas no es responsabilidad de nuestro módulo.</w:t>
            </w:r>
          </w:p>
          <w:p>
            <w:pPr>
              <w:jc w:val="left"/>
              <w:spacing w:after="100" w:line="240" w:lineRule="auto"/>
            </w:pPr>
            <w:r>
              <w:rPr>
                <w:rFonts w:ascii="Calibri" w:hAnsi="Calibri" w:cs="Calibri"/>
                <w:sz w:val="20"/>
                <w:szCs w:val="20"/>
                <w:color w:val="000000"/>
              </w:rPr>
              <w:t>Las propuestas que requieren una decisión de Alloxentric permanecen pendientes de confirmación y no se consideran nuevas obligaciones de esta entrega.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cantSplit/>
        </w:trPr>
        <w:tc>
          <w:tcPr>
            <w:tcW w:w="5000" w:type="pct"/>
            <w:vAlign w:val="center"/>
          </w:tcPr>
          <w:p>
            <w:pPr>
              <w:jc w:val="left"/>
              <w:spacing w:after="100" w:line="240" w:lineRule="auto"/>
            </w:pPr>
            <w:r>
              <w:rPr>
                <w:rFonts w:ascii="Calibri" w:hAnsi="Calibri" w:cs="Calibri"/>
                <w:sz w:val="20"/>
                <w:szCs w:val="20"/>
                <w:color w:val="365F91"/>
              </w:rPr>
              <w:t>Actividades que no has iniciado o están retrasadas:</w:t>
            </w:r>
          </w:p>
          <w:p>
            <w:pPr>
              <w:jc w:val="left"/>
              <w:spacing w:after="100" w:line="240" w:lineRule="auto"/>
            </w:pPr>
            <w:r>
              <w:rPr>
                <w:rFonts w:ascii="Calibri" w:hAnsi="Calibri" w:cs="Calibri"/>
                <w:sz w:val="20"/>
                <w:szCs w:val="20"/>
                <w:color w:val="000000"/>
              </w:rPr>
              <w:t>Permanecen pendientes aspectos de implementación y validación relacionados con la gestión y sincronización de precios, la integración con los demás equipos y la comprobación completa de los accesos según el estado de la suscripción. También deben revisarse los defectos y las limitaciones registrados en las pruebas de interfaz, datos y permisos.</w:t>
            </w:r>
          </w:p>
          <w:p>
            <w:pPr>
              <w:jc w:val="left"/>
              <w:spacing w:after="100" w:line="240" w:lineRule="auto"/>
            </w:pPr>
            <w:r>
              <w:rPr>
                <w:rFonts w:ascii="Calibri" w:hAnsi="Calibri" w:cs="Calibri"/>
                <w:sz w:val="20"/>
                <w:szCs w:val="20"/>
                <w:color w:val="000000"/>
              </w:rPr>
              <w:t>Estas actividades forman parte del seguimiento hacia las próximas entregas. Las pruebas de acceso a M2 e Historia dependen de que estén disponibles los componentes correspondientes del otro equipo.</w:t>
            </w:r>
          </w:p>
          <w:p>
            <w:pPr>
              <w:jc w:val="left"/>
              <w:spacing w:after="100" w:line="240" w:lineRule="auto"/>
            </w:pPr>
            <w:r>
              <w:rPr>
                <w:rFonts w:ascii="Calibri" w:hAnsi="Calibri" w:cs="Calibri"/>
                <w:sz w:val="20"/>
                <w:szCs w:val="20"/>
                <w:color w:val="000000"/>
              </w:rPr>
              <w:t>Para avanzar, se propone priorizar las brechas según su impacto, coordinar las dependencias y repetir los casos afectados cuando se disponga de una nueva versión del código. Los resultados de esta entrega servirán de referencia para comparar la evolución del proyecto. La validación conjunta con Alloxentric permanece pendiente de coordinación y respuesta de la empresa.</w:t>
            </w:r>
          </w:p>
        </w:tc>
      </w:tr>
    </w:tbl>
    <w:p w14:paraId="23A72E3B" w14:textId="77777777" w:rsidR="0003309E" w:rsidRPr="0003309E" w:rsidRDefault="0003309E">
      <w:pPr>
        <w:rPr>
          <w:lang w:val="es-ES"/>
        </w:rPr>
      </w:pPr>
    </w:p>
    <w:sectPr w:rsidR="0003309E" w:rsidRPr="0003309E">
      <w:headerReference w:type="default" r:id="rId10"/>
      <w:headerReference w:type="first" r:id="rId10"/>
      <w:pgSz w:w="11906" w:h="16838"/>
      <w:pgMar w:top="1417" w:right="1701" w:bottom="1417" w:left="1701" w:header="708" w:footer="708" w:gutter="0"/>
      <w:cols w:space="708"/>
      <w:docGrid w:linePitch="36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