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jc w:val="left"/>
        <w:rPr/>
      </w:pPr>
      <w:r w:rsidDel="00000000" w:rsidR="00000000" w:rsidRPr="00000000">
        <w:rPr/>
        <w:drawing>
          <wp:inline distB="0" distT="0" distL="114300" distR="114300">
            <wp:extent cx="1828800" cy="449580"/>
            <wp:effectExtent b="0" l="0" r="0" t="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28800" cy="44958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320" w:before="3400" w:line="240" w:lineRule="auto"/>
        <w:jc w:val="center"/>
        <w:rPr/>
      </w:pPr>
      <w:r w:rsidDel="00000000" w:rsidR="00000000" w:rsidRPr="00000000">
        <w:rPr>
          <w:rFonts w:ascii="Arial" w:cs="Arial" w:eastAsia="Arial" w:hAnsi="Arial"/>
          <w:b w:val="1"/>
          <w:bCs w:val="1"/>
          <w:color w:val="000000"/>
          <w:sz w:val="46"/>
          <w:szCs w:val="46"/>
          <w:rtl w:val="0"/>
        </w:rPr>
        <w:t xml:space="preserve">Diagrama de casos de usos</w:t>
      </w:r>
      <w:r w:rsidDel="00000000" w:rsidR="00000000" w:rsidRPr="00000000">
        <w:rPr>
          <w:rtl w:val="0"/>
        </w:rPr>
      </w:r>
    </w:p>
    <w:p w:rsidR="00000000" w:rsidDel="00000000" w:rsidP="00000000" w:rsidRDefault="00000000" w:rsidRPr="00000000" w14:paraId="00000003">
      <w:pPr>
        <w:spacing w:after="140" w:before="0" w:line="240" w:lineRule="auto"/>
        <w:jc w:val="center"/>
        <w:rPr/>
      </w:pPr>
      <w:r w:rsidDel="00000000" w:rsidR="00000000" w:rsidRPr="00000000">
        <w:rPr>
          <w:rFonts w:ascii="Arial" w:cs="Arial" w:eastAsia="Arial" w:hAnsi="Arial"/>
          <w:b w:val="0"/>
          <w:bCs w:val="0"/>
          <w:color w:val="000000"/>
          <w:sz w:val="34"/>
          <w:szCs w:val="34"/>
          <w:rtl w:val="0"/>
        </w:rPr>
        <w:t xml:space="preserve">Aprueba Administración</w:t>
      </w:r>
      <w:r w:rsidDel="00000000" w:rsidR="00000000" w:rsidRPr="00000000">
        <w:rPr>
          <w:rtl w:val="0"/>
        </w:rPr>
      </w:r>
    </w:p>
    <w:p w:rsidR="00000000" w:rsidDel="00000000" w:rsidP="00000000" w:rsidRDefault="00000000" w:rsidRPr="00000000" w14:paraId="00000004">
      <w:pPr>
        <w:spacing w:after="2900" w:before="0" w:line="240" w:lineRule="auto"/>
        <w:jc w:val="center"/>
        <w:rPr/>
      </w:pPr>
      <w:r w:rsidDel="00000000" w:rsidR="00000000" w:rsidRPr="00000000">
        <w:rPr>
          <w:rFonts w:ascii="Arial" w:cs="Arial" w:eastAsia="Arial" w:hAnsi="Arial"/>
          <w:b w:val="0"/>
          <w:bCs w:val="0"/>
          <w:color w:val="000000"/>
          <w:sz w:val="28"/>
          <w:szCs w:val="28"/>
          <w:rtl w:val="0"/>
        </w:rPr>
        <w:t xml:space="preserve">Módulo de pago y suscripción</w:t>
      </w:r>
      <w:r w:rsidDel="00000000" w:rsidR="00000000" w:rsidRPr="00000000">
        <w:rPr>
          <w:rtl w:val="0"/>
        </w:rPr>
      </w:r>
    </w:p>
    <w:p w:rsidR="00000000" w:rsidDel="00000000" w:rsidP="00000000" w:rsidRDefault="00000000" w:rsidRPr="00000000" w14:paraId="00000005">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6">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7">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8">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9">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A">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B">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C">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D">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E">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0F">
      <w:pPr>
        <w:spacing w:after="160" w:before="0" w:line="240" w:lineRule="auto"/>
        <w:jc w:val="left"/>
        <w:rPr>
          <w:sz w:val="20"/>
          <w:szCs w:val="20"/>
        </w:rPr>
      </w:pPr>
      <w:r w:rsidDel="00000000" w:rsidR="00000000" w:rsidRPr="00000000">
        <w:rPr>
          <w:rtl w:val="0"/>
        </w:rPr>
      </w:r>
    </w:p>
    <w:p w:rsidR="00000000" w:rsidDel="00000000" w:rsidP="00000000" w:rsidRDefault="00000000" w:rsidRPr="00000000" w14:paraId="00000010">
      <w:pPr>
        <w:spacing w:after="160" w:before="0" w:line="240" w:lineRule="auto"/>
        <w:jc w:val="left"/>
        <w:rPr/>
      </w:pPr>
      <w:r w:rsidDel="00000000" w:rsidR="00000000" w:rsidRPr="00000000">
        <w:rPr>
          <w:rFonts w:ascii="Arial" w:cs="Arial" w:eastAsia="Arial" w:hAnsi="Arial"/>
          <w:b w:val="0"/>
          <w:bCs w:val="0"/>
          <w:color w:val="000000"/>
          <w:sz w:val="20"/>
          <w:szCs w:val="20"/>
          <w:rtl w:val="0"/>
        </w:rPr>
        <w:t xml:space="preserve">Integrantes: Sebastián Araya, César Garrido y Thiare Gómez</w:t>
      </w:r>
      <w:r w:rsidDel="00000000" w:rsidR="00000000" w:rsidRPr="00000000">
        <w:rPr>
          <w:rtl w:val="0"/>
        </w:rPr>
      </w:r>
    </w:p>
    <w:p w:rsidR="00000000" w:rsidDel="00000000" w:rsidP="00000000" w:rsidRDefault="00000000" w:rsidRPr="00000000" w14:paraId="00000011">
      <w:pPr>
        <w:spacing w:after="160" w:before="0" w:line="240" w:lineRule="auto"/>
        <w:jc w:val="left"/>
        <w:rPr/>
      </w:pPr>
      <w:r w:rsidDel="00000000" w:rsidR="00000000" w:rsidRPr="00000000">
        <w:rPr>
          <w:rFonts w:ascii="Arial" w:cs="Arial" w:eastAsia="Arial" w:hAnsi="Arial"/>
          <w:b w:val="0"/>
          <w:bCs w:val="0"/>
          <w:color w:val="000000"/>
          <w:sz w:val="20"/>
          <w:szCs w:val="20"/>
          <w:rtl w:val="0"/>
        </w:rPr>
        <w:t xml:space="preserve">Asignatura: Capstone PTY4614 · Sección 004D</w:t>
      </w:r>
      <w:r w:rsidDel="00000000" w:rsidR="00000000" w:rsidRPr="00000000">
        <w:rPr>
          <w:rtl w:val="0"/>
        </w:rPr>
      </w:r>
    </w:p>
    <w:p w:rsidR="00000000" w:rsidDel="00000000" w:rsidP="00000000" w:rsidRDefault="00000000" w:rsidRPr="00000000" w14:paraId="00000012">
      <w:pPr>
        <w:spacing w:after="160" w:before="0" w:line="240" w:lineRule="auto"/>
        <w:jc w:val="left"/>
        <w:rPr/>
      </w:pPr>
      <w:r w:rsidDel="00000000" w:rsidR="00000000" w:rsidRPr="00000000">
        <w:rPr>
          <w:rFonts w:ascii="Arial" w:cs="Arial" w:eastAsia="Arial" w:hAnsi="Arial"/>
          <w:b w:val="0"/>
          <w:bCs w:val="0"/>
          <w:color w:val="000000"/>
          <w:sz w:val="20"/>
          <w:szCs w:val="20"/>
          <w:rtl w:val="0"/>
        </w:rPr>
        <w:t xml:space="preserve">Institución: Duoc UC</w:t>
      </w:r>
      <w:r w:rsidDel="00000000" w:rsidR="00000000" w:rsidRPr="00000000">
        <w:rPr>
          <w:rtl w:val="0"/>
        </w:rPr>
      </w:r>
    </w:p>
    <w:p w:rsidR="00000000" w:rsidDel="00000000" w:rsidP="00000000" w:rsidRDefault="00000000" w:rsidRPr="00000000" w14:paraId="00000013">
      <w:pPr>
        <w:spacing w:after="0" w:before="0" w:line="240" w:lineRule="auto"/>
        <w:jc w:val="left"/>
        <w:rPr>
          <w:b w:val="1"/>
          <w:bCs w:val="1"/>
          <w:color w:val="000000"/>
        </w:rPr>
      </w:pPr>
      <w:r w:rsidDel="00000000" w:rsidR="00000000" w:rsidRPr="00000000">
        <w:rPr>
          <w:rFonts w:ascii="Arial" w:cs="Arial" w:eastAsia="Arial" w:hAnsi="Arial"/>
          <w:b w:val="0"/>
          <w:bCs w:val="0"/>
          <w:color w:val="000000"/>
          <w:sz w:val="20"/>
          <w:szCs w:val="20"/>
          <w:rtl w:val="0"/>
        </w:rPr>
        <w:t xml:space="preserve">Fecha de referencia: 30 de octubre de 2026</w:t>
      </w:r>
      <w:r w:rsidDel="00000000" w:rsidR="00000000" w:rsidRPr="00000000">
        <w:rPr>
          <w:rtl w:val="0"/>
        </w:rPr>
      </w:r>
    </w:p>
    <w:p w:rsidR="00000000" w:rsidDel="00000000" w:rsidP="00000000" w:rsidRDefault="00000000" w:rsidRPr="00000000" w14:paraId="00000014">
      <w:pPr>
        <w:pStyle w:val="Heading1"/>
        <w:keepNext w:val="1"/>
        <w:spacing w:after="120" w:line="259" w:lineRule="auto"/>
        <w:rPr>
          <w:color w:val="000000"/>
        </w:rPr>
      </w:pPr>
      <w:r w:rsidDel="00000000" w:rsidR="00000000" w:rsidRPr="00000000">
        <w:rPr>
          <w:b w:val="1"/>
          <w:bCs w:val="1"/>
          <w:color w:val="000000"/>
          <w:rtl w:val="0"/>
        </w:rPr>
        <w:t xml:space="preserve">1 Introducción</w:t>
      </w:r>
      <w:r w:rsidDel="00000000" w:rsidR="00000000" w:rsidRPr="00000000">
        <w:rPr>
          <w:rtl w:val="0"/>
        </w:rPr>
      </w:r>
    </w:p>
    <w:p w:rsidR="00000000" w:rsidDel="00000000" w:rsidP="00000000" w:rsidRDefault="00000000" w:rsidRPr="00000000" w14:paraId="00000015">
      <w:pPr>
        <w:spacing w:after="120" w:line="259" w:lineRule="auto"/>
        <w:rPr>
          <w:color w:val="000000"/>
        </w:rPr>
      </w:pPr>
      <w:r w:rsidDel="00000000" w:rsidR="00000000" w:rsidRPr="00000000">
        <w:rPr>
          <w:color w:val="000000"/>
          <w:rtl w:val="0"/>
        </w:rPr>
        <w:t xml:space="preserve">Este documento presenta los diagramas de casos de uso del módulo de pagos y suscripciones de Aprueba. Los modelos identifican las funciones ofrecidas por el sistema, los actores externos que participan y las relaciones obligatorias o condicionales entre capacidades. Su propósito es convertir los requerimientos funcionales del documento IEEE 830 en una representación UML comprensible y trazable.</w:t>
      </w:r>
    </w:p>
    <w:p w:rsidR="00000000" w:rsidDel="00000000" w:rsidP="00000000" w:rsidRDefault="00000000" w:rsidRPr="00000000" w14:paraId="00000016">
      <w:pPr>
        <w:pStyle w:val="Heading1"/>
        <w:keepNext w:val="1"/>
        <w:spacing w:after="120" w:line="259" w:lineRule="auto"/>
        <w:rPr>
          <w:color w:val="000000"/>
        </w:rPr>
      </w:pPr>
      <w:r w:rsidDel="00000000" w:rsidR="00000000" w:rsidRPr="00000000">
        <w:rPr>
          <w:b w:val="1"/>
          <w:bCs w:val="1"/>
          <w:color w:val="000000"/>
          <w:rtl w:val="0"/>
        </w:rPr>
        <w:t xml:space="preserve">2 Objetivo y alcance</w:t>
      </w:r>
      <w:r w:rsidDel="00000000" w:rsidR="00000000" w:rsidRPr="00000000">
        <w:rPr>
          <w:rtl w:val="0"/>
        </w:rPr>
      </w:r>
    </w:p>
    <w:p w:rsidR="00000000" w:rsidDel="00000000" w:rsidP="00000000" w:rsidRDefault="00000000" w:rsidRPr="00000000" w14:paraId="00000017">
      <w:pPr>
        <w:spacing w:after="120" w:line="259" w:lineRule="auto"/>
        <w:rPr>
          <w:color w:val="000000"/>
        </w:rPr>
      </w:pPr>
      <w:r w:rsidDel="00000000" w:rsidR="00000000" w:rsidRPr="00000000">
        <w:rPr>
          <w:color w:val="000000"/>
          <w:rtl w:val="0"/>
        </w:rPr>
        <w:t xml:space="preserve">El objetivo es delimitar las interacciones necesarias para consultar planes, contratar y administrar una suscripción, procesar renovaciones y fallos, realizar funciones financieras y mantener el catálogo. Los diagramas describen comportamiento funcional; la secuencia temporal, las decisiones y los estados alternativos se documentan por separado mediante diagramas de actividad.</w:t>
      </w:r>
    </w:p>
    <w:p w:rsidR="00000000" w:rsidDel="00000000" w:rsidP="00000000" w:rsidRDefault="00000000" w:rsidRPr="00000000" w14:paraId="00000018">
      <w:pPr>
        <w:spacing w:after="120" w:line="259" w:lineRule="auto"/>
        <w:rPr>
          <w:color w:val="000000"/>
        </w:rPr>
      </w:pPr>
      <w:r w:rsidDel="00000000" w:rsidR="00000000" w:rsidRPr="00000000">
        <w:rPr>
          <w:rtl w:val="0"/>
        </w:rPr>
        <w:t xml:space="preserve">El modelo representa los requerimientos RF-01 a RF-24. El diagrama describe funciones del alcance modelado; su inclusión no acredita implementación. El estado de cada función se indica en la especificación de requisitos. El MVP se valida en Stripe en modo de pruebas, sin movimiento de dinero real.</w:t>
      </w:r>
      <w:r w:rsidDel="00000000" w:rsidR="00000000" w:rsidRPr="00000000">
        <w:rPr>
          <w:rtl w:val="0"/>
        </w:rPr>
      </w:r>
    </w:p>
    <w:p w:rsidR="00000000" w:rsidDel="00000000" w:rsidP="00000000" w:rsidRDefault="00000000" w:rsidRPr="00000000" w14:paraId="00000019">
      <w:pPr>
        <w:pStyle w:val="Heading1"/>
        <w:keepNext w:val="1"/>
        <w:spacing w:after="120" w:line="259" w:lineRule="auto"/>
        <w:rPr>
          <w:color w:val="000000"/>
        </w:rPr>
      </w:pPr>
      <w:r w:rsidDel="00000000" w:rsidR="00000000" w:rsidRPr="00000000">
        <w:rPr>
          <w:b w:val="1"/>
          <w:bCs w:val="1"/>
          <w:color w:val="000000"/>
          <w:rtl w:val="0"/>
        </w:rPr>
        <w:t xml:space="preserve">3 Criterios de modelado</w:t>
      </w:r>
      <w:r w:rsidDel="00000000" w:rsidR="00000000" w:rsidRPr="00000000">
        <w:rPr>
          <w:rtl w:val="0"/>
        </w:rPr>
      </w:r>
    </w:p>
    <w:tbl>
      <w:tblPr>
        <w:tblStyle w:val="Table1"/>
        <w:tblW w:w="9638.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4819"/>
        <w:gridCol w:w="4819"/>
        <w:tblGridChange w:id="0">
          <w:tblGrid>
            <w:gridCol w:w="4819"/>
            <w:gridCol w:w="4819"/>
          </w:tblGrid>
        </w:tblGridChange>
      </w:tblGrid>
      <w:tr>
        <w:trPr>
          <w:cantSplit w:val="0"/>
          <w:tblHeader w:val="1"/>
        </w:trPr>
        <w:tc>
          <w:tcPr>
            <w:shd w:fill="eeeeee" w:val="clear"/>
            <w:tcMar>
              <w:top w:w="80.0" w:type="dxa"/>
              <w:left w:w="90.0" w:type="dxa"/>
              <w:bottom w:w="80.0" w:type="dxa"/>
              <w:right w:w="90.0" w:type="dxa"/>
            </w:tcMar>
            <w:vAlign w:val="center"/>
          </w:tcPr>
          <w:p w:rsidR="00000000" w:rsidDel="00000000" w:rsidP="00000000" w:rsidRDefault="00000000" w:rsidRPr="00000000" w14:paraId="0000001A">
            <w:pPr>
              <w:keepNext w:val="1"/>
              <w:spacing w:after="60" w:line="246.99999999999994" w:lineRule="auto"/>
              <w:rPr>
                <w:color w:val="000000"/>
              </w:rPr>
            </w:pPr>
            <w:r w:rsidDel="00000000" w:rsidR="00000000" w:rsidRPr="00000000">
              <w:rPr>
                <w:rFonts w:ascii="Arial" w:cs="Arial" w:eastAsia="Arial" w:hAnsi="Arial"/>
                <w:b w:val="1"/>
                <w:bCs w:val="1"/>
                <w:color w:val="000000"/>
                <w:sz w:val="18"/>
                <w:szCs w:val="18"/>
                <w:rtl w:val="0"/>
              </w:rPr>
              <w:t xml:space="preserve">Elemento</w:t>
            </w:r>
            <w:r w:rsidDel="00000000" w:rsidR="00000000" w:rsidRPr="00000000">
              <w:rPr>
                <w:rtl w:val="0"/>
              </w:rPr>
            </w:r>
          </w:p>
        </w:tc>
        <w:tc>
          <w:tcPr>
            <w:shd w:fill="eeeeee" w:val="clear"/>
            <w:tcMar>
              <w:top w:w="80.0" w:type="dxa"/>
              <w:left w:w="90.0" w:type="dxa"/>
              <w:bottom w:w="80.0" w:type="dxa"/>
              <w:right w:w="90.0" w:type="dxa"/>
            </w:tcMar>
            <w:vAlign w:val="center"/>
          </w:tcPr>
          <w:p w:rsidR="00000000" w:rsidDel="00000000" w:rsidP="00000000" w:rsidRDefault="00000000" w:rsidRPr="00000000" w14:paraId="0000001B">
            <w:pPr>
              <w:keepNext w:val="1"/>
              <w:spacing w:after="60" w:line="246.99999999999994" w:lineRule="auto"/>
              <w:rPr>
                <w:color w:val="000000"/>
              </w:rPr>
            </w:pPr>
            <w:r w:rsidDel="00000000" w:rsidR="00000000" w:rsidRPr="00000000">
              <w:rPr>
                <w:rFonts w:ascii="Arial" w:cs="Arial" w:eastAsia="Arial" w:hAnsi="Arial"/>
                <w:b w:val="1"/>
                <w:bCs w:val="1"/>
                <w:color w:val="000000"/>
                <w:sz w:val="18"/>
                <w:szCs w:val="18"/>
                <w:rtl w:val="0"/>
              </w:rPr>
              <w:t xml:space="preserve">Uso en el documento</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1C">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Asociación</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1D">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Línea continua sin flecha. Indica que un actor participa en un caso de uso.</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1E">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«include»</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1F">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Flecha discontinua hacia una función que siempre forma parte del caso principal.</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20">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«extend»</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21">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Flecha discontinua desde una función condicional hacia el caso base que amplía.</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22">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RF-nn</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23">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Identificador que mantiene la trazabilidad con el documento de requerimientos.</w:t>
            </w:r>
            <w:r w:rsidDel="00000000" w:rsidR="00000000" w:rsidRPr="00000000">
              <w:rPr>
                <w:rtl w:val="0"/>
              </w:rPr>
            </w:r>
          </w:p>
        </w:tc>
      </w:tr>
    </w:tbl>
    <w:p w:rsidR="00000000" w:rsidDel="00000000" w:rsidP="00000000" w:rsidRDefault="00000000" w:rsidRPr="00000000" w14:paraId="00000024">
      <w:pPr>
        <w:pStyle w:val="Heading2"/>
        <w:keepNext w:val="1"/>
        <w:spacing w:after="120" w:line="259" w:lineRule="auto"/>
        <w:rPr>
          <w:color w:val="000000"/>
        </w:rPr>
      </w:pPr>
      <w:r w:rsidDel="00000000" w:rsidR="00000000" w:rsidRPr="00000000">
        <w:rPr>
          <w:b w:val="1"/>
          <w:bCs w:val="1"/>
          <w:color w:val="000000"/>
          <w:rtl w:val="0"/>
        </w:rPr>
        <w:t xml:space="preserve">3.1 Reglas de interpretación</w:t>
      </w:r>
      <w:r w:rsidDel="00000000" w:rsidR="00000000" w:rsidRPr="00000000">
        <w:rPr>
          <w:rtl w:val="0"/>
        </w:rPr>
      </w:r>
    </w:p>
    <w:p w:rsidR="00000000" w:rsidDel="00000000" w:rsidP="00000000" w:rsidRDefault="00000000" w:rsidRPr="00000000" w14:paraId="00000025">
      <w:pPr>
        <w:widowControl w:val="1"/>
        <w:numPr>
          <w:ilvl w:val="0"/>
          <w:numId w:val="1"/>
        </w:numPr>
        <w:spacing w:after="120" w:line="259" w:lineRule="auto"/>
        <w:ind w:left="360" w:hanging="360"/>
        <w:rPr>
          <w:color w:val="000000"/>
        </w:rPr>
      </w:pPr>
      <w:r w:rsidDel="00000000" w:rsidR="00000000" w:rsidRPr="00000000">
        <w:rPr>
          <w:b w:val="0"/>
          <w:bCs w:val="0"/>
          <w:i w:val="0"/>
          <w:iCs w:val="0"/>
          <w:smallCaps w:val="0"/>
          <w:strike w:val="0"/>
          <w:color w:val="000000"/>
          <w:u w:val="none"/>
          <w:vertAlign w:val="baseline"/>
          <w:rtl w:val="0"/>
        </w:rPr>
        <w:t xml:space="preserve">Los actores se ubican fuera del límite del módulo y los casos de uso dentro de él.</w:t>
      </w:r>
      <w:r w:rsidDel="00000000" w:rsidR="00000000" w:rsidRPr="00000000">
        <w:rPr>
          <w:rtl w:val="0"/>
        </w:rPr>
      </w:r>
    </w:p>
    <w:p w:rsidR="00000000" w:rsidDel="00000000" w:rsidP="00000000" w:rsidRDefault="00000000" w:rsidRPr="00000000" w14:paraId="00000026">
      <w:pPr>
        <w:widowControl w:val="1"/>
        <w:numPr>
          <w:ilvl w:val="0"/>
          <w:numId w:val="1"/>
        </w:numPr>
        <w:spacing w:after="120" w:line="259" w:lineRule="auto"/>
        <w:ind w:left="360" w:hanging="360"/>
        <w:rPr>
          <w:color w:val="000000"/>
        </w:rPr>
      </w:pPr>
      <w:r w:rsidDel="00000000" w:rsidR="00000000" w:rsidRPr="00000000">
        <w:rPr>
          <w:b w:val="0"/>
          <w:bCs w:val="0"/>
          <w:i w:val="0"/>
          <w:iCs w:val="0"/>
          <w:smallCaps w:val="0"/>
          <w:strike w:val="0"/>
          <w:color w:val="000000"/>
          <w:u w:val="none"/>
          <w:vertAlign w:val="baseline"/>
          <w:rtl w:val="0"/>
        </w:rPr>
        <w:t xml:space="preserve">Las asociaciones no representan orden, transferencia de datos ni dirección del flujo.</w:t>
      </w:r>
      <w:r w:rsidDel="00000000" w:rsidR="00000000" w:rsidRPr="00000000">
        <w:rPr>
          <w:rtl w:val="0"/>
        </w:rPr>
      </w:r>
    </w:p>
    <w:p w:rsidR="00000000" w:rsidDel="00000000" w:rsidP="00000000" w:rsidRDefault="00000000" w:rsidRPr="00000000" w14:paraId="00000027">
      <w:pPr>
        <w:widowControl w:val="1"/>
        <w:numPr>
          <w:ilvl w:val="0"/>
          <w:numId w:val="1"/>
        </w:numPr>
        <w:spacing w:after="120" w:line="259" w:lineRule="auto"/>
        <w:ind w:left="360" w:hanging="360"/>
        <w:rPr>
          <w:color w:val="000000"/>
        </w:rPr>
      </w:pPr>
      <w:r w:rsidDel="00000000" w:rsidR="00000000" w:rsidRPr="00000000">
        <w:rPr>
          <w:b w:val="0"/>
          <w:bCs w:val="0"/>
          <w:i w:val="0"/>
          <w:iCs w:val="0"/>
          <w:smallCaps w:val="0"/>
          <w:strike w:val="0"/>
          <w:color w:val="000000"/>
          <w:u w:val="none"/>
          <w:vertAlign w:val="baseline"/>
          <w:rtl w:val="0"/>
        </w:rPr>
        <w:t xml:space="preserve">Los componentes internos, como frontend, backend y Firestore, no se modelan como actores.</w:t>
      </w:r>
      <w:r w:rsidDel="00000000" w:rsidR="00000000" w:rsidRPr="00000000">
        <w:rPr>
          <w:rtl w:val="0"/>
        </w:rPr>
      </w:r>
    </w:p>
    <w:p w:rsidR="00000000" w:rsidDel="00000000" w:rsidP="00000000" w:rsidRDefault="00000000" w:rsidRPr="00000000" w14:paraId="00000028">
      <w:pPr>
        <w:widowControl w:val="1"/>
        <w:numPr>
          <w:ilvl w:val="0"/>
          <w:numId w:val="1"/>
        </w:numPr>
        <w:spacing w:after="120" w:line="259" w:lineRule="auto"/>
        <w:ind w:left="360" w:hanging="360"/>
        <w:rPr>
          <w:color w:val="000000"/>
        </w:rPr>
      </w:pPr>
      <w:r w:rsidDel="00000000" w:rsidR="00000000" w:rsidRPr="00000000">
        <w:rPr>
          <w:b w:val="0"/>
          <w:bCs w:val="0"/>
          <w:i w:val="0"/>
          <w:iCs w:val="0"/>
          <w:smallCaps w:val="0"/>
          <w:strike w:val="0"/>
          <w:color w:val="000000"/>
          <w:u w:val="none"/>
          <w:vertAlign w:val="baseline"/>
          <w:rtl w:val="0"/>
        </w:rPr>
        <w:t xml:space="preserve">Stripe y el servicio de notificaciones se modelan como sistemas externos.</w:t>
      </w:r>
      <w:r w:rsidDel="00000000" w:rsidR="00000000" w:rsidRPr="00000000">
        <w:rPr>
          <w:rtl w:val="0"/>
        </w:rPr>
      </w:r>
    </w:p>
    <w:p w:rsidR="00000000" w:rsidDel="00000000" w:rsidP="00000000" w:rsidRDefault="00000000" w:rsidRPr="00000000" w14:paraId="00000029">
      <w:pPr>
        <w:pStyle w:val="Heading2"/>
        <w:keepNext w:val="1"/>
        <w:spacing w:after="120" w:line="259" w:lineRule="auto"/>
        <w:rPr>
          <w:color w:val="000000"/>
        </w:rPr>
      </w:pPr>
      <w:r w:rsidDel="00000000" w:rsidR="00000000" w:rsidRPr="00000000">
        <w:rPr>
          <w:b w:val="1"/>
          <w:bCs w:val="1"/>
          <w:color w:val="000000"/>
          <w:rtl w:val="0"/>
        </w:rPr>
        <w:t xml:space="preserve">3.2 Actores</w:t>
      </w:r>
      <w:r w:rsidDel="00000000" w:rsidR="00000000" w:rsidRPr="00000000">
        <w:rPr>
          <w:rtl w:val="0"/>
        </w:rPr>
      </w:r>
    </w:p>
    <w:tbl>
      <w:tblPr>
        <w:tblStyle w:val="Table2"/>
        <w:tblW w:w="9639.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667"/>
        <w:gridCol w:w="3667"/>
        <w:gridCol w:w="2305"/>
        <w:tblGridChange w:id="0">
          <w:tblGrid>
            <w:gridCol w:w="3667"/>
            <w:gridCol w:w="3667"/>
            <w:gridCol w:w="2305"/>
          </w:tblGrid>
        </w:tblGridChange>
      </w:tblGrid>
      <w:tr>
        <w:trPr>
          <w:cantSplit w:val="0"/>
          <w:tblHeader w:val="1"/>
        </w:trPr>
        <w:tc>
          <w:tcPr>
            <w:shd w:fill="eeeeee" w:val="clear"/>
            <w:tcMar>
              <w:top w:w="80.0" w:type="dxa"/>
              <w:left w:w="90.0" w:type="dxa"/>
              <w:bottom w:w="80.0" w:type="dxa"/>
              <w:right w:w="90.0" w:type="dxa"/>
            </w:tcMar>
            <w:vAlign w:val="center"/>
          </w:tcPr>
          <w:p w:rsidR="00000000" w:rsidDel="00000000" w:rsidP="00000000" w:rsidRDefault="00000000" w:rsidRPr="00000000" w14:paraId="0000002A">
            <w:pPr>
              <w:keepNext w:val="1"/>
              <w:spacing w:after="60" w:line="246.99999999999994" w:lineRule="auto"/>
              <w:rPr>
                <w:color w:val="000000"/>
              </w:rPr>
            </w:pPr>
            <w:r w:rsidDel="00000000" w:rsidR="00000000" w:rsidRPr="00000000">
              <w:rPr>
                <w:rFonts w:ascii="Arial" w:cs="Arial" w:eastAsia="Arial" w:hAnsi="Arial"/>
                <w:b w:val="1"/>
                <w:bCs w:val="1"/>
                <w:color w:val="000000"/>
                <w:sz w:val="18"/>
                <w:szCs w:val="18"/>
                <w:rtl w:val="0"/>
              </w:rPr>
              <w:t xml:space="preserve">Actor</w:t>
            </w:r>
            <w:r w:rsidDel="00000000" w:rsidR="00000000" w:rsidRPr="00000000">
              <w:rPr>
                <w:rtl w:val="0"/>
              </w:rPr>
            </w:r>
          </w:p>
        </w:tc>
        <w:tc>
          <w:tcPr>
            <w:shd w:fill="eeeeee" w:val="clear"/>
            <w:tcMar>
              <w:top w:w="80.0" w:type="dxa"/>
              <w:left w:w="90.0" w:type="dxa"/>
              <w:bottom w:w="80.0" w:type="dxa"/>
              <w:right w:w="90.0" w:type="dxa"/>
            </w:tcMar>
            <w:vAlign w:val="center"/>
          </w:tcPr>
          <w:p w:rsidR="00000000" w:rsidDel="00000000" w:rsidP="00000000" w:rsidRDefault="00000000" w:rsidRPr="00000000" w14:paraId="0000002B">
            <w:pPr>
              <w:keepNext w:val="1"/>
              <w:spacing w:after="60" w:line="246.99999999999994" w:lineRule="auto"/>
              <w:rPr>
                <w:color w:val="000000"/>
              </w:rPr>
            </w:pPr>
            <w:r w:rsidDel="00000000" w:rsidR="00000000" w:rsidRPr="00000000">
              <w:rPr>
                <w:rFonts w:ascii="Arial" w:cs="Arial" w:eastAsia="Arial" w:hAnsi="Arial"/>
                <w:b w:val="1"/>
                <w:bCs w:val="1"/>
                <w:color w:val="000000"/>
                <w:sz w:val="18"/>
                <w:szCs w:val="18"/>
                <w:rtl w:val="0"/>
              </w:rPr>
              <w:t xml:space="preserve">Responsabilidad dentro del alcance</w:t>
            </w:r>
            <w:r w:rsidDel="00000000" w:rsidR="00000000" w:rsidRPr="00000000">
              <w:rPr>
                <w:rtl w:val="0"/>
              </w:rPr>
            </w:r>
          </w:p>
        </w:tc>
        <w:tc>
          <w:tcPr>
            <w:shd w:fill="eeeeee" w:val="clear"/>
            <w:tcMar>
              <w:top w:w="80.0" w:type="dxa"/>
              <w:left w:w="90.0" w:type="dxa"/>
              <w:bottom w:w="80.0" w:type="dxa"/>
              <w:right w:w="90.0" w:type="dxa"/>
            </w:tcMar>
            <w:vAlign w:val="center"/>
          </w:tcPr>
          <w:p w:rsidR="00000000" w:rsidDel="00000000" w:rsidP="00000000" w:rsidRDefault="00000000" w:rsidRPr="00000000" w14:paraId="0000002C">
            <w:pPr>
              <w:keepNext w:val="1"/>
              <w:spacing w:after="60" w:line="246.99999999999994" w:lineRule="auto"/>
              <w:rPr/>
            </w:pPr>
            <w:r w:rsidDel="00000000" w:rsidR="00000000" w:rsidRPr="00000000">
              <w:rPr>
                <w:rFonts w:ascii="Arial" w:cs="Arial" w:eastAsia="Arial" w:hAnsi="Arial"/>
                <w:b w:val="1"/>
                <w:bCs w:val="1"/>
                <w:color w:val="000000"/>
                <w:sz w:val="18"/>
                <w:szCs w:val="18"/>
                <w:rtl w:val="0"/>
              </w:rPr>
              <w:t xml:space="preserve">Situación en el MVP</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2D">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Estudiante</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2E">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Consulta planes, contrata, revisa pagos y administra su suscripción y su medio de pago.</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2F">
            <w:pPr>
              <w:keepNext w:val="0"/>
              <w:spacing w:after="60" w:line="246.99999999999994" w:lineRule="auto"/>
              <w:rPr/>
            </w:pPr>
            <w:r w:rsidDel="00000000" w:rsidR="00000000" w:rsidRPr="00000000">
              <w:rPr>
                <w:rFonts w:ascii="Arial" w:cs="Arial" w:eastAsia="Arial" w:hAnsi="Arial"/>
                <w:sz w:val="18"/>
                <w:szCs w:val="18"/>
                <w:rtl w:val="0"/>
              </w:rPr>
              <w:t xml:space="preserve">Sesión de estudiante y protección JWT observadas en código local; acceso efectivo por caso pendiente de comprobación actual.</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30">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Administrador de Finanzas</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1">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Consulta operaciones financieras y gestiona reembolsos, disputas y conciliación.</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2">
            <w:pPr>
              <w:keepNext w:val="0"/>
              <w:spacing w:after="60" w:line="246.99999999999994" w:lineRule="auto"/>
              <w:rPr/>
            </w:pPr>
            <w:r w:rsidDel="00000000" w:rsidR="00000000" w:rsidRPr="00000000">
              <w:rPr>
                <w:rFonts w:ascii="Arial" w:cs="Arial" w:eastAsia="Arial" w:hAnsi="Arial"/>
                <w:sz w:val="18"/>
                <w:szCs w:val="18"/>
                <w:rtl w:val="0"/>
              </w:rPr>
              <w:t xml:space="preserve">Rol finance reconocido por middleware y rutas de facturación locales, con acceso también de admin. No acredita todas las funciones del perfil financiero modelado.</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33">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Administrador de Operaciones</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4">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Investiga eventos fallidos o pendientes y solicita reprocesos autorizados.</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5">
            <w:pPr>
              <w:keepNext w:val="0"/>
              <w:spacing w:after="60" w:line="246.99999999999994" w:lineRule="auto"/>
              <w:rPr/>
            </w:pPr>
            <w:r w:rsidDel="00000000" w:rsidR="00000000" w:rsidRPr="00000000">
              <w:rPr>
                <w:rFonts w:ascii="Arial" w:cs="Arial" w:eastAsia="Arial" w:hAnsi="Arial"/>
                <w:sz w:val="18"/>
                <w:szCs w:val="18"/>
                <w:rtl w:val="0"/>
              </w:rPr>
              <w:t xml:space="preserve">Rol ops reconocido por middleware local. No se ha acreditado una interfaz de reproceso ni su ejecución.</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36">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Administrador General</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7">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Supervisa la información, mantiene el catálogo y controla funciones administrativas autorizadas.</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8">
            <w:pPr>
              <w:keepNext w:val="0"/>
              <w:spacing w:after="60" w:line="246.99999999999994" w:lineRule="auto"/>
              <w:rPr/>
            </w:pPr>
            <w:r w:rsidDel="00000000" w:rsidR="00000000" w:rsidRPr="00000000">
              <w:rPr>
                <w:rFonts w:ascii="Arial" w:cs="Arial" w:eastAsia="Arial" w:hAnsi="Arial"/>
                <w:sz w:val="18"/>
                <w:szCs w:val="18"/>
                <w:rtl w:val="0"/>
              </w:rPr>
              <w:t xml:space="preserve">Rol admin reconocido y autorizado por requireRole. Catálogo completo y MFA no se consideran probados.</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39">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Stripe</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A">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Procesa pagos y suscripciones, administra referencias externas y comunica eventos al backend de Aprueba.</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B">
            <w:pPr>
              <w:keepNext w:val="0"/>
              <w:spacing w:after="60" w:line="246.99999999999994" w:lineRule="auto"/>
              <w:rPr/>
            </w:pPr>
            <w:r w:rsidDel="00000000" w:rsidR="00000000" w:rsidRPr="00000000">
              <w:rPr>
                <w:rFonts w:ascii="Arial" w:cs="Arial" w:eastAsia="Arial" w:hAnsi="Arial"/>
                <w:sz w:val="18"/>
                <w:szCs w:val="18"/>
                <w:rtl w:val="0"/>
              </w:rPr>
              <w:t xml:space="preserve">Proveedor externo utilizado en los escenarios históricos de modo de pruebas. No se presenta como actor interno.</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3C">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Servicio de notificaciones</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D">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Entrega al estudiante los avisos generados por el módulo y devuelve el resultado del envío.</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3E">
            <w:pPr>
              <w:keepNext w:val="0"/>
              <w:spacing w:after="60" w:line="246.99999999999994" w:lineRule="auto"/>
              <w:rPr/>
            </w:pPr>
            <w:r w:rsidDel="00000000" w:rsidR="00000000" w:rsidRPr="00000000">
              <w:rPr>
                <w:rFonts w:ascii="Arial" w:cs="Arial" w:eastAsia="Arial" w:hAnsi="Arial"/>
                <w:sz w:val="18"/>
                <w:szCs w:val="18"/>
                <w:rtl w:val="0"/>
              </w:rPr>
              <w:t xml:space="preserve">Actor conceptual del diseño; canal, disparadores y entrega automática pendientes de verificación.</w:t>
            </w:r>
            <w:r w:rsidDel="00000000" w:rsidR="00000000" w:rsidRPr="00000000">
              <w:rPr>
                <w:rtl w:val="0"/>
              </w:rPr>
            </w:r>
          </w:p>
        </w:tc>
      </w:tr>
    </w:tbl>
    <w:p w:rsidR="00000000" w:rsidDel="00000000" w:rsidP="00000000" w:rsidRDefault="00000000" w:rsidRPr="00000000" w14:paraId="0000003F">
      <w:pPr>
        <w:pStyle w:val="Heading2"/>
        <w:keepNext w:val="1"/>
        <w:spacing w:after="120" w:line="259" w:lineRule="auto"/>
        <w:rPr>
          <w:color w:val="000000"/>
        </w:rPr>
      </w:pPr>
      <w:r w:rsidDel="00000000" w:rsidR="00000000" w:rsidRPr="00000000">
        <w:rPr>
          <w:b w:val="1"/>
          <w:bCs w:val="1"/>
          <w:color w:val="000000"/>
          <w:rtl w:val="0"/>
        </w:rPr>
        <w:t xml:space="preserve">3.3 Organización de los diagramas</w:t>
      </w:r>
      <w:r w:rsidDel="00000000" w:rsidR="00000000" w:rsidRPr="00000000">
        <w:rPr>
          <w:rtl w:val="0"/>
        </w:rPr>
      </w:r>
    </w:p>
    <w:p w:rsidR="00000000" w:rsidDel="00000000" w:rsidP="00000000" w:rsidRDefault="00000000" w:rsidRPr="00000000" w14:paraId="00000040">
      <w:pPr>
        <w:spacing w:after="120" w:line="259" w:lineRule="auto"/>
        <w:rPr>
          <w:color w:val="000000"/>
        </w:rPr>
      </w:pPr>
      <w:r w:rsidDel="00000000" w:rsidR="00000000" w:rsidRPr="00000000">
        <w:rPr>
          <w:color w:val="000000"/>
          <w:rtl w:val="0"/>
        </w:rPr>
        <w:t xml:space="preserve">Los casos se distribuyen en cinco vistas para conservar legibilidad sin perder cobertura. Un mismo requerimiento puede aparecer en más de un diagrama cuando funciona como capacidad compartida; en esos casos se identifica como reutilizado.</w:t>
      </w:r>
    </w:p>
    <w:p w:rsidR="00000000" w:rsidDel="00000000" w:rsidP="00000000" w:rsidRDefault="00000000" w:rsidRPr="00000000" w14:paraId="00000041">
      <w:pPr>
        <w:pStyle w:val="Heading1"/>
        <w:keepNext w:val="1"/>
        <w:spacing w:after="120" w:line="259" w:lineRule="auto"/>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1"/>
        <w:keepNext w:val="1"/>
        <w:spacing w:after="120" w:line="259" w:lineRule="auto"/>
        <w:rPr/>
      </w:pPr>
      <w:r w:rsidDel="00000000" w:rsidR="00000000" w:rsidRPr="00000000">
        <w:rPr>
          <w:rtl w:val="0"/>
        </w:rPr>
      </w:r>
    </w:p>
    <w:p w:rsidR="00000000" w:rsidDel="00000000" w:rsidP="00000000" w:rsidRDefault="00000000" w:rsidRPr="00000000" w14:paraId="00000045">
      <w:pPr>
        <w:pStyle w:val="Heading1"/>
        <w:keepNext w:val="1"/>
        <w:spacing w:after="120" w:line="259" w:lineRule="auto"/>
        <w:rPr/>
      </w:pPr>
      <w:r w:rsidDel="00000000" w:rsidR="00000000" w:rsidRPr="00000000">
        <w:rPr>
          <w:rtl w:val="0"/>
        </w:rPr>
      </w:r>
    </w:p>
    <w:p w:rsidR="00000000" w:rsidDel="00000000" w:rsidP="00000000" w:rsidRDefault="00000000" w:rsidRPr="00000000" w14:paraId="00000046">
      <w:pPr>
        <w:pStyle w:val="Heading1"/>
        <w:keepNext w:val="1"/>
        <w:spacing w:after="120" w:line="259" w:lineRule="auto"/>
        <w:rPr/>
      </w:pPr>
      <w:r w:rsidDel="00000000" w:rsidR="00000000" w:rsidRPr="00000000">
        <w:rPr>
          <w:rtl w:val="0"/>
        </w:rPr>
      </w:r>
    </w:p>
    <w:p w:rsidR="00000000" w:rsidDel="00000000" w:rsidP="00000000" w:rsidRDefault="00000000" w:rsidRPr="00000000" w14:paraId="00000047">
      <w:pPr>
        <w:pStyle w:val="Heading1"/>
        <w:keepNext w:val="1"/>
        <w:spacing w:after="120" w:line="259" w:lineRule="auto"/>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keepNext w:val="1"/>
        <w:spacing w:after="120" w:line="259" w:lineRule="auto"/>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1"/>
        <w:keepNext w:val="1"/>
        <w:spacing w:after="120" w:line="259" w:lineRule="auto"/>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1"/>
        <w:keepNext w:val="1"/>
        <w:spacing w:after="120" w:line="259" w:lineRule="auto"/>
        <w:rPr>
          <w:color w:val="000000"/>
        </w:rPr>
      </w:pPr>
      <w:r w:rsidDel="00000000" w:rsidR="00000000" w:rsidRPr="00000000">
        <w:rPr>
          <w:b w:val="1"/>
          <w:bCs w:val="1"/>
          <w:color w:val="000000"/>
          <w:rtl w:val="0"/>
        </w:rPr>
        <w:t xml:space="preserve">4 CU01 Contratación y activación</w:t>
      </w:r>
      <w:r w:rsidDel="00000000" w:rsidR="00000000" w:rsidRPr="00000000">
        <w:rPr>
          <w:rtl w:val="0"/>
        </w:rPr>
      </w:r>
    </w:p>
    <w:p w:rsidR="00000000" w:rsidDel="00000000" w:rsidP="00000000" w:rsidRDefault="00000000" w:rsidRPr="00000000" w14:paraId="0000004E">
      <w:pPr>
        <w:spacing w:after="120" w:line="259" w:lineRule="auto"/>
        <w:rPr>
          <w:color w:val="000000"/>
        </w:rPr>
      </w:pPr>
      <w:r w:rsidDel="00000000" w:rsidR="00000000" w:rsidRPr="00000000">
        <w:rPr>
          <w:rtl w:val="0"/>
        </w:rPr>
        <w:t xml:space="preserve">Representa consulta, configuración, contratación y confirmación de la suscripción. RF-05 incluye el control técnico del evento. RF-07 extiende RF-05 en el punto «aplicar resultado del pago», únicamente con pago confirmado por evento válido. Al aplicar el resultado financiero se registra la transacción RF-06; un webhook técnico no equivale por sí mismo a un cobro.</w:t>
      </w:r>
      <w:r w:rsidDel="00000000" w:rsidR="00000000" w:rsidRPr="00000000">
        <w:rPr>
          <w:rtl w:val="0"/>
        </w:rPr>
      </w:r>
    </w:p>
    <w:p w:rsidR="00000000" w:rsidDel="00000000" w:rsidP="00000000" w:rsidRDefault="00000000" w:rsidRPr="00000000" w14:paraId="0000004F">
      <w:pPr>
        <w:spacing w:after="120" w:line="259" w:lineRule="auto"/>
        <w:rPr>
          <w:color w:val="000000"/>
        </w:rPr>
      </w:pPr>
      <w:r w:rsidDel="00000000" w:rsidR="00000000" w:rsidRPr="00000000">
        <w:rPr>
          <w:color w:val="000000"/>
        </w:rPr>
        <w:drawing>
          <wp:inline distB="114300" distT="114300" distL="114300" distR="114300">
            <wp:extent cx="5852160" cy="4754880"/>
            <wp:effectExtent b="0" l="0" r="0" t="0"/>
            <wp:docPr descr="CU01 Contratación y activación. Modelo de diseño revisado, con RF y limitaciones." id="15" name="image5.png"/>
            <a:graphic>
              <a:graphicData uri="http://schemas.openxmlformats.org/drawingml/2006/picture">
                <pic:pic>
                  <pic:nvPicPr>
                    <pic:cNvPr descr="CU01 Contratación y activación. Modelo de diseño revisado, con RF y limitaciones." id="0" name="image5.png"/>
                    <pic:cNvPicPr preferRelativeResize="0"/>
                  </pic:nvPicPr>
                  <pic:blipFill>
                    <a:blip r:embed="rId8"/>
                    <a:srcRect b="0" l="0" r="0" t="0"/>
                    <a:stretch>
                      <a:fillRect/>
                    </a:stretch>
                  </pic:blipFill>
                  <pic:spPr>
                    <a:xfrm>
                      <a:off x="0" y="0"/>
                      <a:ext cx="5852160" cy="475488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120" w:line="259" w:lineRule="auto"/>
        <w:rPr>
          <w:color w:val="000000"/>
        </w:rPr>
      </w:pPr>
      <w:r w:rsidDel="00000000" w:rsidR="00000000" w:rsidRPr="00000000">
        <w:rPr>
          <w:rtl w:val="0"/>
        </w:rPr>
        <w:t xml:space="preserve">Figura 1. CU01 Contratación y activación. Estado de alcance según requisitos.</w:t>
      </w:r>
      <w:r w:rsidDel="00000000" w:rsidR="00000000" w:rsidRPr="00000000">
        <w:rPr>
          <w:rtl w:val="0"/>
        </w:rPr>
      </w:r>
    </w:p>
    <w:p w:rsidR="00000000" w:rsidDel="00000000" w:rsidP="00000000" w:rsidRDefault="00000000" w:rsidRPr="00000000" w14:paraId="00000051">
      <w:pPr>
        <w:pStyle w:val="Heading1"/>
        <w:keepNext w:val="1"/>
        <w:spacing w:after="120" w:line="259" w:lineRule="auto"/>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pStyle w:val="Heading1"/>
        <w:keepNext w:val="1"/>
        <w:spacing w:after="120" w:line="259" w:lineRule="auto"/>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1"/>
        <w:keepNext w:val="1"/>
        <w:spacing w:after="120" w:line="259" w:lineRule="auto"/>
        <w:rPr/>
      </w:pPr>
      <w:r w:rsidDel="00000000" w:rsidR="00000000" w:rsidRPr="00000000">
        <w:rPr>
          <w:rtl w:val="0"/>
        </w:rPr>
      </w:r>
    </w:p>
    <w:p w:rsidR="00000000" w:rsidDel="00000000" w:rsidP="00000000" w:rsidRDefault="00000000" w:rsidRPr="00000000" w14:paraId="00000057">
      <w:pPr>
        <w:pStyle w:val="Heading1"/>
        <w:keepNext w:val="1"/>
        <w:spacing w:after="120" w:line="259" w:lineRule="auto"/>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1"/>
        <w:keepNext w:val="1"/>
        <w:spacing w:after="120" w:line="259" w:lineRule="auto"/>
        <w:rPr>
          <w:color w:val="000000"/>
        </w:rPr>
      </w:pPr>
      <w:r w:rsidDel="00000000" w:rsidR="00000000" w:rsidRPr="00000000">
        <w:rPr>
          <w:b w:val="1"/>
          <w:bCs w:val="1"/>
          <w:color w:val="000000"/>
          <w:rtl w:val="0"/>
        </w:rPr>
        <w:t xml:space="preserve">5 CU02 Autogestión de la suscripción</w:t>
      </w:r>
      <w:r w:rsidDel="00000000" w:rsidR="00000000" w:rsidRPr="00000000">
        <w:rPr>
          <w:rtl w:val="0"/>
        </w:rPr>
      </w:r>
    </w:p>
    <w:p w:rsidR="00000000" w:rsidDel="00000000" w:rsidP="00000000" w:rsidRDefault="00000000" w:rsidRPr="00000000" w14:paraId="0000005A">
      <w:pPr>
        <w:spacing w:after="120" w:line="259" w:lineRule="auto"/>
        <w:rPr>
          <w:color w:val="000000"/>
        </w:rPr>
      </w:pPr>
      <w:r w:rsidDel="00000000" w:rsidR="00000000" w:rsidRPr="00000000">
        <w:rPr>
          <w:rtl w:val="0"/>
        </w:rPr>
        <w:t xml:space="preserve">Agrupa objetivos independientes del estudiante autenticado. El MVP documentado utiliza Stripe Customer Portal para gestionar suscripción y medio de pago; Mi plan se consulta en Aprueba; el historial propio de facturas observado en este recorrido se consulta en Stripe Customer Portal. Esto no acredita el historial interno previsto para el estudiante. La cancelación programada y la reactivación de la cuenta C se observaron el 28-10-2026; el informe conserva sus evidencias. Esto no acredita todos los cambios posibles. El contraste de interfaz de Fase 2 indica que cambiar la prueba elegida de una suscripción existente no está disponible en esa versión.</w:t>
      </w:r>
      <w:r w:rsidDel="00000000" w:rsidR="00000000" w:rsidRPr="00000000">
        <w:rPr>
          <w:rtl w:val="0"/>
        </w:rPr>
      </w:r>
    </w:p>
    <w:p w:rsidR="00000000" w:rsidDel="00000000" w:rsidP="00000000" w:rsidRDefault="00000000" w:rsidRPr="00000000" w14:paraId="0000005B">
      <w:pPr>
        <w:spacing w:after="120" w:line="259" w:lineRule="auto"/>
        <w:rPr>
          <w:color w:val="000000"/>
        </w:rPr>
      </w:pPr>
      <w:r w:rsidDel="00000000" w:rsidR="00000000" w:rsidRPr="00000000">
        <w:rPr>
          <w:color w:val="000000"/>
        </w:rPr>
        <w:drawing>
          <wp:inline distB="114300" distT="114300" distL="114300" distR="114300">
            <wp:extent cx="5852160" cy="4023360"/>
            <wp:effectExtent b="0" l="0" r="0" t="0"/>
            <wp:docPr descr="CU02 Autogestión de la suscripción. Modelo de diseño revisado, con RF y limitaciones." id="14" name="image4.png"/>
            <a:graphic>
              <a:graphicData uri="http://schemas.openxmlformats.org/drawingml/2006/picture">
                <pic:pic>
                  <pic:nvPicPr>
                    <pic:cNvPr descr="CU02 Autogestión de la suscripción. Modelo de diseño revisado, con RF y limitaciones." id="0" name="image4.png"/>
                    <pic:cNvPicPr preferRelativeResize="0"/>
                  </pic:nvPicPr>
                  <pic:blipFill>
                    <a:blip r:embed="rId9"/>
                    <a:srcRect b="0" l="0" r="0" t="0"/>
                    <a:stretch>
                      <a:fillRect/>
                    </a:stretch>
                  </pic:blipFill>
                  <pic:spPr>
                    <a:xfrm>
                      <a:off x="0" y="0"/>
                      <a:ext cx="5852160" cy="402336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120" w:line="259" w:lineRule="auto"/>
        <w:rPr>
          <w:color w:val="000000"/>
        </w:rPr>
      </w:pPr>
      <w:r w:rsidDel="00000000" w:rsidR="00000000" w:rsidRPr="00000000">
        <w:rPr>
          <w:rtl w:val="0"/>
        </w:rPr>
        <w:t xml:space="preserve">Figura 2. CU02. Estado de alcance según requisitos.</w:t>
      </w:r>
      <w:r w:rsidDel="00000000" w:rsidR="00000000" w:rsidRPr="00000000">
        <w:rPr>
          <w:rtl w:val="0"/>
        </w:rPr>
      </w:r>
    </w:p>
    <w:p w:rsidR="00000000" w:rsidDel="00000000" w:rsidP="00000000" w:rsidRDefault="00000000" w:rsidRPr="00000000" w14:paraId="0000005D">
      <w:pPr>
        <w:pStyle w:val="Heading1"/>
        <w:keepNext w:val="1"/>
        <w:spacing w:after="120" w:line="259" w:lineRule="auto"/>
        <w:rPr/>
      </w:pPr>
      <w:r w:rsidDel="00000000" w:rsidR="00000000" w:rsidRPr="00000000">
        <w:rPr>
          <w:rtl w:val="0"/>
        </w:rPr>
      </w:r>
    </w:p>
    <w:p w:rsidR="00000000" w:rsidDel="00000000" w:rsidP="00000000" w:rsidRDefault="00000000" w:rsidRPr="00000000" w14:paraId="0000005E">
      <w:pPr>
        <w:pStyle w:val="Heading1"/>
        <w:keepNext w:val="1"/>
        <w:spacing w:after="120" w:line="259" w:lineRule="auto"/>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1"/>
        <w:keepNext w:val="1"/>
        <w:spacing w:after="120" w:line="259" w:lineRule="auto"/>
        <w:rPr/>
      </w:pPr>
      <w:r w:rsidDel="00000000" w:rsidR="00000000" w:rsidRPr="00000000">
        <w:rPr>
          <w:rtl w:val="0"/>
        </w:rPr>
      </w:r>
    </w:p>
    <w:p w:rsidR="00000000" w:rsidDel="00000000" w:rsidP="00000000" w:rsidRDefault="00000000" w:rsidRPr="00000000" w14:paraId="00000061">
      <w:pPr>
        <w:pStyle w:val="Heading1"/>
        <w:keepNext w:val="1"/>
        <w:spacing w:after="120" w:line="259" w:lineRule="auto"/>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keepNext w:val="1"/>
        <w:spacing w:after="120" w:line="259" w:lineRule="auto"/>
        <w:rPr>
          <w:color w:val="000000"/>
        </w:rPr>
      </w:pPr>
      <w:r w:rsidDel="00000000" w:rsidR="00000000" w:rsidRPr="00000000">
        <w:rPr>
          <w:b w:val="1"/>
          <w:bCs w:val="1"/>
          <w:color w:val="000000"/>
          <w:rtl w:val="0"/>
        </w:rPr>
        <w:t xml:space="preserve">6 CU03 Renovaciones y cobros fallidos</w:t>
      </w:r>
      <w:r w:rsidDel="00000000" w:rsidR="00000000" w:rsidRPr="00000000">
        <w:rPr>
          <w:rtl w:val="0"/>
        </w:rPr>
      </w:r>
    </w:p>
    <w:p w:rsidR="00000000" w:rsidDel="00000000" w:rsidP="00000000" w:rsidRDefault="00000000" w:rsidRPr="00000000" w14:paraId="00000067">
      <w:pPr>
        <w:spacing w:after="120" w:line="259" w:lineRule="auto"/>
        <w:rPr>
          <w:color w:val="000000"/>
        </w:rPr>
      </w:pPr>
      <w:r w:rsidDel="00000000" w:rsidR="00000000" w:rsidRPr="00000000">
        <w:rPr>
          <w:rtl w:val="0"/>
        </w:rPr>
        <w:t xml:space="preserve">Modela los procesos originados por eventos de Stripe. Renovación y cobro fallido incluyen registrar el resultado financiero aplicable. RF-15 extiende ambos en el punto «resultado confirmado» cuando el aviso y su canal estén configurados. RF-16 extiende RF-14 en el punto «resolver vigencia del acceso», según fin del periodo pagado y política acordada. No se suponen días de gracia ni cantidad de reintentos. Estas funciones mantienen cobertura de prueba pendiente.</w:t>
      </w:r>
      <w:r w:rsidDel="00000000" w:rsidR="00000000" w:rsidRPr="00000000">
        <w:rPr>
          <w:rtl w:val="0"/>
        </w:rPr>
      </w:r>
    </w:p>
    <w:p w:rsidR="00000000" w:rsidDel="00000000" w:rsidP="00000000" w:rsidRDefault="00000000" w:rsidRPr="00000000" w14:paraId="00000068">
      <w:pPr>
        <w:spacing w:after="120" w:line="259" w:lineRule="auto"/>
        <w:rPr>
          <w:color w:val="000000"/>
        </w:rPr>
      </w:pPr>
      <w:r w:rsidDel="00000000" w:rsidR="00000000" w:rsidRPr="00000000">
        <w:rPr>
          <w:color w:val="000000"/>
        </w:rPr>
        <w:drawing>
          <wp:inline distB="114300" distT="114300" distL="114300" distR="114300">
            <wp:extent cx="5852160" cy="4023360"/>
            <wp:effectExtent b="0" l="0" r="0" t="0"/>
            <wp:docPr descr="CU03 Renovaciones y casos fallidos. Modelo de diseño revisado, con RF y limitaciones." id="17" name="image6.png"/>
            <a:graphic>
              <a:graphicData uri="http://schemas.openxmlformats.org/drawingml/2006/picture">
                <pic:pic>
                  <pic:nvPicPr>
                    <pic:cNvPr descr="CU03 Renovaciones y casos fallidos. Modelo de diseño revisado, con RF y limitaciones." id="0" name="image6.png"/>
                    <pic:cNvPicPr preferRelativeResize="0"/>
                  </pic:nvPicPr>
                  <pic:blipFill>
                    <a:blip r:embed="rId10"/>
                    <a:srcRect b="0" l="0" r="0" t="0"/>
                    <a:stretch>
                      <a:fillRect/>
                    </a:stretch>
                  </pic:blipFill>
                  <pic:spPr>
                    <a:xfrm>
                      <a:off x="0" y="0"/>
                      <a:ext cx="5852160" cy="402336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120" w:line="259" w:lineRule="auto"/>
        <w:rPr>
          <w:color w:val="000000"/>
        </w:rPr>
      </w:pPr>
      <w:r w:rsidDel="00000000" w:rsidR="00000000" w:rsidRPr="00000000">
        <w:rPr>
          <w:rtl w:val="0"/>
        </w:rPr>
        <w:t xml:space="preserve">Figura 3. CU03. Estado de alcance según requisitos.</w:t>
      </w:r>
      <w:r w:rsidDel="00000000" w:rsidR="00000000" w:rsidRPr="00000000">
        <w:rPr>
          <w:rtl w:val="0"/>
        </w:rPr>
      </w:r>
    </w:p>
    <w:p w:rsidR="00000000" w:rsidDel="00000000" w:rsidP="00000000" w:rsidRDefault="00000000" w:rsidRPr="00000000" w14:paraId="0000006A">
      <w:pPr>
        <w:pStyle w:val="Heading1"/>
        <w:keepNext w:val="1"/>
        <w:spacing w:after="120" w:line="259" w:lineRule="auto"/>
        <w:rPr/>
      </w:pPr>
      <w:r w:rsidDel="00000000" w:rsidR="00000000" w:rsidRPr="00000000">
        <w:rPr>
          <w:rtl w:val="0"/>
        </w:rPr>
      </w:r>
    </w:p>
    <w:p w:rsidR="00000000" w:rsidDel="00000000" w:rsidP="00000000" w:rsidRDefault="00000000" w:rsidRPr="00000000" w14:paraId="0000006B">
      <w:pPr>
        <w:pStyle w:val="Heading1"/>
        <w:keepNext w:val="1"/>
        <w:spacing w:after="120" w:line="259" w:lineRule="auto"/>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1"/>
        <w:keepNext w:val="1"/>
        <w:spacing w:after="120" w:line="259" w:lineRule="auto"/>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1"/>
        <w:keepNext w:val="1"/>
        <w:spacing w:after="120" w:line="259" w:lineRule="auto"/>
        <w:rPr>
          <w:color w:val="000000"/>
        </w:rPr>
      </w:pPr>
      <w:r w:rsidDel="00000000" w:rsidR="00000000" w:rsidRPr="00000000">
        <w:rPr>
          <w:b w:val="1"/>
          <w:bCs w:val="1"/>
          <w:color w:val="000000"/>
          <w:rtl w:val="0"/>
        </w:rPr>
        <w:t xml:space="preserve">7 CU04 Administración financiera</w:t>
      </w:r>
      <w:r w:rsidDel="00000000" w:rsidR="00000000" w:rsidRPr="00000000">
        <w:rPr>
          <w:rtl w:val="0"/>
        </w:rPr>
      </w:r>
    </w:p>
    <w:p w:rsidR="00000000" w:rsidDel="00000000" w:rsidP="00000000" w:rsidRDefault="00000000" w:rsidRPr="00000000" w14:paraId="00000075">
      <w:pPr>
        <w:spacing w:after="120" w:line="259" w:lineRule="auto"/>
        <w:rPr>
          <w:color w:val="000000"/>
        </w:rPr>
      </w:pPr>
      <w:r w:rsidDel="00000000" w:rsidR="00000000" w:rsidRPr="00000000">
        <w:rPr>
          <w:rtl w:val="0"/>
        </w:rPr>
        <w:t xml:space="preserve">Presenta consulta, detalle y auditoría como objetivos independientes, sin una relación extend que represente navegación entre pantallas. Reembolso RF-18, disputa RF-19, conciliación RF-21 y exportación RF-22 permanecen como propuestas pendientes de decisión explícita de alcance. Una consulta o captura de facturación no acredita estas operaciones. Los requerimientos conservan su trazabilidad en el modelo.</w:t>
      </w:r>
      <w:r w:rsidDel="00000000" w:rsidR="00000000" w:rsidRPr="00000000">
        <w:rPr>
          <w:rtl w:val="0"/>
        </w:rPr>
      </w:r>
    </w:p>
    <w:p w:rsidR="00000000" w:rsidDel="00000000" w:rsidP="00000000" w:rsidRDefault="00000000" w:rsidRPr="00000000" w14:paraId="00000076">
      <w:pPr>
        <w:spacing w:after="120" w:line="259" w:lineRule="auto"/>
        <w:rPr>
          <w:color w:val="000000"/>
        </w:rPr>
      </w:pPr>
      <w:r w:rsidDel="00000000" w:rsidR="00000000" w:rsidRPr="00000000">
        <w:rPr>
          <w:color w:val="000000"/>
        </w:rPr>
        <w:drawing>
          <wp:inline distB="114300" distT="114300" distL="114300" distR="114300">
            <wp:extent cx="5852160" cy="4023360"/>
            <wp:effectExtent b="0" l="0" r="0" t="0"/>
            <wp:docPr descr="CU04 Administración financiera. Modelo de diseño revisado, con RF y limitaciones." id="16" name="image3.png"/>
            <a:graphic>
              <a:graphicData uri="http://schemas.openxmlformats.org/drawingml/2006/picture">
                <pic:pic>
                  <pic:nvPicPr>
                    <pic:cNvPr descr="CU04 Administración financiera. Modelo de diseño revisado, con RF y limitaciones." id="0" name="image3.png"/>
                    <pic:cNvPicPr preferRelativeResize="0"/>
                  </pic:nvPicPr>
                  <pic:blipFill>
                    <a:blip r:embed="rId11"/>
                    <a:srcRect b="0" l="0" r="0" t="0"/>
                    <a:stretch>
                      <a:fillRect/>
                    </a:stretch>
                  </pic:blipFill>
                  <pic:spPr>
                    <a:xfrm>
                      <a:off x="0" y="0"/>
                      <a:ext cx="5852160" cy="402336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120" w:line="259" w:lineRule="auto"/>
        <w:rPr>
          <w:color w:val="000000"/>
        </w:rPr>
      </w:pPr>
      <w:r w:rsidDel="00000000" w:rsidR="00000000" w:rsidRPr="00000000">
        <w:rPr>
          <w:rtl w:val="0"/>
        </w:rPr>
        <w:t xml:space="preserve">Figura 4. CU04. Estado de alcance según requisitos.</w:t>
      </w:r>
      <w:r w:rsidDel="00000000" w:rsidR="00000000" w:rsidRPr="00000000">
        <w:rPr>
          <w:rtl w:val="0"/>
        </w:rPr>
      </w:r>
    </w:p>
    <w:p w:rsidR="00000000" w:rsidDel="00000000" w:rsidP="00000000" w:rsidRDefault="00000000" w:rsidRPr="00000000" w14:paraId="00000078">
      <w:pPr>
        <w:pStyle w:val="Heading1"/>
        <w:keepNext w:val="1"/>
        <w:spacing w:after="120" w:line="259" w:lineRule="auto"/>
        <w:rPr/>
      </w:pPr>
      <w:r w:rsidDel="00000000" w:rsidR="00000000" w:rsidRPr="00000000">
        <w:rPr>
          <w:rtl w:val="0"/>
        </w:rPr>
      </w:r>
    </w:p>
    <w:p w:rsidR="00000000" w:rsidDel="00000000" w:rsidP="00000000" w:rsidRDefault="00000000" w:rsidRPr="00000000" w14:paraId="00000079">
      <w:pPr>
        <w:pStyle w:val="Heading1"/>
        <w:keepNext w:val="1"/>
        <w:spacing w:after="120" w:line="259" w:lineRule="auto"/>
        <w:rPr/>
      </w:pPr>
      <w:r w:rsidDel="00000000" w:rsidR="00000000" w:rsidRPr="00000000">
        <w:rPr>
          <w:rtl w:val="0"/>
        </w:rPr>
      </w:r>
    </w:p>
    <w:p w:rsidR="00000000" w:rsidDel="00000000" w:rsidP="00000000" w:rsidRDefault="00000000" w:rsidRPr="00000000" w14:paraId="0000007A">
      <w:pPr>
        <w:pStyle w:val="Heading1"/>
        <w:keepNext w:val="1"/>
        <w:spacing w:after="120" w:line="259" w:lineRule="auto"/>
        <w:rPr/>
      </w:pPr>
      <w:r w:rsidDel="00000000" w:rsidR="00000000" w:rsidRPr="00000000">
        <w:rPr>
          <w:rtl w:val="0"/>
        </w:rPr>
      </w:r>
    </w:p>
    <w:p w:rsidR="00000000" w:rsidDel="00000000" w:rsidP="00000000" w:rsidRDefault="00000000" w:rsidRPr="00000000" w14:paraId="0000007B">
      <w:pPr>
        <w:pStyle w:val="Heading1"/>
        <w:keepNext w:val="1"/>
        <w:spacing w:after="120" w:line="259" w:lineRule="auto"/>
        <w:rPr/>
      </w:pPr>
      <w:r w:rsidDel="00000000" w:rsidR="00000000" w:rsidRPr="00000000">
        <w:rPr>
          <w:rtl w:val="0"/>
        </w:rPr>
      </w:r>
    </w:p>
    <w:p w:rsidR="00000000" w:rsidDel="00000000" w:rsidP="00000000" w:rsidRDefault="00000000" w:rsidRPr="00000000" w14:paraId="0000007C">
      <w:pPr>
        <w:pStyle w:val="Heading1"/>
        <w:keepNext w:val="1"/>
        <w:spacing w:after="120" w:line="259" w:lineRule="auto"/>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1"/>
        <w:keepNext w:val="1"/>
        <w:spacing w:after="120" w:line="259" w:lineRule="auto"/>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1"/>
        <w:keepNext w:val="1"/>
        <w:spacing w:after="120" w:line="259" w:lineRule="auto"/>
        <w:rPr>
          <w:color w:val="000000"/>
        </w:rPr>
      </w:pPr>
      <w:r w:rsidDel="00000000" w:rsidR="00000000" w:rsidRPr="00000000">
        <w:rPr>
          <w:b w:val="1"/>
          <w:bCs w:val="1"/>
          <w:color w:val="000000"/>
          <w:rtl w:val="0"/>
        </w:rPr>
        <w:t xml:space="preserve">8 CU05 Operación técnica y catálogo</w:t>
      </w:r>
      <w:r w:rsidDel="00000000" w:rsidR="00000000" w:rsidRPr="00000000">
        <w:rPr>
          <w:rtl w:val="0"/>
        </w:rPr>
      </w:r>
    </w:p>
    <w:p w:rsidR="00000000" w:rsidDel="00000000" w:rsidP="00000000" w:rsidRDefault="00000000" w:rsidRPr="00000000" w14:paraId="00000083">
      <w:pPr>
        <w:spacing w:after="120" w:line="259" w:lineRule="auto"/>
        <w:rPr>
          <w:color w:val="000000"/>
        </w:rPr>
      </w:pPr>
      <w:r w:rsidDel="00000000" w:rsidR="00000000" w:rsidRPr="00000000">
        <w:rPr>
          <w:rtl w:val="0"/>
        </w:rPr>
        <w:t xml:space="preserve">Separa operación técnica y catálogo. RF-23 extiende RF-12 en «detalle de evento recuperable», con evento fallido o pendiente recuperable, permiso autorizado, control de idempotencia y registro de intentos. Tanto el detalle de evento como el reproceso son capacidades propuestas, no inferidas de la consulta de facturas. La edición y sincronización del catálogo RF-24 mantienen pendientes separados de implementación o validación según la versión observada.</w:t>
      </w:r>
      <w:r w:rsidDel="00000000" w:rsidR="00000000" w:rsidRPr="00000000">
        <w:rPr>
          <w:rtl w:val="0"/>
        </w:rPr>
      </w:r>
    </w:p>
    <w:p w:rsidR="00000000" w:rsidDel="00000000" w:rsidP="00000000" w:rsidRDefault="00000000" w:rsidRPr="00000000" w14:paraId="00000084">
      <w:pPr>
        <w:spacing w:after="120" w:line="259" w:lineRule="auto"/>
        <w:rPr>
          <w:color w:val="000000"/>
        </w:rPr>
      </w:pPr>
      <w:r w:rsidDel="00000000" w:rsidR="00000000" w:rsidRPr="00000000">
        <w:rPr>
          <w:color w:val="000000"/>
        </w:rPr>
        <w:drawing>
          <wp:inline distB="114300" distT="114300" distL="114300" distR="114300">
            <wp:extent cx="5852160" cy="4023360"/>
            <wp:effectExtent b="0" l="0" r="0" t="0"/>
            <wp:docPr descr="CU05 Operación técnica y catálogo. Modelo de diseño revisado, con RF y limitaciones." id="18" name="image2.png"/>
            <a:graphic>
              <a:graphicData uri="http://schemas.openxmlformats.org/drawingml/2006/picture">
                <pic:pic>
                  <pic:nvPicPr>
                    <pic:cNvPr descr="CU05 Operación técnica y catálogo. Modelo de diseño revisado, con RF y limitaciones." id="0" name="image2.png"/>
                    <pic:cNvPicPr preferRelativeResize="0"/>
                  </pic:nvPicPr>
                  <pic:blipFill>
                    <a:blip r:embed="rId12"/>
                    <a:srcRect b="0" l="0" r="0" t="0"/>
                    <a:stretch>
                      <a:fillRect/>
                    </a:stretch>
                  </pic:blipFill>
                  <pic:spPr>
                    <a:xfrm>
                      <a:off x="0" y="0"/>
                      <a:ext cx="5852160" cy="402336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120" w:line="259" w:lineRule="auto"/>
        <w:rPr>
          <w:color w:val="000000"/>
        </w:rPr>
      </w:pPr>
      <w:r w:rsidDel="00000000" w:rsidR="00000000" w:rsidRPr="00000000">
        <w:rPr>
          <w:rtl w:val="0"/>
        </w:rPr>
        <w:t xml:space="preserve">Figura 5. CU05. Estado de alcance según requisitos.</w:t>
      </w:r>
      <w:r w:rsidDel="00000000" w:rsidR="00000000" w:rsidRPr="00000000">
        <w:rPr>
          <w:rtl w:val="0"/>
        </w:rPr>
      </w:r>
    </w:p>
    <w:p w:rsidR="00000000" w:rsidDel="00000000" w:rsidP="00000000" w:rsidRDefault="00000000" w:rsidRPr="00000000" w14:paraId="00000086">
      <w:pPr>
        <w:pStyle w:val="Heading1"/>
        <w:keepNext w:val="1"/>
        <w:spacing w:after="120" w:line="259" w:lineRule="auto"/>
        <w:rPr>
          <w:color w:val="000000"/>
        </w:rPr>
      </w:pPr>
      <w:r w:rsidDel="00000000" w:rsidR="00000000" w:rsidRPr="00000000">
        <w:rPr>
          <w:b w:val="1"/>
          <w:bCs w:val="1"/>
          <w:color w:val="000000"/>
          <w:rtl w:val="0"/>
        </w:rPr>
        <w:t xml:space="preserve">9 Matriz de trazabilidad</w:t>
      </w:r>
      <w:r w:rsidDel="00000000" w:rsidR="00000000" w:rsidRPr="00000000">
        <w:rPr>
          <w:rtl w:val="0"/>
        </w:rPr>
      </w:r>
    </w:p>
    <w:p w:rsidR="00000000" w:rsidDel="00000000" w:rsidP="00000000" w:rsidRDefault="00000000" w:rsidRPr="00000000" w14:paraId="00000087">
      <w:pPr>
        <w:spacing w:after="120" w:line="259" w:lineRule="auto"/>
        <w:rPr>
          <w:color w:val="000000"/>
        </w:rPr>
      </w:pPr>
      <w:r w:rsidDel="00000000" w:rsidR="00000000" w:rsidRPr="00000000">
        <w:rPr>
          <w:color w:val="000000"/>
          <w:rtl w:val="0"/>
        </w:rPr>
        <w:t xml:space="preserve">La matriz relaciona cada diagrama con los requerimientos funcionales de la especificación IEEE 830. Los requerimientos reutilizados conservan el mismo identificador para evitar duplicar definiciones.</w:t>
      </w:r>
    </w:p>
    <w:tbl>
      <w:tblPr>
        <w:tblStyle w:val="Table3"/>
        <w:tblW w:w="9638.0" w:type="dxa"/>
        <w:jc w:val="center"/>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4819"/>
        <w:gridCol w:w="4819"/>
        <w:tblGridChange w:id="0">
          <w:tblGrid>
            <w:gridCol w:w="4819"/>
            <w:gridCol w:w="4819"/>
          </w:tblGrid>
        </w:tblGridChange>
      </w:tblGrid>
      <w:tr>
        <w:trPr>
          <w:cantSplit w:val="0"/>
          <w:tblHeader w:val="1"/>
        </w:trPr>
        <w:tc>
          <w:tcPr>
            <w:shd w:fill="eeeeee" w:val="clear"/>
            <w:tcMar>
              <w:top w:w="80.0" w:type="dxa"/>
              <w:left w:w="90.0" w:type="dxa"/>
              <w:bottom w:w="80.0" w:type="dxa"/>
              <w:right w:w="90.0" w:type="dxa"/>
            </w:tcMar>
            <w:vAlign w:val="center"/>
          </w:tcPr>
          <w:p w:rsidR="00000000" w:rsidDel="00000000" w:rsidP="00000000" w:rsidRDefault="00000000" w:rsidRPr="00000000" w14:paraId="00000088">
            <w:pPr>
              <w:keepNext w:val="1"/>
              <w:spacing w:after="60" w:line="246.99999999999994" w:lineRule="auto"/>
              <w:rPr>
                <w:color w:val="000000"/>
              </w:rPr>
            </w:pPr>
            <w:r w:rsidDel="00000000" w:rsidR="00000000" w:rsidRPr="00000000">
              <w:rPr>
                <w:rFonts w:ascii="Arial" w:cs="Arial" w:eastAsia="Arial" w:hAnsi="Arial"/>
                <w:b w:val="1"/>
                <w:bCs w:val="1"/>
                <w:color w:val="000000"/>
                <w:sz w:val="18"/>
                <w:szCs w:val="18"/>
                <w:rtl w:val="0"/>
              </w:rPr>
              <w:t xml:space="preserve">Diagrama</w:t>
            </w:r>
            <w:r w:rsidDel="00000000" w:rsidR="00000000" w:rsidRPr="00000000">
              <w:rPr>
                <w:rtl w:val="0"/>
              </w:rPr>
            </w:r>
          </w:p>
        </w:tc>
        <w:tc>
          <w:tcPr>
            <w:shd w:fill="eeeeee" w:val="clear"/>
            <w:tcMar>
              <w:top w:w="80.0" w:type="dxa"/>
              <w:left w:w="90.0" w:type="dxa"/>
              <w:bottom w:w="80.0" w:type="dxa"/>
              <w:right w:w="90.0" w:type="dxa"/>
            </w:tcMar>
            <w:vAlign w:val="center"/>
          </w:tcPr>
          <w:p w:rsidR="00000000" w:rsidDel="00000000" w:rsidP="00000000" w:rsidRDefault="00000000" w:rsidRPr="00000000" w14:paraId="00000089">
            <w:pPr>
              <w:keepNext w:val="1"/>
              <w:spacing w:after="60" w:line="246.99999999999994" w:lineRule="auto"/>
              <w:rPr/>
            </w:pPr>
            <w:r w:rsidDel="00000000" w:rsidR="00000000" w:rsidRPr="00000000">
              <w:rPr>
                <w:rFonts w:ascii="Arial" w:cs="Arial" w:eastAsia="Arial" w:hAnsi="Arial"/>
                <w:b w:val="1"/>
                <w:bCs w:val="1"/>
                <w:color w:val="000000"/>
                <w:sz w:val="18"/>
                <w:szCs w:val="18"/>
                <w:rtl w:val="0"/>
              </w:rPr>
              <w:t xml:space="preserve">Requerimientos representados en el diseño</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8A">
            <w:pPr>
              <w:keepNext w:val="0"/>
              <w:spacing w:after="60" w:line="246.99999999999994" w:lineRule="auto"/>
              <w:rPr/>
            </w:pPr>
            <w:r w:rsidDel="00000000" w:rsidR="00000000" w:rsidRPr="00000000">
              <w:rPr>
                <w:rFonts w:ascii="Arial" w:cs="Arial" w:eastAsia="Arial" w:hAnsi="Arial"/>
                <w:sz w:val="18"/>
                <w:szCs w:val="18"/>
                <w:rtl w:val="0"/>
              </w:rPr>
              <w:t xml:space="preserve">CU01 Contratación y activación</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8B">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RF-01, RF-02, RF-03, RF-04, RF-05, RF-06, RF-07 y RF-08</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8C">
            <w:pPr>
              <w:keepNext w:val="0"/>
              <w:spacing w:after="60" w:line="246.99999999999994" w:lineRule="auto"/>
              <w:rPr/>
            </w:pPr>
            <w:r w:rsidDel="00000000" w:rsidR="00000000" w:rsidRPr="00000000">
              <w:rPr>
                <w:rFonts w:ascii="Arial" w:cs="Arial" w:eastAsia="Arial" w:hAnsi="Arial"/>
                <w:sz w:val="18"/>
                <w:szCs w:val="18"/>
                <w:rtl w:val="0"/>
              </w:rPr>
              <w:t xml:space="preserve">CU02 Autogestión de la suscripción</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8D">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RF-09, RF-10, RF-17 y RF-20</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8E">
            <w:pPr>
              <w:keepNext w:val="0"/>
              <w:spacing w:after="60" w:line="246.99999999999994" w:lineRule="auto"/>
              <w:rPr/>
            </w:pPr>
            <w:r w:rsidDel="00000000" w:rsidR="00000000" w:rsidRPr="00000000">
              <w:rPr>
                <w:rFonts w:ascii="Arial" w:cs="Arial" w:eastAsia="Arial" w:hAnsi="Arial"/>
                <w:sz w:val="18"/>
                <w:szCs w:val="18"/>
                <w:rtl w:val="0"/>
              </w:rPr>
              <w:t xml:space="preserve">CU03 Renovaciones y cobros fallidos</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8F">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RF-13, RF-14, RF-15, RF-16 y reutilización de RF-06</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90">
            <w:pPr>
              <w:keepNext w:val="0"/>
              <w:spacing w:after="60" w:line="246.99999999999994" w:lineRule="auto"/>
              <w:rPr/>
            </w:pPr>
            <w:r w:rsidDel="00000000" w:rsidR="00000000" w:rsidRPr="00000000">
              <w:rPr>
                <w:rFonts w:ascii="Arial" w:cs="Arial" w:eastAsia="Arial" w:hAnsi="Arial"/>
                <w:sz w:val="18"/>
                <w:szCs w:val="18"/>
                <w:rtl w:val="0"/>
              </w:rPr>
              <w:t xml:space="preserve">CU04 Administración financiera</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91">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RF-11, RF-12, RF-18, RF-19, RF-21 y RF-22</w:t>
            </w:r>
            <w:r w:rsidDel="00000000" w:rsidR="00000000" w:rsidRPr="00000000">
              <w:rPr>
                <w:rtl w:val="0"/>
              </w:rPr>
            </w:r>
          </w:p>
        </w:tc>
      </w:tr>
      <w:tr>
        <w:trPr>
          <w:cantSplit w:val="0"/>
          <w:tblHeader w:val="0"/>
        </w:trPr>
        <w:tc>
          <w:tcPr>
            <w:shd w:fill="ffffff" w:val="clear"/>
            <w:tcMar>
              <w:top w:w="80.0" w:type="dxa"/>
              <w:left w:w="90.0" w:type="dxa"/>
              <w:bottom w:w="80.0" w:type="dxa"/>
              <w:right w:w="90.0" w:type="dxa"/>
            </w:tcMar>
            <w:vAlign w:val="center"/>
          </w:tcPr>
          <w:p w:rsidR="00000000" w:rsidDel="00000000" w:rsidP="00000000" w:rsidRDefault="00000000" w:rsidRPr="00000000" w14:paraId="00000092">
            <w:pPr>
              <w:keepNext w:val="0"/>
              <w:spacing w:after="60" w:line="246.99999999999994" w:lineRule="auto"/>
              <w:rPr/>
            </w:pPr>
            <w:r w:rsidDel="00000000" w:rsidR="00000000" w:rsidRPr="00000000">
              <w:rPr>
                <w:rFonts w:ascii="Arial" w:cs="Arial" w:eastAsia="Arial" w:hAnsi="Arial"/>
                <w:sz w:val="18"/>
                <w:szCs w:val="18"/>
                <w:rtl w:val="0"/>
              </w:rPr>
              <w:t xml:space="preserve">CU05 Operación técnica y catálogo</w:t>
            </w:r>
            <w:r w:rsidDel="00000000" w:rsidR="00000000" w:rsidRPr="00000000">
              <w:rPr>
                <w:rtl w:val="0"/>
              </w:rPr>
            </w:r>
          </w:p>
        </w:tc>
        <w:tc>
          <w:tcPr>
            <w:shd w:fill="ffffff" w:val="clear"/>
            <w:tcMar>
              <w:top w:w="80.0" w:type="dxa"/>
              <w:left w:w="90.0" w:type="dxa"/>
              <w:bottom w:w="80.0" w:type="dxa"/>
              <w:right w:w="90.0" w:type="dxa"/>
            </w:tcMar>
            <w:vAlign w:val="center"/>
          </w:tcPr>
          <w:p w:rsidR="00000000" w:rsidDel="00000000" w:rsidP="00000000" w:rsidRDefault="00000000" w:rsidRPr="00000000" w14:paraId="00000093">
            <w:pPr>
              <w:keepNext w:val="0"/>
              <w:spacing w:after="60" w:line="246.99999999999994" w:lineRule="auto"/>
              <w:rPr>
                <w:color w:val="000000"/>
              </w:rPr>
            </w:pPr>
            <w:r w:rsidDel="00000000" w:rsidR="00000000" w:rsidRPr="00000000">
              <w:rPr>
                <w:rFonts w:ascii="Arial" w:cs="Arial" w:eastAsia="Arial" w:hAnsi="Arial"/>
                <w:color w:val="000000"/>
                <w:sz w:val="18"/>
                <w:szCs w:val="18"/>
                <w:rtl w:val="0"/>
              </w:rPr>
              <w:t xml:space="preserve">RF-23, RF-24 y reutilización de RF-12</w:t>
            </w:r>
            <w:r w:rsidDel="00000000" w:rsidR="00000000" w:rsidRPr="00000000">
              <w:rPr>
                <w:rtl w:val="0"/>
              </w:rPr>
            </w:r>
          </w:p>
        </w:tc>
      </w:tr>
    </w:tbl>
    <w:p w:rsidR="00000000" w:rsidDel="00000000" w:rsidP="00000000" w:rsidRDefault="00000000" w:rsidRPr="00000000" w14:paraId="00000094">
      <w:pPr>
        <w:spacing w:after="120" w:line="259" w:lineRule="auto"/>
        <w:rPr>
          <w:color w:val="000000"/>
        </w:rPr>
      </w:pPr>
      <w:r w:rsidDel="00000000" w:rsidR="00000000" w:rsidRPr="00000000">
        <w:rPr>
          <w:rtl w:val="0"/>
        </w:rPr>
        <w:t xml:space="preserve">La cobertura de diseño comprende RF-01 a RF-24; no expresa cobertura de pruebas. RF-06 se reutiliza para resultados financieros de renovación y fallo. RF-12 se reutiliza como consulta de detalle de eventos prevista para el reproceso; su implementación completa no se considera acreditada.</w:t>
      </w:r>
      <w:r w:rsidDel="00000000" w:rsidR="00000000" w:rsidRPr="00000000">
        <w:rPr>
          <w:rtl w:val="0"/>
        </w:rPr>
      </w:r>
    </w:p>
    <w:p w:rsidR="00000000" w:rsidDel="00000000" w:rsidP="00000000" w:rsidRDefault="00000000" w:rsidRPr="00000000" w14:paraId="00000095">
      <w:pPr>
        <w:pStyle w:val="Heading1"/>
        <w:keepNext w:val="1"/>
        <w:spacing w:after="120" w:line="259" w:lineRule="auto"/>
        <w:rPr>
          <w:color w:val="000000"/>
        </w:rPr>
      </w:pPr>
      <w:r w:rsidDel="00000000" w:rsidR="00000000" w:rsidRPr="00000000">
        <w:rPr>
          <w:b w:val="1"/>
          <w:bCs w:val="1"/>
          <w:color w:val="000000"/>
          <w:rtl w:val="0"/>
        </w:rPr>
        <w:t xml:space="preserve">10 Conclusión</w:t>
      </w:r>
      <w:r w:rsidDel="00000000" w:rsidR="00000000" w:rsidRPr="00000000">
        <w:rPr>
          <w:rtl w:val="0"/>
        </w:rPr>
      </w:r>
    </w:p>
    <w:p w:rsidR="00000000" w:rsidDel="00000000" w:rsidP="00000000" w:rsidRDefault="00000000" w:rsidRPr="00000000" w14:paraId="00000096">
      <w:pPr>
        <w:spacing w:after="120" w:line="259" w:lineRule="auto"/>
        <w:rPr>
          <w:color w:val="000000"/>
        </w:rPr>
      </w:pPr>
      <w:r w:rsidDel="00000000" w:rsidR="00000000" w:rsidRPr="00000000">
        <w:rPr>
          <w:color w:val="000000"/>
          <w:rtl w:val="0"/>
        </w:rPr>
        <w:t xml:space="preserve">Los cinco diagramas relacionan RF-01 a RF-24 con sus actores y funciones. Sirven de referencia para los diagramas de actividad y las pruebas. Las funciones propuestas conservan el estado definido en la matriz de alcance.</w:t>
      </w:r>
    </w:p>
    <w:p w:rsidR="00000000" w:rsidDel="00000000" w:rsidP="00000000" w:rsidRDefault="00000000" w:rsidRPr="00000000" w14:paraId="00000097">
      <w:pPr>
        <w:pStyle w:val="Heading1"/>
        <w:keepNext w:val="1"/>
        <w:spacing w:after="120" w:line="259" w:lineRule="auto"/>
        <w:rPr>
          <w:color w:val="000000"/>
        </w:rPr>
      </w:pPr>
      <w:r w:rsidDel="00000000" w:rsidR="00000000" w:rsidRPr="00000000">
        <w:rPr>
          <w:b w:val="1"/>
          <w:bCs w:val="1"/>
          <w:color w:val="000000"/>
          <w:rtl w:val="0"/>
        </w:rPr>
        <w:t xml:space="preserve">11 Documentos relacionados</w:t>
      </w:r>
      <w:r w:rsidDel="00000000" w:rsidR="00000000" w:rsidRPr="00000000">
        <w:rPr>
          <w:rtl w:val="0"/>
        </w:rPr>
      </w:r>
    </w:p>
    <w:p w:rsidR="00000000" w:rsidDel="00000000" w:rsidP="00000000" w:rsidRDefault="00000000" w:rsidRPr="00000000" w14:paraId="00000098">
      <w:pPr>
        <w:spacing w:after="120" w:line="259" w:lineRule="auto"/>
        <w:rPr/>
      </w:pPr>
      <w:r w:rsidDel="00000000" w:rsidR="00000000" w:rsidRPr="00000000">
        <w:rPr>
          <w:rtl w:val="0"/>
        </w:rPr>
        <w:t xml:space="preserve">Documento de requerimientos IEEE 830 e historias de usuario.docx y Documento_de_vistas.docx.</w:t>
      </w:r>
    </w:p>
    <w:p w:rsidR="00000000" w:rsidDel="00000000" w:rsidP="00000000" w:rsidRDefault="00000000" w:rsidRPr="00000000" w14:paraId="00000099">
      <w:pPr>
        <w:spacing w:after="120" w:line="259" w:lineRule="auto"/>
        <w:rPr/>
      </w:pPr>
      <w:r w:rsidDel="00000000" w:rsidR="00000000" w:rsidRPr="00000000">
        <w:rPr>
          <w:rtl w:val="0"/>
        </w:rPr>
        <w:t xml:space="preserve">Documento_de_vistas.docx de Fase 2 y contraste de código local del 27-10-2026. Estudiante: backend/src/middleware/auth.js. Administración: backend/src/middleware/auth.js, src/index.js y src/routes/billing.js. Los permisos observados en código no equivalen a pruebas del despliegue.</w:t>
      </w:r>
    </w:p>
    <w:p w:rsidR="00000000" w:rsidDel="00000000" w:rsidP="00000000" w:rsidRDefault="00000000" w:rsidRPr="00000000" w14:paraId="0000009A">
      <w:pPr>
        <w:widowControl w:val="1"/>
        <w:numPr>
          <w:ilvl w:val="0"/>
          <w:numId w:val="1"/>
        </w:numPr>
        <w:spacing w:after="120" w:line="259" w:lineRule="auto"/>
        <w:ind w:left="360" w:hanging="360"/>
        <w:rPr>
          <w:color w:val="000000"/>
        </w:rPr>
      </w:pPr>
      <w:r w:rsidDel="00000000" w:rsidR="00000000" w:rsidRPr="00000000">
        <w:rPr>
          <w:rtl w:val="0"/>
        </w:rPr>
        <w:t xml:space="preserve">Documento de requerimientos IEEE 830 e historias de usuario, versión 1.0 y actualización del 29-10-2026. Las decisiones de alcance pendientes se identifican en su matriz.</w:t>
      </w:r>
      <w:r w:rsidDel="00000000" w:rsidR="00000000" w:rsidRPr="00000000">
        <w:rPr>
          <w:rtl w:val="0"/>
        </w:rPr>
      </w:r>
    </w:p>
    <w:p w:rsidR="00000000" w:rsidDel="00000000" w:rsidP="00000000" w:rsidRDefault="00000000" w:rsidRPr="00000000" w14:paraId="0000009B">
      <w:pPr>
        <w:widowControl w:val="1"/>
        <w:numPr>
          <w:ilvl w:val="0"/>
          <w:numId w:val="1"/>
        </w:numPr>
        <w:spacing w:after="120" w:line="259" w:lineRule="auto"/>
        <w:ind w:left="360" w:hanging="360"/>
        <w:rPr>
          <w:color w:val="000000"/>
        </w:rPr>
      </w:pPr>
      <w:r w:rsidDel="00000000" w:rsidR="00000000" w:rsidRPr="00000000">
        <w:rPr>
          <w:rtl w:val="0"/>
        </w:rPr>
        <w:t xml:space="preserve">Alloxentric: Aprueba_API_Backend.docx, Aprueba_Modelo_Datos_Firestore.docx y Aprueba_Plan_Tomo3_Admin.docx, versión 1.0, junio de 2026. Fuentes originales localizadas en Drive; no sustituyen la comprobación del comportamiento actual.</w:t>
      </w:r>
      <w:r w:rsidDel="00000000" w:rsidR="00000000" w:rsidRPr="00000000">
        <w:rPr>
          <w:rtl w:val="0"/>
        </w:rPr>
      </w:r>
    </w:p>
    <w:p w:rsidR="00000000" w:rsidDel="00000000" w:rsidP="00000000" w:rsidRDefault="00000000" w:rsidRPr="00000000" w14:paraId="0000009C">
      <w:pPr>
        <w:pStyle w:val="Heading1"/>
        <w:keepNext w:val="1"/>
        <w:spacing w:after="120" w:line="259" w:lineRule="auto"/>
        <w:rPr/>
      </w:pPr>
      <w:r w:rsidDel="00000000" w:rsidR="00000000" w:rsidRPr="00000000">
        <w:rPr>
          <w:rtl w:val="0"/>
        </w:rPr>
        <w:t xml:space="preserve">Contraste con la evidencia disponible</w:t>
      </w:r>
    </w:p>
    <w:p w:rsidR="00000000" w:rsidDel="00000000" w:rsidP="00000000" w:rsidRDefault="00000000" w:rsidRPr="00000000" w14:paraId="0000009D">
      <w:pPr>
        <w:spacing w:after="120" w:line="259" w:lineRule="auto"/>
        <w:rPr/>
      </w:pPr>
      <w:r w:rsidDel="00000000" w:rsidR="00000000" w:rsidRPr="00000000">
        <w:rPr>
          <w:rtl w:val="0"/>
        </w:rPr>
        <w:t xml:space="preserve">Las comprobaciones se identifican por su fecha, versión y ambiente. Los resultados de una operación o exportación no acreditan todos los requisitos ni se atribuyen a una revisión desplegada sin identificación.</w:t>
      </w:r>
    </w:p>
    <w:p w:rsidR="00000000" w:rsidDel="00000000" w:rsidP="00000000" w:rsidRDefault="00000000" w:rsidRPr="00000000" w14:paraId="0000009E">
      <w:pPr>
        <w:spacing w:after="120" w:line="259" w:lineRule="auto"/>
        <w:rPr/>
      </w:pPr>
      <w:r w:rsidDel="00000000" w:rsidR="00000000" w:rsidRPr="00000000">
        <w:rPr>
          <w:rtl w:val="0"/>
        </w:rPr>
        <w:t xml:space="preserve">La cuenta C permitió comprobar compra inicial rechazada, compra aprobada en Stripe test, cancelación programada, reactivación, cambio a Todas las pruebas y retorno a Ciencias. Se observaron los resultados en las pantallas y se correlacionaron las tres facturas con Firestore por usuario y suscripción, importes 1, 4 y 0 USD, estado paid y livemode false. El alcance de acceso por asignatura conserva los límites del informe; no equivale a probar todas las materias.</w:t>
      </w:r>
    </w:p>
    <w:p w:rsidR="00000000" w:rsidDel="00000000" w:rsidP="00000000" w:rsidRDefault="00000000" w:rsidRPr="00000000" w14:paraId="0000009F">
      <w:pPr>
        <w:spacing w:after="120" w:line="259" w:lineRule="auto"/>
        <w:rPr/>
      </w:pPr>
      <w:r w:rsidDel="00000000" w:rsidR="00000000" w:rsidRPr="00000000">
        <w:rPr>
          <w:rtl w:val="0"/>
        </w:rPr>
        <w:t xml:space="preserve">El esquema observado utiliza subscriptions.plan, no planId; distingue users.id de firebaseUid y del ID documental. plans.price es escalar en USD mensual y priceId pertenece a Stripe. amountCents de Checkout y amount de factura tienen unidades distintas. Las fechas de período observadas son texto; auditLog.createdAt es timestamp. Ver Modelo_de_datos.docx, el diccionario de 231 rutas y la descripción de la estructura observada.</w:t>
      </w:r>
    </w:p>
    <w:p w:rsidR="00000000" w:rsidDel="00000000" w:rsidP="00000000" w:rsidRDefault="00000000" w:rsidRPr="00000000" w14:paraId="000000A0">
      <w:pPr>
        <w:spacing w:after="120" w:line="259" w:lineRule="auto"/>
        <w:rPr/>
      </w:pPr>
      <w:r w:rsidDel="00000000" w:rsidR="00000000" w:rsidRPr="00000000">
        <w:rPr>
          <w:rtl w:val="0"/>
        </w:rPr>
        <w:t xml:space="preserve">El código local del receptor espera processStripeEvent antes de responder. stripeEvents conserva comprobantes por event.id y processingVersion, no una cola general con payload y error. No se acreditó control exclusivo de concurrencia ni un mecanismo completo de reproceso. Los procesos de reembolso, disputa, conciliación, exportación y reproceso siguen identificados como propuestas pendientes de decisión; no se consideran funciones probadas por aparecer en diagramas.</w:t>
      </w:r>
    </w:p>
    <w:p w:rsidR="00000000" w:rsidDel="00000000" w:rsidP="00000000" w:rsidRDefault="00000000" w:rsidRPr="00000000" w14:paraId="000000A1">
      <w:pPr>
        <w:spacing w:after="120" w:line="259" w:lineRule="auto"/>
        <w:rPr/>
      </w:pPr>
      <w:r w:rsidDel="00000000" w:rsidR="00000000" w:rsidRPr="00000000">
        <w:rPr>
          <w:rtl w:val="0"/>
        </w:rPr>
        <w:t xml:space="preserve">La edición administrativa local permite modificar atributos de catálogo como nombre, color, beneficios, límites y premios, usando adminRevision y auditLog. Alta, eliminación, publicación y modificación de precios conservan cobertura pendiente. Las pantallas no sustituyen pruebas de API, roles, propiedad ni Security Rules. El indicador mfaEnabled tampoco acredita un flujo MFA operativo.</w:t>
      </w:r>
    </w:p>
    <w:p w:rsidR="00000000" w:rsidDel="00000000" w:rsidP="00000000" w:rsidRDefault="00000000" w:rsidRPr="00000000" w14:paraId="000000A2">
      <w:pPr>
        <w:spacing w:after="120" w:line="259" w:lineRule="auto"/>
        <w:rPr/>
      </w:pPr>
      <w:r w:rsidDel="00000000" w:rsidR="00000000" w:rsidRPr="00000000">
        <w:rPr>
          <w:rtl w:val="0"/>
        </w:rPr>
        <w:t xml:space="preserve">No se recibió feedback ni correcciones nuevas de Alloxentric. Existen comprobaciones de seguridad y rendimiento con alcance delimitado; no acreditan todos los requisitos. M2 e Historia dependen de contenido o código de otro equipo y mantienen validación funcional pendiente, sin excluirse del plan de todas las pruebas.</w:t>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134" w:top="1134" w:left="1134" w:right="1134"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jc w:val="right"/>
      <w:rPr/>
    </w:pPr>
    <w:r w:rsidDel="00000000" w:rsidR="00000000" w:rsidRPr="00000000">
      <w:rPr>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jc w:val="right"/>
      <w:rPr/>
    </w:pPr>
    <w:r w:rsidDel="00000000" w:rsidR="00000000" w:rsidRPr="00000000">
      <w:rPr>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59"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Aprueba Administración · Fase 2</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20" w:before="0" w:line="259"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Aprueba Administración · Fase 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259" w:lineRule="auto"/>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20" w:before="200" w:line="259" w:lineRule="auto"/>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20" w:before="200" w:line="259" w:lineRule="auto"/>
    </w:pPr>
    <w:rPr>
      <w:rFonts w:ascii="Arial" w:cs="Arial" w:eastAsia="Arial" w:hAnsi="Arial"/>
      <w:b w:val="1"/>
      <w:bCs w:val="1"/>
      <w:color w:val="000000"/>
      <w:sz w:val="22"/>
      <w:szCs w:val="22"/>
    </w:rPr>
  </w:style>
  <w:style w:type="paragraph" w:styleId="Heading4">
    <w:name w:val="heading 4"/>
    <w:basedOn w:val="Normal"/>
    <w:next w:val="Normal"/>
    <w:pPr>
      <w:keepNext w:val="1"/>
      <w:keepLines w:val="1"/>
      <w:spacing w:after="0" w:before="200" w:lineRule="auto"/>
    </w:pPr>
    <w:rPr>
      <w:rFonts w:ascii="Arial" w:cs="Arial" w:eastAsia="Arial" w:hAnsi="Arial"/>
      <w:b w:val="1"/>
      <w:bCs w:val="1"/>
      <w:i w:val="1"/>
      <w:iCs w:val="1"/>
      <w:color w:val="000000"/>
    </w:rPr>
  </w:style>
  <w:style w:type="paragraph" w:styleId="Heading5">
    <w:name w:val="heading 5"/>
    <w:basedOn w:val="Normal"/>
    <w:next w:val="Normal"/>
    <w:pPr>
      <w:keepNext w:val="1"/>
      <w:keepLines w:val="1"/>
      <w:spacing w:after="0" w:before="200" w:lineRule="auto"/>
    </w:pPr>
    <w:rPr>
      <w:rFonts w:ascii="Arial" w:cs="Arial" w:eastAsia="Arial" w:hAnsi="Arial"/>
      <w:color w:val="000000"/>
    </w:rPr>
  </w:style>
  <w:style w:type="paragraph" w:styleId="Heading6">
    <w:name w:val="heading 6"/>
    <w:basedOn w:val="Normal"/>
    <w:next w:val="Normal"/>
    <w:pPr>
      <w:keepNext w:val="1"/>
      <w:keepLines w:val="1"/>
      <w:spacing w:after="0" w:before="200" w:lineRule="auto"/>
    </w:pPr>
    <w:rPr>
      <w:rFonts w:ascii="Arial" w:cs="Arial" w:eastAsia="Arial" w:hAnsi="Arial"/>
      <w:i w:val="1"/>
      <w:iCs w:val="1"/>
      <w:color w:val="000000"/>
    </w:rPr>
  </w:style>
  <w:style w:type="paragraph" w:styleId="Title">
    <w:name w:val="Title"/>
    <w:basedOn w:val="Normal"/>
    <w:next w:val="Normal"/>
    <w:pPr>
      <w:spacing w:after="120" w:before="0" w:line="259" w:lineRule="auto"/>
    </w:pPr>
    <w:rPr>
      <w:rFonts w:ascii="Arial" w:cs="Arial" w:eastAsia="Arial" w:hAnsi="Arial"/>
      <w:b w:val="1"/>
      <w:bCs w:val="1"/>
      <w:color w:val="000000"/>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Arial" w:hAnsi="Arial"/>
      <w:color w:val="000000"/>
    </w:rPr>
  </w:style>
  <w:style w:type="paragraph" w:styleId="Header">
    <w:name w:val="header"/>
    <w:basedOn w:val="Normal"/>
    <w:link w:val="HeaderChar"/>
    <w:uiPriority w:val="99"/>
    <w:unhideWhenUsed w:val="1"/>
    <w:rsid w:val="00E618BF"/>
    <w:pPr>
      <w:tabs>
        <w:tab w:val="center" w:pos="4680"/>
        <w:tab w:val="right" w:pos="9360"/>
      </w:tabs>
      <w:spacing w:after="120" w:before="0" w:line="259" w:lineRule="auto"/>
    </w:pPr>
    <w:rPr>
      <w:rFonts w:ascii="Arial" w:hAnsi="Arial"/>
      <w:b w:val="0"/>
      <w:color w:val="000000"/>
      <w:sz w:val="18"/>
    </w:rPr>
  </w:style>
  <w:style w:type="character" w:styleId="HeaderChar" w:customStyle="1">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val="1"/>
    <w:rsid w:val="00E618BF"/>
    <w:pPr>
      <w:tabs>
        <w:tab w:val="center" w:pos="4680"/>
        <w:tab w:val="right" w:pos="9360"/>
      </w:tabs>
      <w:spacing w:after="120" w:before="0" w:line="259" w:lineRule="auto"/>
    </w:pPr>
    <w:rPr>
      <w:rFonts w:ascii="Arial" w:hAnsi="Arial"/>
      <w:b w:val="0"/>
      <w:color w:val="000000"/>
      <w:sz w:val="18"/>
    </w:rPr>
  </w:style>
  <w:style w:type="character" w:styleId="FooterChar" w:customStyle="1">
    <w:name w:val="Footer Char"/>
    <w:basedOn w:val="DefaultParagraphFont"/>
    <w:link w:val="Footer"/>
    <w:uiPriority w:val="99"/>
    <w:rsid w:val="00E618BF"/>
    <w:rPr>
      <w:rFonts w:ascii="Arial" w:hAnsi="Arial"/>
      <w:color w:val="000000"/>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Arial" w:hAnsi="Arial" w:asciiTheme="majorHAnsi" w:cstheme="majorBidi" w:eastAsiaTheme="majorEastAsia" w:hAnsiTheme="majorHAnsi"/>
      <w:i w:val="1"/>
      <w:iCs w:val="1"/>
      <w:color w:val="000000"/>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Arial" w:hAnsi="Arial" w:asciiTheme="majorHAnsi" w:cstheme="majorBidi" w:eastAsiaTheme="majorEastAsia" w:hAnsiTheme="majorHAnsi"/>
      <w:color w:val="000000"/>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Arial" w:hAnsi="Arial" w:asciiTheme="majorHAnsi" w:cstheme="majorBidi" w:eastAsiaTheme="majorEastAsia" w:hAnsiTheme="majorHAnsi"/>
      <w:i w:val="1"/>
      <w:iCs w:val="1"/>
      <w:color w:val="000000"/>
      <w:sz w:val="20"/>
      <w:szCs w:val="20"/>
    </w:rPr>
  </w:style>
  <w:style w:type="character" w:styleId="DefaultParagraphFont" w:default="1">
    <w:name w:val="Default Paragraph Font"/>
    <w:uiPriority w:val="1"/>
    <w:semiHidden w:val="1"/>
    <w:unhideWhenUsed w:val="1"/>
    <w:rPr>
      <w:rFonts w:ascii="Arial" w:hAnsi="Arial"/>
      <w:color w:val="00000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rPr>
      <w:rFonts w:ascii="Arial" w:hAnsi="Arial"/>
      <w:color w:val="000000"/>
    </w:rPr>
  </w:style>
  <w:style w:type="character" w:styleId="Heading1Char" w:customStyle="1">
    <w:name w:val="Heading 1 Char"/>
    <w:basedOn w:val="DefaultParagraphFont"/>
    <w:link w:val="Heading1"/>
    <w:uiPriority w:val="9"/>
    <w:rsid w:val="00FC693F"/>
    <w:rPr>
      <w:rFonts w:ascii="Arial" w:hAnsi="Arial" w:asciiTheme="majorHAnsi" w:cstheme="majorBidi" w:eastAsiaTheme="majorEastAsia" w:hAnsiTheme="majorHAnsi"/>
      <w:b w:val="1"/>
      <w:bCs w:val="1"/>
      <w:color w:val="000000"/>
      <w:sz w:val="28"/>
      <w:szCs w:val="28"/>
    </w:rPr>
  </w:style>
  <w:style w:type="character" w:styleId="Heading2Char" w:customStyle="1">
    <w:name w:val="Heading 2 Char"/>
    <w:basedOn w:val="DefaultParagraphFont"/>
    <w:link w:val="Heading2"/>
    <w:uiPriority w:val="9"/>
    <w:rsid w:val="00FC693F"/>
    <w:rPr>
      <w:rFonts w:ascii="Arial" w:hAnsi="Arial" w:asciiTheme="majorHAnsi" w:cstheme="majorBidi" w:eastAsiaTheme="majorEastAsia" w:hAnsiTheme="majorHAnsi"/>
      <w:b w:val="1"/>
      <w:bCs w:val="1"/>
      <w:color w:val="000000"/>
      <w:sz w:val="26"/>
      <w:szCs w:val="26"/>
    </w:rPr>
  </w:style>
  <w:style w:type="character" w:styleId="Heading3Char" w:customStyle="1">
    <w:name w:val="Heading 3 Char"/>
    <w:basedOn w:val="DefaultParagraphFont"/>
    <w:link w:val="Heading3"/>
    <w:uiPriority w:val="9"/>
    <w:rsid w:val="00FC693F"/>
    <w:rPr>
      <w:rFonts w:ascii="Arial" w:hAnsi="Arial" w:asciiTheme="majorHAnsi" w:cstheme="majorBidi" w:eastAsiaTheme="majorEastAsia" w:hAnsiTheme="majorHAnsi"/>
      <w:b w:val="1"/>
      <w:bCs w:val="1"/>
      <w:color w:val="000000"/>
    </w:rPr>
  </w:style>
  <w:style w:type="character" w:styleId="TitleChar" w:customStyle="1">
    <w:name w:val="Title Char"/>
    <w:basedOn w:val="DefaultParagraphFont"/>
    <w:link w:val="Title"/>
    <w:uiPriority w:val="10"/>
    <w:rsid w:val="00FC693F"/>
    <w:rPr>
      <w:rFonts w:ascii="Arial" w:hAnsi="Arial" w:asciiTheme="majorHAnsi" w:cstheme="majorBidi" w:eastAsiaTheme="majorEastAsia" w:hAnsiTheme="majorHAnsi"/>
      <w:color w:val="000000"/>
      <w:spacing w:val="5"/>
      <w:kern w:val="28"/>
      <w:sz w:val="52"/>
      <w:szCs w:val="52"/>
    </w:rPr>
  </w:style>
  <w:style w:type="character" w:styleId="SubtitleChar" w:customStyle="1">
    <w:name w:val="Subtitle Char"/>
    <w:basedOn w:val="DefaultParagraphFont"/>
    <w:link w:val="Subtitle"/>
    <w:uiPriority w:val="11"/>
    <w:rsid w:val="00FC693F"/>
    <w:rPr>
      <w:rFonts w:ascii="Arial" w:hAnsi="Arial" w:asciiTheme="majorHAnsi" w:cstheme="majorBidi" w:eastAsiaTheme="majorEastAsia" w:hAnsiTheme="majorHAnsi"/>
      <w:i w:val="1"/>
      <w:iCs w:val="1"/>
      <w:color w:val="000000"/>
      <w:spacing w:val="15"/>
      <w:sz w:val="24"/>
      <w:szCs w:val="24"/>
    </w:rPr>
  </w:style>
  <w:style w:type="paragraph" w:styleId="ListParagraph">
    <w:name w:val="List Paragraph"/>
    <w:basedOn w:val="Normal"/>
    <w:uiPriority w:val="34"/>
    <w:qFormat w:val="1"/>
    <w:rsid w:val="00FC693F"/>
    <w:pPr>
      <w:ind w:left="720"/>
      <w:contextualSpacing w:val="1"/>
    </w:pPr>
    <w:rPr>
      <w:rFonts w:ascii="Arial" w:hAnsi="Arial"/>
      <w:color w:val="000000"/>
    </w:rPr>
  </w:style>
  <w:style w:type="paragraph" w:styleId="BodyText">
    <w:name w:val="Body Text"/>
    <w:basedOn w:val="Normal"/>
    <w:link w:val="BodyTextChar"/>
    <w:uiPriority w:val="99"/>
    <w:unhideWhenUsed w:val="1"/>
    <w:rsid w:val="00AA1D8D"/>
    <w:pPr>
      <w:spacing w:after="120"/>
    </w:pPr>
    <w:rPr>
      <w:rFonts w:ascii="Arial" w:hAnsi="Arial"/>
      <w:color w:val="000000"/>
    </w:rPr>
  </w:style>
  <w:style w:type="character" w:styleId="BodyTextChar" w:customStyle="1">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val="1"/>
    <w:rsid w:val="00AA1D8D"/>
    <w:pPr>
      <w:spacing w:after="120" w:line="480" w:lineRule="auto"/>
    </w:pPr>
    <w:rPr>
      <w:rFonts w:ascii="Arial" w:hAnsi="Arial"/>
      <w:color w:val="000000"/>
    </w:rPr>
  </w:style>
  <w:style w:type="character" w:styleId="BodyText2Char" w:customStyle="1">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val="1"/>
    <w:rsid w:val="00AA1D8D"/>
    <w:pPr>
      <w:spacing w:after="120"/>
    </w:pPr>
    <w:rPr>
      <w:rFonts w:ascii="Arial" w:hAnsi="Arial"/>
      <w:color w:val="000000"/>
      <w:sz w:val="16"/>
      <w:szCs w:val="16"/>
    </w:rPr>
  </w:style>
  <w:style w:type="character" w:styleId="BodyText3Char" w:customStyle="1">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val="1"/>
    <w:rsid w:val="00AA1D8D"/>
    <w:pPr>
      <w:ind w:left="360" w:hanging="360"/>
      <w:contextualSpacing w:val="1"/>
    </w:pPr>
    <w:rPr>
      <w:rFonts w:ascii="Arial" w:hAnsi="Arial"/>
      <w:color w:val="000000"/>
    </w:rPr>
  </w:style>
  <w:style w:type="paragraph" w:styleId="List2">
    <w:name w:val="List 2"/>
    <w:basedOn w:val="Normal"/>
    <w:uiPriority w:val="99"/>
    <w:unhideWhenUsed w:val="1"/>
    <w:rsid w:val="00326F90"/>
    <w:pPr>
      <w:ind w:left="720" w:hanging="360"/>
      <w:contextualSpacing w:val="1"/>
    </w:pPr>
    <w:rPr>
      <w:rFonts w:ascii="Arial" w:hAnsi="Arial"/>
      <w:color w:val="000000"/>
    </w:rPr>
  </w:style>
  <w:style w:type="paragraph" w:styleId="List3">
    <w:name w:val="List 3"/>
    <w:basedOn w:val="Normal"/>
    <w:uiPriority w:val="99"/>
    <w:unhideWhenUsed w:val="1"/>
    <w:rsid w:val="00326F90"/>
    <w:pPr>
      <w:ind w:left="1080" w:hanging="360"/>
      <w:contextualSpacing w:val="1"/>
    </w:pPr>
    <w:rPr>
      <w:rFonts w:ascii="Arial" w:hAnsi="Arial"/>
      <w:color w:val="000000"/>
    </w:r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rPr>
      <w:rFonts w:ascii="Arial" w:hAnsi="Arial"/>
      <w:color w:val="000000"/>
    </w:rPr>
  </w:style>
  <w:style w:type="paragraph" w:styleId="ListBullet3">
    <w:name w:val="List Bullet 3"/>
    <w:basedOn w:val="Normal"/>
    <w:uiPriority w:val="99"/>
    <w:unhideWhenUsed w:val="1"/>
    <w:rsid w:val="00326F90"/>
    <w:pPr>
      <w:numPr>
        <w:numId w:val="3"/>
      </w:numPr>
      <w:contextualSpacing w:val="1"/>
    </w:pPr>
    <w:rPr>
      <w:rFonts w:ascii="Arial" w:hAnsi="Arial"/>
      <w:color w:val="000000"/>
    </w:rPr>
  </w:style>
  <w:style w:type="paragraph" w:styleId="ListNumber">
    <w:name w:val="List Number"/>
    <w:basedOn w:val="Normal"/>
    <w:uiPriority w:val="99"/>
    <w:unhideWhenUsed w:val="1"/>
    <w:rsid w:val="00326F90"/>
    <w:pPr>
      <w:numPr>
        <w:numId w:val="5"/>
      </w:numPr>
      <w:contextualSpacing w:val="1"/>
    </w:pPr>
    <w:rPr>
      <w:rFonts w:ascii="Arial" w:hAnsi="Arial"/>
      <w:color w:val="000000"/>
    </w:rPr>
  </w:style>
  <w:style w:type="paragraph" w:styleId="ListNumber2">
    <w:name w:val="List Number 2"/>
    <w:basedOn w:val="Normal"/>
    <w:uiPriority w:val="99"/>
    <w:unhideWhenUsed w:val="1"/>
    <w:rsid w:val="0029639D"/>
    <w:pPr>
      <w:numPr>
        <w:numId w:val="6"/>
      </w:numPr>
      <w:contextualSpacing w:val="1"/>
    </w:pPr>
    <w:rPr>
      <w:rFonts w:ascii="Arial" w:hAnsi="Arial"/>
      <w:color w:val="000000"/>
    </w:rPr>
  </w:style>
  <w:style w:type="paragraph" w:styleId="ListNumber3">
    <w:name w:val="List Number 3"/>
    <w:basedOn w:val="Normal"/>
    <w:uiPriority w:val="99"/>
    <w:unhideWhenUsed w:val="1"/>
    <w:rsid w:val="0029639D"/>
    <w:pPr>
      <w:numPr>
        <w:numId w:val="7"/>
      </w:numPr>
      <w:contextualSpacing w:val="1"/>
    </w:pPr>
    <w:rPr>
      <w:rFonts w:ascii="Arial" w:hAnsi="Arial"/>
      <w:color w:val="000000"/>
    </w:rPr>
  </w:style>
  <w:style w:type="paragraph" w:styleId="ListContinue">
    <w:name w:val="List Continue"/>
    <w:basedOn w:val="Normal"/>
    <w:uiPriority w:val="99"/>
    <w:unhideWhenUsed w:val="1"/>
    <w:rsid w:val="0029639D"/>
    <w:pPr>
      <w:spacing w:after="120"/>
      <w:ind w:left="360"/>
      <w:contextualSpacing w:val="1"/>
    </w:pPr>
    <w:rPr>
      <w:rFonts w:ascii="Arial" w:hAnsi="Arial"/>
      <w:color w:val="000000"/>
    </w:rPr>
  </w:style>
  <w:style w:type="paragraph" w:styleId="ListContinue2">
    <w:name w:val="List Continue 2"/>
    <w:basedOn w:val="Normal"/>
    <w:uiPriority w:val="99"/>
    <w:unhideWhenUsed w:val="1"/>
    <w:rsid w:val="0029639D"/>
    <w:pPr>
      <w:spacing w:after="120"/>
      <w:ind w:left="720"/>
      <w:contextualSpacing w:val="1"/>
    </w:pPr>
    <w:rPr>
      <w:rFonts w:ascii="Arial" w:hAnsi="Arial"/>
      <w:color w:val="000000"/>
    </w:rPr>
  </w:style>
  <w:style w:type="paragraph" w:styleId="ListContinue3">
    <w:name w:val="List Continue 3"/>
    <w:basedOn w:val="Normal"/>
    <w:uiPriority w:val="99"/>
    <w:unhideWhenUsed w:val="1"/>
    <w:rsid w:val="0029639D"/>
    <w:pPr>
      <w:spacing w:after="120"/>
      <w:ind w:left="1080"/>
      <w:contextualSpacing w:val="1"/>
    </w:pPr>
    <w:rPr>
      <w:rFonts w:ascii="Arial" w:hAnsi="Arial"/>
      <w:color w:val="000000"/>
    </w:r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styleId="MacroTextChar" w:customStyle="1">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val="1"/>
    <w:rsid w:val="00FC693F"/>
    <w:rPr>
      <w:rFonts w:ascii="Arial" w:hAnsi="Arial"/>
      <w:i w:val="1"/>
      <w:iCs w:val="1"/>
      <w:color w:val="000000"/>
    </w:rPr>
  </w:style>
  <w:style w:type="character" w:styleId="QuoteChar" w:customStyle="1">
    <w:name w:val="Quote Char"/>
    <w:basedOn w:val="DefaultParagraphFont"/>
    <w:link w:val="Quote"/>
    <w:uiPriority w:val="29"/>
    <w:rsid w:val="00FC693F"/>
    <w:rPr>
      <w:rFonts w:ascii="Arial" w:hAnsi="Arial"/>
      <w:i w:val="1"/>
      <w:iCs w:val="1"/>
      <w:color w:val="000000"/>
    </w:rPr>
  </w:style>
  <w:style w:type="character" w:styleId="Heading4Char" w:customStyle="1">
    <w:name w:val="Heading 4 Char"/>
    <w:basedOn w:val="DefaultParagraphFont"/>
    <w:link w:val="Heading4"/>
    <w:uiPriority w:val="9"/>
    <w:semiHidden w:val="1"/>
    <w:rsid w:val="00FC693F"/>
    <w:rPr>
      <w:rFonts w:ascii="Arial" w:hAnsi="Arial" w:asciiTheme="majorHAnsi" w:cstheme="majorBidi" w:eastAsiaTheme="majorEastAsia" w:hAnsiTheme="majorHAnsi"/>
      <w:b w:val="1"/>
      <w:bCs w:val="1"/>
      <w:i w:val="1"/>
      <w:iCs w:val="1"/>
      <w:color w:val="000000"/>
    </w:rPr>
  </w:style>
  <w:style w:type="character" w:styleId="Heading5Char" w:customStyle="1">
    <w:name w:val="Heading 5 Char"/>
    <w:basedOn w:val="DefaultParagraphFont"/>
    <w:link w:val="Heading5"/>
    <w:uiPriority w:val="9"/>
    <w:semiHidden w:val="1"/>
    <w:rsid w:val="00FC693F"/>
    <w:rPr>
      <w:rFonts w:ascii="Arial" w:hAnsi="Arial" w:asciiTheme="majorHAnsi" w:cstheme="majorBidi" w:eastAsiaTheme="majorEastAsia" w:hAnsiTheme="majorHAnsi"/>
      <w:color w:val="000000"/>
    </w:rPr>
  </w:style>
  <w:style w:type="character" w:styleId="Heading6Char" w:customStyle="1">
    <w:name w:val="Heading 6 Char"/>
    <w:basedOn w:val="DefaultParagraphFont"/>
    <w:link w:val="Heading6"/>
    <w:uiPriority w:val="9"/>
    <w:semiHidden w:val="1"/>
    <w:rsid w:val="00FC693F"/>
    <w:rPr>
      <w:rFonts w:ascii="Arial" w:hAnsi="Arial" w:asciiTheme="majorHAnsi" w:cstheme="majorBidi" w:eastAsiaTheme="majorEastAsia" w:hAnsiTheme="majorHAnsi"/>
      <w:i w:val="1"/>
      <w:iCs w:val="1"/>
      <w:color w:val="000000"/>
    </w:rPr>
  </w:style>
  <w:style w:type="character" w:styleId="Heading7Char" w:customStyle="1">
    <w:name w:val="Heading 7 Char"/>
    <w:basedOn w:val="DefaultParagraphFont"/>
    <w:link w:val="Heading7"/>
    <w:uiPriority w:val="9"/>
    <w:semiHidden w:val="1"/>
    <w:rsid w:val="00FC693F"/>
    <w:rPr>
      <w:rFonts w:ascii="Arial" w:hAnsi="Arial" w:asciiTheme="majorHAnsi" w:cstheme="majorBidi" w:eastAsiaTheme="majorEastAsia" w:hAnsiTheme="majorHAnsi"/>
      <w:i w:val="1"/>
      <w:iCs w:val="1"/>
      <w:color w:val="000000"/>
    </w:rPr>
  </w:style>
  <w:style w:type="character" w:styleId="Heading8Char" w:customStyle="1">
    <w:name w:val="Heading 8 Char"/>
    <w:basedOn w:val="DefaultParagraphFont"/>
    <w:link w:val="Heading8"/>
    <w:uiPriority w:val="9"/>
    <w:semiHidden w:val="1"/>
    <w:rsid w:val="00FC693F"/>
    <w:rPr>
      <w:rFonts w:ascii="Arial" w:hAnsi="Arial" w:asciiTheme="majorHAnsi" w:cstheme="majorBidi" w:eastAsiaTheme="majorEastAsia" w:hAnsiTheme="majorHAnsi"/>
      <w:color w:val="000000"/>
      <w:sz w:val="20"/>
      <w:szCs w:val="20"/>
    </w:rPr>
  </w:style>
  <w:style w:type="character" w:styleId="Heading9Char" w:customStyle="1">
    <w:name w:val="Heading 9 Char"/>
    <w:basedOn w:val="DefaultParagraphFont"/>
    <w:link w:val="Heading9"/>
    <w:uiPriority w:val="9"/>
    <w:semiHidden w:val="1"/>
    <w:rsid w:val="00FC693F"/>
    <w:rPr>
      <w:rFonts w:ascii="Arial" w:hAnsi="Arial" w:asciiTheme="majorHAnsi" w:cstheme="majorBidi" w:eastAsiaTheme="majorEastAsia" w:hAnsiTheme="majorHAnsi"/>
      <w:i w:val="1"/>
      <w:iCs w:val="1"/>
      <w:color w:val="000000"/>
      <w:sz w:val="20"/>
      <w:szCs w:val="20"/>
    </w:rPr>
  </w:style>
  <w:style w:type="paragraph" w:styleId="Caption">
    <w:name w:val="caption"/>
    <w:basedOn w:val="Normal"/>
    <w:next w:val="Normal"/>
    <w:uiPriority w:val="35"/>
    <w:semiHidden w:val="1"/>
    <w:unhideWhenUsed w:val="1"/>
    <w:qFormat w:val="1"/>
    <w:rsid w:val="00FC693F"/>
    <w:pPr>
      <w:spacing w:line="240" w:lineRule="auto"/>
    </w:pPr>
    <w:rPr>
      <w:rFonts w:ascii="Arial" w:hAnsi="Arial"/>
      <w:b w:val="1"/>
      <w:bCs w:val="1"/>
      <w:color w:val="000000"/>
      <w:sz w:val="18"/>
      <w:szCs w:val="18"/>
    </w:rPr>
  </w:style>
  <w:style w:type="character" w:styleId="Strong">
    <w:name w:val="Strong"/>
    <w:basedOn w:val="DefaultParagraphFont"/>
    <w:uiPriority w:val="22"/>
    <w:qFormat w:val="1"/>
    <w:rsid w:val="00FC693F"/>
    <w:rPr>
      <w:rFonts w:ascii="Arial" w:hAnsi="Arial"/>
      <w:b w:val="1"/>
      <w:bCs w:val="1"/>
      <w:color w:val="000000"/>
    </w:rPr>
  </w:style>
  <w:style w:type="character" w:styleId="Emphasis">
    <w:name w:val="Emphasis"/>
    <w:basedOn w:val="DefaultParagraphFont"/>
    <w:uiPriority w:val="20"/>
    <w:qFormat w:val="1"/>
    <w:rsid w:val="00FC693F"/>
    <w:rPr>
      <w:rFonts w:ascii="Arial" w:hAnsi="Arial"/>
      <w:i w:val="1"/>
      <w:iCs w:val="1"/>
      <w:color w:val="000000"/>
    </w:rPr>
  </w:style>
  <w:style w:type="paragraph" w:styleId="IntenseQuote">
    <w:name w:val="Intense Quote"/>
    <w:basedOn w:val="Normal"/>
    <w:next w:val="Normal"/>
    <w:link w:val="IntenseQuoteChar"/>
    <w:uiPriority w:val="30"/>
    <w:qFormat w:val="1"/>
    <w:rsid w:val="00FC693F"/>
    <w:pPr>
      <w:spacing w:after="280" w:before="200"/>
      <w:ind w:left="936" w:right="936"/>
    </w:pPr>
    <w:rPr>
      <w:rFonts w:ascii="Arial" w:hAnsi="Arial"/>
      <w:b w:val="1"/>
      <w:bCs w:val="1"/>
      <w:i w:val="1"/>
      <w:iCs w:val="1"/>
      <w:color w:val="000000"/>
    </w:rPr>
  </w:style>
  <w:style w:type="character" w:styleId="IntenseQuoteChar" w:customStyle="1">
    <w:name w:val="Intense Quote Char"/>
    <w:basedOn w:val="DefaultParagraphFont"/>
    <w:link w:val="IntenseQuote"/>
    <w:uiPriority w:val="30"/>
    <w:rsid w:val="00FC693F"/>
    <w:rPr>
      <w:rFonts w:ascii="Arial" w:hAnsi="Arial"/>
      <w:b w:val="1"/>
      <w:bCs w:val="1"/>
      <w:i w:val="1"/>
      <w:iCs w:val="1"/>
      <w:color w:val="000000"/>
    </w:rPr>
  </w:style>
  <w:style w:type="character" w:styleId="SubtleEmphasis">
    <w:name w:val="Subtle Emphasis"/>
    <w:basedOn w:val="DefaultParagraphFont"/>
    <w:uiPriority w:val="19"/>
    <w:qFormat w:val="1"/>
    <w:rsid w:val="00FC693F"/>
    <w:rPr>
      <w:rFonts w:ascii="Arial" w:hAnsi="Arial"/>
      <w:i w:val="1"/>
      <w:iCs w:val="1"/>
      <w:color w:val="000000"/>
    </w:rPr>
  </w:style>
  <w:style w:type="character" w:styleId="IntenseEmphasis">
    <w:name w:val="Intense Emphasis"/>
    <w:basedOn w:val="DefaultParagraphFont"/>
    <w:uiPriority w:val="21"/>
    <w:qFormat w:val="1"/>
    <w:rsid w:val="00FC693F"/>
    <w:rPr>
      <w:rFonts w:ascii="Arial" w:hAnsi="Arial"/>
      <w:b w:val="1"/>
      <w:bCs w:val="1"/>
      <w:i w:val="1"/>
      <w:iCs w:val="1"/>
      <w:color w:val="000000"/>
    </w:rPr>
  </w:style>
  <w:style w:type="character" w:styleId="SubtleReference">
    <w:name w:val="Subtle Reference"/>
    <w:basedOn w:val="DefaultParagraphFont"/>
    <w:uiPriority w:val="31"/>
    <w:qFormat w:val="1"/>
    <w:rsid w:val="00FC693F"/>
    <w:rPr>
      <w:rFonts w:ascii="Arial" w:hAnsi="Arial"/>
      <w:smallCaps w:val="1"/>
      <w:color w:val="000000"/>
      <w:u w:val="single"/>
    </w:rPr>
  </w:style>
  <w:style w:type="character" w:styleId="IntenseReference">
    <w:name w:val="Intense Reference"/>
    <w:basedOn w:val="DefaultParagraphFont"/>
    <w:uiPriority w:val="32"/>
    <w:qFormat w:val="1"/>
    <w:rsid w:val="00FC693F"/>
    <w:rPr>
      <w:rFonts w:ascii="Arial" w:hAnsi="Arial"/>
      <w:b w:val="1"/>
      <w:bCs w:val="1"/>
      <w:smallCaps w:val="1"/>
      <w:color w:val="000000"/>
      <w:spacing w:val="5"/>
      <w:u w:val="single"/>
    </w:rPr>
  </w:style>
  <w:style w:type="character" w:styleId="BookTitle">
    <w:name w:val="Book Title"/>
    <w:basedOn w:val="DefaultParagraphFont"/>
    <w:uiPriority w:val="33"/>
    <w:qFormat w:val="1"/>
    <w:rsid w:val="00FC693F"/>
    <w:rPr>
      <w:rFonts w:ascii="Arial" w:hAnsi="Arial"/>
      <w:b w:val="1"/>
      <w:bCs w:val="1"/>
      <w:smallCaps w:val="1"/>
      <w:color w:val="000000"/>
      <w:spacing w:val="5"/>
    </w:rPr>
  </w:style>
  <w:style w:type="paragraph" w:styleId="TOCHeading">
    <w:name w:val="TOC Heading"/>
    <w:basedOn w:val="Heading1"/>
    <w:next w:val="Normal"/>
    <w:uiPriority w:val="39"/>
    <w:semiHidden w:val="1"/>
    <w:unhideWhenUsed w:val="1"/>
    <w:qFormat w:val="1"/>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120" w:before="0" w:line="259" w:lineRule="auto"/>
    </w:pPr>
    <w:rPr>
      <w:rFonts w:ascii="Arial" w:cs="Arial" w:eastAsia="Arial" w:hAnsi="Arial"/>
      <w:b w:val="0"/>
      <w:bCs w:val="0"/>
      <w:i w:val="1"/>
      <w:iCs w:val="1"/>
      <w:color w:val="000000"/>
      <w:sz w:val="22"/>
      <w:szCs w:val="2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header" Target="head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3.xml"/><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dnLobTjz7Q/gWdjBxmuoqOmCA==">CgMxLjA4AHIhMUU4cmpNZDd6VkMzaGZCV0h5YzJ4LWpuNF82RG9ubmFv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Equipo Aprueba Administración</dc:creator>
</cp:coreProperties>
</file>