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0F567" w14:textId="77777777" w:rsidR="00FF6ECC" w:rsidRDefault="00000000">
      <w:pPr>
        <w:spacing w:after="0" w:line="240" w:lineRule="auto"/>
      </w:pPr>
      <w:r>
        <w:rPr>
          <w:noProof/>
        </w:rPr>
        <w:drawing>
          <wp:inline distT="0" distB="0" distL="114300" distR="114300" wp14:anchorId="73AAE164" wp14:editId="7D95BC13">
            <wp:extent cx="1828800" cy="4495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49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03198E" w14:textId="77777777" w:rsidR="00FF6ECC" w:rsidRDefault="00000000">
      <w:pPr>
        <w:pStyle w:val="Ttulo"/>
        <w:spacing w:before="3400" w:after="320" w:line="240" w:lineRule="auto"/>
        <w:jc w:val="center"/>
      </w:pPr>
      <w:r>
        <w:rPr>
          <w:sz w:val="46"/>
          <w:szCs w:val="46"/>
        </w:rPr>
        <w:t>Avance del proyecto</w:t>
      </w:r>
    </w:p>
    <w:p w14:paraId="67F82BB5" w14:textId="77777777" w:rsidR="00FF6ECC" w:rsidRDefault="00000000">
      <w:pPr>
        <w:spacing w:after="140" w:line="240" w:lineRule="auto"/>
        <w:jc w:val="center"/>
      </w:pPr>
      <w:r>
        <w:rPr>
          <w:color w:val="000000"/>
          <w:sz w:val="34"/>
          <w:szCs w:val="34"/>
        </w:rPr>
        <w:t>Aprueba Administración</w:t>
      </w:r>
    </w:p>
    <w:p w14:paraId="36B1B7C4" w14:textId="77777777" w:rsidR="00FF6ECC" w:rsidRDefault="00000000">
      <w:pPr>
        <w:spacing w:after="2900" w:line="240" w:lineRule="auto"/>
        <w:jc w:val="center"/>
      </w:pPr>
      <w:r>
        <w:rPr>
          <w:color w:val="000000"/>
          <w:sz w:val="28"/>
          <w:szCs w:val="28"/>
        </w:rPr>
        <w:t>Módulo de pago y suscripción</w:t>
      </w:r>
    </w:p>
    <w:p w14:paraId="5AE39B17" w14:textId="77777777" w:rsidR="00FF6ECC" w:rsidRDefault="00FF6ECC">
      <w:pPr>
        <w:spacing w:after="160" w:line="240" w:lineRule="auto"/>
        <w:rPr>
          <w:sz w:val="20"/>
          <w:szCs w:val="20"/>
        </w:rPr>
      </w:pPr>
    </w:p>
    <w:p w14:paraId="68C1A6BB" w14:textId="77777777" w:rsidR="00FF6ECC" w:rsidRDefault="00FF6ECC">
      <w:pPr>
        <w:spacing w:after="160" w:line="240" w:lineRule="auto"/>
        <w:rPr>
          <w:sz w:val="20"/>
          <w:szCs w:val="20"/>
        </w:rPr>
      </w:pPr>
    </w:p>
    <w:p w14:paraId="68264AEB" w14:textId="77777777" w:rsidR="00FF6ECC" w:rsidRDefault="00FF6ECC">
      <w:pPr>
        <w:spacing w:after="160" w:line="240" w:lineRule="auto"/>
        <w:rPr>
          <w:sz w:val="20"/>
          <w:szCs w:val="20"/>
        </w:rPr>
      </w:pPr>
    </w:p>
    <w:p w14:paraId="2015044C" w14:textId="77777777" w:rsidR="00FF6ECC" w:rsidRDefault="00FF6ECC">
      <w:pPr>
        <w:spacing w:after="160" w:line="240" w:lineRule="auto"/>
        <w:rPr>
          <w:sz w:val="20"/>
          <w:szCs w:val="20"/>
        </w:rPr>
      </w:pPr>
    </w:p>
    <w:p w14:paraId="615292CD" w14:textId="77777777" w:rsidR="00FF6ECC" w:rsidRDefault="00FF6ECC">
      <w:pPr>
        <w:spacing w:after="160" w:line="240" w:lineRule="auto"/>
        <w:rPr>
          <w:sz w:val="20"/>
          <w:szCs w:val="20"/>
        </w:rPr>
      </w:pPr>
    </w:p>
    <w:p w14:paraId="37D6AF58" w14:textId="77777777" w:rsidR="00FF6ECC" w:rsidRDefault="00FF6ECC">
      <w:pPr>
        <w:spacing w:after="160" w:line="240" w:lineRule="auto"/>
        <w:rPr>
          <w:sz w:val="20"/>
          <w:szCs w:val="20"/>
        </w:rPr>
      </w:pPr>
    </w:p>
    <w:p w14:paraId="421199E3" w14:textId="77777777" w:rsidR="00FF6ECC" w:rsidRDefault="00FF6ECC">
      <w:pPr>
        <w:spacing w:after="160" w:line="240" w:lineRule="auto"/>
        <w:rPr>
          <w:sz w:val="20"/>
          <w:szCs w:val="20"/>
        </w:rPr>
      </w:pPr>
    </w:p>
    <w:p w14:paraId="384967EA" w14:textId="77777777" w:rsidR="00FF6ECC" w:rsidRDefault="00FF6ECC">
      <w:pPr>
        <w:spacing w:after="160" w:line="240" w:lineRule="auto"/>
        <w:rPr>
          <w:sz w:val="20"/>
          <w:szCs w:val="20"/>
        </w:rPr>
      </w:pPr>
    </w:p>
    <w:p w14:paraId="73245CAA" w14:textId="77777777" w:rsidR="00FF6ECC" w:rsidRDefault="00FF6ECC">
      <w:pPr>
        <w:spacing w:after="160" w:line="240" w:lineRule="auto"/>
        <w:rPr>
          <w:sz w:val="20"/>
          <w:szCs w:val="20"/>
        </w:rPr>
      </w:pPr>
    </w:p>
    <w:p w14:paraId="5503CBBC" w14:textId="77777777" w:rsidR="00FF6ECC" w:rsidRDefault="00FF6ECC">
      <w:pPr>
        <w:spacing w:after="160" w:line="240" w:lineRule="auto"/>
        <w:rPr>
          <w:sz w:val="20"/>
          <w:szCs w:val="20"/>
        </w:rPr>
      </w:pPr>
    </w:p>
    <w:p w14:paraId="0DABCD62" w14:textId="77777777" w:rsidR="00FF6ECC" w:rsidRDefault="00FF6ECC">
      <w:pPr>
        <w:spacing w:after="160" w:line="240" w:lineRule="auto"/>
        <w:rPr>
          <w:sz w:val="20"/>
          <w:szCs w:val="20"/>
        </w:rPr>
      </w:pPr>
    </w:p>
    <w:p w14:paraId="12F2D32A" w14:textId="77777777" w:rsidR="00FF6ECC" w:rsidRDefault="00000000">
      <w:pPr>
        <w:spacing w:after="160" w:line="240" w:lineRule="auto"/>
      </w:pPr>
      <w:r>
        <w:rPr>
          <w:color w:val="000000"/>
          <w:sz w:val="20"/>
          <w:szCs w:val="20"/>
        </w:rPr>
        <w:t>Integrantes: Sebastián Araya, César Garrido y Thiare Gómez</w:t>
      </w:r>
    </w:p>
    <w:p w14:paraId="089BAC55" w14:textId="77777777" w:rsidR="00FF6ECC" w:rsidRDefault="00000000">
      <w:pPr>
        <w:spacing w:after="160" w:line="240" w:lineRule="auto"/>
      </w:pPr>
      <w:r>
        <w:rPr>
          <w:color w:val="000000"/>
          <w:sz w:val="20"/>
          <w:szCs w:val="20"/>
        </w:rPr>
        <w:t>Asignatura: Capstone PTY4614 · Sección 004D</w:t>
      </w:r>
    </w:p>
    <w:p w14:paraId="572EE396" w14:textId="77777777" w:rsidR="00FF6ECC" w:rsidRDefault="00000000">
      <w:pPr>
        <w:spacing w:after="160" w:line="240" w:lineRule="auto"/>
      </w:pPr>
      <w:r>
        <w:rPr>
          <w:color w:val="000000"/>
          <w:sz w:val="20"/>
          <w:szCs w:val="20"/>
        </w:rPr>
        <w:t>Institución: Duoc UC</w:t>
      </w:r>
    </w:p>
    <w:p w14:paraId="3CDDDFDD" w14:textId="77777777" w:rsidR="00FF6ECC" w:rsidRDefault="00000000">
      <w:pPr>
        <w:spacing w:after="0" w:line="240" w:lineRule="auto"/>
      </w:pPr>
      <w:r>
        <w:rPr>
          <w:color w:val="000000"/>
          <w:sz w:val="20"/>
          <w:szCs w:val="20"/>
        </w:rPr>
        <w:t>Fecha de referencia: 30 de octubre de 2026</w:t>
      </w:r>
    </w:p>
    <w:p w14:paraId="26E1EA1E" w14:textId="77777777" w:rsidR="00FF6ECC" w:rsidRDefault="00000000">
      <w:pPr>
        <w:spacing w:after="80"/>
      </w:pPr>
      <w:r>
        <w:lastRenderedPageBreak/>
        <w:t>El avance presenta el estado disponible del módulo de pagos y suscripciones. Su objetivo es identificar funciones comprobadas, fallos y limitaciones para orientar el desarrollo posterior. No acredita que el producto esté terminado ni aceptado por Alloxentric.</w:t>
      </w:r>
    </w:p>
    <w:p w14:paraId="43DF49A7" w14:textId="77777777" w:rsidR="00FF6ECC" w:rsidRDefault="00000000">
      <w:pPr>
        <w:pStyle w:val="Ttulo1"/>
        <w:spacing w:after="80"/>
      </w:pPr>
      <w:r>
        <w:t>Resultados de la evaluación</w:t>
      </w:r>
    </w:p>
    <w:tbl>
      <w:tblPr>
        <w:tblStyle w:val="a"/>
        <w:tblW w:w="9639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:rsidR="00FF6ECC" w14:paraId="2A97772A" w14:textId="77777777">
        <w:trPr>
          <w:tblHeader/>
          <w:jc w:val="center"/>
        </w:trPr>
        <w:tc>
          <w:tcPr>
            <w:tcW w:w="1377" w:type="dxa"/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1973D1" w14:textId="77777777" w:rsidR="00FF6ECC" w:rsidRDefault="00000000">
            <w:pPr>
              <w:spacing w:after="60" w:line="246" w:lineRule="auto"/>
            </w:pPr>
            <w:r>
              <w:rPr>
                <w:b/>
                <w:bCs/>
                <w:sz w:val="18"/>
                <w:szCs w:val="18"/>
              </w:rPr>
              <w:t>Área</w:t>
            </w:r>
          </w:p>
        </w:tc>
        <w:tc>
          <w:tcPr>
            <w:tcW w:w="1377" w:type="dxa"/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7D0533" w14:textId="77777777" w:rsidR="00FF6ECC" w:rsidRDefault="00000000">
            <w:pPr>
              <w:spacing w:after="60" w:line="246" w:lineRule="auto"/>
            </w:pPr>
            <w:r>
              <w:rPr>
                <w:b/>
                <w:bCs/>
                <w:sz w:val="18"/>
                <w:szCs w:val="18"/>
              </w:rPr>
              <w:t>Casos</w:t>
            </w:r>
          </w:p>
        </w:tc>
        <w:tc>
          <w:tcPr>
            <w:tcW w:w="1377" w:type="dxa"/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3D3B0F" w14:textId="77777777" w:rsidR="00FF6ECC" w:rsidRDefault="00000000">
            <w:pPr>
              <w:spacing w:after="60" w:line="246" w:lineRule="auto"/>
            </w:pPr>
            <w:r>
              <w:rPr>
                <w:b/>
                <w:bCs/>
                <w:sz w:val="18"/>
                <w:szCs w:val="18"/>
              </w:rPr>
              <w:t>Aprobados</w:t>
            </w:r>
          </w:p>
        </w:tc>
        <w:tc>
          <w:tcPr>
            <w:tcW w:w="1377" w:type="dxa"/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0F9DDD" w14:textId="77777777" w:rsidR="00FF6ECC" w:rsidRDefault="00000000">
            <w:pPr>
              <w:spacing w:after="60" w:line="246" w:lineRule="auto"/>
            </w:pPr>
            <w:r>
              <w:rPr>
                <w:b/>
                <w:bCs/>
                <w:sz w:val="18"/>
                <w:szCs w:val="18"/>
              </w:rPr>
              <w:t>Parciales</w:t>
            </w:r>
          </w:p>
        </w:tc>
        <w:tc>
          <w:tcPr>
            <w:tcW w:w="1377" w:type="dxa"/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82B4F" w14:textId="77777777" w:rsidR="00FF6ECC" w:rsidRDefault="00000000">
            <w:pPr>
              <w:spacing w:after="60" w:line="246" w:lineRule="auto"/>
            </w:pPr>
            <w:r>
              <w:rPr>
                <w:b/>
                <w:bCs/>
                <w:sz w:val="18"/>
                <w:szCs w:val="18"/>
              </w:rPr>
              <w:t>Fallidos</w:t>
            </w:r>
          </w:p>
        </w:tc>
        <w:tc>
          <w:tcPr>
            <w:tcW w:w="1377" w:type="dxa"/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1251A2" w14:textId="77777777" w:rsidR="00FF6ECC" w:rsidRDefault="00000000">
            <w:pPr>
              <w:spacing w:after="60" w:line="246" w:lineRule="auto"/>
            </w:pPr>
            <w:r>
              <w:rPr>
                <w:b/>
                <w:bCs/>
                <w:sz w:val="18"/>
                <w:szCs w:val="18"/>
              </w:rPr>
              <w:t>Bloqueados</w:t>
            </w:r>
          </w:p>
        </w:tc>
        <w:tc>
          <w:tcPr>
            <w:tcW w:w="1377" w:type="dxa"/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D2AF30" w14:textId="77777777" w:rsidR="00FF6ECC" w:rsidRDefault="00000000">
            <w:pPr>
              <w:spacing w:after="60" w:line="246" w:lineRule="auto"/>
            </w:pPr>
            <w:r>
              <w:rPr>
                <w:b/>
                <w:bCs/>
                <w:sz w:val="18"/>
                <w:szCs w:val="18"/>
              </w:rPr>
              <w:t>No ejecutados</w:t>
            </w:r>
          </w:p>
        </w:tc>
      </w:tr>
      <w:tr w:rsidR="00FF6ECC" w14:paraId="1733A49D" w14:textId="77777777">
        <w:trPr>
          <w:jc w:val="center"/>
        </w:trPr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35EFA" w14:textId="77777777" w:rsidR="00FF6EC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Pagos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1F52B1" w14:textId="77777777" w:rsidR="00FF6EC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B44125" w14:textId="77777777" w:rsidR="00FF6EC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33F10B" w14:textId="77777777" w:rsidR="00FF6EC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B33393" w14:textId="77777777" w:rsidR="00FF6EC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CE5C8D" w14:textId="77777777" w:rsidR="00FF6EC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C1785F" w14:textId="77777777" w:rsidR="00FF6EC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1</w:t>
            </w:r>
          </w:p>
        </w:tc>
      </w:tr>
      <w:tr w:rsidR="00FF6ECC" w14:paraId="44C4A94F" w14:textId="77777777">
        <w:trPr>
          <w:jc w:val="center"/>
        </w:trPr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3ED52E" w14:textId="77777777" w:rsidR="00FF6EC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Interfaz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851DC1" w14:textId="77777777" w:rsidR="00FF6EC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D338FF" w14:textId="77777777" w:rsidR="00FF6EC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E7E34" w14:textId="77777777" w:rsidR="00FF6EC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C7C7C" w14:textId="77777777" w:rsidR="00FF6EC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C09AF5" w14:textId="77777777" w:rsidR="00FF6EC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570C9" w14:textId="77777777" w:rsidR="00FF6EC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0</w:t>
            </w:r>
          </w:p>
        </w:tc>
      </w:tr>
      <w:tr w:rsidR="00FF6ECC" w14:paraId="06DBF993" w14:textId="77777777">
        <w:trPr>
          <w:jc w:val="center"/>
        </w:trPr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A010D1" w14:textId="77777777" w:rsidR="00FF6EC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Datos y permisos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B208F3" w14:textId="77777777" w:rsidR="00FF6EC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0E491D" w14:textId="77777777" w:rsidR="00FF6EC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7BA86" w14:textId="77777777" w:rsidR="00FF6EC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B6A1D" w14:textId="77777777" w:rsidR="00FF6EC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2C6A9" w14:textId="77777777" w:rsidR="00FF6EC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8BF8FE" w14:textId="77777777" w:rsidR="00FF6EC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0</w:t>
            </w:r>
          </w:p>
        </w:tc>
      </w:tr>
      <w:tr w:rsidR="00FF6ECC" w14:paraId="49338BFD" w14:textId="77777777">
        <w:trPr>
          <w:jc w:val="center"/>
        </w:trPr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232F3" w14:textId="77777777" w:rsidR="00FF6EC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9771C" w14:textId="77777777" w:rsidR="00FF6EC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0B370C" w14:textId="77777777" w:rsidR="00FF6EC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4BCB4F" w14:textId="77777777" w:rsidR="00FF6EC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36A98" w14:textId="77777777" w:rsidR="00FF6EC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DD1B56" w14:textId="77777777" w:rsidR="00FF6EC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6EB572" w14:textId="77777777" w:rsidR="00FF6ECC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598E3DE1" w14:textId="77777777" w:rsidR="00FF6ECC" w:rsidRDefault="00000000">
      <w:pPr>
        <w:spacing w:after="80"/>
      </w:pPr>
      <w:r>
        <w:t>Los intentos repetidos, las 18 comprobaciones EX y los escenarios complementarios se registran aparte. La matriz relaciona 24 requisitos funcionales, 24 historias de usuario y 96 criterios de aceptación; esa trazabilidad no demuestra cumplimiento íntegro.</w:t>
      </w:r>
    </w:p>
    <w:p w14:paraId="40E8B9D4" w14:textId="77777777" w:rsidR="00FF6ECC" w:rsidRDefault="00000000">
      <w:pPr>
        <w:spacing w:after="80"/>
      </w:pPr>
      <w:r>
        <w:t>Hay evidencia de contratación mensual y anual, rechazo y recuperación de pagos, consultas y persistencia. La cancelación cuenta con evidencia del estado final, pero la transición temporal de acceso no está íntegramente acreditada. El reloj simulado de Stripe no equivale al reloj de Aprueba.</w:t>
      </w:r>
    </w:p>
    <w:p w14:paraId="3B2DD2BB" w14:textId="77777777" w:rsidR="00FF6ECC" w:rsidRDefault="00000000">
      <w:pPr>
        <w:pStyle w:val="Ttulo1"/>
        <w:spacing w:after="80"/>
      </w:pPr>
      <w:r>
        <w:t>Alcance y limitaciones</w:t>
      </w:r>
    </w:p>
    <w:p w14:paraId="67FA2C2B" w14:textId="77777777" w:rsidR="00FF6ECC" w:rsidRDefault="00000000">
      <w:pPr>
        <w:spacing w:after="80"/>
      </w:pPr>
      <w:r>
        <w:t>La evaluación se limita al código disponible y a los entornos declarados en cada ejecución. Los ensayos locales sobre módulos originales conservan sus límites y no se extrapolan al despliegue completo. Los candidatos de código modificado no acreditan el proyecto actual.</w:t>
      </w:r>
    </w:p>
    <w:p w14:paraId="037D5E78" w14:textId="77777777" w:rsidR="00FF6ECC" w:rsidRDefault="00000000">
      <w:pPr>
        <w:spacing w:after="80"/>
      </w:pPr>
      <w:r>
        <w:t>El catálogo no habilitado, la auditoría por intento, las mediciones internas de rendimiento y las combinaciones de permisos, navegadores y accesibilidad no comprobadas permanecen documentados para seguimiento. Los avisos financieros no cuentan con ejecución acreditada. La vista estrecha evaluada corresponde a emulación web, no a la aplicación móvil de otro equipo.</w:t>
      </w:r>
    </w:p>
    <w:p w14:paraId="7B9DC3D5" w14:textId="77777777" w:rsidR="00FF6ECC" w:rsidRDefault="00000000">
      <w:pPr>
        <w:spacing w:after="80"/>
      </w:pPr>
      <w:r>
        <w:t>El plan de todas las pruebas mantiene M2 e Historia dentro del beneficio previsto; su validación funcional depende de contenido o código de otro equipo. No se agregan días de gracia ni reglas sin confirmación. Según lo informado por el equipo, no se recibió feedback ni correcciones nuevas de Alloxentric.</w:t>
      </w:r>
    </w:p>
    <w:p w14:paraId="6E6EC2F4" w14:textId="77777777" w:rsidR="00FF6ECC" w:rsidRDefault="00000000">
      <w:pPr>
        <w:spacing w:after="80"/>
      </w:pPr>
      <w:r>
        <w:t>El registro de una evaluación puede estar terminado aunque la prueba sea parcial, fallida, bloqueada o no ejecutada. Las implementaciones pendientes y las nuevas validaciones corresponden al desarrollo posterior. No se mide el porcentaje de desarrollo a partir del número de casos aprobados.</w:t>
      </w:r>
    </w:p>
    <w:p w14:paraId="2A39FF28" w14:textId="77777777" w:rsidR="00FF6ECC" w:rsidRDefault="00000000">
      <w:pPr>
        <w:pStyle w:val="Ttulo1"/>
        <w:spacing w:after="80"/>
      </w:pPr>
      <w:r>
        <w:t>Documentos y evidencias</w:t>
      </w:r>
    </w:p>
    <w:p w14:paraId="3769A1DA" w14:textId="02C72B63" w:rsidR="00F340B2" w:rsidRPr="00F340B2" w:rsidRDefault="00F340B2" w:rsidP="00F340B2">
      <w:pPr>
        <w:spacing w:after="80"/>
        <w:rPr>
          <w:lang w:val="es-CL"/>
        </w:rPr>
      </w:pPr>
      <w:r w:rsidRPr="00F340B2">
        <w:rPr>
          <w:lang w:val="es-CL"/>
        </w:rPr>
        <w:t>La carpeta Evidencias Individuales contiene los diarios de los tres integrantes y Evidencias Grupales contiene la guía de avance Duoc. Dentro de Evidencias Proyecto, la carpeta Evidencia de documentación reúne los documentos de diseño, gestión, metodología y pruebas. Las pruebas se organizan en Plan de pruebas, Casos de prueba y Resultados de las pruebas. Esta última incluye los libros de registro en Adjuntos y los respaldos en Evidencias de prueba.</w:t>
      </w:r>
    </w:p>
    <w:p w14:paraId="0DFE6665" w14:textId="2853F1A2" w:rsidR="00FF6ECC" w:rsidRDefault="00FF6ECC" w:rsidP="00F340B2">
      <w:pPr>
        <w:spacing w:after="80"/>
      </w:pPr>
    </w:p>
    <w:sectPr w:rsidR="00FF6EC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454" w:footer="45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68560" w14:textId="77777777" w:rsidR="002544F1" w:rsidRDefault="002544F1">
      <w:pPr>
        <w:spacing w:after="0" w:line="240" w:lineRule="auto"/>
      </w:pPr>
      <w:r>
        <w:separator/>
      </w:r>
    </w:p>
  </w:endnote>
  <w:endnote w:type="continuationSeparator" w:id="0">
    <w:p w14:paraId="2969488A" w14:textId="77777777" w:rsidR="002544F1" w:rsidRDefault="00254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EA11ADD-F28C-4EB5-A0E3-66A06ACB9C09}"/>
    <w:embedBold r:id="rId2" w:fontKey="{2A67EC07-9B1F-4089-86CD-03C412F0CE69}"/>
    <w:embedItalic r:id="rId3" w:fontKey="{5F0613CA-D21D-492A-903F-89F25958C3DB}"/>
    <w:embedBoldItalic r:id="rId4" w:fontKey="{7EC067B9-5812-495B-B48D-3949990D438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32BE782-1B62-4DC4-A20D-2DDB36B37E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BA951" w14:textId="77777777" w:rsidR="00FF6ECC" w:rsidRDefault="00000000">
    <w:pPr>
      <w:jc w:val="right"/>
    </w:pPr>
    <w:r>
      <w:t xml:space="preserve">Página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FA6B9" w14:textId="77777777" w:rsidR="00FF6ECC" w:rsidRDefault="00000000">
    <w:pPr>
      <w:jc w:val="right"/>
    </w:pPr>
    <w:r>
      <w:t xml:space="preserve">Página </w:t>
    </w:r>
    <w:r>
      <w:fldChar w:fldCharType="begin"/>
    </w:r>
    <w:r>
      <w:instrText>PAGE</w:instrText>
    </w:r>
    <w:r>
      <w:fldChar w:fldCharType="separate"/>
    </w:r>
    <w:r w:rsidR="00F340B2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2F571" w14:textId="77777777" w:rsidR="00FF6ECC" w:rsidRDefault="00FF6EC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57B10" w14:textId="77777777" w:rsidR="002544F1" w:rsidRDefault="002544F1">
      <w:pPr>
        <w:spacing w:after="0" w:line="240" w:lineRule="auto"/>
      </w:pPr>
      <w:r>
        <w:separator/>
      </w:r>
    </w:p>
  </w:footnote>
  <w:footnote w:type="continuationSeparator" w:id="0">
    <w:p w14:paraId="66BB8D73" w14:textId="77777777" w:rsidR="002544F1" w:rsidRDefault="002544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38465" w14:textId="77777777" w:rsidR="00FF6EC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18"/>
        <w:szCs w:val="18"/>
      </w:rPr>
    </w:pPr>
    <w:r>
      <w:rPr>
        <w:color w:val="000000"/>
        <w:sz w:val="18"/>
        <w:szCs w:val="18"/>
      </w:rPr>
      <w:t>Aprueba Administración · Fase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90F0D" w14:textId="77777777" w:rsidR="00FF6EC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18"/>
        <w:szCs w:val="18"/>
      </w:rPr>
    </w:pPr>
    <w:r>
      <w:rPr>
        <w:color w:val="000000"/>
        <w:sz w:val="18"/>
        <w:szCs w:val="18"/>
      </w:rPr>
      <w:t>Aprueba Administración · Fase 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E36B6" w14:textId="77777777" w:rsidR="00FF6ECC" w:rsidRDefault="00FF6EC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66FE4"/>
    <w:multiLevelType w:val="multilevel"/>
    <w:tmpl w:val="D4A2C158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97861904">
    <w:abstractNumId w:val="0"/>
  </w:num>
  <w:num w:numId="2" w16cid:durableId="2545537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643661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723878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953602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431149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ECC"/>
    <w:rsid w:val="002544F1"/>
    <w:rsid w:val="00F340B2"/>
    <w:rsid w:val="00FA7889"/>
    <w:rsid w:val="00FF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7298A"/>
  <w15:docId w15:val="{26CAA8FD-A6E8-45E3-8E1D-D70A6B402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CL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0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200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/>
      <w:outlineLvl w:val="2"/>
    </w:pPr>
    <w:rPr>
      <w:b/>
      <w:bCs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00000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color w:val="00000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00000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Pr>
      <w:b/>
      <w:bCs/>
      <w:color w:val="000000"/>
      <w:sz w:val="36"/>
      <w:szCs w:val="36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  <w:rPr>
      <w:color w:val="000000"/>
      <w:sz w:val="18"/>
    </w:r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Arial" w:hAnsi="Arial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  <w:rPr>
      <w:color w:val="000000"/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Arial" w:hAnsi="Arial"/>
      <w:color w:val="000000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rPr>
      <w:color w:val="00000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Arial" w:hAnsi="Arial"/>
      <w:color w:val="000000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  <w:rPr>
      <w:color w:val="000000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Arial" w:hAnsi="Arial"/>
      <w:color w:val="000000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color w:val="000000"/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Arial" w:hAnsi="Arial"/>
      <w:color w:val="000000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  <w:rPr>
      <w:color w:val="000000"/>
    </w:r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  <w:rPr>
      <w:color w:val="000000"/>
    </w:r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  <w:rPr>
      <w:color w:val="000000"/>
    </w:r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  <w:rPr>
      <w:color w:val="000000"/>
    </w:r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  <w:rPr>
      <w:color w:val="000000"/>
    </w:r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  <w:rPr>
      <w:color w:val="000000"/>
    </w:r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  <w:rPr>
      <w:color w:val="000000"/>
    </w:r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  <w:rPr>
      <w:color w:val="000000"/>
    </w:r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color w:val="000000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Arial" w:hAnsi="Arial"/>
      <w:color w:val="000000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Arial" w:hAnsi="Arial"/>
      <w:i/>
      <w:iCs/>
      <w:color w:val="00000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rFonts w:ascii="Arial" w:hAnsi="Arial"/>
      <w:b/>
      <w:bCs/>
      <w:color w:val="000000"/>
    </w:rPr>
  </w:style>
  <w:style w:type="character" w:styleId="nfasis">
    <w:name w:val="Emphasis"/>
    <w:basedOn w:val="Fuentedeprrafopredeter"/>
    <w:uiPriority w:val="20"/>
    <w:qFormat/>
    <w:rsid w:val="00FC693F"/>
    <w:rPr>
      <w:rFonts w:ascii="Arial" w:hAnsi="Arial"/>
      <w:i/>
      <w:iCs/>
      <w:color w:val="00000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Arial" w:hAnsi="Arial"/>
      <w:b/>
      <w:bCs/>
      <w:i/>
      <w:iCs/>
      <w:color w:val="000000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Arial" w:hAnsi="Arial"/>
      <w:i/>
      <w:iCs/>
      <w:color w:val="000000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Arial" w:hAnsi="Arial"/>
      <w:b/>
      <w:bCs/>
      <w:i/>
      <w:iCs/>
      <w:color w:val="000000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Arial" w:hAnsi="Arial"/>
      <w:smallCaps/>
      <w:color w:val="000000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Arial" w:hAnsi="Arial"/>
      <w:b/>
      <w:bCs/>
      <w:smallCaps/>
      <w:color w:val="000000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Arial" w:hAnsi="Arial"/>
      <w:b/>
      <w:bCs/>
      <w:smallCaps/>
      <w:color w:val="000000"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i/>
      <w:iCs/>
      <w:color w:val="000000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TZbVlZZdevT1T1RdJJvn8HirkQ==">CgMxLjA4AHIhMXkyMUFQNklxZjRsNk5Pa0VvblgyZ1BmN2xpbURFMjdQ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460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Aprueba Administración</dc:creator>
  <cp:lastModifiedBy>SEBASTIAN ANDRES ARAYA HERNANDEZ</cp:lastModifiedBy>
  <cp:revision>2</cp:revision>
  <dcterms:created xsi:type="dcterms:W3CDTF">2013-12-23T23:15:00Z</dcterms:created>
  <dcterms:modified xsi:type="dcterms:W3CDTF">2026-10-31T06:36:00Z</dcterms:modified>
</cp:coreProperties>
</file>