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/>
      </w:pPr>
      <w:r w:rsidDel="00000000" w:rsidR="00000000" w:rsidRPr="00000000">
        <w:rPr/>
        <w:drawing>
          <wp:inline distB="0" distT="0" distL="114300" distR="114300">
            <wp:extent cx="1828800" cy="4495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20" w:before="34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4"/>
          <w:szCs w:val="34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90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8"/>
          <w:szCs w:val="28"/>
          <w:rtl w:val="0"/>
        </w:rPr>
        <w:t xml:space="preserve">Módulo de pago y suscripción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Integrantes: Sebastián Araya, César Garrido y Thiare Gómez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Asignatura: Capstone PTY4614 · Sección 004D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Institución: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Fecha de referencia: 30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modelo describe la estructura observada del módulo de pagos y suscripciones. Se contrastaron la exportación de Firestore, el diagrama anterior y el código local. El documento se acompaña del diagrama en PNG y del diccionario de datos. Las pruebas de permisos se registran por separado.</w:t>
      </w:r>
    </w:p>
    <w:p w:rsidR="00000000" w:rsidDel="00000000" w:rsidP="00000000" w:rsidRDefault="00000000" w:rsidRPr="00000000" w14:paraId="00000015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Fuentes y alcance</w:t>
      </w:r>
    </w:p>
    <w:p w:rsidR="00000000" w:rsidDel="00000000" w:rsidP="00000000" w:rsidRDefault="00000000" w:rsidRPr="00000000" w14:paraId="00000016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exportación declara 28 colecciones y 1815 documentos accesibles, sin errores. Se verificaron rutas únicas y conteos. El modelo cubre 11 colecciones vinculadas al módulo; las demás se mantienen en el inventario general. Corte final de exportación: 28 de octubre de 2026 a las 21:38:14 de Chile. El archivo se leyó durante un intervalo y no garantiza una captura atómica.</w:t>
      </w:r>
    </w:p>
    <w:p w:rsidR="00000000" w:rsidDel="00000000" w:rsidP="00000000" w:rsidRDefault="00000000" w:rsidRPr="00000000" w14:paraId="00000017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Fuente de datos: DAD_20_FIRESTORE_BD_aprueba-mvp-pruebas-2fc41_COMPLETO_2026-10-29T00-38-05-779Z.json. Enlace: https://drive.google.com/file/d/1aVx3HuuCr_RdvxRm319_y0ny50oOHYpe/view. Se contrastaron repo.js, checkout.js y stripeBilling.js del backend local. No se certificó que esa revisión sea la desplegada.</w:t>
      </w:r>
    </w:p>
    <w:p w:rsidR="00000000" w:rsidDel="00000000" w:rsidP="00000000" w:rsidRDefault="00000000" w:rsidRPr="00000000" w14:paraId="00000018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Lectura y tipos del modelo</w:t>
      </w:r>
    </w:p>
    <w:p w:rsidR="00000000" w:rsidDel="00000000" w:rsidP="00000000" w:rsidRDefault="00000000" w:rsidRPr="00000000" w14:paraId="00000019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Las relaciones son referencias lógicas mediante IDs de texto. docId e id son conceptos separados. Un signo de interrogación indica ausencia en algunos documentos observados y no una regla contractual de obligatoriedad. Los mapas anidados no son subcolecciones. Las fechas de negocio se distinguen de createTime y updateTime del envoltorio de exportación.</w:t>
      </w:r>
    </w:p>
    <w:p w:rsidR="00000000" w:rsidDel="00000000" w:rsidP="00000000" w:rsidRDefault="00000000" w:rsidRPr="00000000" w14:paraId="0000001A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plans.price es un precio mensual en USD interpretado por el backend. invoices.amount se guarda en unidad monetaria principal y amountCents en centavos. Los períodos y paidAt son texto en la captura; auditLog.createdAt es timestamp. Los IDs priceId pertenecen a Stripe y no justifican crear una colección Price interna.</w:t>
      </w:r>
    </w:p>
    <w:p w:rsidR="00000000" w:rsidDel="00000000" w:rsidP="00000000" w:rsidRDefault="00000000" w:rsidRPr="00000000" w14:paraId="0000001B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Diccionario completo</w:t>
      </w:r>
    </w:p>
    <w:p w:rsidR="00000000" w:rsidDel="00000000" w:rsidP="00000000" w:rsidRDefault="00000000" w:rsidRPr="00000000" w14:paraId="0000001C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Diccionario_de_datos_CMB01.csv contiene 231 rutas de campos de 11 colecciones. Incluye colección, campo, tipo, significado, presencia documental, obligatoriedad, origen almacenado o derivado y fuente. El archivo puede abrirse en Excel y no contiene valores personales.</w:t>
      </w:r>
    </w:p>
    <w:p w:rsidR="00000000" w:rsidDel="00000000" w:rsidP="00000000" w:rsidRDefault="00000000" w:rsidRPr="00000000" w14:paraId="0000001D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Todos los campos del CSV están observados almacenados. La habilitación efectiva de billing/status puede calcularse con propietario, estado, plan y vigencia. uniAssignment se documenta como dato derivado de respuesta y no se inventa como campo persistido. paidEntitlement y stripePlan sí son mapas almacenados observados.</w:t>
      </w:r>
    </w:p>
    <w:p w:rsidR="00000000" w:rsidDel="00000000" w:rsidP="00000000" w:rsidRDefault="00000000" w:rsidRPr="00000000" w14:paraId="0000001E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Relaciones comprobadas</w:t>
      </w:r>
    </w:p>
    <w:p w:rsidR="00000000" w:rsidDel="00000000" w:rsidP="00000000" w:rsidRDefault="00000000" w:rsidRPr="00000000" w14:paraId="0000001F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subscriptions.userId y subscriptions.plan encuentran destino en 8 de 8 documentos. latestInvoiceId está informado en 6 y ausente en 2.</w:t>
      </w:r>
    </w:p>
    <w:p w:rsidR="00000000" w:rsidDel="00000000" w:rsidP="00000000" w:rsidRDefault="00000000" w:rsidRPr="00000000" w14:paraId="00000020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invoices.userId encuentra destino en 16 de 16 documentos. stripeSubscriptionId está informado en 14 y ausente en 2 registros antiguos; por ello la factura admite referencia 0..1 a suscripción en el modelo observado.</w:t>
      </w:r>
    </w:p>
    <w:p w:rsidR="00000000" w:rsidDel="00000000" w:rsidP="00000000" w:rsidRDefault="00000000" w:rsidRPr="00000000" w14:paraId="00000021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checkoutSessions.userId encuentra destino en 12 documentos. Solo 6 sesiones informan suscripción; las otras 6 tienen valor nulo o vacío. stripeEvents informa una suscripción en 57 de 63 documentos.</w:t>
      </w:r>
    </w:p>
    <w:p w:rsidR="00000000" w:rsidDel="00000000" w:rsidP="00000000" w:rsidRDefault="00000000" w:rsidRPr="00000000" w14:paraId="00000022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auditLog.actorUid encuentra adminUsers en los 5 registros. Los IDs de features de los planes encuentran las características observadas. Estas comprobaciones no crean restricciones referenciales futuras.</w:t>
      </w:r>
    </w:p>
    <w:p w:rsidR="00000000" w:rsidDel="00000000" w:rsidP="00000000" w:rsidRDefault="00000000" w:rsidRPr="00000000" w14:paraId="00000023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Estructura del modelo observado</w:t>
      </w:r>
    </w:p>
    <w:p w:rsidR="00000000" w:rsidDel="00000000" w:rsidP="00000000" w:rsidRDefault="00000000" w:rsidRPr="00000000" w14:paraId="00000024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Identidad. </w:t>
      </w:r>
      <w:r w:rsidDel="00000000" w:rsidR="00000000" w:rsidRPr="00000000">
        <w:rPr>
          <w:rtl w:val="0"/>
        </w:rPr>
        <w:t xml:space="preserve">users.id y docId separados de firebaseUid. users.id coincide con docId en la captura; firebaseUid tiene otro propósito.</w:t>
      </w:r>
    </w:p>
    <w:p w:rsidR="00000000" w:rsidDel="00000000" w:rsidP="00000000" w:rsidRDefault="00000000" w:rsidRPr="00000000" w14:paraId="00000025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Plan de suscripción. </w:t>
      </w:r>
      <w:r w:rsidDel="00000000" w:rsidR="00000000" w:rsidRPr="00000000">
        <w:rPr>
          <w:rtl w:val="0"/>
        </w:rPr>
        <w:t xml:space="preserve">subscriptions.plan. 8/8 referencias encuentran plans; conservar nombre real del campo.</w:t>
      </w:r>
    </w:p>
    <w:p w:rsidR="00000000" w:rsidDel="00000000" w:rsidP="00000000" w:rsidRDefault="00000000" w:rsidRPr="00000000" w14:paraId="00000026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Precio. </w:t>
      </w:r>
      <w:r w:rsidDel="00000000" w:rsidR="00000000" w:rsidRPr="00000000">
        <w:rPr>
          <w:rtl w:val="0"/>
        </w:rPr>
        <w:t xml:space="preserve">plans.price escalar; priceId externo Stripe. No hay colección Price; Checkout calcula USD mensual o anual y centavos.</w:t>
      </w:r>
    </w:p>
    <w:p w:rsidR="00000000" w:rsidDel="00000000" w:rsidP="00000000" w:rsidRDefault="00000000" w:rsidRPr="00000000" w14:paraId="00000027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Fechas. </w:t>
      </w:r>
      <w:r w:rsidDel="00000000" w:rsidR="00000000" w:rsidRPr="00000000">
        <w:rPr>
          <w:rtl w:val="0"/>
        </w:rPr>
        <w:t xml:space="preserve">Tipo persistido por campo. Períodos y paidAt son strings; auditLog.createdAt es timestamp.</w:t>
      </w:r>
    </w:p>
    <w:p w:rsidR="00000000" w:rsidDel="00000000" w:rsidP="00000000" w:rsidRDefault="00000000" w:rsidRPr="00000000" w14:paraId="00000028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Estado y acceso. </w:t>
      </w:r>
      <w:r w:rsidDel="00000000" w:rsidR="00000000" w:rsidRPr="00000000">
        <w:rPr>
          <w:rtl w:val="0"/>
        </w:rPr>
        <w:t xml:space="preserve">status, accessActive, paymentPending, paidEntitlement y stripePlan. Se separa estado financiero de beneficio efectivo y transición pendiente.</w:t>
      </w:r>
    </w:p>
    <w:p w:rsidR="00000000" w:rsidDel="00000000" w:rsidP="00000000" w:rsidRDefault="00000000" w:rsidRPr="00000000" w14:paraId="00000029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Facturas. </w:t>
      </w:r>
      <w:r w:rsidDel="00000000" w:rsidR="00000000" w:rsidRPr="00000000">
        <w:rPr>
          <w:rtl w:val="0"/>
        </w:rPr>
        <w:t xml:space="preserve">Referencia 0..1 a suscripción en el modelo observado. 14/16 informan stripeSubscriptionId; dos registros antiguos no lo incluyen.</w:t>
      </w:r>
    </w:p>
    <w:p w:rsidR="00000000" w:rsidDel="00000000" w:rsidP="00000000" w:rsidRDefault="00000000" w:rsidRPr="00000000" w14:paraId="0000002A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Unidades. </w:t>
      </w:r>
      <w:r w:rsidDel="00000000" w:rsidR="00000000" w:rsidRPr="00000000">
        <w:rPr>
          <w:rtl w:val="0"/>
        </w:rPr>
        <w:t xml:space="preserve">invoices.amount en USD y amountCents en centavos. Interpretación contrastada con stripeBilling y checkout; no mezclar ambas magnitudes.</w:t>
      </w:r>
    </w:p>
    <w:p w:rsidR="00000000" w:rsidDel="00000000" w:rsidP="00000000" w:rsidRDefault="00000000" w:rsidRPr="00000000" w14:paraId="0000002B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Checkout. </w:t>
      </w:r>
      <w:r w:rsidDel="00000000" w:rsidR="00000000" w:rsidRPr="00000000">
        <w:rPr>
          <w:rtl w:val="0"/>
        </w:rPr>
        <w:t xml:space="preserve">checkoutAttempts y checkoutSessions. 10 intentos actuales por usuario y 12 sesiones observadas.</w:t>
      </w:r>
    </w:p>
    <w:p w:rsidR="00000000" w:rsidDel="00000000" w:rsidP="00000000" w:rsidRDefault="00000000" w:rsidRPr="00000000" w14:paraId="0000002C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Eventos. </w:t>
      </w:r>
      <w:r w:rsidDel="00000000" w:rsidR="00000000" w:rsidRPr="00000000">
        <w:rPr>
          <w:rtl w:val="0"/>
        </w:rPr>
        <w:t xml:space="preserve">stripeEvents con versión y fecha de procesamiento. 63 comprobantes; el receptor espera el proceso antes de responder; no se acredita cola.</w:t>
      </w:r>
    </w:p>
    <w:p w:rsidR="00000000" w:rsidDel="00000000" w:rsidP="00000000" w:rsidRDefault="00000000" w:rsidRPr="00000000" w14:paraId="0000002D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Auditoría. </w:t>
      </w:r>
      <w:r w:rsidDel="00000000" w:rsidR="00000000" w:rsidRPr="00000000">
        <w:rPr>
          <w:rtl w:val="0"/>
        </w:rPr>
        <w:t xml:space="preserve">adminUsers y auditLog. 1 cuenta administrativa y 5 auditorías; mfaEnabled no demuestra MFA operativo.</w:t>
      </w:r>
    </w:p>
    <w:p w:rsidR="00000000" w:rsidDel="00000000" w:rsidP="00000000" w:rsidRDefault="00000000" w:rsidRPr="00000000" w14:paraId="0000002E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Seguridad. </w:t>
      </w:r>
      <w:r w:rsidDel="00000000" w:rsidR="00000000" w:rsidRPr="00000000">
        <w:rPr>
          <w:rtl w:val="0"/>
        </w:rPr>
        <w:t xml:space="preserve">Referencias lógicas por ID. Firestore no impone claves foráneas; Rules y autorización requieren pruebas independientes.</w:t>
      </w:r>
    </w:p>
    <w:p w:rsidR="00000000" w:rsidDel="00000000" w:rsidP="00000000" w:rsidRDefault="00000000" w:rsidRPr="00000000" w14:paraId="0000002F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Servicio de pagos. Representa una responsabilidad lógica distribuida entre módulos y rutas; no se identificó una clase PaymentService implementada con esos métodos.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Contraste con las pruebas</w:t>
      </w:r>
    </w:p>
    <w:p w:rsidR="00000000" w:rsidDel="00000000" w:rsidP="00000000" w:rsidRDefault="00000000" w:rsidRPr="00000000" w14:paraId="00000031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cuenta C mantiene la misma suscripción tras compra, cambio a Todas las pruebas y retorno a Ciencias. La exportación registra plan uni, prueba cien, ciclo monthly, status active, accessActive true y cancelAtPeriodEnd false. Las tres facturas correlacionadas tienen importes de 1, 4 y 0 USD, estado paid y livemode false. Las operaciones se detallan en ../Resultados de las pruebas/Evidencias de prueba/Datos y permisos/Informe_de_pruebas_Fase2.pdf.</w:t>
      </w:r>
    </w:p>
    <w:p w:rsidR="00000000" w:rsidDel="00000000" w:rsidP="00000000" w:rsidRDefault="00000000" w:rsidRPr="00000000" w14:paraId="00000032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rtl w:val="0"/>
        </w:rPr>
        <w:t xml:space="preserve">Límites de validación</w:t>
      </w:r>
    </w:p>
    <w:p w:rsidR="00000000" w:rsidDel="00000000" w:rsidP="00000000" w:rsidRDefault="00000000" w:rsidRPr="00000000" w14:paraId="00000033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exportación no incluye Authentication, Storage, Security Rules, índices ni IAM. No demuestra aislamiento entre cuentas, obligatoriedad de campos, transacciones atómicas, concurrencia o recuperación completa de errores. stripeEvents guarda comprobantes de procesamiento; no acredita una cola operativa con payload y error. El receptor de webhook espera el proceso antes de responder.</w:t>
      </w:r>
    </w:p>
    <w:p w:rsidR="00000000" w:rsidDel="00000000" w:rsidP="00000000" w:rsidRDefault="00000000" w:rsidRPr="00000000" w14:paraId="00000034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archivo bruto de Firestore se excluye por contener datos ajenos al modelo. La aceptación del alcance y las pruebas de permisos permanecen pendientes en sus respectivos registros.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134" w:top="1134" w:left="1134" w:right="1134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120" w:before="0" w:line="259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120" w:before="0" w:line="259" w:lineRule="auto"/>
    </w:pPr>
    <w:rPr>
      <w:rFonts w:ascii="Arial" w:hAnsi="Arial"/>
      <w:b w:val="0"/>
      <w:color w:val="000000"/>
      <w:sz w:val="18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120" w:before="0" w:line="259" w:lineRule="auto"/>
    </w:pPr>
    <w:rPr>
      <w:rFonts w:ascii="Arial" w:hAnsi="Arial"/>
      <w:b w:val="0"/>
      <w:color w:val="000000"/>
      <w:sz w:val="18"/>
    </w:rPr>
  </w:style>
  <w:style w:type="character" w:styleId="FooterChar" w:customStyle="1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Arial" w:hAnsi="Arial" w:asciiTheme="majorHAnsi" w:cstheme="majorBidi" w:eastAsiaTheme="majorEastAsia" w:hAnsiTheme="majorHAnsi"/>
      <w:i w:val="1"/>
      <w:iCs w:val="1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Arial" w:hAnsi="Arial"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Arial" w:hAnsi="Arial"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rPr>
      <w:rFonts w:ascii="Arial" w:hAnsi="Arial"/>
      <w:color w:val="000000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  <w:rPr>
      <w:rFonts w:ascii="Arial" w:hAnsi="Arial"/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Arial" w:hAnsi="Arial" w:asciiTheme="majorHAnsi" w:cstheme="majorBidi" w:eastAsiaTheme="majorEastAsia" w:hAnsiTheme="majorHAnsi"/>
      <w:b w:val="1"/>
      <w:bCs w:val="1"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Arial" w:hAnsi="Arial" w:asciiTheme="majorHAnsi" w:cstheme="majorBidi" w:eastAsiaTheme="majorEastAsia" w:hAnsiTheme="majorHAnsi"/>
      <w:b w:val="1"/>
      <w:bCs w:val="1"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Arial" w:hAnsi="Arial" w:asciiTheme="majorHAnsi" w:cstheme="majorBidi" w:eastAsiaTheme="majorEastAsia" w:hAnsiTheme="majorHAnsi"/>
      <w:b w:val="1"/>
      <w:bCs w:val="1"/>
      <w:color w:val="000000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Arial" w:hAnsi="Arial" w:asciiTheme="majorHAnsi" w:cstheme="majorBidi" w:eastAsiaTheme="majorEastAsia" w:hAnsiTheme="majorHAnsi"/>
      <w:color w:val="000000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Arial" w:hAnsi="Arial" w:asciiTheme="majorHAnsi" w:cstheme="majorBidi" w:eastAsiaTheme="majorEastAsia" w:hAnsiTheme="majorHAnsi"/>
      <w:i w:val="1"/>
      <w:iCs w:val="1"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  <w:rPr>
      <w:rFonts w:ascii="Arial" w:hAnsi="Arial"/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  <w:rPr>
      <w:rFonts w:ascii="Arial" w:hAnsi="Arial"/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rFonts w:ascii="Arial" w:hAnsi="Arial"/>
      <w:i w:val="1"/>
      <w:iCs w:val="1"/>
      <w:color w:val="00000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rFonts w:ascii="Arial" w:hAnsi="Arial"/>
      <w:i w:val="1"/>
      <w:iCs w:val="1"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="Arial" w:hAnsi="Arial" w:asciiTheme="majorHAnsi" w:cstheme="majorBidi" w:eastAsiaTheme="majorEastAsia" w:hAnsiTheme="majorHAnsi"/>
      <w:b w:val="1"/>
      <w:bCs w:val="1"/>
      <w:i w:val="1"/>
      <w:iCs w:val="1"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="Arial" w:hAnsi="Arial" w:asciiTheme="majorHAnsi" w:cstheme="majorBidi" w:eastAsiaTheme="majorEastAsia" w:hAnsiTheme="majorHAns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="Arial" w:hAnsi="Arial" w:asciiTheme="majorHAnsi" w:cstheme="majorBidi" w:eastAsiaTheme="majorEastAsia" w:hAnsiTheme="majorHAnsi"/>
      <w:i w:val="1"/>
      <w:iCs w:val="1"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="Arial" w:hAnsi="Arial" w:asciiTheme="majorHAnsi" w:cstheme="majorBidi" w:eastAsiaTheme="majorEastAsia" w:hAnsiTheme="majorHAnsi"/>
      <w:i w:val="1"/>
      <w:iCs w:val="1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="Arial" w:hAnsi="Arial" w:asciiTheme="majorHAnsi" w:cstheme="majorBidi" w:eastAsiaTheme="majorEastAsia" w:hAnsiTheme="majorHAns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="Arial" w:hAnsi="Arial"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rFonts w:ascii="Arial" w:hAnsi="Arial"/>
      <w:b w:val="1"/>
      <w:bCs w:val="1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rFonts w:ascii="Arial" w:hAnsi="Arial"/>
      <w:b w:val="1"/>
      <w:bCs w:val="1"/>
      <w:color w:val="000000"/>
    </w:rPr>
  </w:style>
  <w:style w:type="character" w:styleId="Emphasis">
    <w:name w:val="Emphasis"/>
    <w:basedOn w:val="DefaultParagraphFont"/>
    <w:uiPriority w:val="20"/>
    <w:qFormat w:val="1"/>
    <w:rsid w:val="00FC693F"/>
    <w:rPr>
      <w:rFonts w:ascii="Arial" w:hAnsi="Arial"/>
      <w:i w:val="1"/>
      <w:iCs w:val="1"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rFonts w:ascii="Arial" w:hAnsi="Arial"/>
      <w:b w:val="1"/>
      <w:bCs w:val="1"/>
      <w:i w:val="1"/>
      <w:iCs w:val="1"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rFonts w:ascii="Arial" w:hAnsi="Arial"/>
      <w:b w:val="1"/>
      <w:bCs w:val="1"/>
      <w:i w:val="1"/>
      <w:iCs w:val="1"/>
      <w:color w:val="000000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rFonts w:ascii="Arial" w:hAnsi="Arial"/>
      <w:i w:val="1"/>
      <w:iCs w:val="1"/>
      <w:color w:val="000000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rFonts w:ascii="Arial" w:hAnsi="Arial"/>
      <w:b w:val="1"/>
      <w:bCs w:val="1"/>
      <w:i w:val="1"/>
      <w:iCs w:val="1"/>
      <w:color w:val="000000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rFonts w:ascii="Arial" w:hAnsi="Arial"/>
      <w:smallCaps w:val="1"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rFonts w:ascii="Arial" w:hAnsi="Arial"/>
      <w:b w:val="1"/>
      <w:bCs w:val="1"/>
      <w:smallCaps w:val="1"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rFonts w:ascii="Arial" w:hAnsi="Arial"/>
      <w:b w:val="1"/>
      <w:bCs w:val="1"/>
      <w:smallCaps w:val="1"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spacing w:after="120" w:before="0" w:line="259" w:lineRule="auto"/>
    </w:pPr>
    <w:rPr>
      <w:rFonts w:ascii="Arial" w:cs="Arial" w:eastAsia="Arial" w:hAnsi="Arial"/>
      <w:b w:val="0"/>
      <w:bCs w:val="0"/>
      <w:i w:val="1"/>
      <w:iCs w:val="1"/>
      <w:color w:val="000000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9C6sK11Lcedd1dv2QcEoqZWg+g==">CgMxLjA4AHIhMWhNT2RyM3ZFQ1lIbnRsU2RYTHlJZFVoakI2UkpWcnJQ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Aprueba Administración</dc:creator>
</cp:coreProperties>
</file>