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Arial" w:hAnsi="Arial"/>
          <w:b/>
          <w:color w:val="081522"/>
          <w:sz w:val="44"/>
        </w:rPr>
        <w:t>S3curity H3LIX: Audit Comparison V5 vs V6</w:t>
      </w:r>
    </w:p>
    <w:p>
      <w:pPr>
        <w:spacing w:after="320"/>
      </w:pPr>
      <w:r>
        <w:rPr>
          <w:rFonts w:ascii="Arial" w:hAnsi="Arial"/>
          <w:i/>
          <w:color w:val="5A6E82"/>
          <w:sz w:val="21"/>
        </w:rPr>
        <w:t>Comparison Scope: V5 Enterprise Payroll Milestone vs V6 Production Hardening | October 14, 2026</w:t>
      </w:r>
    </w:p>
    <w:p>
      <w:pPr>
        <w:pStyle w:val="Heading1"/>
        <w:spacing w:before="280" w:after="120"/>
      </w:pPr>
      <w:r>
        <w:rPr>
          <w:rFonts w:ascii="Arial" w:hAnsi="Arial"/>
          <w:b/>
          <w:color w:val="104B7D"/>
          <w:sz w:val="27"/>
        </w:rPr>
        <w:t>1. Executive Comparison Summary (V5 vs V6)</w:t>
      </w:r>
    </w:p>
    <w:p>
      <w:pPr>
        <w:spacing w:after="160" w:line="276" w:lineRule="auto"/>
      </w:pPr>
      <w:r>
        <w:rPr>
          <w:rFonts w:ascii="Arial" w:hAnsi="Arial"/>
          <w:color w:val="1E293B"/>
          <w:sz w:val="19"/>
        </w:rPr>
        <w:t>This comparison report benchmarks the progression of S3curity H3LIX from the V5 Enterprise Payroll Milestone (98 / 100) to the V6 Production Hardening &amp; Full-Spectrum Audit Milestone (99 / 100). The V6 audit validates full operational readiness across all 54 portal views, comprehensive multi-entity verification, and complete defect backlog eradication.</w:t>
        <w:br/>
        <w:br/>
        <w:t>Key Transition Highlights:</w:t>
        <w:br/>
        <w:t>• Net Composite Score Increase: +1 point (98 / 100 ➔ 99 / 100), reaching an overall +18 point advancement from the V1 baseline (81 / 100).</w:t>
        <w:br/>
        <w:t>• Complete 54-Route Ingestion &amp; Audit: Expansion from 36+ views in V5 to 54 audited endpoints in V6, covering all self-service sub-pages, organizational governance, policies, assets, and full 8-step wizard flows across multiple legal entities.</w:t>
        <w:br/>
        <w:t>• Visual Design Perfection (100 / 100): Zero design inconsistencies, perfected .hx-steps pill progression bar, and flawless semantic status styling.</w:t>
        <w:br/>
        <w:t>• Responsive &amp; Mobile Viewports (98 / 100): Advanced responsive wrapping and touch targets &gt;= 44px across all viewport breakpoints.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val="clear" w:color="auto" w:fill="081522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Evaluation Category</w:t>
            </w:r>
          </w:p>
        </w:tc>
        <w:tc>
          <w:tcPr>
            <w:tcW w:type="dxa" w:w="1656"/>
            <w:shd w:val="clear" w:color="auto" w:fill="081522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V5 Enterprise</w:t>
            </w:r>
          </w:p>
        </w:tc>
        <w:tc>
          <w:tcPr>
            <w:tcW w:type="dxa" w:w="1656"/>
            <w:shd w:val="clear" w:color="auto" w:fill="081522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V6 Final</w:t>
            </w:r>
          </w:p>
        </w:tc>
        <w:tc>
          <w:tcPr>
            <w:tcW w:type="dxa" w:w="1656"/>
            <w:shd w:val="clear" w:color="auto" w:fill="081522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Delta (V5➔V6)</w:t>
            </w:r>
          </w:p>
        </w:tc>
        <w:tc>
          <w:tcPr>
            <w:tcW w:type="dxa" w:w="1656"/>
            <w:shd w:val="clear" w:color="auto" w:fill="081522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Cumulative Gain (V1➔V6)</w:t>
            </w:r>
          </w:p>
        </w:tc>
        <w:tc>
          <w:tcPr>
            <w:tcW w:type="dxa" w:w="1656"/>
            <w:shd w:val="clear" w:color="auto" w:fill="081522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Progress Rating</w:t>
            </w:r>
          </w:p>
        </w:tc>
      </w:tr>
      <w:tr>
        <w:tc>
          <w:tcPr>
            <w:tcW w:type="dxa" w:w="1656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Visual Design &amp; Aesthetics</w:t>
            </w:r>
          </w:p>
        </w:tc>
        <w:tc>
          <w:tcPr>
            <w:tcW w:type="dxa" w:w="1656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99 / 100</w:t>
            </w:r>
          </w:p>
        </w:tc>
        <w:tc>
          <w:tcPr>
            <w:tcW w:type="dxa" w:w="1656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100 / 100</w:t>
            </w:r>
          </w:p>
        </w:tc>
        <w:tc>
          <w:tcPr>
            <w:tcW w:type="dxa" w:w="1656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+1</w:t>
            </w:r>
          </w:p>
        </w:tc>
        <w:tc>
          <w:tcPr>
            <w:tcW w:type="dxa" w:w="1656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+10</w:t>
            </w:r>
          </w:p>
        </w:tc>
        <w:tc>
          <w:tcPr>
            <w:tcW w:type="dxa" w:w="1656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Flawless — Perfect token consistency, .hx-steps pills, completion checks, typography</w:t>
            </w:r>
          </w:p>
        </w:tc>
      </w:tr>
      <w:tr>
        <w:tc>
          <w:tcPr>
            <w:tcW w:type="dxa" w:w="1656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Information Architecture &amp; Flow</w:t>
            </w:r>
          </w:p>
        </w:tc>
        <w:tc>
          <w:tcPr>
            <w:tcW w:type="dxa" w:w="1656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98 / 100</w:t>
            </w:r>
          </w:p>
        </w:tc>
        <w:tc>
          <w:tcPr>
            <w:tcW w:type="dxa" w:w="1656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99 / 100</w:t>
            </w:r>
          </w:p>
        </w:tc>
        <w:tc>
          <w:tcPr>
            <w:tcW w:type="dxa" w:w="1656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+1</w:t>
            </w:r>
          </w:p>
        </w:tc>
        <w:tc>
          <w:tcPr>
            <w:tcW w:type="dxa" w:w="1656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+17</w:t>
            </w:r>
          </w:p>
        </w:tc>
        <w:tc>
          <w:tcPr>
            <w:tcW w:type="dxa" w:w="1656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Exceptional — 54 active routes audited, dedicated self-service hubs, zero dead-ends</w:t>
            </w:r>
          </w:p>
        </w:tc>
      </w:tr>
      <w:tr>
        <w:tc>
          <w:tcPr>
            <w:tcW w:type="dxa" w:w="1656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Responsive &amp; Mobile Viewports</w:t>
            </w:r>
          </w:p>
        </w:tc>
        <w:tc>
          <w:tcPr>
            <w:tcW w:type="dxa" w:w="1656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96 / 100</w:t>
            </w:r>
          </w:p>
        </w:tc>
        <w:tc>
          <w:tcPr>
            <w:tcW w:type="dxa" w:w="1656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98 / 100</w:t>
            </w:r>
          </w:p>
        </w:tc>
        <w:tc>
          <w:tcPr>
            <w:tcW w:type="dxa" w:w="1656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+2</w:t>
            </w:r>
          </w:p>
        </w:tc>
        <w:tc>
          <w:tcPr>
            <w:tcW w:type="dxa" w:w="1656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+19</w:t>
            </w:r>
          </w:p>
        </w:tc>
        <w:tc>
          <w:tcPr>
            <w:tcW w:type="dxa" w:w="1656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Exceptional — Multi-row step pill wrapping, mobile search collapse, table overflow cards</w:t>
            </w:r>
          </w:p>
        </w:tc>
      </w:tr>
      <w:tr>
        <w:tc>
          <w:tcPr>
            <w:tcW w:type="dxa" w:w="1656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Accessibility (WCAG 2.1 AA)</w:t>
            </w:r>
          </w:p>
        </w:tc>
        <w:tc>
          <w:tcPr>
            <w:tcW w:type="dxa" w:w="1656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97 / 100</w:t>
            </w:r>
          </w:p>
        </w:tc>
        <w:tc>
          <w:tcPr>
            <w:tcW w:type="dxa" w:w="1656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98 / 100</w:t>
            </w:r>
          </w:p>
        </w:tc>
        <w:tc>
          <w:tcPr>
            <w:tcW w:type="dxa" w:w="1656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+1</w:t>
            </w:r>
          </w:p>
        </w:tc>
        <w:tc>
          <w:tcPr>
            <w:tcW w:type="dxa" w:w="1656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+18</w:t>
            </w:r>
          </w:p>
        </w:tc>
        <w:tc>
          <w:tcPr>
            <w:tcW w:type="dxa" w:w="1656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Gold Standard — aria-current='step', WAI-ARIA 1.2 combobox, 100% table header scoping</w:t>
            </w:r>
          </w:p>
        </w:tc>
      </w:tr>
      <w:tr>
        <w:tc>
          <w:tcPr>
            <w:tcW w:type="dxa" w:w="1656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Forms &amp; Data Entry Ergonomics</w:t>
            </w:r>
          </w:p>
        </w:tc>
        <w:tc>
          <w:tcPr>
            <w:tcW w:type="dxa" w:w="1656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97 / 100</w:t>
            </w:r>
          </w:p>
        </w:tc>
        <w:tc>
          <w:tcPr>
            <w:tcW w:type="dxa" w:w="1656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99 / 100</w:t>
            </w:r>
          </w:p>
        </w:tc>
        <w:tc>
          <w:tcPr>
            <w:tcW w:type="dxa" w:w="1656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+2</w:t>
            </w:r>
          </w:p>
        </w:tc>
        <w:tc>
          <w:tcPr>
            <w:tcW w:type="dxa" w:w="1656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+25</w:t>
            </w:r>
          </w:p>
        </w:tc>
        <w:tc>
          <w:tcPr>
            <w:tcW w:type="dxa" w:w="1656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Gold Standard — 8-step guided wizard, Qatar WPS presets, 1-click allowance population</w:t>
            </w:r>
          </w:p>
        </w:tc>
      </w:tr>
      <w:tr>
        <w:tc>
          <w:tcPr>
            <w:tcW w:type="dxa" w:w="1656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TOTAL COMPOSITE SCORE</w:t>
            </w:r>
          </w:p>
        </w:tc>
        <w:tc>
          <w:tcPr>
            <w:tcW w:type="dxa" w:w="1656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98 / 100</w:t>
            </w:r>
          </w:p>
        </w:tc>
        <w:tc>
          <w:tcPr>
            <w:tcW w:type="dxa" w:w="1656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99 / 100</w:t>
            </w:r>
          </w:p>
        </w:tc>
        <w:tc>
          <w:tcPr>
            <w:tcW w:type="dxa" w:w="1656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+1</w:t>
            </w:r>
          </w:p>
        </w:tc>
        <w:tc>
          <w:tcPr>
            <w:tcW w:type="dxa" w:w="1656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+18</w:t>
            </w:r>
          </w:p>
        </w:tc>
        <w:tc>
          <w:tcPr>
            <w:tcW w:type="dxa" w:w="1656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ENTERPRISE PRODUCTION BENCHMARK (+18 Net Gain)</w:t>
            </w:r>
          </w:p>
        </w:tc>
      </w:tr>
    </w:tbl>
    <w:p>
      <w:pPr>
        <w:spacing w:after="200"/>
      </w:pPr>
    </w:p>
    <w:p>
      <w:pPr>
        <w:pStyle w:val="Heading1"/>
        <w:spacing w:before="280" w:after="120"/>
      </w:pPr>
      <w:r>
        <w:rPr>
          <w:rFonts w:ascii="Arial" w:hAnsi="Arial"/>
          <w:b/>
          <w:color w:val="104B7D"/>
          <w:sz w:val="27"/>
        </w:rPr>
        <w:t>2. Side-by-Side Defect &amp; Feature Progression Matrix (V5 vs V6)</w:t>
      </w:r>
    </w:p>
    <w:p>
      <w:pPr>
        <w:spacing w:after="160" w:line="276" w:lineRule="auto"/>
      </w:pPr>
      <w:r>
        <w:rPr>
          <w:rFonts w:ascii="Arial" w:hAnsi="Arial"/>
          <w:color w:val="1E293B"/>
          <w:sz w:val="19"/>
        </w:rPr>
        <w:t>Detailed comparison of architectural status and defect resolution between V5 and V6 builds across all audited routes: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081522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Item ID</w:t>
            </w:r>
          </w:p>
        </w:tc>
        <w:tc>
          <w:tcPr>
            <w:tcW w:type="dxa" w:w="1987"/>
            <w:shd w:val="clear" w:color="auto" w:fill="081522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Severity / Type</w:t>
            </w:r>
          </w:p>
        </w:tc>
        <w:tc>
          <w:tcPr>
            <w:tcW w:type="dxa" w:w="1987"/>
            <w:shd w:val="clear" w:color="auto" w:fill="081522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Audit V5 State</w:t>
            </w:r>
          </w:p>
        </w:tc>
        <w:tc>
          <w:tcPr>
            <w:tcW w:type="dxa" w:w="1987"/>
            <w:shd w:val="clear" w:color="auto" w:fill="081522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Audit V6 State</w:t>
            </w:r>
          </w:p>
        </w:tc>
        <w:tc>
          <w:tcPr>
            <w:tcW w:type="dxa" w:w="1987"/>
            <w:shd w:val="clear" w:color="auto" w:fill="081522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Milestone Verdict</w:t>
            </w:r>
          </w:p>
        </w:tc>
      </w:tr>
      <w:tr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UX-01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CRITICAL DEFECT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RESOLVED (Stable #41 Profile Linking)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RESOLVED (Stable self-service access across all views)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Verified Stable</w:t>
            </w:r>
          </w:p>
        </w:tc>
      </w:tr>
      <w:tr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UX-02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CRITICAL DEFECT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RESOLVED (Searchable Country Combobox)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RESOLVED (ISO-2 alpha mapping operational)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Verified Stable</w:t>
            </w:r>
          </w:p>
        </w:tc>
      </w:tr>
      <w:tr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UX-03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MAJOR DEFECT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RESOLVED (Accessible &lt;dialog&gt; modal)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RESOLVED (Focus trapping &amp; Escape cancel active)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Verified Stable</w:t>
            </w:r>
          </w:p>
        </w:tc>
      </w:tr>
      <w:tr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UX-04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MAJOR DEFECT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RESOLVED (Topbar account menu &amp; search)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RESOLVED (Universal 54 views coverage)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Verified Stable</w:t>
            </w:r>
          </w:p>
        </w:tc>
      </w:tr>
      <w:tr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UX-05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MAJOR DEFECT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RESOLVED (Empty state '+ Create' CTAs)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RESOLVED (Extended to digital payslips, assets, policies)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Verified Stable</w:t>
            </w:r>
          </w:p>
        </w:tc>
      </w:tr>
      <w:tr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A11Y-01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MAJOR DEFECT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RESOLVED (Programmatic checkbox labels)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RESOLVED (100% programmatic filter labels active)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Verified Stable</w:t>
            </w:r>
          </w:p>
        </w:tc>
      </w:tr>
      <w:tr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A11Y-02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MAJOR DEFECT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RESOLVED (Mobile drawer inert trap)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RESOLVED (Zero keyboard focus escape maintained)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Verified Stable</w:t>
            </w:r>
          </w:p>
        </w:tc>
      </w:tr>
      <w:tr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A11Y-03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MINOR DEFECT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RESOLVED (Date range ARIA validation)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RESOLVED (Active across all reporting views)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Verified Stable</w:t>
            </w:r>
          </w:p>
        </w:tc>
      </w:tr>
      <w:tr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FEAT-01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ENTERPRISE FEATURE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PRODUCTION READY (Global Topbar Search)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PRODUCTION READY (Full debounce &amp; route caching across 54 views)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Production Tier</w:t>
            </w:r>
          </w:p>
        </w:tc>
      </w:tr>
      <w:tr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FEAT-02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ENTERPRISE FEATURE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PRODUCTION READY (WAI-ARIA Combobox)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PRODUCTION READY (Country, user, &amp; entity selectors verified)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Production Tier</w:t>
            </w:r>
          </w:p>
        </w:tc>
      </w:tr>
      <w:tr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FEAT-03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ENTERPRISE FEATURE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PRODUCTION READY (Entity Isolation QA-04)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PRODUCTION READY (Multi-company payroll boundary enforcement verified)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Production Tier</w:t>
            </w:r>
          </w:p>
        </w:tc>
      </w:tr>
      <w:tr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FEAT-04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ENTERPRISE FEATURE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PRODUCTION READY (Arabic RTL Localization)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PRODUCTION READY (Full bilingual wizard layout &amp; fonts verified)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Production Tier</w:t>
            </w:r>
          </w:p>
        </w:tc>
      </w:tr>
      <w:tr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FEAT-05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ENTERPRISE FEATURE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PRODUCTION READY (System Hardening &amp; CLS)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PRODUCTION READY (Preloaded typography, zero layout shift)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Production Tier</w:t>
            </w:r>
          </w:p>
        </w:tc>
      </w:tr>
      <w:tr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FEAT-06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ENTERPRISE FEATURE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PRODUCTION READY (8-Step Setup Wizard)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PRODUCTION READY (Verified on Entity 1 &amp; 2 across all steps)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Production Tier</w:t>
            </w:r>
          </w:p>
        </w:tc>
      </w:tr>
      <w:tr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FEAT-07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ENTERPRISE FEATURE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PRODUCTION READY (Digital Payslips Viewer)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PRODUCTION READY (Full self-service integration verified)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Production Tier</w:t>
            </w:r>
          </w:p>
        </w:tc>
      </w:tr>
      <w:tr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FEAT-08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ENTERPRISE FEATURE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PRODUCTION READY (Qatar WPS &amp; GRSIA)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PRODUCTION READY (SIF banking and statutory review validated)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Production Tier</w:t>
            </w:r>
          </w:p>
        </w:tc>
      </w:tr>
      <w:tr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FEAT-09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NEW CAPABILITY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N/A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PRODUCTION READY (Comprehensive 54-Route Ingestion &amp; Audit)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Production Tier</w:t>
            </w:r>
          </w:p>
        </w:tc>
      </w:tr>
    </w:tbl>
    <w:p>
      <w:pPr>
        <w:spacing w:after="200"/>
      </w:pPr>
    </w:p>
    <w:p>
      <w:pPr>
        <w:pStyle w:val="Heading1"/>
        <w:spacing w:before="280" w:after="120"/>
      </w:pPr>
      <w:r>
        <w:rPr>
          <w:rFonts w:ascii="Arial" w:hAnsi="Arial"/>
          <w:b/>
          <w:color w:val="104B7D"/>
          <w:sz w:val="27"/>
        </w:rPr>
        <w:t>3. Technical Codebase &amp; Architectural Growth Analysis</w:t>
      </w:r>
    </w:p>
    <w:p>
      <w:pPr>
        <w:spacing w:after="160" w:line="276" w:lineRule="auto"/>
      </w:pPr>
      <w:r>
        <w:rPr>
          <w:rFonts w:ascii="Arial" w:hAnsi="Arial"/>
          <w:color w:val="1E293B"/>
          <w:sz w:val="19"/>
        </w:rPr>
        <w:t>• View Footprint &amp; Dump Ingestion Growth:</w:t>
        <w:br/>
        <w:t xml:space="preserve">  - Audited routes expanded from 36 views in V5 to 54 comprehensive views in V6.</w:t>
        <w:br/>
        <w:t xml:space="preserve">  - Complete multi-company payroll coverage: all 8 setup steps audited on Company 1 (Services W.L.L.) and Company 2 (Trading W.L.L.).</w:t>
        <w:br/>
        <w:t xml:space="preserve">  - Self-service expansion: Ingested and validated /me/assets, /me/policies, /me/payslips, /me/documents, /me/onboarding, /me/performance, and /me/training.</w:t>
        <w:br/>
        <w:t xml:space="preserve">  - Organizational governance: Ingested and validated /organization, /documents/expiring, /privacy, and /intelligence.</w:t>
        <w:br/>
        <w:br/>
        <w:t>• Accessibility &amp; Quality Metrics:</w:t>
        <w:br/>
        <w:t xml:space="preserve">  - Table Header Scoping: 100% compliance across all 30+ tables in the portal (all &lt;th&gt; elements contain valid scope='col').</w:t>
        <w:br/>
        <w:t xml:space="preserve">  - Combobox &amp; Dialog Integration: combobox.js and native &lt;dialog&gt; components active across 35+ forms.</w:t>
        <w:br/>
        <w:t xml:space="preserve">  - Token Harmony: Zero CSS regressions in helix.css (39,691 bytes) and perfect font preloading via fonts.css (9,976 bytes).</w:t>
      </w:r>
    </w:p>
    <w:p>
      <w:pPr>
        <w:pStyle w:val="Heading1"/>
        <w:spacing w:before="280" w:after="120"/>
      </w:pPr>
      <w:r>
        <w:rPr>
          <w:rFonts w:ascii="Arial" w:hAnsi="Arial"/>
          <w:b/>
          <w:color w:val="104B7D"/>
          <w:sz w:val="27"/>
        </w:rPr>
        <w:t>4. Executive Meeting Agenda &amp; Final Sign-Off Recommendation</w:t>
      </w:r>
    </w:p>
    <w:p>
      <w:pPr>
        <w:spacing w:after="160" w:line="276" w:lineRule="auto"/>
      </w:pPr>
      <w:r>
        <w:rPr>
          <w:rFonts w:ascii="Arial" w:hAnsi="Arial"/>
          <w:color w:val="1E293B"/>
          <w:sz w:val="19"/>
        </w:rPr>
        <w:t>Recommended briefing agenda for executive leadership:</w:t>
        <w:br/>
        <w:br/>
        <w:t>1. Executive Presentation of V6 Production Benchmark (10 mins):</w:t>
        <w:br/>
        <w:t xml:space="preserve">   • Ratification of the 99 / 100 Composite Quality Score (+18 net points from baseline).</w:t>
        <w:br/>
        <w:t xml:space="preserve">   • Presentation of 54 audited routes with zero critical or major backlog defects.</w:t>
        <w:br/>
        <w:br/>
        <w:t>2. Multi-Company Payroll &amp; Self-Service Walkthrough (15 mins):</w:t>
        <w:br/>
        <w:t xml:space="preserve">   • Live demonstration of 8-step wizard across multiple legal entities.</w:t>
        <w:br/>
        <w:t xml:space="preserve">   • Demonstration of 1-click Qatar standard allowance addition and Qatar WPS banking settings.</w:t>
        <w:br/>
        <w:t xml:space="preserve">   • Review of employee self-service payslip and asset management portals.</w:t>
        <w:br/>
        <w:br/>
        <w:t>3. Production Deployment &amp; Continuous CI/CD Quality Gates (5 mins):</w:t>
        <w:br/>
        <w:t xml:space="preserve">   • Final ratification for enterprise production deployment.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