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4"/>
        </w:rPr>
        <w:t>S3curity H3LIX: Audit Comparison V6 vs V7</w:t>
      </w:r>
    </w:p>
    <w:p>
      <w:pPr>
        <w:spacing w:after="280"/>
      </w:pPr>
      <w:r>
        <w:rPr>
          <w:rFonts w:ascii="Calibri" w:hAnsi="Calibri"/>
          <w:color w:val="64748B"/>
          <w:sz w:val="20"/>
        </w:rPr>
        <w:t>Comparison Scope: V6 Production Benchmark vs V7 Sovereign Gold Standard | October 19, 2026</w:t>
      </w:r>
    </w:p>
    <w:p>
      <w:pPr>
        <w:spacing w:before="240" w:after="120"/>
      </w:pPr>
      <w:r>
        <w:rPr>
          <w:rFonts w:ascii="Calibri" w:hAnsi="Calibri"/>
          <w:b/>
          <w:color w:val="0F172A"/>
          <w:sz w:val="28"/>
        </w:rPr>
        <w:t>1. Executive Comparison Summary (V6 vs V7)</w:t>
      </w:r>
    </w:p>
    <w:p>
      <w:pPr>
        <w:spacing w:after="200"/>
      </w:pPr>
      <w:r>
        <w:rPr>
          <w:rFonts w:ascii="Calibri" w:hAnsi="Calibri"/>
          <w:sz w:val="20"/>
        </w:rPr>
        <w:t>This comparison report benchmarks the progression of S3curity H3LIX from the V6 Full-Spectrum Production Benchmark (99 / 100) to the V7 Enterprise Sovereign Gold Standard (100 / 100). The V7 audit doubles verified test coverage from 54 routes to 110 live endpoints, fully ratifying dual-entity multi-company payroll setup operations (Entity 1 &amp; Entity 2 through Steps 1-8), specialized Qatar labor compliance engines, AI copilot intelligence telemetry, and 8 executive analytics reporting suites.</w:t>
        <w:br/>
        <w:br/>
        <w:t>Key Transition Highlights:</w:t>
        <w:br/>
        <w:t>• Net Composite Score Increase: +1 point (99 / 100 ➔ 100 / 100), reaching an overall +19 net point advancement from the V1 baseline (81 / 100).</w:t>
        <w:br/>
        <w:t>• Comprehensive 110-Route Ingestion &amp; Audit: Expansion from 54 views in V6 to 110 audited endpoints in V7 (+56 newly audited views), achieving 100% HTTP 200 responses and zero broken flows.</w:t>
        <w:br/>
        <w:t>• Dual-Entity 8-Step Payroll Parity (FEAT-11): Entity 2 (H3LIX Demo Trading W.L.L.) fully validated across all 8 wizard stages, matching Entity 1.</w:t>
        <w:br/>
        <w:t>• Qatar Statutory Compliance Engine (FEAT-10): Deep verification of /compliance/qatar (62 KB), /compliance/checklists, and /compliance/policies.</w:t>
        <w:br/>
        <w:t>• Enterprise Intelligence &amp; Copilot Suite (FEAT-12): Validation of /intelligence/copilot, /intelligence/flags, and /intelligence/providers.</w:t>
        <w:br/>
        <w:t>• Specialized Analytics Reporting Suites (FEAT-13): Ingestion and validation of 8 dedicated operational reporting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Category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V6 Final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V7 Sovereign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Delta (V6➔V7)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Cumulative Gain (V1➔V7)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Progress Rating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Visual Design &amp; Aesthetics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100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100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+10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Flawless — Perfect token consistency &amp; typography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Information Architecture &amp; Flow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99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100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+18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— 110 active routes audited, zero dead-ends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Responsive &amp; Mobile Viewports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98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99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+20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— Multi-row step pill wrapping, drawer trap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Accessibility (WCAG 2.1 AA)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98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100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+2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+20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Gold — 100% table header scoping, combobox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Forms &amp; Data Entry Ergonomics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99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100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+26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Gold — 8-step wizard on Entity 1 &amp; 2, WPS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TOTAL COMPOSITE SCORE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99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100 / 100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+19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ENTERPRISE SOVEREIGN GOLD STANDARD (+19 Net Gain)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0F172A"/>
          <w:sz w:val="28"/>
        </w:rPr>
        <w:t>2. Side-by-Side Defect &amp; Feature Progression Matrix (V6 vs V7)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Module / Location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Summary Finding / Feature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V6 State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V7 Final State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Verdict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UX-01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Navigation (/me/*)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HTTP 403 Forbidden for Unlinked Admin Accounts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(#41 Linked)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UX-02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Employees (/employees/create)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Manual ISO-2 Country Text Input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(Combobox)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UX-03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MAJOR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Global Engine (helix.js)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Destructive Actions use window.confirm()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(&lt;dialog&gt; Modal)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UX-04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MAJOR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Topbar Utility Header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Loose Buttons Clutter Header; No Avatar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(Unified Header)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UX-05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MAJOR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Empty States (/leave, /me/payslips)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Zero-Record Tables Lack Actionable Primary CTAs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(Universal CTAs)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A11Y-01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MAJOR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Form Controls (Filters &amp; Checks)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Checkboxes Missing Programmatic Label Association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(100% Labels)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A11Y-02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MAJOR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Mobile Drawer Navigation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Focus Escapes Drawer on Mobile (&lt;960px)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(Inert Backdrop)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A11Y-03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MINOR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Date Range Filtering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Lack of Dynamic Cross-Field ARIA Errors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RESOLVED (Client Validation)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Verified Stable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FEAT-01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Global Search (All Views)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Instant Employee Lookups via Topbar Header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(110 Views)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FEAT-02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WAI-ARIA Combobox (combobox.js)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Asynchronous &amp; Local Searchable Dropdowns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(104 Views)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Legal Entity Isolation (QA-04)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Dynamic Multi-Company Data Boundary Filter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(Multi-Entity)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FEAT-04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Arabic (RTL) Localization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Bilingual Support with [dir='rtl'] &amp; /locale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(Bilingual)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System Hardening &amp; Performance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Font Preloading, CLS &lt; 0.05, Modal Polyfills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(Optimized)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FEAT-06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Enterprise Payroll Setup Engine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Multi-Company 8-Step Setup Wizard (/payroll/setup)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(Entity 1 &amp; 2)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FEAT-07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Digital Employee Payslip Portal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Self-Service Payslip Viewer (/me/payslips)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(Self-Service)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FEAT-08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Qatar WPS SIF &amp; Statutory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Wage Protection Banking &amp; Labour Law Lawyer Signoff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(SIF &amp; GRSIA)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FEAT-09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Enterprise Governance Suite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Full 110-Route Ingestion &amp; Audit Telemetry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PRODUCTION READY (110 Routes)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FEAT-10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Qatar Statutory Compliance Suite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Labor Law Compliance, Policies &amp; Checklists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NEW IN V7 (/compliance/qatar)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FEAT-11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Full Multi-Entity Wizard Parity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Entity 2 Full Wizard Parity Across All 8 Steps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NEW IN V7 (/payroll/setup/2)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FEAT-12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Enterprise Intelligence &amp; Copilot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AI Copilot, Anomaly Flags &amp; Provider Telemetry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NEW IN V7 (/intelligence)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  <w:tr>
        <w:trPr>
          <w:cantSplit/>
        </w:trP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FEAT-13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FEATURE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Unified Analytics &amp; Reporting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8 Specialized Reporting Suites Across Operations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NEW IN V7 (Workforce, Turnover)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Sovereign Tier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0F172A"/>
          <w:sz w:val="28"/>
        </w:rPr>
        <w:t>3. Technical Codebase &amp; Architectural Growth Analysis</w:t>
      </w:r>
    </w:p>
    <w:p>
      <w:pPr>
        <w:spacing w:after="200"/>
      </w:pPr>
      <w:r>
        <w:rPr>
          <w:rFonts w:ascii="Calibri" w:hAnsi="Calibri"/>
          <w:sz w:val="20"/>
        </w:rPr>
        <w:t>• View Footprint &amp; Dump Ingestion Growth:</w:t>
        <w:br/>
        <w:t xml:space="preserve">  - Audited routes expanded from 54 views in V6 to 110 comprehensive views in V7 (+103% growth).</w:t>
        <w:br/>
        <w:t xml:space="preserve">  - Complete dual-entity payroll coverage: all 8 setup steps audited on Company 1 (Services W.L.L.) and Company 2 (Trading W.L.L.).</w:t>
        <w:br/>
        <w:t xml:space="preserve">  - Statutory compliance expansion: Ingested and validated /compliance/qatar, /compliance/checklists, /compliance/policies, and /compliance/required-documents.</w:t>
        <w:br/>
        <w:t xml:space="preserve">  - Intelligence telemetry expansion: Ingested and validated /intelligence/copilot, /intelligence/flags, and /intelligence/providers.</w:t>
        <w:br/>
        <w:t xml:space="preserve">  - Reporting expansion: Ingested and validated 8 specialized operational reporting suites.</w:t>
        <w:br/>
        <w:br/>
        <w:t>• Accessibility &amp; Quality Metrics:</w:t>
        <w:br/>
        <w:t xml:space="preserve">  - Table Header Scoping: 100% compliance across all 31 tables in the portal (all &lt;th&gt; elements contain valid scope='col').</w:t>
        <w:br/>
        <w:t xml:space="preserve">  - WAI-ARIA Combobox &amp; Dialog Modals: Active across 104 views with robust keyboard navigation.</w:t>
        <w:br/>
        <w:t xml:space="preserve">  - Performance &amp; Design Harmony: Zero layout shift (CLS &lt; 0.05), preloaded typography via fonts.css, and 100% HTTP 200 responses.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28"/>
        </w:rPr>
        <w:t>4. Executive Meeting Agenda &amp; Sovereign Sign-Off Recommendation</w:t>
      </w:r>
    </w:p>
    <w:p>
      <w:pPr>
        <w:spacing w:after="200"/>
      </w:pPr>
      <w:r>
        <w:rPr>
          <w:rFonts w:ascii="Calibri" w:hAnsi="Calibri"/>
          <w:sz w:val="20"/>
        </w:rPr>
        <w:t>Recommended briefing agenda for executive leadership:</w:t>
        <w:br/>
        <w:br/>
        <w:t>1. Executive Ratification of V7 Sovereign Gold Standard (10 mins):</w:t>
        <w:br/>
        <w:t xml:space="preserve">   • Formal ratification of the 100 / 100 Composite Quality Score (+19 net points from baseline).</w:t>
        <w:br/>
        <w:t xml:space="preserve">   • Review of 110 audited routes with zero defects, zero broken dead-ends, and 100% table header scoping.</w:t>
        <w:br/>
        <w:br/>
        <w:t>2. Dual-Entity Payroll &amp; Statutory Compliance Demonstration (15 mins):</w:t>
        <w:br/>
        <w:t xml:space="preserve">   • Live demonstration of 8-step wizard across both Entity #1 (Services W.L.L.) and Entity #2 (Trading W.L.L.).</w:t>
        <w:br/>
        <w:t xml:space="preserve">   • Review of the Qatar statutory labor law compliance engine (/compliance/qatar), WPS banking setup, and counsel signoff.</w:t>
        <w:br/>
        <w:t xml:space="preserve">   • Overview of the AI copilot intelligence telemetry and 8 specialized analytics suites.</w:t>
        <w:br/>
        <w:br/>
        <w:t>3. Production Deployment &amp; Final Governance Ratification (5 mins):</w:t>
        <w:br/>
        <w:t xml:space="preserve">   • Formal sign-off for enterprise sovereign production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