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081522"/>
          <w:sz w:val="44"/>
        </w:rPr>
        <w:t>S3curity H3LIX: Audit Comparison V3 vs V4</w:t>
      </w:r>
    </w:p>
    <w:p>
      <w:pPr>
        <w:spacing w:after="320"/>
      </w:pPr>
      <w:r>
        <w:rPr>
          <w:rFonts w:ascii="Arial" w:hAnsi="Arial"/>
          <w:i/>
          <w:color w:val="5A6E82"/>
          <w:sz w:val="21"/>
        </w:rPr>
        <w:t>Executive Delta Analysis, Backlog Elimination &amp; Production Hardening | October 12, 2026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104B7D"/>
          <w:sz w:val="27"/>
        </w:rPr>
        <w:t>1. Executive Comparison Summary (V3 vs V4)</w:t>
      </w:r>
    </w:p>
    <w:p>
      <w:pPr>
        <w:spacing w:after="160" w:line="276" w:lineRule="auto"/>
      </w:pPr>
      <w:r>
        <w:rPr>
          <w:rFonts w:ascii="Arial" w:hAnsi="Arial"/>
          <w:color w:val="1E293B"/>
          <w:sz w:val="19"/>
        </w:rPr>
        <w:t>This comparison report benchmarks the progression of S3curity H3LIX from the V3 Modernized Milestone (92 / 100) to the V4 Enterprise Production Gold Standard (96 / 100). Over this cycle, the engineering and QA teams successfully resolved 100% of the remaining Sprint 2 action items.</w:t>
        <w:br/>
        <w:br/>
        <w:t>Key Transition Highlights:</w:t>
        <w:br/>
        <w:t>• Net Composite Score Increase: +4 points (92 / 100 ➔ 96 / 100), completing a total improvement of +15 points from the V1 baseline (81 / 100).</w:t>
        <w:br/>
        <w:t>• Total Defect Eradication: All four remaining open issues (UX-02, UX-03, UX-05, A11Y-01) transitioned from OPEN to FULLY RESOLVED.</w:t>
        <w:br/>
        <w:t>• Forms &amp; Data Entry Ergonomics: Realized an +8 point surge (86/100 ➔ 94/100) through country combobox mapping, thread-safe modal confirmations, and contextual empty-state CTAs.</w:t>
        <w:br/>
        <w:t>• Accessibility (WCAG 2.1 AA): Rose to 97 / 100 (+4 points), achieving zero automated or manual accessibility violations across all 30+ portal views.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Evaluation Category</w:t>
            </w:r>
          </w:p>
        </w:tc>
        <w:tc>
          <w:tcPr>
            <w:tcW w:type="dxa" w:w="1656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V3 Modernized</w:t>
            </w:r>
          </w:p>
        </w:tc>
        <w:tc>
          <w:tcPr>
            <w:tcW w:type="dxa" w:w="1656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V4 Production</w:t>
            </w:r>
          </w:p>
        </w:tc>
        <w:tc>
          <w:tcPr>
            <w:tcW w:type="dxa" w:w="1656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Delta (V3➔V4)</w:t>
            </w:r>
          </w:p>
        </w:tc>
        <w:tc>
          <w:tcPr>
            <w:tcW w:type="dxa" w:w="1656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Cumulative Gain (V1➔V4)</w:t>
            </w:r>
          </w:p>
        </w:tc>
        <w:tc>
          <w:tcPr>
            <w:tcW w:type="dxa" w:w="1656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Progress Rating</w:t>
            </w:r>
          </w:p>
        </w:tc>
      </w:tr>
      <w:tr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Visual Design &amp; Aesthetics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96 / 100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98 / 100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+2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+8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Exceptional — Seamless modal backdrop styling, unified combobox theme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Information Architecture &amp; Flow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95 / 100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97 / 100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+2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+15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Exceptional — Contextual empty-state CTAs, direct task initiation paths</w:t>
            </w:r>
          </w:p>
        </w:tc>
      </w:tr>
      <w:tr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Responsive &amp; Mobile Viewports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92 / 100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95 / 100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+3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+16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Exceptional — Modal dialog viewport centering, touch target expansions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Accessibility (WCAG 2.1 AA)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93 / 100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97 / 100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+4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+17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Gold Standard — 100% label programmatic bindings, modal focus management</w:t>
            </w:r>
          </w:p>
        </w:tc>
      </w:tr>
      <w:tr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Forms &amp; Data Entry Ergonomics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86 / 100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94 / 100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+8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+20</w:t>
            </w:r>
          </w:p>
        </w:tc>
        <w:tc>
          <w:tcPr>
            <w:tcW w:type="dxa" w:w="1656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Gold Standard — Country combobox, non-blocking confirmations, entity scoping</w:t>
            </w:r>
          </w:p>
        </w:tc>
      </w:tr>
      <w:tr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TOTAL COMPOSITE SCORE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92 / 100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96 / 100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+4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+15</w:t>
            </w:r>
          </w:p>
        </w:tc>
        <w:tc>
          <w:tcPr>
            <w:tcW w:type="dxa" w:w="1656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ENTERPRISE PRODUCTION GOLD STANDARD (+15 Net Gain)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104B7D"/>
          <w:sz w:val="27"/>
        </w:rPr>
        <w:t>2. Defect Resolution &amp; Progression Matrix (V3 vs V4)</w:t>
      </w:r>
    </w:p>
    <w:p>
      <w:pPr>
        <w:spacing w:after="160" w:line="276" w:lineRule="auto"/>
      </w:pPr>
      <w:r>
        <w:rPr>
          <w:rFonts w:ascii="Arial" w:hAnsi="Arial"/>
          <w:color w:val="1E293B"/>
          <w:sz w:val="19"/>
        </w:rPr>
        <w:t>Detailed comparison of defect statuses and engineering implementations between V3 and V4: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Item ID</w:t>
            </w:r>
          </w:p>
        </w:tc>
        <w:tc>
          <w:tcPr>
            <w:tcW w:type="dxa" w:w="1987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987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V3 Modernized State</w:t>
            </w:r>
          </w:p>
        </w:tc>
        <w:tc>
          <w:tcPr>
            <w:tcW w:type="dxa" w:w="1987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V4 Production State</w:t>
            </w:r>
          </w:p>
        </w:tc>
        <w:tc>
          <w:tcPr>
            <w:tcW w:type="dxa" w:w="1987"/>
            <w:shd w:val="clear" w:color="auto" w:fill="081522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Milestone Verdict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UX-01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CRITICAL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(Linked to #41)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(Verified persistent link, zero 403s)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Stable &amp; Verified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UX-02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CRITICAL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C2410C"/>
                <w:sz w:val="17"/>
              </w:rPr>
              <w:t>OPEN (Prefilled 'QA'; combobox unlinked)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(Combobox bound to ISO country dataset with live search)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(+8 Form Pts)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UX-03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MAJOR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C2410C"/>
                <w:sz w:val="17"/>
              </w:rPr>
              <w:t>OPEN (Native window.confirm() in helix.js)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(Accessible in-app &lt;dialog&gt; modal with focus trap)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(+4 A11y Pts)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UX-04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MAJOR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(Topbar account menu + search)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(Enhanced responsive search icon collapse)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Stable &amp; Verified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UX-05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MAJOR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C2410C"/>
                <w:sz w:val="17"/>
              </w:rPr>
              <w:t>OPEN (Passive zero-record notices)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(Embedded primary '+ Create' buttons in .hx-empty cards)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(+2 IA Pts)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A11Y-01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MAJOR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C2410C"/>
                <w:sz w:val="17"/>
              </w:rPr>
              <w:t>OPEN (Filter checkboxes missing &lt;label&gt; tags)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(Explicit id and &lt;label for='...'&gt; pairing with 44px touch targets)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(+4 A11y Pts)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A11Y-02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MAJOR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(Mobile drawer inert focus trap)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(Maintained zero focus escape on mobile viewports)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Stable &amp; Verified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A11Y-03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MINOR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(Client data-hx-range validation)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b/>
                <w:color w:val="166534"/>
                <w:sz w:val="17"/>
              </w:rPr>
              <w:t>RESOLVED (Cross-field ARIA error states active on reporting)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Stable &amp; Verified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FEAT-01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FEATURE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NEW IN V3 (Universal Topbar Search)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PRODUCTION READY (Full debounce, route caching, zero lag)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Production Tier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FEAT-02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FEATURE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NEW IN V3 (WAI-ARIA Combobox Engine)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PRODUCTION READY (Expanded to Country, Manager, &amp; Entity selectors)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Production Tier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FEAT-03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FEATURE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NEW IN V3 (Legal Entity Filter QA-04)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PRODUCTION READY (Dynamic boundary enforcement, cross-entity purge)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Production Tier</w:t>
            </w:r>
          </w:p>
        </w:tc>
      </w:tr>
      <w:tr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FEAT-04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FEATURE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NEW IN V3 (Arabic RTL Localization)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PRODUCTION READY (Bilingual toggle, script direction isolation)</w:t>
            </w:r>
          </w:p>
        </w:tc>
        <w:tc>
          <w:tcPr>
            <w:tcW w:type="dxa" w:w="1987"/>
            <w:shd w:val="clear" w:color="auto" w:fill="F8FAFC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Production Tier</w:t>
            </w:r>
          </w:p>
        </w:tc>
      </w:tr>
      <w:tr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FEAT-05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FEATURE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NEW IN V4 (Design system hardening, CLS &lt; 0.05, modal polyfills)</w:t>
            </w:r>
          </w:p>
        </w:tc>
        <w:tc>
          <w:tcPr>
            <w:tcW w:type="dxa" w:w="1987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NEW IN V4 (Gold Standard)</w:t>
            </w:r>
          </w:p>
        </w:tc>
      </w:tr>
    </w:tbl>
    <w:p>
      <w:pPr>
        <w:spacing w:after="20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104B7D"/>
          <w:sz w:val="27"/>
        </w:rPr>
        <w:t>3. Technical Codebase &amp; Architectural Growth Analysis</w:t>
      </w:r>
    </w:p>
    <w:p>
      <w:pPr>
        <w:spacing w:after="160" w:line="276" w:lineRule="auto"/>
      </w:pPr>
      <w:r>
        <w:rPr>
          <w:rFonts w:ascii="Arial" w:hAnsi="Arial"/>
          <w:color w:val="1E293B"/>
          <w:sz w:val="19"/>
        </w:rPr>
        <w:t>• Scripting Engine Architecture (helix.js, combobox.js, company-filter.js):</w:t>
        <w:br/>
        <w:t xml:space="preserve">  - Modal Dialog Engine: Built directly into the client engine, capturing [data-hx-confirm] clicks and presenting an accessible modal dialog instead of thread-blocking window.confirm(). Preserves keyboard focus loop and restores focus on dismissal.</w:t>
        <w:br/>
        <w:t xml:space="preserve">  - Country Combobox Adapter: Extends combobox.js to dynamically search country names, displaying ISO 3166-1 country designations while populating standard 2-character country codes upon selection.</w:t>
        <w:br/>
        <w:t xml:space="preserve">  - Multi-Company Data Isolation (company-filter.js): Robust client-side validation that purges selections from mismatched legal entities before form submission.</w:t>
        <w:br/>
        <w:br/>
        <w:t>• Design System Architecture (helix.css):</w:t>
        <w:br/>
        <w:t xml:space="preserve">  - Modal Styling (.hx-dialog, .hx-dialog__backdrop): Added backdrop blur filter, subtle elevation shadows, and responsive centering across mobile and desktop.</w:t>
        <w:br/>
        <w:t xml:space="preserve">  - Empty State Primary Buttons: Enhanced .hx-empty containers with flexbox column alignment to elegantly accommodate action buttons alongside explanatory text.</w:t>
        <w:br/>
        <w:t xml:space="preserve">  - Checkbox Bounding Boxes: Standardized .hx-checkbox touch targets to meet 44x44px minimum sizing for WCAG 2.5.5 compliance.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104B7D"/>
          <w:sz w:val="27"/>
        </w:rPr>
        <w:t>4. Executive Meeting Briefing &amp; Sign-Off Directives</w:t>
      </w:r>
    </w:p>
    <w:p>
      <w:pPr>
        <w:spacing w:after="160" w:line="276" w:lineRule="auto"/>
      </w:pPr>
      <w:r>
        <w:rPr>
          <w:rFonts w:ascii="Arial" w:hAnsi="Arial"/>
          <w:color w:val="1E293B"/>
          <w:sz w:val="19"/>
        </w:rPr>
        <w:t>1. Formal Approval of Production Release (V4):</w:t>
        <w:br/>
        <w:t xml:space="preserve">   • Executive sign-off recommended based on achieving 96 / 100 Quality Score (+15 net improvement from baseline).</w:t>
        <w:br/>
        <w:t xml:space="preserve">   • Zero open critical or major UX defects remain across all 30+ portal views.</w:t>
        <w:br/>
        <w:t>2. Stakeholder Walkthrough Agenda:</w:t>
        <w:br/>
        <w:t xml:space="preserve">   • Live demonstration of the searchable Country Combobox on /employees/create.</w:t>
        <w:br/>
        <w:t xml:space="preserve">   • Walkthrough of the in-app confirmation modal on employee termination and destructive role actions.</w:t>
        <w:br/>
        <w:t xml:space="preserve">   • Review of actionable empty states in Leave, Attendance, and Assets.</w:t>
        <w:br/>
        <w:t xml:space="preserve">   • Verification of Arabic RTL layout integrity and global employee search.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