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Evolución del sistema GAMLP hacia un Cuadro de Mando Integral (CMI)</w:t>
      </w:r>
    </w:p>
    <w:p>
      <w:r>
        <w:rPr>
          <w:b/>
          <w:i w:val="0"/>
          <w:sz w:val="24"/>
        </w:rPr>
        <w:t>Documento de síntesis · Gobierno Autónomo Municipal de La Paz</w:t>
      </w:r>
    </w:p>
    <w:p>
      <w:r>
        <w:rPr>
          <w:b w:val="0"/>
          <w:i/>
          <w:color w:val="666666"/>
          <w:sz w:val="18"/>
        </w:rPr>
        <w:t>Base: conversación de trabajo del 05-ago-2026 entre César Mérida (consultor del Despacho, responsable del sistema de compromisos) y Franz (equipo de Javier Delgadillo). Transcripciones DJI_41 y DJI_42. Datos del plan: matriz “EJES-PROGRAMAS-PROYECTOS Ciudad Humana” (15-sep-2025).</w:t>
      </w:r>
    </w:p>
    <w:p>
      <w:r>
        <w:rPr>
          <w:b w:val="0"/>
          <w:i/>
          <w:color w:val="666666"/>
          <w:sz w:val="18"/>
        </w:rPr>
        <w:t>Documento de trabajo interno para alinear a César, Javier, Carla y al equipo técnico antes de construir.</w:t>
      </w:r>
    </w:p>
    <w:p>
      <w:pPr>
        <w:pStyle w:val="Heading1"/>
      </w:pPr>
      <w:r>
        <w:t>1. El problema que hay que resolver</w:t>
      </w:r>
    </w:p>
    <w:p>
      <w:r>
        <w:rPr>
          <w:b w:val="0"/>
          <w:i w:val="0"/>
        </w:rPr>
        <w:t>La gestión municipal produce “mucho Word, mucho reporte, mucha presentación”, y cuesta sistematizar la información. Hoy se reportan tareas sueltas, pero la autoridad no puede ver el nivel de cumplimiento y avance de un programa completo, ni seguir una línea de progreso en el tiempo. Falta una única fuente de la verdad que conecte lo estratégico con lo operativo y con el presupuesto.</w:t>
      </w:r>
    </w:p>
    <w:p>
      <w:pPr>
        <w:pStyle w:val="Heading1"/>
      </w:pPr>
      <w:r>
        <w:t>2. La visión: un Cuadro de Mando Integral (CMI)</w:t>
      </w:r>
    </w:p>
    <w:p>
      <w:r>
        <w:rPr>
          <w:b w:val="0"/>
          <w:i w:val="0"/>
        </w:rPr>
        <w:t>Una sola plataforma que contenga todo lo de la Alcaldía —lo estratégico, lo operativo y lo recurrente— y permita entrar y ver, a cualquier nivel, cómo está la gestión: con semáforo, presupuesto ejecutado, cumplido/no cumplido y las tareas que deberían cerrarse la próxima semana. Es, ante todo, una herramienta de VISUALIZACIÓN y decisión, alimentada con información cargada día a día.</w:t>
      </w:r>
    </w:p>
    <w:p>
      <w:pPr>
        <w:pStyle w:val="Heading1"/>
      </w:pPr>
      <w:r>
        <w:t>3. El modelo de 4 niveles (la jerarquía del Plan de Gobierno)</w:t>
      </w:r>
    </w:p>
    <w:p>
      <w:r>
        <w:rPr>
          <w:b w:val="0"/>
          <w:i w:val="0"/>
        </w:rPr>
        <w:t>Toda la gestión se ordena en cuatro niveles encadenados:</w:t>
      </w:r>
    </w:p>
    <w:p>
      <w:r>
        <w:rPr>
          <w:b/>
          <w:i w:val="0"/>
        </w:rPr>
        <w:t>PROGRAMA → PROYECTO → ACTIVIDAD → TAREA</w:t>
      </w:r>
    </w:p>
    <w:p>
      <w:pPr>
        <w:pStyle w:val="ListBullet"/>
      </w:pPr>
      <w:r>
        <w:t>Programa: la línea estratégica (objetivo, indicadores, metas al 2030/2050). YA están definidos.</w:t>
      </w:r>
    </w:p>
    <w:p>
      <w:pPr>
        <w:pStyle w:val="ListBullet"/>
      </w:pPr>
      <w:r>
        <w:t>Proyecto: la intervención concreta. Hoy solo existen como listado (~400–500), sin metas/indicadores ni conexión — es lo que falta “armar”.</w:t>
      </w:r>
    </w:p>
    <w:p>
      <w:pPr>
        <w:pStyle w:val="ListBullet"/>
      </w:pPr>
      <w:r>
        <w:t>Actividad: los paquetes de trabajo de un proyecto. Por construir.</w:t>
      </w:r>
    </w:p>
    <w:p>
      <w:pPr>
        <w:pStyle w:val="ListBullet"/>
      </w:pPr>
      <w:r>
        <w:t>Tarea: el día a día, que consume presupuesto y se reporta. Es la capa que ya opera hoy en el sistema de compromisos.</w:t>
      </w:r>
    </w:p>
    <w:p>
      <w:r>
        <w:rPr>
          <w:b w:val="0"/>
          <w:i/>
        </w:rPr>
        <w:t>Escala estimada: ~100 programas · ~400–500 proyectos · ~3.000 actividades · ~10.000 tareas.</w:t>
      </w:r>
    </w:p>
    <w:p>
      <w:r>
        <w:rPr>
          <w:b/>
          <w:i w:val="0"/>
        </w:rPr>
        <w:t>La matriz base (Ciudad Humana, sep-2025) — programas por eje: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Eje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Programas</w:t>
            </w:r>
          </w:p>
        </w:tc>
      </w:tr>
      <w:tr>
        <w:tc>
          <w:tcPr>
            <w:tcW w:type="dxa" w:w="2880"/>
          </w:tcPr>
          <w:p>
            <w:r>
              <w:t>EJE I</w:t>
            </w:r>
          </w:p>
        </w:tc>
        <w:tc>
          <w:tcPr>
            <w:tcW w:type="dxa" w:w="2880"/>
          </w:tcPr>
          <w:p>
            <w:r>
              <w:t>Ciudad Eficiente y Transparente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EJE II</w:t>
            </w:r>
          </w:p>
        </w:tc>
        <w:tc>
          <w:tcPr>
            <w:tcW w:type="dxa" w:w="2880"/>
          </w:tcPr>
          <w:p>
            <w:r>
              <w:t>Ciudad Vital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EJE III</w:t>
            </w:r>
          </w:p>
        </w:tc>
        <w:tc>
          <w:tcPr>
            <w:tcW w:type="dxa" w:w="2880"/>
          </w:tcPr>
          <w:p>
            <w:r>
              <w:t>Ciudad Inteligente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EJE IV</w:t>
            </w:r>
          </w:p>
        </w:tc>
        <w:tc>
          <w:tcPr>
            <w:tcW w:type="dxa" w:w="2880"/>
          </w:tcPr>
          <w:p>
            <w:r>
              <w:t>Ciudad Productiva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EJE V</w:t>
            </w:r>
          </w:p>
        </w:tc>
        <w:tc>
          <w:tcPr>
            <w:tcW w:type="dxa" w:w="2880"/>
          </w:tcPr>
          <w:p>
            <w:r>
              <w:t>Ciudad de Cuidados y Derechos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EJE VI</w:t>
            </w:r>
          </w:p>
        </w:tc>
        <w:tc>
          <w:tcPr>
            <w:tcW w:type="dxa" w:w="2880"/>
          </w:tcPr>
          <w:p>
            <w:r>
              <w:t>Ciudad Cultural y Turística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EJE VII</w:t>
            </w:r>
          </w:p>
        </w:tc>
        <w:tc>
          <w:tcPr>
            <w:tcW w:type="dxa" w:w="2880"/>
          </w:tcPr>
          <w:p>
            <w:r>
              <w:t>Ciudad Planificada y Habitable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EJE VIII</w:t>
            </w:r>
          </w:p>
        </w:tc>
        <w:tc>
          <w:tcPr>
            <w:tcW w:type="dxa" w:w="2880"/>
          </w:tcPr>
          <w:p>
            <w:r>
              <w:t>Ciudad Conectada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EJE IX</w:t>
            </w:r>
          </w:p>
        </w:tc>
        <w:tc>
          <w:tcPr>
            <w:tcW w:type="dxa" w:w="2880"/>
          </w:tcPr>
          <w:p>
            <w:r>
              <w:t>Ciudad Verde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EJE X</w:t>
            </w:r>
          </w:p>
        </w:tc>
        <w:tc>
          <w:tcPr>
            <w:tcW w:type="dxa" w:w="2880"/>
          </w:tcPr>
          <w:p>
            <w:r>
              <w:t>Ciudad Metropolitana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rPr>
          <w:b w:val="0"/>
          <w:i w:val="0"/>
          <w:color w:val="993300"/>
        </w:rPr>
        <w:t>⚠️ Nota: esta matriz (sep-2025) tiene 10 ejes, incluido el EJE X “Ciudad Metropolitana”. El sistema de compromisos vigente usa 9 ejes (el EJE-10 se eliminó el 11-jul-2026). Hay que decidir si el CMI conserva los 10 o se alinea a 9.</w:t>
      </w:r>
    </w:p>
    <w:p>
      <w:pPr>
        <w:pStyle w:val="Heading1"/>
      </w:pPr>
      <w:r>
        <w:t>4. Avance ponderado (incidencia): el corazón del CMI</w:t>
      </w:r>
    </w:p>
    <w:p>
      <w:r>
        <w:rPr>
          <w:b w:val="0"/>
          <w:i w:val="0"/>
        </w:rPr>
        <w:t>Cada tarea pesa sobre su actividad; la actividad, sobre el proyecto; el proyecto, sobre el programa; el programa, sobre el plan. Ese peso (incidencia) permite que el avance “suba” y responder la pregunta clave —“¿cuál es el nivel de cumplimiento de este programa?”— sin sumar tareas a mano. Es lo que hoy NO existe y lo que convierte un listado en un tablero.</w:t>
      </w:r>
    </w:p>
    <w:p>
      <w:pPr>
        <w:pStyle w:val="Heading1"/>
      </w:pPr>
      <w:r>
        <w:t>5. Casar con el POA y el presupuesto</w:t>
      </w:r>
    </w:p>
    <w:p>
      <w:r>
        <w:rPr>
          <w:b w:val="0"/>
          <w:i w:val="0"/>
        </w:rPr>
        <w:t>Cada tarea consume presupuesto; el POA (que hoy trabaja “piso 8”) debe asignar recursos a las tareas priorizadas, no al revés. Riesgo actual: el POA se elabora en cada secretaría desde su propia visión, en paralelo a lo estratégico, sin este insumo → lo estratégico y el POA “salen por lados distintos”. El CMI debe reconciliarlos: presupuesto siguiendo a la prioridad estratégica.</w:t>
      </w:r>
    </w:p>
    <w:p>
      <w:pPr>
        <w:pStyle w:val="Heading1"/>
      </w:pPr>
      <w:r>
        <w:t>6. Priorización con valoración tipo RICE</w:t>
      </w:r>
    </w:p>
    <w:p>
      <w:r>
        <w:rPr>
          <w:b w:val="0"/>
          <w:i w:val="0"/>
        </w:rPr>
        <w:t>Franz propone valorar cada tarea/proyecto para saber por dónde arrancar. El método descrito es un RICE: Impacto/Alcance × Confianza ÷ Esfuerzo (tiempo).</w:t>
      </w:r>
    </w:p>
    <w:p>
      <w:pPr>
        <w:pStyle w:val="ListBullet"/>
      </w:pPr>
      <w:r>
        <w:t>Alcance/Impacto: cuántas personas beneficia (con base en población e histórico). Ej.: una reunión con el TSE/SERECÍ que impacta ~40.000 personas/año.</w:t>
      </w:r>
    </w:p>
    <w:p>
      <w:pPr>
        <w:pStyle w:val="ListBullet"/>
      </w:pPr>
      <w:r>
        <w:t>Confianza: probabilidad de que salga bien (ej.: 80%).</w:t>
      </w:r>
    </w:p>
    <w:p>
      <w:pPr>
        <w:pStyle w:val="ListBullet"/>
      </w:pPr>
      <w:r>
        <w:t>Esfuerzo: días de ejecución (ej.: 3 días).</w:t>
      </w:r>
    </w:p>
    <w:p>
      <w:r>
        <w:rPr>
          <w:b w:val="0"/>
          <w:i w:val="0"/>
        </w:rPr>
        <w:t>Resultado: un puntaje que ordena las tareas por prioridad, de forma consistente en todas las secretarías.</w:t>
      </w:r>
    </w:p>
    <w:p>
      <w:pPr>
        <w:pStyle w:val="Heading1"/>
      </w:pPr>
      <w:r>
        <w:t>7. Encaje con lo que YA existe (el sistema de compromisos)</w:t>
      </w:r>
    </w:p>
    <w:p>
      <w:r>
        <w:rPr>
          <w:b w:val="0"/>
          <w:i w:val="0"/>
        </w:rPr>
        <w:t>El sistema actual de compromisos es, en la práctica, la CAPA DE ABAJO del CMI ya funcionando:</w:t>
      </w:r>
    </w:p>
    <w:p>
      <w:pPr>
        <w:pStyle w:val="ListBullet"/>
      </w:pPr>
      <w:r>
        <w:t>Tareas/compromisos con responsable real del MOF, eje, subtareas por ejecutor, semáforo, prioridad, y dashboard con snapshot.</w:t>
      </w:r>
    </w:p>
    <w:p>
      <w:pPr>
        <w:pStyle w:val="ListBullet"/>
      </w:pPr>
      <w:r>
        <w:t>El pipeline de inspecciones ya captura la voz del terreno y la convierte en compromisos con nombre, responsable y plazo.</w:t>
      </w:r>
    </w:p>
    <w:p>
      <w:r>
        <w:rPr>
          <w:b w:val="0"/>
          <w:i w:val="0"/>
        </w:rPr>
        <w:t>El encadenamiento que describe Franz ya tiene forma: cuando el Alcalde inspecciona (ej.: Parque de las Cebras → “realizar la infraestructura”), esa tarea debe casar con una ACTIVIDAD → PROYECTO (recuperación de parques) → PROGRAMA (recuperación urbana) → EJE. Ya existe la base de Programas y la relación “Programa” en los compromisos; falta construir las capas Proyecto y Actividad y el peso ponderado.</w:t>
      </w:r>
    </w:p>
    <w:p>
      <w:pPr>
        <w:pStyle w:val="Heading1"/>
      </w:pPr>
      <w:r>
        <w:t>8. Columna vertebral operativa: el Drive espejo de la organización</w:t>
      </w:r>
    </w:p>
    <w:p>
      <w:r>
        <w:rPr>
          <w:b w:val="0"/>
          <w:i w:val="0"/>
        </w:rPr>
        <w:t>La adopción se sostiene sobre una carpeta madre en Drive que refleja la estructura real:</w:t>
      </w:r>
    </w:p>
    <w:p>
      <w:r>
        <w:rPr>
          <w:b/>
          <w:i w:val="0"/>
        </w:rPr>
        <w:t>Organización GAMLP → Secretaría → Dirección → Unidad</w:t>
      </w:r>
    </w:p>
    <w:p>
      <w:pPr>
        <w:pStyle w:val="ListBullet"/>
      </w:pPr>
      <w:r>
        <w:t>Permisos por nivel: el jefe de unidad ve solo su carpeta; la dirección ve su subárbol; el Despacho ve todo.</w:t>
      </w:r>
    </w:p>
    <w:p>
      <w:pPr>
        <w:pStyle w:val="ListBullet"/>
      </w:pPr>
      <w:r>
        <w:t>El sistema se sincroniza desde ese Drive: si no se actualiza el Drive, no se actualiza el sistema.</w:t>
      </w:r>
    </w:p>
    <w:p>
      <w:r>
        <w:rPr>
          <w:b w:val="0"/>
          <w:i/>
        </w:rPr>
        <w:t>“El problema son las personas”: la adaptabilidad y la disciplina de carga son el mayor riesgo del proyecto —más que la tecnología.</w:t>
      </w:r>
    </w:p>
    <w:p>
      <w:pPr>
        <w:pStyle w:val="Heading1"/>
      </w:pPr>
      <w:r>
        <w:t>9. Tensiones y riesgos ya visibles</w:t>
      </w:r>
    </w:p>
    <w:p>
      <w:pPr>
        <w:pStyle w:val="ListBullet"/>
      </w:pPr>
      <w:r>
        <w:t>Proyectos sin armar: ~400 existen solo como lista, sin metas/indicadores ni conexión; algunos los ven 2–3 secretarías a la vez.</w:t>
      </w:r>
    </w:p>
    <w:p>
      <w:pPr>
        <w:pStyle w:val="ListBullet"/>
      </w:pPr>
      <w:r>
        <w:t>No todo encadena limpio: hay tareas operativas que no mapean a un proyecto → hacen falta “proyectos paraguas” (generales y de fortalecimiento interno) para absorberlas sin forzar el modelo.</w:t>
      </w:r>
    </w:p>
    <w:p>
      <w:pPr>
        <w:pStyle w:val="ListBullet"/>
      </w:pPr>
      <w:r>
        <w:t>Tres tipos de proyecto a distinguir: estratégicos puntuales (p. ej. gradas eléctricas), generales (p. ej. La Paz Iluminada, con varias actividades) y de fortalecimiento interno (equipos, servidores).</w:t>
      </w:r>
    </w:p>
    <w:p>
      <w:pPr>
        <w:pStyle w:val="ListBullet"/>
      </w:pPr>
      <w:r>
        <w:t>POA vs. estratégico desalineados (ver §5).</w:t>
      </w:r>
    </w:p>
    <w:p>
      <w:pPr>
        <w:pStyle w:val="ListBullet"/>
      </w:pPr>
      <w:r>
        <w:t>10 ejes (matriz) vs. 9 ejes (sistema vigente): decidir alineación.</w:t>
      </w:r>
    </w:p>
    <w:p>
      <w:pPr>
        <w:pStyle w:val="ListBullet"/>
      </w:pPr>
      <w:r>
        <w:t>Adopción / carga de datos (ver §8).</w:t>
      </w:r>
    </w:p>
    <w:p>
      <w:pPr>
        <w:pStyle w:val="Heading1"/>
      </w:pPr>
      <w:r>
        <w:t>10. Hoja de ruta propuesta</w:t>
      </w:r>
    </w:p>
    <w:p>
      <w:r>
        <w:rPr>
          <w:b/>
          <w:i w:val="0"/>
        </w:rPr>
        <w:t>A. Consolidar la matriz (insumo vital).</w:t>
      </w:r>
    </w:p>
    <w:p>
      <w:r>
        <w:rPr>
          <w:b w:val="0"/>
          <w:i w:val="0"/>
        </w:rPr>
        <w:t>Franz/equipo recorre secretaría por secretaría validando: qué programas, proyectos, actividades y tareas le corresponden a cada una. Cerrar los proyectos con metas e indicadores. Estimado: ~1 mes.</w:t>
      </w:r>
    </w:p>
    <w:p>
      <w:r>
        <w:rPr>
          <w:b/>
          <w:i w:val="0"/>
        </w:rPr>
        <w:t>B. Implementar por etapas.</w:t>
      </w:r>
    </w:p>
    <w:p>
      <w:pPr>
        <w:pStyle w:val="ListNumber"/>
      </w:pPr>
      <w:r>
        <w:t>Despacho: César, Javier y Carla (con su dirección/unidad).</w:t>
      </w:r>
    </w:p>
    <w:p>
      <w:pPr>
        <w:pStyle w:val="ListNumber"/>
      </w:pPr>
      <w:r>
        <w:t>Secretaría por secretaría.</w:t>
      </w:r>
    </w:p>
    <w:p>
      <w:pPr>
        <w:pStyle w:val="ListNumber"/>
      </w:pPr>
      <w:r>
        <w:t>Direcciones.</w:t>
      </w:r>
    </w:p>
    <w:p>
      <w:pPr>
        <w:pStyle w:val="ListNumber"/>
      </w:pPr>
      <w:r>
        <w:t>Unidades.</w:t>
      </w:r>
    </w:p>
    <w:p>
      <w:r>
        <w:rPr>
          <w:b/>
          <w:i w:val="0"/>
        </w:rPr>
        <w:t>C. Conectar con el sistema de compromisos.</w:t>
      </w:r>
    </w:p>
    <w:p>
      <w:r>
        <w:rPr>
          <w:b w:val="0"/>
          <w:i w:val="0"/>
        </w:rPr>
        <w:t>Extender el modelo actual (tarea) hacia arriba (actividad/proyecto/programa) con peso ponderado, y encadenar automáticamente lo que sale de las inspecciones.</w:t>
      </w:r>
    </w:p>
    <w:p>
      <w:pPr>
        <w:pStyle w:val="Heading1"/>
      </w:pPr>
      <w:r>
        <w:t>11. Decisiones pendientes (para César / Javier)</w:t>
      </w:r>
    </w:p>
    <w:p>
      <w:pPr>
        <w:pStyle w:val="ListBullet"/>
      </w:pPr>
      <w:r>
        <w:t>¿9 o 10 ejes en el CMI? (alinear matriz sep-2025 con el sistema vigente).</w:t>
      </w:r>
    </w:p>
    <w:p>
      <w:pPr>
        <w:pStyle w:val="ListBullet"/>
      </w:pPr>
      <w:r>
        <w:t>¿Dónde vive el CMI? (extender el sistema actual vs. plataforma nueva) y quién lo construye/mantiene.</w:t>
      </w:r>
    </w:p>
    <w:p>
      <w:pPr>
        <w:pStyle w:val="ListBullet"/>
      </w:pPr>
      <w:r>
        <w:t>Definir el modelo de peso/incidencia y la fórmula RICE oficial (parámetros de impacto y confianza).</w:t>
      </w:r>
    </w:p>
    <w:p>
      <w:pPr>
        <w:pStyle w:val="ListBullet"/>
      </w:pPr>
      <w:r>
        <w:t>Definir la estructura de carpetas del Drive y los permisos por nivel.</w:t>
      </w:r>
    </w:p>
    <w:p>
      <w:pPr>
        <w:pStyle w:val="ListBullet"/>
      </w:pPr>
      <w:r>
        <w:t>Confirmar la unidad de Franz y su rol formal en el proyecto.</w:t>
      </w:r>
    </w:p>
    <w:p>
      <w:r>
        <w:rPr>
          <w:b w:val="0"/>
          <w:i/>
          <w:color w:val="666666"/>
          <w:sz w:val="18"/>
        </w:rPr>
        <w:t>— Documento de síntesis, 05-ago-2026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