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6" w:hanging="1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left="720" w:hanging="360"/>
        <w:jc w:val="center"/>
        <w:rPr>
          <w:rFonts w:ascii="Roboto Medium" w:cs="Roboto Medium" w:eastAsia="Roboto Medium" w:hAnsi="Roboto Medium"/>
          <w:color w:val="e11a5a"/>
        </w:rPr>
      </w:pPr>
      <w:bookmarkStart w:colFirst="0" w:colLast="0" w:name="_gjdgxs" w:id="0"/>
      <w:bookmarkEnd w:id="0"/>
      <w:r w:rsidDel="00000000" w:rsidR="00000000" w:rsidRPr="00000000">
        <w:rPr>
          <w:rFonts w:ascii="Roboto Medium" w:cs="Roboto Medium" w:eastAsia="Roboto Medium" w:hAnsi="Roboto Medium"/>
          <w:color w:val="e11a5a"/>
          <w:rtl w:val="0"/>
        </w:rPr>
        <w:t xml:space="preserve">Un pas de plus vers les microservices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Nous avons à présent créé la plupart des briques nécessaires à la création de microservices proprement dit.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 but de cette activité va être d’effectuer un pas de plus dans cette direction grâce à un système d’enregistrement et de découverte des microservices grâce à Eureka. Vous avez jusqu’à présent indiqué - en dur - les adresses des microservices dont chacun des autres microservices à  besoin pour fonctionner. Que se passe-t-il lorsque l’on possède de multiples instances d’un même microservice ? Que se passe-t-il lorsque les microservices changent d’adresse ? De port ? Crash d’un serveur ? Heureusement Eureka est là pour vous ! 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Nous n’aborderons pas dans ce cours l’ensemble des services nécessaires à l’élaboration d’une architecture microservice en production (sécurité, load balancing, authentification, API Gateway, etc.) mais soyez libres d’aller explorer un monde neuf et plein d’avenir !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Nous vous fournissons en fin de cette activité quelques ressources de qualité sur les microservices pour votre culture générale.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3"/>
        <w:spacing w:line="240" w:lineRule="auto"/>
        <w:rPr/>
      </w:pPr>
      <w:bookmarkStart w:colFirst="0" w:colLast="0" w:name="_7jmvi4xfsufy" w:id="1"/>
      <w:bookmarkEnd w:id="1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Objectifs de l’activité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rPr>
          <w:sz w:val="25"/>
          <w:szCs w:val="25"/>
        </w:rPr>
      </w:pPr>
      <w:bookmarkStart w:colFirst="0" w:colLast="0" w:name="_3znysh7" w:id="2"/>
      <w:bookmarkEnd w:id="2"/>
      <w:r w:rsidDel="00000000" w:rsidR="00000000" w:rsidRPr="00000000">
        <w:rPr>
          <w:sz w:val="25"/>
          <w:szCs w:val="25"/>
          <w:rtl w:val="0"/>
        </w:rPr>
        <w:t xml:space="preserve">Mise en place d’une 1ère architecture de microservices. 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sz w:val="25"/>
          <w:szCs w:val="25"/>
        </w:rPr>
      </w:pPr>
      <w:bookmarkStart w:colFirst="0" w:colLast="0" w:name="_i1l46mxkge1t" w:id="3"/>
      <w:bookmarkEnd w:id="3"/>
      <w:r w:rsidDel="00000000" w:rsidR="00000000" w:rsidRPr="00000000">
        <w:rPr>
          <w:sz w:val="25"/>
          <w:szCs w:val="25"/>
          <w:rtl w:val="0"/>
        </w:rPr>
        <w:t xml:space="preserve">Découverte du système d</w:t>
      </w:r>
      <w:r w:rsidDel="00000000" w:rsidR="00000000" w:rsidRPr="00000000">
        <w:rPr>
          <w:sz w:val="25"/>
          <w:szCs w:val="25"/>
          <w:rtl w:val="0"/>
        </w:rPr>
        <w:t xml:space="preserve">’enregistrement et de découverte des microservices grâce à Eureka. </w:t>
      </w:r>
    </w:p>
    <w:p w:rsidR="00000000" w:rsidDel="00000000" w:rsidP="00000000" w:rsidRDefault="00000000" w:rsidRPr="00000000" w14:paraId="0000000F">
      <w:pPr>
        <w:spacing w:line="240" w:lineRule="auto"/>
        <w:rPr>
          <w:sz w:val="25"/>
          <w:szCs w:val="25"/>
        </w:rPr>
      </w:pPr>
      <w:bookmarkStart w:colFirst="0" w:colLast="0" w:name="_rjxgg5swhu0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line="240" w:lineRule="auto"/>
        <w:rPr/>
      </w:pPr>
      <w:bookmarkStart w:colFirst="0" w:colLast="0" w:name="_8tfatpt7nond" w:id="5"/>
      <w:bookmarkEnd w:id="5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Compétences associées à l’activité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sz w:val="25"/>
          <w:szCs w:val="25"/>
        </w:rPr>
      </w:pPr>
      <w:bookmarkStart w:colFirst="0" w:colLast="0" w:name="_3znysh7" w:id="2"/>
      <w:bookmarkEnd w:id="2"/>
      <w:r w:rsidDel="00000000" w:rsidR="00000000" w:rsidRPr="00000000">
        <w:rPr>
          <w:sz w:val="25"/>
          <w:szCs w:val="25"/>
          <w:rtl w:val="0"/>
        </w:rPr>
        <w:t xml:space="preserve">Comprendre les principes de l’approche par microservices : architecture générale, avantages et applications.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5"/>
          <w:szCs w:val="25"/>
        </w:rPr>
      </w:pPr>
      <w:bookmarkStart w:colFirst="0" w:colLast="0" w:name="_k4qupxlbnrk5" w:id="6"/>
      <w:bookmarkEnd w:id="6"/>
      <w:r w:rsidDel="00000000" w:rsidR="00000000" w:rsidRPr="00000000">
        <w:rPr>
          <w:sz w:val="25"/>
          <w:szCs w:val="25"/>
          <w:rtl w:val="0"/>
        </w:rPr>
        <w:t xml:space="preserve">Faire communiquer des services en utilisant Eureka.   </w:t>
      </w:r>
    </w:p>
    <w:p w:rsidR="00000000" w:rsidDel="00000000" w:rsidP="00000000" w:rsidRDefault="00000000" w:rsidRPr="00000000" w14:paraId="00000013">
      <w:pPr>
        <w:pStyle w:val="Heading3"/>
        <w:spacing w:line="240" w:lineRule="auto"/>
        <w:rPr>
          <w:rFonts w:ascii="Roboto" w:cs="Roboto" w:eastAsia="Roboto" w:hAnsi="Roboto"/>
          <w:b w:val="1"/>
          <w:color w:val="e11a5a"/>
          <w:sz w:val="24"/>
          <w:szCs w:val="24"/>
        </w:rPr>
      </w:pPr>
      <w:bookmarkStart w:colFirst="0" w:colLast="0" w:name="_1fob9te" w:id="7"/>
      <w:bookmarkEnd w:id="7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Modalités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Travail en autonomie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Production individuelle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line="240" w:lineRule="auto"/>
        <w:rPr>
          <w:rFonts w:ascii="Roboto" w:cs="Roboto" w:eastAsia="Roboto" w:hAnsi="Roboto"/>
          <w:b w:val="1"/>
          <w:color w:val="e11a5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Consignes: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première étape nécessaire à la mise en place d’une architecture microservice est de comprendre de quoi on parle ! Nous vous conseillons donc d’étudier ces quelques ressources :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Les microservices en 6 min (français) : 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https://www.youtube.com/watch?v=ucHwp1jUS2w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Les microservices en 15 min (english) (qualité ++) : 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https://www.youtube.com/watch?v=j1gU2oGFayY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Faites communiquer vos services grâce à Eureka (démarrage du serveur, création des clients Eureka et découverte des services). Pour cela plusieurs ressources (choisissez celle(s) que vous préférez, il y a de la redondance dans les ressources :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Classroom : 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https://openclassrooms.com/en/courses/4668216-optimisez-votre-architecture-microservices/5176625-rendez-vos-microservices-decouvrables-grace-a-eureka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Dzone :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https://dzone.com/articles/microservices-communication-service-to-service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Brains (english): vidéos 19 à 21 la playlist “Spring Boot Microservices - Level 1” 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 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https://www.youtube.com/watch?v=GTM2J0nYmbs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 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https://www.youtube.com/watch?v=jhvJg4tDrpw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 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https://www.youtube.com/watch?v=GxLjcOE35oA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240" w:lineRule="auto"/>
        <w:rPr>
          <w:rFonts w:ascii="Roboto" w:cs="Roboto" w:eastAsia="Roboto" w:hAnsi="Roboto"/>
          <w:color w:val="e11a5a"/>
          <w:sz w:val="32"/>
          <w:szCs w:val="32"/>
        </w:rPr>
      </w:pPr>
      <w:bookmarkStart w:colFirst="0" w:colLast="0" w:name="_tyjcwt" w:id="8"/>
      <w:bookmarkEnd w:id="8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Livrables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Codes commentés des différentes classes de votre application, à déposer sous git.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Glossaire des différentes syntaxes utilisées. Commencez à rédiger un glossaire des différentes annotations Spring au cours de cette activité. Vous le ferez évoluer au fil du module.</w:t>
      </w:r>
    </w:p>
    <w:p w:rsidR="00000000" w:rsidDel="00000000" w:rsidP="00000000" w:rsidRDefault="00000000" w:rsidRPr="00000000" w14:paraId="0000002C">
      <w:pPr>
        <w:pStyle w:val="Heading3"/>
        <w:spacing w:line="240" w:lineRule="auto"/>
        <w:rPr>
          <w:rFonts w:ascii="Roboto" w:cs="Roboto" w:eastAsia="Roboto" w:hAnsi="Roboto"/>
          <w:color w:val="e11a5a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Durée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1,5 jour</w:t>
      </w:r>
    </w:p>
    <w:p w:rsidR="00000000" w:rsidDel="00000000" w:rsidP="00000000" w:rsidRDefault="00000000" w:rsidRPr="00000000" w14:paraId="0000002E">
      <w:pPr>
        <w:pStyle w:val="Heading2"/>
        <w:spacing w:line="240" w:lineRule="auto"/>
        <w:rPr>
          <w:rFonts w:ascii="Roboto" w:cs="Roboto" w:eastAsia="Roboto" w:hAnsi="Roboto"/>
          <w:b w:val="1"/>
          <w:color w:val="e11a5a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rtl w:val="0"/>
        </w:rPr>
        <w:t xml:space="preserve">Ressource complémentaires 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Mastering chaos at Netflix (50 min) :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https://www.youtube.com/watch?v=CZ3wIuvmHeM&amp;t=1478s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Title"/>
      <w:spacing w:line="276" w:lineRule="auto"/>
      <w:ind w:left="6" w:hanging="15"/>
      <w:rPr>
        <w:rFonts w:ascii="Roboto Medium" w:cs="Roboto Medium" w:eastAsia="Roboto Medium" w:hAnsi="Roboto Medium"/>
        <w:color w:val="e11a5a"/>
        <w:sz w:val="36"/>
        <w:szCs w:val="36"/>
      </w:rPr>
    </w:pPr>
    <w:bookmarkStart w:colFirst="0" w:colLast="0" w:name="_2s8eyo1" w:id="10"/>
    <w:bookmarkEnd w:id="1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-542924</wp:posOffset>
          </wp:positionH>
          <wp:positionV relativeFrom="paragraph">
            <wp:posOffset>-66674</wp:posOffset>
          </wp:positionV>
          <wp:extent cx="4385400" cy="1533525"/>
          <wp:effectExtent b="0" l="0" r="0" t="0"/>
          <wp:wrapSquare wrapText="bothSides" distB="114300" distT="114300" distL="114300" distR="114300"/>
          <wp:docPr descr="habillageTemporaire.jpg" id="1" name="image1.jpg"/>
          <a:graphic>
            <a:graphicData uri="http://schemas.openxmlformats.org/drawingml/2006/picture">
              <pic:pic>
                <pic:nvPicPr>
                  <pic:cNvPr descr="habillageTemporaire.jpg" id="0" name="image1.jpg"/>
                  <pic:cNvPicPr preferRelativeResize="0"/>
                </pic:nvPicPr>
                <pic:blipFill>
                  <a:blip r:embed="rId1"/>
                  <a:srcRect b="0" l="0" r="10250" t="0"/>
                  <a:stretch>
                    <a:fillRect/>
                  </a:stretch>
                </pic:blipFill>
                <pic:spPr>
                  <a:xfrm>
                    <a:off x="0" y="0"/>
                    <a:ext cx="4385400" cy="1533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pStyle w:val="Title"/>
      <w:spacing w:line="276" w:lineRule="auto"/>
      <w:ind w:left="-8" w:firstLine="0"/>
      <w:rPr>
        <w:rFonts w:ascii="Roboto Medium" w:cs="Roboto Medium" w:eastAsia="Roboto Medium" w:hAnsi="Roboto Medium"/>
        <w:color w:val="e11a5a"/>
        <w:sz w:val="28"/>
        <w:szCs w:val="28"/>
      </w:rPr>
    </w:pPr>
    <w:bookmarkStart w:colFirst="0" w:colLast="0" w:name="_17dp8vu" w:id="11"/>
    <w:bookmarkEnd w:id="1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Style w:val="Title"/>
      <w:spacing w:line="276" w:lineRule="auto"/>
      <w:ind w:left="-8" w:firstLine="0"/>
      <w:jc w:val="center"/>
      <w:rPr>
        <w:rFonts w:ascii="Roboto Medium" w:cs="Roboto Medium" w:eastAsia="Roboto Medium" w:hAnsi="Roboto Medium"/>
        <w:color w:val="e11a5a"/>
        <w:sz w:val="28"/>
        <w:szCs w:val="28"/>
      </w:rPr>
    </w:pPr>
    <w:bookmarkStart w:colFirst="0" w:colLast="0" w:name="_3rdcrjn" w:id="12"/>
    <w:bookmarkEnd w:id="12"/>
    <w:r w:rsidDel="00000000" w:rsidR="00000000" w:rsidRPr="00000000">
      <w:rPr>
        <w:rFonts w:ascii="Roboto Medium" w:cs="Roboto Medium" w:eastAsia="Roboto Medium" w:hAnsi="Roboto Medium"/>
        <w:color w:val="e11a5a"/>
        <w:sz w:val="28"/>
        <w:szCs w:val="28"/>
        <w:rtl w:val="0"/>
      </w:rPr>
      <w:t xml:space="preserve">Introduction à SpringBoot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-342899</wp:posOffset>
          </wp:positionV>
          <wp:extent cx="7733438" cy="2417451"/>
          <wp:effectExtent b="0" l="0" r="0" t="0"/>
          <wp:wrapTopAndBottom distB="114300" distT="114300"/>
          <wp:docPr descr="habillageTemporaire.jpg" id="2" name="image1.jpg"/>
          <a:graphic>
            <a:graphicData uri="http://schemas.openxmlformats.org/drawingml/2006/picture">
              <pic:pic>
                <pic:nvPicPr>
                  <pic:cNvPr descr="habillageTemporaire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438" cy="24174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jhvJg4tDrpw" TargetMode="External"/><Relationship Id="rId10" Type="http://schemas.openxmlformats.org/officeDocument/2006/relationships/hyperlink" Target="https://www.youtube.com/watch?v=GTM2J0nYmbs" TargetMode="External"/><Relationship Id="rId13" Type="http://schemas.openxmlformats.org/officeDocument/2006/relationships/hyperlink" Target="https://www.youtube.com/watch?v=CZ3wIuvmHeM&amp;t=1478s" TargetMode="External"/><Relationship Id="rId12" Type="http://schemas.openxmlformats.org/officeDocument/2006/relationships/hyperlink" Target="https://www.youtube.com/watch?v=GxLjcOE35o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zone.com/articles/microservices-communication-service-to-service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cHwp1jUS2w" TargetMode="External"/><Relationship Id="rId7" Type="http://schemas.openxmlformats.org/officeDocument/2006/relationships/hyperlink" Target="https://www.youtube.com/watch?v=j1gU2oGFayY" TargetMode="External"/><Relationship Id="rId8" Type="http://schemas.openxmlformats.org/officeDocument/2006/relationships/hyperlink" Target="https://openclassrooms.com/en/courses/4668216-optimisez-votre-architecture-microservices/5176625-rendez-vos-microservices-decouvrables-grace-a-eurek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