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120" w:before="400" w:line="276" w:lineRule="auto"/>
        <w:ind w:left="720" w:firstLine="72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color w:val="e11a5a"/>
          <w:sz w:val="40"/>
          <w:szCs w:val="40"/>
          <w:rtl w:val="0"/>
        </w:rPr>
        <w:t xml:space="preserve">Grille d’évaluation des compétences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before="0" w:line="276" w:lineRule="auto"/>
        <w:ind w:left="0" w:right="460" w:firstLine="0"/>
        <w:jc w:val="left"/>
        <w:rPr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0" w:line="276" w:lineRule="auto"/>
        <w:ind w:left="0" w:right="-146.45669291338493" w:firstLine="0"/>
        <w:jc w:val="left"/>
        <w:rPr>
          <w:sz w:val="22"/>
          <w:szCs w:val="22"/>
        </w:rPr>
      </w:pPr>
      <w:bookmarkStart w:colFirst="0" w:colLast="0" w:name="_f12ujrtmzvge" w:id="2"/>
      <w:bookmarkEnd w:id="2"/>
      <w:r w:rsidDel="00000000" w:rsidR="00000000" w:rsidRPr="00000000">
        <w:rPr>
          <w:sz w:val="22"/>
          <w:szCs w:val="22"/>
          <w:rtl w:val="0"/>
        </w:rPr>
        <w:t xml:space="preserve">Votre travail sera évalué à partir des critères et indicateurs suivants. Ce module a pour but de consolider vos acquisitions de compétences en JAVA vue durant le socle de compétences et d’acquérir des compétences en JAVA avancé via SpringBoot sur la partie Alternance.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-7.0" w:type="dxa"/>
        <w:tblLayout w:type="fixed"/>
        <w:tblLook w:val="0600"/>
      </w:tblPr>
      <w:tblGrid>
        <w:gridCol w:w="2460"/>
        <w:gridCol w:w="2715"/>
        <w:gridCol w:w="4125"/>
        <w:gridCol w:w="1170"/>
        <w:tblGridChange w:id="0">
          <w:tblGrid>
            <w:gridCol w:w="2460"/>
            <w:gridCol w:w="2715"/>
            <w:gridCol w:w="4125"/>
            <w:gridCol w:w="1170"/>
          </w:tblGrid>
        </w:tblGridChange>
      </w:tblGrid>
      <w:tr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31" w:lineRule="auto"/>
              <w:ind w:left="18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Compétences à évaluer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31" w:lineRule="auto"/>
              <w:ind w:left="185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Critère d’évaluation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31" w:lineRule="auto"/>
              <w:ind w:left="185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Indicateurs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31" w:lineRule="auto"/>
              <w:ind w:left="18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Numéro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Manipuler l’environnement de développement SpringBoot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criture</w:t>
            </w:r>
            <w:r w:rsidDel="00000000" w:rsidR="00000000" w:rsidRPr="00000000">
              <w:rPr>
                <w:rtl w:val="0"/>
              </w:rPr>
              <w:t xml:space="preserve"> de la première webApp avec SpringBoot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  <w:t xml:space="preserve">’application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s’exécute </w:t>
            </w:r>
            <w:r w:rsidDel="00000000" w:rsidR="00000000" w:rsidRPr="00000000">
              <w:rPr>
                <w:rtl w:val="0"/>
              </w:rPr>
              <w:t xml:space="preserve">correctement et est accessible sur localhost.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Les options de base du serveur sont configurées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Utiliser Thymeleaf pour générer des vues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Utilisation de Thymeleaf dans les vues de la première webApp.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Les pages index, listeModèles, et addModèle  s’affichent correctement en utilisant Thymeleaf.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Mettre en place les controllers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développement d’une API REST permettant le CRUD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Les différents contrôleurs de lister, visualiser, ajouter, modifier et supprimer un modèle de véhicule sont définis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Mettre en place une couche DAO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développement d’une API REST permettant le CRUD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Les méthodes </w:t>
            </w:r>
            <w:r w:rsidDel="00000000" w:rsidR="00000000" w:rsidRPr="00000000">
              <w:rPr>
                <w:highlight w:val="white"/>
                <w:rtl w:val="0"/>
              </w:rPr>
              <w:t xml:space="preserve">findAll(), findById(</w:t>
            </w:r>
            <w:r w:rsidDel="00000000" w:rsidR="00000000" w:rsidRPr="00000000">
              <w:rPr>
                <w:b w:val="1"/>
                <w:color w:val="00008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highlight w:val="white"/>
                <w:rtl w:val="0"/>
              </w:rPr>
              <w:t xml:space="preserve">id), save(Modele m) et delete(</w:t>
            </w:r>
            <w:r w:rsidDel="00000000" w:rsidR="00000000" w:rsidRPr="00000000">
              <w:rPr>
                <w:b w:val="1"/>
                <w:color w:val="00008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highlight w:val="white"/>
                <w:rtl w:val="0"/>
              </w:rPr>
              <w:t xml:space="preserve">id) sont implémentées dans le repository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Documenter une API avec Swagger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Documentation de l’API de gestion des modèles de véhicules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La documentation de  l’API de gestion des modèles de véhicules est lisible et exhaustive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Consommer une API REST avec SpringBoot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Appel de l’API qui renvoie la liste des modèles de véhicules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L’API REST est appelée et la liste des modèles de véhicules s’affiche correctement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Accéder aux données avec JPA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Utilisation de JPA pour visualiser des données d’une table MySql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Les modèles de véhicules stockés en base de données s’affichent correctement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Mettre à jour des données avec JPA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Utilisation de JPA pour mettre à jour des données d’une table MySql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Les modèles de véhicules peuvent être créés, modifiés et supprimés en base de données via l’API SpringBoot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Savoir expliciter les différentes annotations de SpringBoot et JPA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présence du mémo récapitulant les annotations SpringBoot et JPA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Les principales annotations SpringBoot et JPA peuvent être explicitées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Connaître les principes de l’approche par microservices 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Description de l’approche par microservices dans le glossaire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l’architecture générale, les avantages et les applications des microservices peuvent être explicités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trHeight w:val="1540" w:hRule="atLeast"/>
        </w:trPr>
        <w:tc>
          <w:tcPr>
            <w:tcBorders>
              <w:top w:color="4bacc6" w:space="0" w:sz="6" w:val="single"/>
              <w:left w:color="4bacc6" w:space="0" w:sz="6" w:val="single"/>
              <w:bottom w:color="000000" w:space="0" w:sz="0" w:val="nil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Faire communiquer des services en utilisant Eureka (compétence facultative) 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6">
            <w:pPr>
              <w:widowControl w:val="1"/>
              <w:spacing w:after="0" w:line="240" w:lineRule="auto"/>
              <w:ind w:left="0" w:firstLine="0"/>
              <w:rPr/>
            </w:pPr>
            <w:bookmarkStart w:colFirst="0" w:colLast="0" w:name="_i1l46mxkge1t" w:id="3"/>
            <w:bookmarkEnd w:id="3"/>
            <w:r w:rsidDel="00000000" w:rsidR="00000000" w:rsidRPr="00000000">
              <w:rPr>
                <w:rtl w:val="0"/>
              </w:rPr>
              <w:t xml:space="preserve">Découverte du système d’enregistrement et de découverte des microservices grâce à Eureka.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Le client Eureka est rajouté au microservice de gestion des modèles de véhicules</w:t>
            </w:r>
          </w:p>
        </w:tc>
        <w:tc>
          <w:tcPr>
            <w:tcBorders>
              <w:top w:color="4bacc6" w:space="0" w:sz="6" w:val="single"/>
              <w:left w:color="4bacc6" w:space="0" w:sz="6" w:val="single"/>
              <w:bottom w:color="4bacc6" w:space="0" w:sz="6" w:val="single"/>
              <w:right w:color="4bacc6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39">
      <w:pPr>
        <w:widowControl w:val="1"/>
        <w:spacing w:after="0" w:line="240" w:lineRule="auto"/>
        <w:ind w:left="720" w:firstLine="0"/>
        <w:rPr/>
      </w:pPr>
      <w:bookmarkStart w:colFirst="0" w:colLast="0" w:name="_k4qupxlbnrk5" w:id="4"/>
      <w:bookmarkEnd w:id="4"/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40" w:w="11907"/>
      <w:pgMar w:bottom="1418" w:top="1134" w:left="850" w:right="85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20" w:before="2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1440" w:before="2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2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1440" w:before="2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widowControl w:val="1"/>
      <w:spacing w:after="0" w:line="331" w:lineRule="auto"/>
      <w:ind w:left="720" w:right="460" w:hanging="2160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sz w:val="24"/>
        <w:szCs w:val="24"/>
      </w:rPr>
      <w:drawing>
        <wp:inline distB="114300" distT="114300" distL="114300" distR="114300">
          <wp:extent cx="7988439" cy="17478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88439" cy="1747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3544"/>
        <w:tab w:val="right" w:pos="8222"/>
      </w:tabs>
      <w:spacing w:after="0" w:before="0" w:line="276" w:lineRule="auto"/>
      <w:ind w:left="-1134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40" w:lineRule="auto"/>
      <w:ind w:left="284" w:right="0" w:firstLine="279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080" w:right="0" w:hanging="72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709"/>
        <w:tab w:val="left" w:pos="1418"/>
      </w:tabs>
      <w:spacing w:after="0" w:before="120" w:line="276" w:lineRule="auto"/>
      <w:ind w:left="1080" w:right="0" w:hanging="37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1856" w:right="0" w:hanging="36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243f6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1"/>
      <w:smallCaps w:val="0"/>
      <w:strike w:val="0"/>
      <w:color w:val="243f6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00" w:before="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17365d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Cambria" w:cs="Cambria" w:eastAsia="Cambria" w:hAnsi="Cambria"/>
      <w:b w:val="0"/>
      <w:i w:val="1"/>
      <w:smallCaps w:val="0"/>
      <w:strike w:val="0"/>
      <w:color w:val="4f81bd"/>
      <w:sz w:val="24"/>
      <w:szCs w:val="24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