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713E" w14:textId="77777777" w:rsidR="00C03C9A" w:rsidRDefault="00C03C9A" w:rsidP="00C03C9A">
      <w:pPr>
        <w:ind w:left="720"/>
      </w:pPr>
    </w:p>
    <w:p w14:paraId="01E24440" w14:textId="77777777" w:rsidR="00C03C9A" w:rsidRPr="005A0A08" w:rsidRDefault="00C03C9A" w:rsidP="00C03C9A">
      <w:pPr>
        <w:ind w:left="720"/>
        <w:rPr>
          <w:color w:val="4472C4" w:themeColor="accent1"/>
        </w:rPr>
      </w:pPr>
      <w:r w:rsidRPr="005A0A08">
        <w:rPr>
          <w:color w:val="4472C4" w:themeColor="accent1"/>
        </w:rPr>
        <w:t>Einfaches Rechenbeispiel für 3 Punkte:</w:t>
      </w:r>
    </w:p>
    <w:p w14:paraId="6060EDF1" w14:textId="77777777" w:rsidR="00C03C9A" w:rsidRPr="005A0A08" w:rsidRDefault="00C03C9A" w:rsidP="00C03C9A">
      <w:pPr>
        <w:ind w:left="720"/>
        <w:rPr>
          <w:color w:val="4472C4" w:themeColor="accent1"/>
        </w:rPr>
      </w:pPr>
      <m:oMath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L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</m:d>
        <m:r>
          <w:rPr>
            <w:rFonts w:ascii="Cambria Math" w:hAnsi="Cambria Math"/>
            <w:color w:val="4472C4" w:themeColor="accent1"/>
          </w:rPr>
          <m:t>≔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4472C4" w:themeColor="accent1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eqArrPr>
              <m:e>
                <m:r>
                  <w:rPr>
                    <w:rFonts w:ascii="Cambria Math" w:hAnsi="Cambria Math"/>
                    <w:color w:val="4472C4" w:themeColor="accent1"/>
                  </w:rPr>
                  <m:t>j=0</m:t>
                </m:r>
              </m:e>
              <m:e>
                <m:r>
                  <w:rPr>
                    <w:rFonts w:ascii="Cambria Math" w:hAnsi="Cambria Math"/>
                    <w:color w:val="4472C4" w:themeColor="accent1"/>
                  </w:rPr>
                  <m:t>j≠i</m:t>
                </m:r>
              </m:e>
            </m:eqArr>
          </m:sub>
          <m:sup>
            <m:r>
              <w:rPr>
                <w:rFonts w:ascii="Cambria Math" w:hAnsi="Cambria Math"/>
                <w:color w:val="4472C4" w:themeColor="accent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fPr>
              <m:num>
                <m:r>
                  <w:rPr>
                    <w:rFonts w:ascii="Cambria Math" w:hAnsi="Cambria Math"/>
                    <w:color w:val="4472C4" w:themeColor="accent1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color w:val="4472C4" w:themeColor="accent1"/>
          </w:rPr>
          <m:t>, i=0,1,…,n</m:t>
        </m:r>
      </m:oMath>
      <w:r w:rsidRPr="005A0A08">
        <w:rPr>
          <w:color w:val="4472C4" w:themeColor="accent1"/>
        </w:rPr>
        <w:t xml:space="preserve"> </w:t>
      </w:r>
      <w:r w:rsidRPr="005A0A08">
        <w:rPr>
          <w:color w:val="4472C4" w:themeColor="accent1"/>
        </w:rPr>
        <w:tab/>
      </w:r>
      <w:r w:rsidRPr="005A0A08">
        <w:rPr>
          <w:color w:val="4472C4" w:themeColor="accent1"/>
        </w:rPr>
        <w:tab/>
        <w:t>(3.6)</w:t>
      </w:r>
    </w:p>
    <w:p w14:paraId="01951438" w14:textId="77777777" w:rsidR="00C03C9A" w:rsidRPr="005A0A08" w:rsidRDefault="00C03C9A" w:rsidP="00C03C9A">
      <w:pPr>
        <w:ind w:left="720"/>
        <w:rPr>
          <w:color w:val="4472C4" w:themeColor="accent1"/>
        </w:rPr>
      </w:pPr>
      <w:r w:rsidRPr="005A0A08">
        <w:rPr>
          <w:color w:val="4472C4" w:themeColor="accent1"/>
        </w:rPr>
        <w:t xml:space="preserve">Das Polynom </w:t>
      </w:r>
      <m:oMath>
        <m:r>
          <w:rPr>
            <w:rFonts w:ascii="Cambria Math" w:hAnsi="Cambria Math"/>
            <w:color w:val="4472C4" w:themeColor="accent1"/>
          </w:rPr>
          <m:t>p</m:t>
        </m:r>
        <m:d>
          <m:dPr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</m:d>
        <m:r>
          <w:rPr>
            <w:rFonts w:ascii="Cambria Math" w:hAnsi="Cambria Math"/>
            <w:color w:val="4472C4" w:themeColor="accent1"/>
          </w:rPr>
          <m:t xml:space="preserve">≔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4472C4" w:themeColor="accent1"/>
              </w:rPr>
            </m:ctrlPr>
          </m:naryPr>
          <m:sub>
            <m:r>
              <w:rPr>
                <w:rFonts w:ascii="Cambria Math" w:hAnsi="Cambria Math"/>
                <w:color w:val="4472C4" w:themeColor="accent1"/>
              </w:rPr>
              <m:t>i=0</m:t>
            </m:r>
          </m:sub>
          <m:sup>
            <m:r>
              <w:rPr>
                <w:rFonts w:ascii="Cambria Math" w:hAnsi="Cambria Math"/>
                <w:color w:val="4472C4" w:themeColor="accen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r>
                  <w:rPr>
                    <w:rFonts w:ascii="Cambria Math" w:hAnsi="Cambria Math"/>
                    <w:color w:val="4472C4" w:themeColor="accent1"/>
                  </w:rPr>
                  <m:t>x</m:t>
                </m:r>
              </m:e>
            </m:d>
            <m:r>
              <w:rPr>
                <w:rFonts w:ascii="Cambria Math" w:hAnsi="Cambria Math"/>
                <w:color w:val="4472C4" w:themeColor="accent1"/>
              </w:rPr>
              <m:t xml:space="preserve"> </m:t>
            </m:r>
          </m:e>
        </m:nary>
      </m:oMath>
    </w:p>
    <w:p w14:paraId="4F354E68" w14:textId="77777777" w:rsidR="00C03C9A" w:rsidRPr="005A0A08" w:rsidRDefault="00C03C9A" w:rsidP="00C03C9A">
      <w:pPr>
        <w:ind w:left="720"/>
        <w:rPr>
          <w:color w:val="4472C4" w:themeColor="accent1"/>
        </w:rPr>
      </w:pPr>
      <w:r w:rsidRPr="005A0A08">
        <w:rPr>
          <w:color w:val="4472C4" w:themeColor="accent1"/>
        </w:rPr>
        <w:t>Punkte: [(1,3), (2,1), (3,4)]</w:t>
      </w:r>
    </w:p>
    <w:p w14:paraId="4B0DD01C" w14:textId="77777777" w:rsidR="00C03C9A" w:rsidRPr="005A0A08" w:rsidRDefault="00C03C9A" w:rsidP="00C03C9A">
      <w:pPr>
        <w:ind w:left="720"/>
        <w:rPr>
          <w:color w:val="4472C4" w:themeColor="accent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1,3</m:t>
              </m:r>
            </m:e>
          </m:d>
          <m:r>
            <w:rPr>
              <w:rFonts w:ascii="Cambria Math" w:hAnsi="Cambria Math"/>
              <w:color w:val="4472C4" w:themeColor="accent1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0</m:t>
              </m:r>
            </m:sub>
          </m:sSub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x-2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1-2</m:t>
              </m:r>
            </m:den>
          </m:f>
          <m:r>
            <w:rPr>
              <w:rFonts w:ascii="Cambria Math" w:hAnsi="Cambria Math"/>
              <w:color w:val="4472C4" w:themeColor="accen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x-3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1-3</m:t>
              </m:r>
            </m:den>
          </m:f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-5x+6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</m:oMath>
      </m:oMathPara>
    </w:p>
    <w:p w14:paraId="6BF5AFCA" w14:textId="77777777" w:rsidR="00C03C9A" w:rsidRPr="005A0A08" w:rsidRDefault="00C03C9A" w:rsidP="00C03C9A">
      <w:pPr>
        <w:ind w:left="720"/>
        <w:rPr>
          <w:color w:val="4472C4" w:themeColor="accent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2,1</m:t>
              </m:r>
            </m:e>
          </m:d>
          <m:r>
            <w:rPr>
              <w:rFonts w:ascii="Cambria Math" w:hAnsi="Cambria Math"/>
              <w:color w:val="4472C4" w:themeColor="accent1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2-1</m:t>
              </m:r>
            </m:den>
          </m:f>
          <m:r>
            <w:rPr>
              <w:rFonts w:ascii="Cambria Math" w:hAnsi="Cambria Math"/>
              <w:color w:val="4472C4" w:themeColor="accen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x-3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2-3</m:t>
              </m:r>
            </m:den>
          </m:f>
          <m:r>
            <w:rPr>
              <w:rFonts w:ascii="Cambria Math" w:hAnsi="Cambria Math"/>
              <w:color w:val="4472C4" w:themeColor="accent1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-4x+3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den>
          </m:f>
        </m:oMath>
      </m:oMathPara>
    </w:p>
    <w:p w14:paraId="4B65CE9F" w14:textId="77777777" w:rsidR="00C03C9A" w:rsidRPr="005A0A08" w:rsidRDefault="00C03C9A" w:rsidP="00C03C9A">
      <w:pPr>
        <w:ind w:left="720"/>
        <w:rPr>
          <w:color w:val="4472C4" w:themeColor="accent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3,4</m:t>
              </m:r>
            </m:e>
          </m:d>
          <m:r>
            <w:rPr>
              <w:rFonts w:ascii="Cambria Math" w:hAnsi="Cambria Math"/>
              <w:color w:val="4472C4" w:themeColor="accent1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L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x-1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3-1</m:t>
              </m:r>
            </m:den>
          </m:f>
          <m:r>
            <w:rPr>
              <w:rFonts w:ascii="Cambria Math" w:hAnsi="Cambria Math"/>
              <w:color w:val="4472C4" w:themeColor="accen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x-2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3-2</m:t>
              </m:r>
            </m:den>
          </m:f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-3x+2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</m:oMath>
      </m:oMathPara>
    </w:p>
    <w:p w14:paraId="1BB47584" w14:textId="77777777" w:rsidR="00C03C9A" w:rsidRPr="005A0A08" w:rsidRDefault="00C03C9A" w:rsidP="00C03C9A">
      <w:pPr>
        <w:ind w:left="720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</w:rPr>
                <m:t>x</m:t>
              </m:r>
            </m:e>
          </m:d>
          <m:r>
            <w:rPr>
              <w:rFonts w:ascii="Cambria Math" w:hAnsi="Cambria Math"/>
              <w:color w:val="4472C4" w:themeColor="accent1"/>
            </w:rPr>
            <m:t>=3*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-5x+6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-1*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-4x+3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1</m:t>
              </m:r>
            </m:den>
          </m:f>
          <m:r>
            <w:rPr>
              <w:rFonts w:ascii="Cambria Math" w:hAnsi="Cambria Math"/>
              <w:color w:val="4472C4" w:themeColor="accent1"/>
            </w:rPr>
            <m:t>+4*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472C4" w:themeColor="accent1"/>
                </w:rPr>
                <m:t>-3x+2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5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</w:rPr>
                <m:t>19</m:t>
              </m:r>
            </m:num>
            <m:den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den>
          </m:f>
          <m:r>
            <w:rPr>
              <w:rFonts w:ascii="Cambria Math" w:hAnsi="Cambria Math"/>
              <w:color w:val="4472C4" w:themeColor="accent1"/>
            </w:rPr>
            <m:t>x+10</m:t>
          </m:r>
        </m:oMath>
      </m:oMathPara>
    </w:p>
    <w:p w14:paraId="750D14ED" w14:textId="77777777" w:rsidR="00C03C9A" w:rsidRDefault="00C03C9A" w:rsidP="00C03C9A">
      <w:r>
        <w:rPr>
          <w:noProof/>
        </w:rPr>
        <w:drawing>
          <wp:inline distT="0" distB="0" distL="0" distR="0" wp14:anchorId="2B673790" wp14:editId="31CB6BED">
            <wp:extent cx="5760720" cy="43173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CF59" w14:textId="77777777" w:rsidR="00C03C9A" w:rsidRDefault="00C03C9A" w:rsidP="00C03C9A">
      <w:pPr>
        <w:ind w:left="360"/>
      </w:pPr>
    </w:p>
    <w:p w14:paraId="5220F860" w14:textId="5930BB2A" w:rsidR="0017595F" w:rsidRDefault="0017595F"/>
    <w:p w14:paraId="3D892A47" w14:textId="5227AE79" w:rsidR="00C03C9A" w:rsidRDefault="00C03C9A"/>
    <w:p w14:paraId="575D3923" w14:textId="2E65E41C" w:rsidR="00C03C9A" w:rsidRDefault="00C03C9A"/>
    <w:p w14:paraId="38414875" w14:textId="77777777" w:rsidR="00C03C9A" w:rsidRDefault="00C03C9A" w:rsidP="00C03C9A">
      <w:pPr>
        <w:ind w:left="720"/>
        <w:rPr>
          <w:color w:val="4472C4" w:themeColor="accent1"/>
        </w:rPr>
      </w:pPr>
      <w:r w:rsidRPr="005A0A08">
        <w:rPr>
          <w:color w:val="4472C4" w:themeColor="accent1"/>
        </w:rPr>
        <w:lastRenderedPageBreak/>
        <w:t>Punkte: [(1,3), (2,1), (3,4)]</w:t>
      </w:r>
    </w:p>
    <w:p w14:paraId="3B857C68" w14:textId="77777777" w:rsidR="00C03C9A" w:rsidRPr="00054B3C" w:rsidRDefault="00C03C9A" w:rsidP="00C03C9A">
      <w:pPr>
        <w:ind w:left="720"/>
        <w:rPr>
          <w:color w:val="4472C4" w:themeColor="accent1"/>
        </w:rPr>
      </w:pPr>
      <w:r w:rsidRPr="00054B3C">
        <w:rPr>
          <w:color w:val="4472C4" w:themeColor="accent1"/>
        </w:rPr>
        <w:t>Die dividierten Differenzen sind rekursiv definiert</w:t>
      </w:r>
    </w:p>
    <w:p w14:paraId="0B027BB3" w14:textId="77777777" w:rsidR="00C03C9A" w:rsidRPr="00054B3C" w:rsidRDefault="00C03C9A" w:rsidP="00C03C9A">
      <w:pPr>
        <w:ind w:left="720"/>
        <w:rPr>
          <w:color w:val="4472C4" w:themeColor="accent1"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4472C4" w:themeColor="accent1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y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sub>
          </m:sSub>
          <m:r>
            <w:rPr>
              <w:rFonts w:ascii="Cambria Math" w:hAnsi="Cambria Math"/>
              <w:color w:val="4472C4" w:themeColor="accent1"/>
            </w:rPr>
            <m:t>, 0≤k≤n,</m:t>
          </m:r>
        </m:oMath>
      </m:oMathPara>
    </w:p>
    <w:p w14:paraId="7950344D" w14:textId="77777777" w:rsidR="00C03C9A" w:rsidRPr="00054B3C" w:rsidRDefault="00C03C9A" w:rsidP="00C03C9A">
      <w:pPr>
        <w:ind w:left="720"/>
        <w:rPr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i+1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i+k</m:t>
                </m:r>
              </m:sub>
            </m:sSub>
          </m:e>
        </m:d>
        <m:r>
          <w:rPr>
            <w:rFonts w:ascii="Cambria Math" w:hAnsi="Cambria Math"/>
            <w:color w:val="4472C4" w:themeColor="accent1"/>
          </w:rPr>
          <m:t>≔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i+k</m:t>
                    </m:r>
                  </m:sub>
                </m:sSub>
              </m:e>
            </m:d>
            <m:r>
              <w:rPr>
                <w:rFonts w:ascii="Cambria Math" w:hAnsi="Cambria Math"/>
                <w:color w:val="4472C4" w:themeColor="accent1"/>
              </w:rPr>
              <m:t>-y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i+k-1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i+k</m:t>
                </m:r>
              </m:sub>
            </m:sSub>
            <m:r>
              <w:rPr>
                <w:rFonts w:ascii="Cambria Math" w:hAnsi="Cambria Math"/>
                <w:color w:val="4472C4" w:themeColor="accen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1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4472C4" w:themeColor="accent1"/>
          </w:rPr>
          <m:t>, 0≤i≤i+k≤n</m:t>
        </m:r>
      </m:oMath>
      <w:r w:rsidRPr="00054B3C">
        <w:rPr>
          <w:color w:val="4472C4" w:themeColor="accent1"/>
        </w:rPr>
        <w:tab/>
      </w:r>
      <w:r w:rsidRPr="00054B3C">
        <w:rPr>
          <w:color w:val="4472C4" w:themeColor="accent1"/>
        </w:rPr>
        <w:tab/>
      </w:r>
      <w:r w:rsidRPr="00054B3C">
        <w:rPr>
          <w:color w:val="4472C4" w:themeColor="accent1"/>
        </w:rPr>
        <w:tab/>
        <w:t>(3.12)</w:t>
      </w:r>
    </w:p>
    <w:p w14:paraId="14F3699B" w14:textId="77777777" w:rsidR="00C03C9A" w:rsidRPr="005A0A08" w:rsidRDefault="00C03C9A" w:rsidP="00C03C9A">
      <w:pPr>
        <w:ind w:left="720"/>
        <w:rPr>
          <w:color w:val="4472C4" w:themeColor="accent1"/>
        </w:rPr>
      </w:pPr>
    </w:p>
    <w:p w14:paraId="59272E0F" w14:textId="77777777" w:rsidR="00C03C9A" w:rsidRPr="00FF4B6C" w:rsidRDefault="00C03C9A" w:rsidP="00C03C9A">
      <w:pPr>
        <w:ind w:left="720"/>
        <w:rPr>
          <w:color w:val="4472C4" w:themeColor="accent1"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  <w:color w:val="4472C4" w:themeColor="accent1"/>
                      </w:rPr>
                      <m:t>⇒y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=y[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y[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</w:rPr>
                  <m:t>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=y[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]</m:t>
                </m:r>
              </m:e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y[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,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/>
            </m:mr>
            <m:mr>
              <m:e/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</m:e>
            </m:mr>
            <m:mr>
              <m:e/>
              <m:e/>
              <m:e>
                <m:r>
                  <w:rPr>
                    <w:rFonts w:ascii="Cambria Math" w:hAnsi="Cambria Math"/>
                    <w:color w:val="4472C4" w:themeColor="accent1"/>
                  </w:rPr>
                  <m:t>y[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</w:rPr>
                  <m:t>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=y[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/>
            </m:mr>
          </m:m>
        </m:oMath>
      </m:oMathPara>
    </w:p>
    <w:p w14:paraId="4F1ECB9E" w14:textId="77777777" w:rsidR="00C03C9A" w:rsidRPr="00FF4B6C" w:rsidRDefault="00C03C9A" w:rsidP="00C03C9A">
      <w:pPr>
        <w:ind w:left="720"/>
        <w:rPr>
          <w:color w:val="4472C4" w:themeColor="accent1"/>
        </w:rPr>
      </w:pPr>
      <m:oMathPara>
        <m:oMath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  <w:color w:val="4472C4" w:themeColor="accent1"/>
                      </w:rPr>
                      <m:t>⇒y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=</m:t>
                </m:r>
                <m:r>
                  <w:rPr>
                    <w:rFonts w:ascii="Cambria Math" w:hAnsi="Cambria Math"/>
                    <w:color w:val="4472C4" w:themeColor="accent1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1-3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2-1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=-2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</w:rPr>
                  <m:t>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1</m:t>
                </m:r>
              </m:e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4472C4" w:themeColor="accen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3-(-2)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3-1</m:t>
                    </m:r>
                  </m:den>
                </m:f>
                <m:r>
                  <w:rPr>
                    <w:rFonts w:ascii="Cambria Math" w:hAnsi="Cambria Math"/>
                    <w:color w:val="4472C4" w:themeColor="accen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/>
            </m:mr>
            <m:mr>
              <m:e/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/>
            </m:mr>
            <m:mr>
              <m:e/>
              <m:e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4-1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3-2</m:t>
                    </m:r>
                  </m:den>
                </m:f>
                <m:r>
                  <w:rPr>
                    <w:rFonts w:ascii="Cambria Math" w:hAnsi="Cambria Math"/>
                    <w:color w:val="4472C4" w:themeColor="accent1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</w:rPr>
                  <m:t>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/>
            </m:mr>
          </m:m>
        </m:oMath>
      </m:oMathPara>
    </w:p>
    <w:p w14:paraId="6B7641E4" w14:textId="77777777" w:rsidR="00C03C9A" w:rsidRPr="00FF4B6C" w:rsidRDefault="00C03C9A" w:rsidP="00C03C9A">
      <w:pPr>
        <w:ind w:left="720"/>
        <w:rPr>
          <w:color w:val="4472C4" w:themeColor="accent1"/>
        </w:rPr>
      </w:pPr>
    </w:p>
    <w:p w14:paraId="32CAAB56" w14:textId="77777777" w:rsidR="00C03C9A" w:rsidRDefault="00C03C9A" w:rsidP="00C03C9A">
      <w:pPr>
        <w:ind w:left="720"/>
      </w:pPr>
      <w:r>
        <w:t>Die Koeffizienten können direkt aus dem Newton-Tableau abgelesen werden.</w:t>
      </w:r>
    </w:p>
    <w:p w14:paraId="241BBE1D" w14:textId="77777777" w:rsidR="00C03C9A" w:rsidRDefault="00C03C9A" w:rsidP="00C03C9A">
      <w:pPr>
        <w:ind w:left="720"/>
        <w:rPr>
          <w:color w:val="4472C4" w:themeColor="accent1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5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p>
            <m:r>
              <w:rPr>
                <w:rFonts w:ascii="Cambria Math" w:hAnsi="Cambria Math"/>
                <w:color w:val="4472C4" w:themeColor="accent1"/>
              </w:rPr>
              <m:t>2</m:t>
            </m:r>
          </m:sup>
        </m:sSup>
        <m:r>
          <w:rPr>
            <w:rFonts w:ascii="Cambria Math" w:hAnsi="Cambria Math"/>
            <w:color w:val="4472C4" w:themeColor="accent1"/>
          </w:rPr>
          <m:t>-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19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2</m:t>
            </m:r>
          </m:den>
        </m:f>
        <m:r>
          <w:rPr>
            <w:rFonts w:ascii="Cambria Math" w:hAnsi="Cambria Math"/>
            <w:color w:val="4472C4" w:themeColor="accent1"/>
          </w:rPr>
          <m:t>x+10</m:t>
        </m:r>
      </m:oMath>
      <w:r>
        <w:rPr>
          <w:color w:val="4472C4" w:themeColor="accent1"/>
        </w:rPr>
        <w:t xml:space="preserve"> (siehe Lagrange)</w:t>
      </w:r>
    </w:p>
    <w:p w14:paraId="57591708" w14:textId="77777777" w:rsidR="00C03C9A" w:rsidRDefault="00C03C9A" w:rsidP="00C03C9A">
      <w:pPr>
        <w:ind w:left="720"/>
      </w:pPr>
    </w:p>
    <w:p w14:paraId="0FD5661A" w14:textId="77777777" w:rsidR="00C03C9A" w:rsidRDefault="00C03C9A" w:rsidP="00C03C9A">
      <w:pPr>
        <w:ind w:left="720"/>
      </w:pPr>
      <w:r>
        <w:t>Weiterer Vorteil der Newton-Darstellung ist die einfache Erweiterung um neue Stützstellen (musste bei Lagrange komplett neu berechnet werden hier):</w:t>
      </w:r>
    </w:p>
    <w:p w14:paraId="08BA9EE8" w14:textId="77777777" w:rsidR="00C03C9A" w:rsidRDefault="00C03C9A" w:rsidP="00C03C9A">
      <w:pPr>
        <w:ind w:left="720"/>
        <w:rPr>
          <w:color w:val="4472C4" w:themeColor="accent1"/>
        </w:rPr>
      </w:pPr>
      <w:r w:rsidRPr="005A0A08">
        <w:rPr>
          <w:color w:val="4472C4" w:themeColor="accent1"/>
        </w:rPr>
        <w:t>Punkte: [(1,3), (2,1), (3,4)</w:t>
      </w:r>
      <w:r>
        <w:rPr>
          <w:color w:val="4472C4" w:themeColor="accent1"/>
        </w:rPr>
        <w:t xml:space="preserve">, </w:t>
      </w:r>
      <w:r w:rsidRPr="00CE2795">
        <w:rPr>
          <w:color w:val="FF0000"/>
        </w:rPr>
        <w:t>(4,</w:t>
      </w:r>
      <w:r>
        <w:rPr>
          <w:color w:val="FF0000"/>
        </w:rPr>
        <w:t>6</w:t>
      </w:r>
      <w:r w:rsidRPr="00CE2795">
        <w:rPr>
          <w:color w:val="FF0000"/>
        </w:rPr>
        <w:t>)</w:t>
      </w:r>
      <w:r w:rsidRPr="005A0A08">
        <w:rPr>
          <w:color w:val="4472C4" w:themeColor="accent1"/>
        </w:rPr>
        <w:t>]</w:t>
      </w:r>
    </w:p>
    <w:p w14:paraId="7A6EEB3E" w14:textId="77777777" w:rsidR="00C03C9A" w:rsidRPr="00FF4B6C" w:rsidRDefault="00C03C9A" w:rsidP="00C03C9A">
      <w:pPr>
        <w:ind w:left="720"/>
        <w:rPr>
          <w:color w:val="4472C4" w:themeColor="accent1"/>
        </w:rPr>
      </w:pPr>
      <m:oMathPara>
        <m:oMath>
          <m:m>
            <m:mPr>
              <m:plcHide m:val="1"/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  <w:color w:val="4472C4" w:themeColor="accent1"/>
                      </w:rPr>
                      <m:t>⇒y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4472C4" w:themeColor="accent1"/>
                  </w:rPr>
                  <m:t>=</m:t>
                </m:r>
                <m:r>
                  <w:rPr>
                    <w:rFonts w:ascii="Cambria Math" w:hAnsi="Cambria Math"/>
                    <w:color w:val="4472C4" w:themeColor="accent1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1-3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2-1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=-2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2,1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</w:rPr>
                  <m:t>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1</m:t>
                </m:r>
              </m:e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4472C4" w:themeColor="accen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72C4" w:themeColor="accent1"/>
                              </w:rPr>
                              <m:t>0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4472C4" w:themeColor="accent1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4472C4" w:themeColor="accen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3-(-2)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3-1</m:t>
                    </m:r>
                  </m:den>
                </m:f>
                <m:r>
                  <w:rPr>
                    <w:rFonts w:ascii="Cambria Math" w:hAnsi="Cambria Math"/>
                    <w:color w:val="4472C4" w:themeColor="accen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/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↘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↘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/>
              <m:e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4472C4" w:themeColor="accen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4472C4" w:themeColor="accent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472C4" w:themeColor="accent1"/>
                      </w:rPr>
                      <m:t>4-1</m:t>
                    </m:r>
                  </m:num>
                  <m:den>
                    <m:r>
                      <w:rPr>
                        <w:rFonts w:ascii="Cambria Math" w:hAnsi="Cambria Math"/>
                        <w:color w:val="4472C4" w:themeColor="accent1"/>
                      </w:rPr>
                      <m:t>3-2</m:t>
                    </m:r>
                  </m:den>
                </m:f>
                <m:r>
                  <w:rPr>
                    <w:rFonts w:ascii="Cambria Math" w:hAnsi="Cambria Math"/>
                    <w:color w:val="4472C4" w:themeColor="accent1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4-1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FF0000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4472C4" w:themeColor="accen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472C4" w:themeColor="accent1"/>
                      </w:rPr>
                      <m:t>3,4</m:t>
                    </m:r>
                  </m:e>
                </m:d>
                <m:r>
                  <w:rPr>
                    <w:rFonts w:ascii="Cambria Math" w:hAnsi="Cambria Math"/>
                    <w:color w:val="4472C4" w:themeColor="accent1"/>
                  </w:rPr>
                  <m:t>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4472C4" w:themeColor="accent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4472C4" w:themeColor="accent1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=</m:t>
                </m:r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2-3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4-2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↘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4-6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4-3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↗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</m:m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4,6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⇒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FF0000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/>
            </m:mr>
          </m:m>
        </m:oMath>
      </m:oMathPara>
    </w:p>
    <w:p w14:paraId="15ECCB55" w14:textId="534E2DFE" w:rsidR="00C03C9A" w:rsidRDefault="00C03C9A">
      <w:r>
        <w:rPr>
          <w:noProof/>
        </w:rPr>
        <w:drawing>
          <wp:inline distT="0" distB="0" distL="0" distR="0" wp14:anchorId="79474F3F" wp14:editId="2B6B0E27">
            <wp:extent cx="5760720" cy="431736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3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FE"/>
    <w:rsid w:val="0017595F"/>
    <w:rsid w:val="005E4DFE"/>
    <w:rsid w:val="00C0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ED3CC"/>
  <w15:chartTrackingRefBased/>
  <w15:docId w15:val="{FD9900AA-187C-4698-98F0-5D940F47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3C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k9lvz3zjas@goetheuniversitaet.onmicrosoft.com</dc:creator>
  <cp:keywords/>
  <dc:description/>
  <cp:lastModifiedBy>k9lvz3zjas@goetheuniversitaet.onmicrosoft.com</cp:lastModifiedBy>
  <cp:revision>2</cp:revision>
  <dcterms:created xsi:type="dcterms:W3CDTF">2023-01-11T17:00:00Z</dcterms:created>
  <dcterms:modified xsi:type="dcterms:W3CDTF">2023-01-11T17:01:00Z</dcterms:modified>
</cp:coreProperties>
</file>