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F5D23"/>
          <w:sz w:val="46"/>
          <w:szCs w:val="46"/>
        </w:rPr>
        <w:t xml:space="preserve">La libération des terres</w:t>
      </w:r>
    </w:p>
    <w:p>
      <w:pPr>
        <w:spacing w:after="0" w:before="120"/>
        <w:jc w:val="center"/>
      </w:pPr>
      <w:r>
        <w:rPr>
          <w:b/>
          <w:bCs/>
          <w:color w:val="2F5D23"/>
          <w:sz w:val="34"/>
          <w:szCs w:val="34"/>
        </w:rPr>
        <w:t xml:space="preserve">Cadre conceptuel et méthodologie d'évaluation</w:t>
      </w:r>
    </w:p>
    <w:p>
      <w:pPr>
        <w:spacing w:after="0" w:before="220"/>
        <w:jc w:val="center"/>
      </w:pPr>
      <w:r>
        <w:rPr>
          <w:i/>
          <w:iCs/>
          <w:color w:val="5F5F5F"/>
          <w:sz w:val="26"/>
          <w:szCs w:val="26"/>
        </w:rPr>
        <w:t xml:space="preserve">Le modèle d'analyse de l'annuaire Communs</w:t>
      </w:r>
    </w:p>
    <w:p>
      <w:pPr>
        <w:spacing w:after="0" w:before="520"/>
        <w:jc w:val="center"/>
      </w:pPr>
      <w:r>
        <w:rPr>
          <w:sz w:val="22"/>
          <w:szCs w:val="22"/>
        </w:rPr>
        <w:t xml:space="preserve">Document de recherche méthodologique</w:t>
      </w:r>
    </w:p>
    <w:p>
      <w:pPr>
        <w:spacing w:after="0" w:before="40"/>
        <w:jc w:val="center"/>
      </w:pPr>
      <w:r>
        <w:rPr>
          <w:sz w:val="22"/>
          <w:szCs w:val="22"/>
        </w:rPr>
        <w:t xml:space="preserve">Version 2 du cadre d'évaluation</w:t>
      </w:r>
    </w:p>
    <w:p>
      <w:pPr>
        <w:spacing w:after="0" w:before="220"/>
        <w:jc w:val="center"/>
      </w:pPr>
      <w:r>
        <w:rPr>
          <w:sz w:val="22"/>
          <w:szCs w:val="22"/>
        </w:rPr>
        <w:t xml:space="preserve">actitude.org — projet Communs / Terres Libérées</w:t>
      </w:r>
    </w:p>
    <w:p>
      <w:pPr>
        <w:spacing w:after="0" w:before="40"/>
        <w:jc w:val="center"/>
      </w:pPr>
      <w:r>
        <w:rPr>
          <w:sz w:val="22"/>
          <w:szCs w:val="22"/>
        </w:rPr>
        <w:t xml:space="preserve">communs.actitude.org</w:t>
      </w:r>
    </w:p>
    <w:p>
      <w:pPr>
        <w:spacing w:after="0" w:before="40"/>
        <w:jc w:val="center"/>
      </w:pPr>
      <w:r>
        <w:rPr>
          <w:sz w:val="22"/>
          <w:szCs w:val="22"/>
        </w:rPr>
        <w:t xml:space="preserve">Mai 2026</w:t>
      </w:r>
    </w:p>
    <w:p>
      <w:r>
        <w:br w:type="page"/>
      </w:r>
    </w:p>
    <w:p>
      <w:pPr>
        <w:pStyle w:val="Heading1"/>
        <w:spacing w:after="140" w:before="32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Résumé</w:t>
      </w:r>
    </w:p>
    <w:p>
      <w:pPr>
        <w:spacing w:after="140" w:line="312"/>
        <w:ind w:left="360" w:right="360"/>
        <w:jc w:val="both"/>
      </w:pPr>
      <w:r>
        <w:rPr>
          <w:i/>
          <w:iCs/>
        </w:rPr>
        <w:t xml:space="preserve">L'annuaire Communs recense les lieux français dont le foncier a été soustrait au marché spéculatif par dissociation de la propriété et de l'usage. Recenser ne suffit pas : pour distinguer les montages réellement émancipateurs de ceux qui en empruntent seulement le vocabulaire, il faut un cadre d'évaluation explicite. Ce document expose la démarche conceptuelle et la méthodologie de ce cadre, dans sa deuxième version. Il établit d'abord une distinction fondatrice : l'intérêt général, catégorie octroyée par l'État, n'est pas le commun — troisième voie ni étatique ni marchande. Il présente ensuite l'instrument d'évaluation, l'Indice de libération : un profil à cinq axes — le sol, la structure, le pouvoir, la finalité, l'usage — agrégé de façon non compensatoire, de sorte qu'un montage faible sur une dimension ne puisse la racheter par les autres. Il expose enfin le traitement de la chaîne lieu / porteur / usufruitier : chaque axe est domicilié dans le maillon où il se joue réellement, et la qualité d'un porteur se lit à travers les montages qu'il noue effectivement. Les annexes détaillent les cinq axes, les cinq profils de référence et le protocole d'évaluation des chaînes.</w:t>
      </w:r>
    </w:p>
    <w:p>
      <w:pPr>
        <w:pStyle w:val="Heading1"/>
        <w:spacing w:after="140" w:before="320"/>
      </w:pPr>
      <w:r>
        <w:t xml:space="preserve">1.  Introduction : la libération des terres comme objet</w:t>
      </w:r>
    </w:p>
    <w:p>
      <w:pPr>
        <w:pStyle w:val="Heading2"/>
        <w:spacing w:after="80" w:before="220"/>
      </w:pPr>
      <w:r>
        <w:t xml:space="preserve">1.1  Un objet sans catégorie juridique</w:t>
      </w:r>
    </w:p>
    <w:p>
      <w:pPr>
        <w:spacing w:after="140" w:line="312"/>
        <w:jc w:val="both"/>
      </w:pPr>
      <w:r>
        <w:rPr>
          <w:i w:val="false"/>
          <w:iCs w:val="false"/>
        </w:rPr>
        <w:t xml:space="preserve">La « libération des terres » n'est pas un concept juridique codifié. L'expression appartient au vocabulaire des mouvements de l'agriculture paysanne, des communs et de l'éducation populaire. Elle désigne un ensemble de pratiques visant à soustraire durablement un foncier — agricole le plus souvent, mais aussi bâti, naturel ou d'habitat — à la logique spéculative et marchande, pour le placer au service d'un usage défini collectivement et d'intérêt général.</w:t>
      </w:r>
    </w:p>
    <w:p>
      <w:pPr>
        <w:spacing w:after="140" w:line="312"/>
        <w:jc w:val="both"/>
      </w:pPr>
      <w:r>
        <w:rPr>
          <w:i w:val="false"/>
          <w:iCs w:val="false"/>
        </w:rPr>
        <w:t xml:space="preserve">Le ressort juridique est la distinction entre la propriété, qui reste à un collectif non lucratif, et l'usage, confié à des usagers. Le démembrement du droit de propriété (article 544 du Code civil) en nue-propriété et usufruit (articles 578 et suivants) en est une modalité ; d'autres montages — propriété sanctuarisée assortie d'un bail de long terme, propriété publique inaliénable — poursuivent le même but. Un verrou structure tout l'objet : l'usufruit constitué au profit d'une personne morale ne peut excéder trente ans (article 619, règle d'ordre public). L'usufruit d'une association n'est donc jamais perpétuel ; la sécurité de l'usage dans le temps est une question en soi.</w:t>
      </w:r>
    </w:p>
    <w:p>
      <w:pPr>
        <w:pStyle w:val="Heading2"/>
        <w:spacing w:after="80" w:before="220"/>
      </w:pPr>
      <w:r>
        <w:t xml:space="preserve">1.2  Du recensement à l'évaluation</w:t>
      </w:r>
    </w:p>
    <w:p>
      <w:pPr>
        <w:spacing w:after="140" w:line="312"/>
        <w:jc w:val="both"/>
      </w:pPr>
      <w:r>
        <w:rPr>
          <w:i w:val="false"/>
          <w:iCs w:val="false"/>
        </w:rPr>
        <w:t xml:space="preserve">L'annuaire référence trois catégories d'entités : les organismes porteurs de nue-propriété, les organismes usufruitiers titulaires de l'usage, et les lieux eux-mêmes. Mais le recensement seul traite comme équivalents tous les montages qui mobilisent le vocabulaire de la libération des terres. Or certains relèvent d'une pratique réellement émancipatrice, d'autres en empruntent les mots sans la substance.</w:t>
      </w:r>
    </w:p>
    <w:p>
      <w:pPr>
        <w:spacing w:after="140" w:line="312"/>
        <w:jc w:val="both"/>
      </w:pPr>
      <w:r>
        <w:rPr>
          <w:i w:val="false"/>
          <w:iCs w:val="false"/>
        </w:rPr>
        <w:t xml:space="preserve">D'où le besoin d'un cadre normatif explicite : un instrument qui qualifie les montages plutôt que de seulement les lister. La première version de cet instrument mesurait trois axes ; la version exposée ici les recadre en cinq et ajoute le traitement de la chaîne. Le présent document décrit ce cadre, ses fondements conceptuels et ses choix méthodologiques.</w:t>
      </w:r>
    </w:p>
    <w:p>
      <w:pPr>
        <w:pStyle w:val="Heading1"/>
        <w:spacing w:after="140" w:before="320"/>
      </w:pPr>
      <w:r>
        <w:t xml:space="preserve">2.  Cadre conceptuel</w:t>
      </w:r>
    </w:p>
    <w:p>
      <w:pPr>
        <w:pStyle w:val="Heading2"/>
        <w:spacing w:after="80" w:before="220"/>
      </w:pPr>
      <w:r>
        <w:t xml:space="preserve">2.1  L'intérêt général n'est pas le commun</w:t>
      </w:r>
    </w:p>
    <w:p>
      <w:pPr>
        <w:spacing w:after="140" w:line="312"/>
        <w:jc w:val="both"/>
      </w:pPr>
      <w:r>
        <w:rPr>
          <w:i w:val="false"/>
          <w:iCs w:val="false"/>
        </w:rPr>
        <w:t xml:space="preserve">L'« intérêt général », au sens juridique, est une catégorie octroyée par l'État : reconnaissance d'utilité publique, agrément, qualification fiscale. Faire de ce label l'étalon-or d'une évaluation reviendrait à récompenser la respectabilité institutionnelle plutôt que la pratique réelle. Le commun est un troisième pôle : ni l'État, ni le marché.</w:t>
      </w:r>
    </w:p>
    <w:p>
      <w:pPr>
        <w:spacing w:after="140" w:line="312"/>
        <w:jc w:val="both"/>
      </w:pPr>
      <w:r>
        <w:rPr>
          <w:i w:val="false"/>
          <w:iCs w:val="false"/>
        </w:rPr>
        <w:t xml:space="preserve">Le repère du projet n'est donc pas l'intérêt général institué par l'État, mais la gouvernance citoyenne collective, autogérée, tournée vers le bien commun — affirmée par sa nature et sa posture avant et indépendamment de toute reconnaissance étatique. C'est ce que ce cadre nomme un intérêt général d'initiative citoyenne. L'adversaire de cette troisième voie n'est pas l'État, qui peut être un allié, mais la logique commerciale.</w:t>
      </w:r>
    </w:p>
    <w:p>
      <w:pPr>
        <w:pStyle w:val="Heading2"/>
        <w:spacing w:after="80" w:before="220"/>
      </w:pPr>
      <w:r>
        <w:t xml:space="preserve">2.2  Trois régimes du sol</w:t>
      </w:r>
    </w:p>
    <w:p>
      <w:pPr>
        <w:spacing w:after="140" w:line="312"/>
        <w:jc w:val="both"/>
      </w:pPr>
      <w:r>
        <w:rPr>
          <w:i w:val="false"/>
          <w:iCs w:val="false"/>
        </w:rPr>
        <w:t xml:space="preserve">En droit français, une même parcelle peut relever de logiques opposées. Le cadre en distingue trois. Le droit civil d'intérêt général (démembrement, fondations, fonds de dotation, baux longs, associations) place le foncier au service d'un usage collectif et l'y maintient : c'est le régime de référence. Le droit commercial (sociétés, parts cessibles, recherche de plus-value et de dividende) traite le foncier comme un actif à valoriser. La propriété privée classique (pleine propriété individuelle) vise la maîtrise et la transmission patrimoniales.</w:t>
      </w:r>
    </w:p>
    <w:p>
      <w:pPr>
        <w:spacing w:after="140" w:line="312"/>
        <w:jc w:val="both"/>
      </w:pPr>
      <w:r>
        <w:rPr>
          <w:i w:val="false"/>
          <w:iCs w:val="false"/>
        </w:rPr>
        <w:t xml:space="preserve">La frontière entre ces régimes ne tient pas à la seule forme juridique. Certains montages réels partent du droit commercial mais en neutralisent la lucrativité par leurs statuts. Ce sont les clauses statutaires — verrou d'actif, réserves impartageables, lucrativité plafonnée — qui tranchent, davantage que l'étiquette de la structure.</w:t>
      </w:r>
    </w:p>
    <w:p>
      <w:pPr>
        <w:pStyle w:val="Heading2"/>
        <w:spacing w:after="80" w:before="220"/>
      </w:pPr>
      <w:r>
        <w:t xml:space="preserve">2.3  Cinq pôles, du commun citoyen à la propriété marchande</w:t>
      </w:r>
    </w:p>
    <w:p>
      <w:pPr>
        <w:spacing w:after="140" w:line="312"/>
        <w:jc w:val="both"/>
      </w:pPr>
      <w:r>
        <w:rPr>
          <w:i w:val="false"/>
          <w:iCs w:val="false"/>
        </w:rPr>
        <w:t xml:space="preserve">À l'intérieur et au travers de ces régimes, le cadre situe cinq pôles, engendrés par un principe unique : le resserrement progressif de deux choses couplées — qui décide de l'usage du sol, et à qui cet usage profite. Au pôle haut, décision et bénéfice sont les plus larges ; au pôle bas, ils se referment sur un seul. Les cinq pôles sont, dans l'ordre : le commun citoyen (pôle de référence), l'intérêt général institué, le mutualisme d'usagers, l'économie sociale marchande et la propriété marchande. L'annexe B les détaille.</w:t>
      </w:r>
    </w:p>
    <w:p>
      <w:pPr>
        <w:spacing w:after="140" w:line="312"/>
        <w:jc w:val="both"/>
      </w:pPr>
      <w:r>
        <w:rPr>
          <w:i w:val="false"/>
          <w:iCs w:val="false"/>
        </w:rPr>
        <w:t xml:space="preserve">Ces pôles ne sont pas des cases. Ce sont des profils de référence : une entité réelle, presque toujours hybride, reçoit un profil — une position dominante assortie de chevauchements — et non une affectation tranchée. Le modèle cartographie une tension, il ne distribue pas des étiquettes.</w:t>
      </w:r>
    </w:p>
    <w:p>
      <w:pPr>
        <w:pStyle w:val="Heading2"/>
        <w:spacing w:after="80" w:before="220"/>
      </w:pPr>
      <w:r>
        <w:t xml:space="preserve">2.4  Nature, posture, modèle économique</w:t>
      </w:r>
    </w:p>
    <w:p>
      <w:pPr>
        <w:spacing w:after="140" w:line="312"/>
        <w:jc w:val="both"/>
      </w:pPr>
      <w:r>
        <w:rPr>
          <w:i w:val="false"/>
          <w:iCs w:val="false"/>
        </w:rPr>
        <w:t xml:space="preserve">Trois registres permettent de lire une entité. La nature rassemble les faits statutaires : droit civil ou commercial, verrou d'actif, réserves impartageables, structure de gouvernance. La posture est l'orientation que l'entité déclare : sa revendication d'utilité sociale ou d'intérêt général. Le modèle économique est le régime d'usage : gratuité, don, troc, ou loyer, à des degrés divers de marchandisation.</w:t>
      </w:r>
    </w:p>
    <w:p>
      <w:pPr>
        <w:spacing w:after="140" w:line="312"/>
        <w:jc w:val="both"/>
      </w:pPr>
      <w:r>
        <w:rPr>
          <w:i w:val="false"/>
          <w:iCs w:val="false"/>
        </w:rPr>
        <w:t xml:space="preserve">Le principe directeur est que la nature sert à vérifier la posture. L'évaluation note des faits ; la posture est la couche déclarative que ces faits confirment ou démentent. L'écart entre une posture haute et un fait effondré est précisément le révélateur des impostures.</w:t>
      </w:r>
    </w:p>
    <w:p>
      <w:pPr>
        <w:pStyle w:val="Heading2"/>
        <w:spacing w:after="80" w:before="220"/>
      </w:pPr>
      <w:r>
        <w:t xml:space="preserve">2.5  Les faux amis et le communs-washing</w:t>
      </w:r>
    </w:p>
    <w:p>
      <w:pPr>
        <w:spacing w:after="140" w:line="312"/>
        <w:jc w:val="both"/>
      </w:pPr>
      <w:r>
        <w:rPr>
          <w:i w:val="false"/>
          <w:iCs w:val="false"/>
        </w:rPr>
        <w:t xml:space="preserve">Un faux ami mobilise le lexique de l'utilité sociale et de l'intérêt collectif tout en étant, structurellement, une société commerciale partiellement lucrative dont le bénéficiaire réel est le sociétariat — non le commun. Le cas-type est la société coopérative d'intérêt collectif (SCIC).</w:t>
      </w:r>
    </w:p>
    <w:p>
      <w:pPr>
        <w:spacing w:after="140" w:line="312"/>
        <w:jc w:val="both"/>
      </w:pPr>
      <w:r>
        <w:rPr>
          <w:i w:val="false"/>
          <w:iCs w:val="false"/>
        </w:rPr>
        <w:t xml:space="preserve">Le cadre traite ce risque par vigilance, non par disqualification automatique. Une SCIC à collèges, dotée d'un verrou d'actif solide et de réserves impartageables, peut s'approcher du pôle de l'intérêt général institué ; ce sont ses clauses et la chaîne réelle dans laquelle elle s'inscrit qui tranchent. Le modèle ne rejette pas en bloc : il décrit l'hybridité et rend lisible l'écart entre le dit et le fait.</w:t>
      </w:r>
    </w:p>
    <w:p>
      <w:pPr>
        <w:pStyle w:val="Heading1"/>
        <w:spacing w:after="140" w:before="320"/>
      </w:pPr>
      <w:r>
        <w:t xml:space="preserve">3.  Méthodologie : l'Indice de libération</w:t>
      </w:r>
    </w:p>
    <w:p>
      <w:pPr>
        <w:pStyle w:val="Heading2"/>
        <w:spacing w:after="80" w:before="220"/>
      </w:pPr>
      <w:r>
        <w:t xml:space="preserve">3.1  Des trois axes initiaux aux cinq axes</w:t>
      </w:r>
    </w:p>
    <w:p>
      <w:pPr>
        <w:spacing w:after="140" w:line="312"/>
        <w:jc w:val="both"/>
      </w:pPr>
      <w:r>
        <w:rPr>
          <w:i w:val="false"/>
          <w:iCs w:val="false"/>
        </w:rPr>
        <w:t xml:space="preserve">La première version de l'instrument mesurait trois axes — intérêt général, libération des terres, gouvernance participative — agrégés par moyenne arithmétique. Deux limites sont apparues. D'une part, l'« intérêt général » confondait la finalité (un bénéficiaire ouvert) et la nature juridique (une structure civile non lucrative), deux dimensions pourtant indépendantes. D'autre part, le régime d'usage — gratuité, don, troc, ou loyer — et la sécurité de la jouissance dans le temps n'étaient pas mesurés.</w:t>
      </w:r>
    </w:p>
    <w:p>
      <w:pPr>
        <w:spacing w:after="140" w:line="312"/>
        <w:jc w:val="both"/>
      </w:pPr>
      <w:r>
        <w:rPr>
          <w:i w:val="false"/>
          <w:iCs w:val="false"/>
        </w:rPr>
        <w:t xml:space="preserve">La version 2 résout les deux : elle extrait la nature juridique dans un axe propre et ajoute un axe consacré à l'usage. L'instrument passe ainsi de trois à cinq axes — sans rien retrancher, en gardant et en étendant.</w:t>
      </w:r>
    </w:p>
    <w:p>
      <w:pPr>
        <w:pStyle w:val="Heading2"/>
        <w:spacing w:after="80" w:before="220"/>
      </w:pPr>
      <w:r>
        <w:t xml:space="preserve">3.2  Les cinq axes</w:t>
      </w:r>
    </w:p>
    <w:p>
      <w:pPr>
        <w:spacing w:after="140" w:line="312"/>
        <w:jc w:val="both"/>
      </w:pPr>
      <w:r>
        <w:rPr>
          <w:b/>
          <w:bCs/>
        </w:rPr>
        <w:t xml:space="preserve">Axe 1 — le sol.</w:t>
      </w:r>
      <w:r>
        <w:t xml:space="preserve"> Le foncier est-il durablement soustrait à la sphère marchande et spéculative ? Dissociation propriété / usage, inaliénabilité, parts non cessibles, irréversibilité.</w:t>
      </w:r>
    </w:p>
    <w:p>
      <w:pPr>
        <w:spacing w:after="140" w:line="312"/>
        <w:jc w:val="both"/>
      </w:pPr>
      <w:r>
        <w:rPr>
          <w:b/>
          <w:bCs/>
        </w:rPr>
        <w:t xml:space="preserve">Axe 2 — la structure.</w:t>
      </w:r>
      <w:r>
        <w:t xml:space="preserve"> Le montage relève-t-il du droit civil non lucratif, avec des verrous statutaires effectifs — et non du droit commercial, fût-il habillé de vocabulaire social ?</w:t>
      </w:r>
    </w:p>
    <w:p>
      <w:pPr>
        <w:spacing w:after="140" w:line="312"/>
        <w:jc w:val="both"/>
      </w:pPr>
      <w:r>
        <w:rPr>
          <w:b/>
          <w:bCs/>
        </w:rPr>
        <w:t xml:space="preserve">Axe 3 — le pouvoir.</w:t>
      </w:r>
      <w:r>
        <w:t xml:space="preserve"> L'usage est-il gouverné collectivement par ses usagers-citoyens, de façon autogérée et horizontale, plutôt que par un conseil mandaté, un sociétariat fermé ou un actionnariat ?</w:t>
      </w:r>
    </w:p>
    <w:p>
      <w:pPr>
        <w:spacing w:after="140" w:line="312"/>
        <w:jc w:val="both"/>
      </w:pPr>
      <w:r>
        <w:rPr>
          <w:b/>
          <w:bCs/>
        </w:rPr>
        <w:t xml:space="preserve">Axe 4 — la finalité.</w:t>
      </w:r>
      <w:r>
        <w:t xml:space="preserve"> Le projet porte-t-il une finalité d'intérêt général ouverte — un bénéficiaire au-delà du cercle des membres — affirmée indépendamment de toute reconnaissance d'État ?</w:t>
      </w:r>
    </w:p>
    <w:p>
      <w:pPr>
        <w:spacing w:after="140" w:line="312"/>
        <w:jc w:val="both"/>
      </w:pPr>
      <w:r>
        <w:rPr>
          <w:b/>
          <w:bCs/>
        </w:rPr>
        <w:t xml:space="preserve">Axe 5 — l'usage.</w:t>
      </w:r>
      <w:r>
        <w:t xml:space="preserve"> L'usage repose-t-il sur la gratuité, le don ou le troc, ou un loyer modéré intégralement réinvesti, plutôt que sur une rentabilité ? Et le collectif usager peut-il maîtriser le lieu durablement, sans précarité locative ?</w:t>
      </w:r>
    </w:p>
    <w:p>
      <w:pPr>
        <w:pStyle w:val="Heading2"/>
        <w:spacing w:after="80" w:before="220"/>
      </w:pPr>
      <w:r>
        <w:t xml:space="preserve">3.3  Principe générateur et orthogonalité</w:t>
      </w:r>
    </w:p>
    <w:p>
      <w:pPr>
        <w:spacing w:after="140" w:line="312"/>
        <w:jc w:val="both"/>
      </w:pPr>
      <w:r>
        <w:rPr>
          <w:i w:val="false"/>
          <w:iCs w:val="false"/>
        </w:rPr>
        <w:t xml:space="preserve">Les cinq axes ne forment pas une liste arbitraire : ils décomposent le montage en cinq facettes, du sol vers les gens puis vers le temps — l'objet, le contenant juridique, le pouvoir de décision, la finalité, l'usage vécu. Chaque axe est indépendant des autres. Une société commerciale peut détenir un foncier contractuellement verrouillé (axe 1 haut, axe 2 bas) ; une association civile peut être gouvernée par un bureau restreint et coopté (axe 2 haut, axe 3 bas) ; un collectif autogéré peut former un club fermé (axe 3 haut, axe 4 bas) ; un projet ouvert peut pratiquer un loyer de marché (axe 4 haut, axe 5 bas). C'est cette orthogonalité qui rend le profil informatif.</w:t>
      </w:r>
    </w:p>
    <w:p>
      <w:pPr>
        <w:pStyle w:val="Heading2"/>
        <w:spacing w:after="80" w:before="220"/>
      </w:pPr>
      <w:r>
        <w:t xml:space="preserve">3.4  Agrégation non compensatoire</w:t>
      </w:r>
    </w:p>
    <w:p>
      <w:pPr>
        <w:spacing w:after="140" w:line="312"/>
        <w:jc w:val="both"/>
      </w:pPr>
      <w:r>
        <w:rPr>
          <w:i w:val="false"/>
          <w:iCs w:val="false"/>
        </w:rPr>
        <w:t xml:space="preserve">Les cinq axes forment un profil — un radar à cinq branches — qui est la lecture première de l'instrument. Un Indice de libération synthétique, de 0 à 100, est également calculé. Mais il ne l'est pas par moyenne arithmétique : une moyenne laisserait un montage solide sur quatre axes mais commercial de nature (axe 2 effondré) racheter sa faiblesse par ses forces.</w:t>
      </w:r>
    </w:p>
    <w:p>
      <w:pPr>
        <w:spacing w:after="140" w:line="312"/>
        <w:jc w:val="both"/>
      </w:pPr>
      <w:r>
        <w:rPr>
          <w:i w:val="false"/>
          <w:iCs w:val="false"/>
        </w:rPr>
        <w:t xml:space="preserve">L'agrégation est non compensatoire : la branche la plus faible y pèse lourd — moyenne géométrique, ou moyenne corrigée de la dispersion. Un faux ami ne peut, structurellement, afficher un score élevé. Le jugement est porté par la forme mathématique elle-même, sans règle ad hoc : c'est le même refus de la compensation qui gouvernera, plus loin, le traitement des chaînes.</w:t>
      </w:r>
    </w:p>
    <w:p>
      <w:pPr>
        <w:pStyle w:val="Heading2"/>
        <w:spacing w:after="80" w:before="220"/>
      </w:pPr>
      <w:r>
        <w:t xml:space="preserve">3.5  La pénalité de complétude</w:t>
      </w:r>
    </w:p>
    <w:p>
      <w:pPr>
        <w:spacing w:after="140" w:line="312"/>
        <w:jc w:val="both"/>
      </w:pPr>
      <w:r>
        <w:rPr>
          <w:i w:val="false"/>
          <w:iCs w:val="false"/>
        </w:rPr>
        <w:t xml:space="preserve">L'Indice n'a de sens que si la fiche est suffisamment renseignée. Les critères marqués « inconnu » sont exclus du calcul — ils ne pénalisent pas, mais sont signalés comme angles morts. L'indice affiché est ensuite pénalisé par la complétude selon la formule idl_affiche = idl_brut × (0,5 + 0,5 × complétude). Une fiche entièrement renseignée n'est pas pénalisée ; une fiche dont la moitié des critères sont inconnus voit son indice ramené aux trois quarts de l'indice brut. Ce mécanisme empêche de surnoter les fiches lacunaires.</w:t>
      </w:r>
    </w:p>
    <w:p>
      <w:pPr>
        <w:pStyle w:val="Heading1"/>
        <w:spacing w:after="140" w:before="320"/>
      </w:pPr>
      <w:r>
        <w:t xml:space="preserve">4.  La chaîne lieu / porteur / usufruitier</w:t>
      </w:r>
    </w:p>
    <w:p>
      <w:pPr>
        <w:pStyle w:val="Heading2"/>
        <w:spacing w:after="80" w:before="220"/>
      </w:pPr>
      <w:r>
        <w:t xml:space="preserve">4.1  Le domiciliage des axes</w:t>
      </w:r>
    </w:p>
    <w:p>
      <w:pPr>
        <w:spacing w:after="140" w:line="312"/>
        <w:jc w:val="both"/>
      </w:pPr>
      <w:r>
        <w:rPr>
          <w:i w:val="false"/>
          <w:iCs w:val="false"/>
        </w:rPr>
        <w:t xml:space="preserve">Le modèle n'évalue pas des entités isolées mais des chaînes : un lieu, son porteur (qui détient la nue-propriété) et son usufruitier (qui détient l'usage). Chacun des cinq axes a un domicile dans la chaîne — le maillon où il se joue réellement. L'axe 1, le sol, vit chez le porteur, seul détenteur de la nue-propriété. L'axe 3, le pouvoir, vit chez l'usufruitier, qui gouverne l'usage au quotidien. L'axe 5, l'usage, vit dans la convention qui lie porteur et usufruitier : le bail, le loyer, la sécurité de jouissance. Les axes 2 et 4, nature civile et finalité d'intérêt général, ne se logent nulle part en particulier : ils s'appliquent à tous les maillons, et l'on y retient le maillon le plus faible. La chaîne n'est pas un sixième axe : c'est la règle qui dit quel maillon alimente quel axe.</w:t>
      </w:r>
    </w:p>
    <w:p>
      <w:pPr>
        <w:pStyle w:val="Heading2"/>
        <w:spacing w:after="80" w:before="220"/>
      </w:pPr>
      <w:r>
        <w:t xml:space="preserve">4.2  Cohérence de chaîne</w:t>
      </w:r>
    </w:p>
    <w:p>
      <w:pPr>
        <w:spacing w:after="140" w:line="312"/>
        <w:jc w:val="both"/>
      </w:pPr>
      <w:r>
        <w:rPr>
          <w:i w:val="false"/>
          <w:iCs w:val="false"/>
        </w:rPr>
        <w:t xml:space="preserve">Une chaîne est saine tant qu'aucun maillon ne bascule dans le régime commercial, idéalement avec une entité du pôle de référence à l'extrémité usage. Une collectivité publique détenant la nue-propriété et une association citoyenne détenant l'usufruit forment une excellente chaîne — l'adversaire est le commerce, non l'institution. La chaîne se fragilise dès qu'un maillon commercial y entre : une foncière en société par actions comme porteur, un opérateur commercial comme usufruitier introduisent une logique de rendement dans une partie du montage.</w:t>
      </w:r>
    </w:p>
    <w:p>
      <w:pPr>
        <w:pStyle w:val="Heading2"/>
        <w:spacing w:after="80" w:before="220"/>
      </w:pPr>
      <w:r>
        <w:t xml:space="preserve">4.3  L'option A intelligente</w:t>
      </w:r>
    </w:p>
    <w:p>
      <w:pPr>
        <w:spacing w:after="140" w:line="312"/>
        <w:jc w:val="both"/>
      </w:pPr>
      <w:r>
        <w:rPr>
          <w:i w:val="false"/>
          <w:iCs w:val="false"/>
        </w:rPr>
        <w:t xml:space="preserve">Lorsqu'on note un porteur ou un usufruitier seul, son Indice doit-il être affecté par les chaînes où il s'engage ? Trois options existaient : contamination réciproque ; scores strictement intrinsèques ; scores intrinsèques assortis d'un affichage de la chaîne. Le modèle adopte une version intelligente de la première, fusionnée avec la transparence de la troisième.</w:t>
      </w:r>
    </w:p>
    <w:p>
      <w:pPr>
        <w:spacing w:after="140" w:line="312"/>
        <w:jc w:val="both"/>
      </w:pPr>
      <w:r>
        <w:rPr>
          <w:i w:val="false"/>
          <w:iCs w:val="false"/>
        </w:rPr>
        <w:t xml:space="preserve">Le fondement en est une thèse : un porteur n'existe, comme porteur de libération des terres, qu'à travers ses montages réels. Ses statuts sont eux-mêmes une posture, à l'échelle structurelle ; sa nature véritable, ce sont les chaînes qu'il noue. L'instrument ne mesure donc pas des entités atomiques mais un réseau de relations — ce que la libération des terres est, littéralement. Cinq disciplines rendent cette option intelligente plutôt que naïve ; l'annexe C les détaille : plafonner plutôt que moyenner ; cibler les seuls axes où la chaîne fait preuve ; lire le motif plutôt que l'instance ; lire la trajectoire plutôt que l'instantané ; rendre la contamination lisible par un Indice à deux couches, intrinsèque et effectif.</w:t>
      </w:r>
    </w:p>
    <w:p>
      <w:pPr>
        <w:pStyle w:val="Heading1"/>
        <w:spacing w:after="140" w:before="320"/>
      </w:pPr>
      <w:r>
        <w:t xml:space="preserve">5.  Limites et portée</w:t>
      </w:r>
    </w:p>
    <w:p>
      <w:pPr>
        <w:spacing w:after="140" w:line="312"/>
        <w:jc w:val="both"/>
      </w:pPr>
      <w:r>
        <w:rPr>
          <w:i w:val="false"/>
          <w:iCs w:val="false"/>
        </w:rPr>
        <w:t xml:space="preserve">L'Indice de libération est une grille d'analyse explicite et reproductible, non un label ni un jugement de valeur. Chaque fiche distingue les faits vérifiés des points non confirmés ; les sources sont citées ; le calcul est transparent et rejouable.</w:t>
      </w:r>
    </w:p>
    <w:p>
      <w:pPr>
        <w:spacing w:after="140" w:line="312"/>
        <w:jc w:val="both"/>
      </w:pPr>
      <w:r>
        <w:rPr>
          <w:i w:val="false"/>
          <w:iCs w:val="false"/>
        </w:rPr>
        <w:t xml:space="preserve">Le cadre repose sur des données déclaratives et documentaires : sa qualité dépend de la complétude des fiches, que la pénalité de complétude rend visible mais ne corrige pas. La décomposition en cinq axes est un choix raisonné ; d'autres découpages seraient défendables. Les cinq pôles sont des profils de référence délibérément schématiques, des repères et non des verdicts. Enfin, le modèle évalue des montages — la structure juridique et sociale par laquelle un foncier est libéré — et non les pratiques d'usage du sol elles-mêmes, comme la qualité agroécologique, qui relèvent d'un autre examen.</w:t>
      </w:r>
    </w:p>
    <w:p>
      <w:pPr>
        <w:pStyle w:val="Heading1"/>
        <w:spacing w:after="140" w:before="320"/>
      </w:pPr>
      <w:r>
        <w:t xml:space="preserve">6.  Conclusion</w:t>
      </w:r>
    </w:p>
    <w:p>
      <w:pPr>
        <w:spacing w:after="140" w:line="312"/>
        <w:jc w:val="both"/>
      </w:pPr>
      <w:r>
        <w:rPr>
          <w:i w:val="false"/>
          <w:iCs w:val="false"/>
        </w:rPr>
        <w:t xml:space="preserve">La refonte exposée ici transforme un instrument de pertinence thématique en un instrument normatif, aligné sur l'épistémologie propre du projet : une entité est ce qu'elle fait du sol, non ce que ses statuts déclarent. Le profil à cinq axes situe et note d'un même geste ; l'agrégation non compensatoire interdit de racheter une faiblesse ; le domiciliage des axes dans la chaîne rend la cohérence d'un montage lisible sans machinerie séparée.</w:t>
      </w:r>
    </w:p>
    <w:p>
      <w:pPr>
        <w:spacing w:after="140" w:line="312"/>
        <w:jc w:val="both"/>
      </w:pPr>
      <w:r>
        <w:rPr>
          <w:i w:val="false"/>
          <w:iCs w:val="false"/>
        </w:rPr>
        <w:t xml:space="preserve">Le cadre est explicite et reproductible — donc critiquable, ce qui est l'objectif. Il ne prétend pas clore la question de ce qu'est un commun foncier ; il propose une manière rigoureuse et transparente de la poser.</w:t>
      </w:r>
    </w:p>
    <w:p>
      <w:r>
        <w:br w:type="page"/>
      </w:r>
    </w:p>
    <w:p>
      <w:pPr>
        <w:pStyle w:val="Heading1"/>
        <w:spacing w:after="140" w:before="320"/>
      </w:pPr>
      <w:r>
        <w:t xml:space="preserve">Annexe A — Spécification des cinq axes</w:t>
      </w:r>
    </w:p>
    <w:p>
      <w:pPr>
        <w:spacing w:after="140" w:line="312"/>
        <w:jc w:val="both"/>
      </w:pPr>
      <w:r>
        <w:rPr>
          <w:i w:val="false"/>
          <w:iCs w:val="false"/>
        </w:rPr>
        <w:t xml:space="preserve">Chaque axe regroupe une famille de critères de lecture, renseignés dans les fiches par une valeur — oui, partiel, non, ou inconnu. Le tableau indique, pour chaque axe, la question directrice, son domicile dans la chaîne et des exemples de critères.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900"/>
        <w:gridCol w:w="1850"/>
        <w:gridCol w:w="2826"/>
      </w:tblGrid>
      <w:tr>
        <w:tc>
          <w:tcPr>
            <w:tcW w:type="dxa" w:w="1450"/>
            <w:shd w:fill="2F5D23" w:val="clear"/>
            <w:tcMar>
              <w:top w:type="dxa" w:w="70"/>
              <w:left w:type="dxa" w:w="110"/>
              <w:bottom w:type="dxa" w:w="70"/>
              <w:right w:type="dxa" w:w="110"/>
            </w:tcMar>
          </w:tcPr>
          <w:p>
            <w:pPr>
              <w:spacing w:after="0" w:line="264"/>
            </w:pPr>
            <w:r>
              <w:rPr>
                <w:b/>
                <w:bCs/>
                <w:color w:val="FFFFFF"/>
                <w:sz w:val="18"/>
                <w:szCs w:val="18"/>
              </w:rPr>
              <w:t xml:space="preserve">Axe</w:t>
            </w:r>
          </w:p>
        </w:tc>
        <w:tc>
          <w:tcPr>
            <w:tcW w:type="dxa" w:w="2900"/>
            <w:shd w:fill="2F5D23" w:val="clear"/>
            <w:tcMar>
              <w:top w:type="dxa" w:w="70"/>
              <w:left w:type="dxa" w:w="110"/>
              <w:bottom w:type="dxa" w:w="70"/>
              <w:right w:type="dxa" w:w="110"/>
            </w:tcMar>
          </w:tcPr>
          <w:p>
            <w:pPr>
              <w:spacing w:after="0" w:line="264"/>
            </w:pPr>
            <w:r>
              <w:rPr>
                <w:b/>
                <w:bCs/>
                <w:color w:val="FFFFFF"/>
                <w:sz w:val="18"/>
                <w:szCs w:val="18"/>
              </w:rPr>
              <w:t xml:space="preserve">Question directrice</w:t>
            </w:r>
          </w:p>
        </w:tc>
        <w:tc>
          <w:tcPr>
            <w:tcW w:type="dxa" w:w="1850"/>
            <w:shd w:fill="2F5D23" w:val="clear"/>
            <w:tcMar>
              <w:top w:type="dxa" w:w="70"/>
              <w:left w:type="dxa" w:w="110"/>
              <w:bottom w:type="dxa" w:w="70"/>
              <w:right w:type="dxa" w:w="110"/>
            </w:tcMar>
          </w:tcPr>
          <w:p>
            <w:pPr>
              <w:spacing w:after="0" w:line="264"/>
            </w:pPr>
            <w:r>
              <w:rPr>
                <w:b/>
                <w:bCs/>
                <w:color w:val="FFFFFF"/>
                <w:sz w:val="18"/>
                <w:szCs w:val="18"/>
              </w:rPr>
              <w:t xml:space="preserve">Domicile</w:t>
            </w:r>
          </w:p>
        </w:tc>
        <w:tc>
          <w:tcPr>
            <w:tcW w:type="dxa" w:w="2826"/>
            <w:shd w:fill="2F5D23" w:val="clear"/>
            <w:tcMar>
              <w:top w:type="dxa" w:w="70"/>
              <w:left w:type="dxa" w:w="110"/>
              <w:bottom w:type="dxa" w:w="70"/>
              <w:right w:type="dxa" w:w="110"/>
            </w:tcMar>
          </w:tcPr>
          <w:p>
            <w:pPr>
              <w:spacing w:after="0" w:line="264"/>
            </w:pPr>
            <w:r>
              <w:rPr>
                <w:b/>
                <w:bCs/>
                <w:color w:val="FFFFFF"/>
                <w:sz w:val="18"/>
                <w:szCs w:val="18"/>
              </w:rPr>
              <w:t xml:space="preserve">Exemples de critères</w:t>
            </w:r>
          </w:p>
        </w:tc>
      </w:tr>
      <w:tr>
        <w:tc>
          <w:tcPr>
            <w:tcW w:type="dxa" w:w="1450"/>
            <w:tcMar>
              <w:top w:type="dxa" w:w="70"/>
              <w:left w:type="dxa" w:w="110"/>
              <w:bottom w:type="dxa" w:w="70"/>
              <w:right w:type="dxa" w:w="110"/>
            </w:tcMar>
          </w:tcPr>
          <w:p>
            <w:pPr>
              <w:spacing w:after="0" w:line="264"/>
            </w:pPr>
            <w:r>
              <w:rPr>
                <w:b/>
                <w:bCs/>
                <w:color w:val="2F5D23"/>
                <w:sz w:val="18"/>
                <w:szCs w:val="18"/>
              </w:rPr>
              <w:t xml:space="preserve">1 — Le sol</w:t>
            </w:r>
          </w:p>
        </w:tc>
        <w:tc>
          <w:tcPr>
            <w:tcW w:type="dxa" w:w="2900"/>
            <w:tcMar>
              <w:top w:type="dxa" w:w="70"/>
              <w:left w:type="dxa" w:w="110"/>
              <w:bottom w:type="dxa" w:w="70"/>
              <w:right w:type="dxa" w:w="110"/>
            </w:tcMar>
          </w:tcPr>
          <w:p>
            <w:pPr>
              <w:spacing w:after="0" w:line="264"/>
            </w:pPr>
            <w:r>
              <w:rPr>
                <w:b w:val="false"/>
                <w:bCs w:val="false"/>
                <w:sz w:val="18"/>
                <w:szCs w:val="18"/>
              </w:rPr>
              <w:t xml:space="preserve">Le foncier est-il durablement soustrait au marché et à la spéculation ?</w:t>
            </w:r>
          </w:p>
        </w:tc>
        <w:tc>
          <w:tcPr>
            <w:tcW w:type="dxa" w:w="1850"/>
            <w:tcMar>
              <w:top w:type="dxa" w:w="70"/>
              <w:left w:type="dxa" w:w="110"/>
              <w:bottom w:type="dxa" w:w="70"/>
              <w:right w:type="dxa" w:w="110"/>
            </w:tcMar>
          </w:tcPr>
          <w:p>
            <w:pPr>
              <w:spacing w:after="0" w:line="264"/>
            </w:pPr>
            <w:r>
              <w:rPr>
                <w:b w:val="false"/>
                <w:bCs w:val="false"/>
                <w:sz w:val="18"/>
                <w:szCs w:val="18"/>
              </w:rPr>
              <w:t xml:space="preserve">Porteur</w:t>
            </w:r>
          </w:p>
        </w:tc>
        <w:tc>
          <w:tcPr>
            <w:tcW w:type="dxa" w:w="2826"/>
            <w:tcMar>
              <w:top w:type="dxa" w:w="70"/>
              <w:left w:type="dxa" w:w="110"/>
              <w:bottom w:type="dxa" w:w="70"/>
              <w:right w:type="dxa" w:w="110"/>
            </w:tcMar>
          </w:tcPr>
          <w:p>
            <w:pPr>
              <w:spacing w:after="0" w:line="264"/>
            </w:pPr>
            <w:r>
              <w:rPr>
                <w:b w:val="false"/>
                <w:bCs w:val="false"/>
                <w:sz w:val="18"/>
                <w:szCs w:val="18"/>
              </w:rPr>
              <w:t xml:space="preserve">Inaliénabilité, parts non cessibles, nature protectrice, clause de dévolution, acquisition non spéculative.</w:t>
            </w:r>
          </w:p>
        </w:tc>
      </w:tr>
      <w:tr>
        <w:tc>
          <w:tcPr>
            <w:tcW w:type="dxa" w:w="1450"/>
            <w:shd w:fill="F3F1EA" w:val="clear"/>
            <w:tcMar>
              <w:top w:type="dxa" w:w="70"/>
              <w:left w:type="dxa" w:w="110"/>
              <w:bottom w:type="dxa" w:w="70"/>
              <w:right w:type="dxa" w:w="110"/>
            </w:tcMar>
          </w:tcPr>
          <w:p>
            <w:pPr>
              <w:spacing w:after="0" w:line="264"/>
            </w:pPr>
            <w:r>
              <w:rPr>
                <w:b/>
                <w:bCs/>
                <w:color w:val="2F5D23"/>
                <w:sz w:val="18"/>
                <w:szCs w:val="18"/>
              </w:rPr>
              <w:t xml:space="preserve">2 — La structure</w:t>
            </w:r>
          </w:p>
        </w:tc>
        <w:tc>
          <w:tcPr>
            <w:tcW w:type="dxa" w:w="2900"/>
            <w:shd w:fill="F3F1EA" w:val="clear"/>
            <w:tcMar>
              <w:top w:type="dxa" w:w="70"/>
              <w:left w:type="dxa" w:w="110"/>
              <w:bottom w:type="dxa" w:w="70"/>
              <w:right w:type="dxa" w:w="110"/>
            </w:tcMar>
          </w:tcPr>
          <w:p>
            <w:pPr>
              <w:spacing w:after="0" w:line="264"/>
            </w:pPr>
            <w:r>
              <w:rPr>
                <w:b w:val="false"/>
                <w:bCs w:val="false"/>
                <w:sz w:val="18"/>
                <w:szCs w:val="18"/>
              </w:rPr>
              <w:t xml:space="preserve">Le montage est-il de nature civile et non lucrative ?</w:t>
            </w:r>
          </w:p>
        </w:tc>
        <w:tc>
          <w:tcPr>
            <w:tcW w:type="dxa" w:w="1850"/>
            <w:shd w:fill="F3F1EA" w:val="clear"/>
            <w:tcMar>
              <w:top w:type="dxa" w:w="70"/>
              <w:left w:type="dxa" w:w="110"/>
              <w:bottom w:type="dxa" w:w="70"/>
              <w:right w:type="dxa" w:w="110"/>
            </w:tcMar>
          </w:tcPr>
          <w:p>
            <w:pPr>
              <w:spacing w:after="0" w:line="264"/>
            </w:pPr>
            <w:r>
              <w:rPr>
                <w:b w:val="false"/>
                <w:bCs w:val="false"/>
                <w:sz w:val="18"/>
                <w:szCs w:val="18"/>
              </w:rPr>
              <w:t xml:space="preserve">Toute la chaîne (maillon faible)</w:t>
            </w:r>
          </w:p>
        </w:tc>
        <w:tc>
          <w:tcPr>
            <w:tcW w:type="dxa" w:w="2826"/>
            <w:shd w:fill="F3F1EA" w:val="clear"/>
            <w:tcMar>
              <w:top w:type="dxa" w:w="70"/>
              <w:left w:type="dxa" w:w="110"/>
              <w:bottom w:type="dxa" w:w="70"/>
              <w:right w:type="dxa" w:w="110"/>
            </w:tcMar>
          </w:tcPr>
          <w:p>
            <w:pPr>
              <w:spacing w:after="0" w:line="264"/>
            </w:pPr>
            <w:r>
              <w:rPr>
                <w:b w:val="false"/>
                <w:bCs w:val="false"/>
                <w:sz w:val="18"/>
                <w:szCs w:val="18"/>
              </w:rPr>
              <w:t xml:space="preserve">Forme non lucrative, non-lucrativité effective, indépendance vis-à-vis d'une logique de rendement, gestion désintéressée.</w:t>
            </w:r>
          </w:p>
        </w:tc>
      </w:tr>
      <w:tr>
        <w:tc>
          <w:tcPr>
            <w:tcW w:type="dxa" w:w="1450"/>
            <w:tcMar>
              <w:top w:type="dxa" w:w="70"/>
              <w:left w:type="dxa" w:w="110"/>
              <w:bottom w:type="dxa" w:w="70"/>
              <w:right w:type="dxa" w:w="110"/>
            </w:tcMar>
          </w:tcPr>
          <w:p>
            <w:pPr>
              <w:spacing w:after="0" w:line="264"/>
            </w:pPr>
            <w:r>
              <w:rPr>
                <w:b/>
                <w:bCs/>
                <w:color w:val="2F5D23"/>
                <w:sz w:val="18"/>
                <w:szCs w:val="18"/>
              </w:rPr>
              <w:t xml:space="preserve">3 — Le pouvoir</w:t>
            </w:r>
          </w:p>
        </w:tc>
        <w:tc>
          <w:tcPr>
            <w:tcW w:type="dxa" w:w="2900"/>
            <w:tcMar>
              <w:top w:type="dxa" w:w="70"/>
              <w:left w:type="dxa" w:w="110"/>
              <w:bottom w:type="dxa" w:w="70"/>
              <w:right w:type="dxa" w:w="110"/>
            </w:tcMar>
          </w:tcPr>
          <w:p>
            <w:pPr>
              <w:spacing w:after="0" w:line="264"/>
            </w:pPr>
            <w:r>
              <w:rPr>
                <w:b w:val="false"/>
                <w:bCs w:val="false"/>
                <w:sz w:val="18"/>
                <w:szCs w:val="18"/>
              </w:rPr>
              <w:t xml:space="preserve">L'usage est-il gouverné collectivement par ses usagers-citoyens ?</w:t>
            </w:r>
          </w:p>
        </w:tc>
        <w:tc>
          <w:tcPr>
            <w:tcW w:type="dxa" w:w="1850"/>
            <w:tcMar>
              <w:top w:type="dxa" w:w="70"/>
              <w:left w:type="dxa" w:w="110"/>
              <w:bottom w:type="dxa" w:w="70"/>
              <w:right w:type="dxa" w:w="110"/>
            </w:tcMar>
          </w:tcPr>
          <w:p>
            <w:pPr>
              <w:spacing w:after="0" w:line="264"/>
            </w:pPr>
            <w:r>
              <w:rPr>
                <w:b w:val="false"/>
                <w:bCs w:val="false"/>
                <w:sz w:val="18"/>
                <w:szCs w:val="18"/>
              </w:rPr>
              <w:t xml:space="preserve">Usufruitier</w:t>
            </w:r>
          </w:p>
        </w:tc>
        <w:tc>
          <w:tcPr>
            <w:tcW w:type="dxa" w:w="2826"/>
            <w:tcMar>
              <w:top w:type="dxa" w:w="70"/>
              <w:left w:type="dxa" w:w="110"/>
              <w:bottom w:type="dxa" w:w="70"/>
              <w:right w:type="dxa" w:w="110"/>
            </w:tcMar>
          </w:tcPr>
          <w:p>
            <w:pPr>
              <w:spacing w:after="0" w:line="264"/>
            </w:pPr>
            <w:r>
              <w:rPr>
                <w:b w:val="false"/>
                <w:bCs w:val="false"/>
                <w:sz w:val="18"/>
                <w:szCs w:val="18"/>
              </w:rPr>
              <w:t xml:space="preserve">Décision collective, une personne une voix, usagers décideurs, ouverture aux entrants, transparence interne.</w:t>
            </w:r>
          </w:p>
        </w:tc>
      </w:tr>
      <w:tr>
        <w:tc>
          <w:tcPr>
            <w:tcW w:type="dxa" w:w="1450"/>
            <w:shd w:fill="F3F1EA" w:val="clear"/>
            <w:tcMar>
              <w:top w:type="dxa" w:w="70"/>
              <w:left w:type="dxa" w:w="110"/>
              <w:bottom w:type="dxa" w:w="70"/>
              <w:right w:type="dxa" w:w="110"/>
            </w:tcMar>
          </w:tcPr>
          <w:p>
            <w:pPr>
              <w:spacing w:after="0" w:line="264"/>
            </w:pPr>
            <w:r>
              <w:rPr>
                <w:b/>
                <w:bCs/>
                <w:color w:val="2F5D23"/>
                <w:sz w:val="18"/>
                <w:szCs w:val="18"/>
              </w:rPr>
              <w:t xml:space="preserve">4 — La finalité</w:t>
            </w:r>
          </w:p>
        </w:tc>
        <w:tc>
          <w:tcPr>
            <w:tcW w:type="dxa" w:w="2900"/>
            <w:shd w:fill="F3F1EA" w:val="clear"/>
            <w:tcMar>
              <w:top w:type="dxa" w:w="70"/>
              <w:left w:type="dxa" w:w="110"/>
              <w:bottom w:type="dxa" w:w="70"/>
              <w:right w:type="dxa" w:w="110"/>
            </w:tcMar>
          </w:tcPr>
          <w:p>
            <w:pPr>
              <w:spacing w:after="0" w:line="264"/>
            </w:pPr>
            <w:r>
              <w:rPr>
                <w:b w:val="false"/>
                <w:bCs w:val="false"/>
                <w:sz w:val="18"/>
                <w:szCs w:val="18"/>
              </w:rPr>
              <w:t xml:space="preserve">La finalité d'intérêt général est-elle ouverte au-delà des membres ?</w:t>
            </w:r>
          </w:p>
        </w:tc>
        <w:tc>
          <w:tcPr>
            <w:tcW w:type="dxa" w:w="1850"/>
            <w:shd w:fill="F3F1EA" w:val="clear"/>
            <w:tcMar>
              <w:top w:type="dxa" w:w="70"/>
              <w:left w:type="dxa" w:w="110"/>
              <w:bottom w:type="dxa" w:w="70"/>
              <w:right w:type="dxa" w:w="110"/>
            </w:tcMar>
          </w:tcPr>
          <w:p>
            <w:pPr>
              <w:spacing w:after="0" w:line="264"/>
            </w:pPr>
            <w:r>
              <w:rPr>
                <w:b w:val="false"/>
                <w:bCs w:val="false"/>
                <w:sz w:val="18"/>
                <w:szCs w:val="18"/>
              </w:rPr>
              <w:t xml:space="preserve">Toute la chaîne (maillon faible)</w:t>
            </w:r>
          </w:p>
        </w:tc>
        <w:tc>
          <w:tcPr>
            <w:tcW w:type="dxa" w:w="2826"/>
            <w:shd w:fill="F3F1EA" w:val="clear"/>
            <w:tcMar>
              <w:top w:type="dxa" w:w="70"/>
              <w:left w:type="dxa" w:w="110"/>
              <w:bottom w:type="dxa" w:w="70"/>
              <w:right w:type="dxa" w:w="110"/>
            </w:tcMar>
          </w:tcPr>
          <w:p>
            <w:pPr>
              <w:spacing w:after="0" w:line="264"/>
            </w:pPr>
            <w:r>
              <w:rPr>
                <w:b w:val="false"/>
                <w:bCs w:val="false"/>
                <w:sz w:val="18"/>
                <w:szCs w:val="18"/>
              </w:rPr>
              <w:t xml:space="preserve">Objet d'intérêt général, public non restreint, ancrage territorial, redevabilité publique.</w:t>
            </w:r>
          </w:p>
        </w:tc>
      </w:tr>
      <w:tr>
        <w:tc>
          <w:tcPr>
            <w:tcW w:type="dxa" w:w="1450"/>
            <w:tcMar>
              <w:top w:type="dxa" w:w="70"/>
              <w:left w:type="dxa" w:w="110"/>
              <w:bottom w:type="dxa" w:w="70"/>
              <w:right w:type="dxa" w:w="110"/>
            </w:tcMar>
          </w:tcPr>
          <w:p>
            <w:pPr>
              <w:spacing w:after="0" w:line="264"/>
            </w:pPr>
            <w:r>
              <w:rPr>
                <w:b/>
                <w:bCs/>
                <w:color w:val="2F5D23"/>
                <w:sz w:val="18"/>
                <w:szCs w:val="18"/>
              </w:rPr>
              <w:t xml:space="preserve">5 — L'usage</w:t>
            </w:r>
          </w:p>
        </w:tc>
        <w:tc>
          <w:tcPr>
            <w:tcW w:type="dxa" w:w="2900"/>
            <w:tcMar>
              <w:top w:type="dxa" w:w="70"/>
              <w:left w:type="dxa" w:w="110"/>
              <w:bottom w:type="dxa" w:w="70"/>
              <w:right w:type="dxa" w:w="110"/>
            </w:tcMar>
          </w:tcPr>
          <w:p>
            <w:pPr>
              <w:spacing w:after="0" w:line="264"/>
            </w:pPr>
            <w:r>
              <w:rPr>
                <w:b w:val="false"/>
                <w:bCs w:val="false"/>
                <w:sz w:val="18"/>
                <w:szCs w:val="18"/>
              </w:rPr>
              <w:t xml:space="preserve">L'usage est-il non marchand et sécurisé dans le temps ?</w:t>
            </w:r>
          </w:p>
        </w:tc>
        <w:tc>
          <w:tcPr>
            <w:tcW w:type="dxa" w:w="1850"/>
            <w:tcMar>
              <w:top w:type="dxa" w:w="70"/>
              <w:left w:type="dxa" w:w="110"/>
              <w:bottom w:type="dxa" w:w="70"/>
              <w:right w:type="dxa" w:w="110"/>
            </w:tcMar>
          </w:tcPr>
          <w:p>
            <w:pPr>
              <w:spacing w:after="0" w:line="264"/>
            </w:pPr>
            <w:r>
              <w:rPr>
                <w:b w:val="false"/>
                <w:bCs w:val="false"/>
                <w:sz w:val="18"/>
                <w:szCs w:val="18"/>
              </w:rPr>
              <w:t xml:space="preserve">Convention porteur / usufruitier</w:t>
            </w:r>
          </w:p>
        </w:tc>
        <w:tc>
          <w:tcPr>
            <w:tcW w:type="dxa" w:w="2826"/>
            <w:tcMar>
              <w:top w:type="dxa" w:w="70"/>
              <w:left w:type="dxa" w:w="110"/>
              <w:bottom w:type="dxa" w:w="70"/>
              <w:right w:type="dxa" w:w="110"/>
            </w:tcMar>
          </w:tcPr>
          <w:p>
            <w:pPr>
              <w:spacing w:after="0" w:line="264"/>
            </w:pPr>
            <w:r>
              <w:rPr>
                <w:b w:val="false"/>
                <w:bCs w:val="false"/>
                <w:sz w:val="18"/>
                <w:szCs w:val="18"/>
              </w:rPr>
              <w:t xml:space="preserve">Régime d'usage non marchand, loyer soutenable et réinvesti, durée et renouvellement, sécurité de jouissance.</w:t>
            </w:r>
          </w:p>
        </w:tc>
      </w:tr>
    </w:tbl>
    <w:p>
      <w:pPr>
        <w:spacing w:before="160"/>
      </w:pPr>
    </w:p>
    <w:p>
      <w:pPr>
        <w:spacing w:after="140" w:line="312"/>
        <w:jc w:val="both"/>
      </w:pPr>
      <w:r>
        <w:rPr>
          <w:i w:val="false"/>
          <w:iCs w:val="false"/>
        </w:rPr>
        <w:t xml:space="preserve">L'agrégation des cinq axes en un Indice de libération se fait par une fonction non compensatoire (moyenne géométrique ou équivalent), de sorte que l'axe le plus faible commande le résultat. L'indice est ensuite pénalisé par la complétude de la fiche.</w:t>
      </w:r>
    </w:p>
    <w:p>
      <w:r>
        <w:br w:type="page"/>
      </w:r>
    </w:p>
    <w:p>
      <w:pPr>
        <w:pStyle w:val="Heading1"/>
        <w:spacing w:after="140" w:before="320"/>
      </w:pPr>
      <w:r>
        <w:t xml:space="preserve">Annexe B — Les cinq pôles et leurs profils de référence</w:t>
      </w:r>
    </w:p>
    <w:p>
      <w:pPr>
        <w:spacing w:after="140" w:line="312"/>
        <w:jc w:val="both"/>
      </w:pPr>
      <w:r>
        <w:rPr>
          <w:i w:val="false"/>
          <w:iCs w:val="false"/>
        </w:rPr>
        <w:t xml:space="preserve">Les cinq pôles sont engendrés par un principe unique : le resserrement progressif de la décision et du bénéfice. Ils servent de profils de référence — le commun citoyen présente un pentagone plein sur les cinq axes ; la propriété marchande, un pentagone effondré ; un faux ami, un pentagone haut partout sauf sur l'axe de la structure.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800"/>
        <w:gridCol w:w="2226"/>
      </w:tblGrid>
      <w:tr>
        <w:tc>
          <w:tcPr>
            <w:tcW w:type="dxa" w:w="1900"/>
            <w:shd w:fill="2F5D23" w:val="clear"/>
            <w:tcMar>
              <w:top w:type="dxa" w:w="70"/>
              <w:left w:type="dxa" w:w="110"/>
              <w:bottom w:type="dxa" w:w="70"/>
              <w:right w:type="dxa" w:w="110"/>
            </w:tcMar>
          </w:tcPr>
          <w:p>
            <w:pPr>
              <w:spacing w:after="0" w:line="264"/>
            </w:pPr>
            <w:r>
              <w:rPr>
                <w:b/>
                <w:bCs/>
                <w:color w:val="FFFFFF"/>
                <w:sz w:val="18"/>
                <w:szCs w:val="18"/>
              </w:rPr>
              <w:t xml:space="preserve">Pôle</w:t>
            </w:r>
          </w:p>
        </w:tc>
        <w:tc>
          <w:tcPr>
            <w:tcW w:type="dxa" w:w="2100"/>
            <w:shd w:fill="2F5D23" w:val="clear"/>
            <w:tcMar>
              <w:top w:type="dxa" w:w="70"/>
              <w:left w:type="dxa" w:w="110"/>
              <w:bottom w:type="dxa" w:w="70"/>
              <w:right w:type="dxa" w:w="110"/>
            </w:tcMar>
          </w:tcPr>
          <w:p>
            <w:pPr>
              <w:spacing w:after="0" w:line="264"/>
            </w:pPr>
            <w:r>
              <w:rPr>
                <w:b/>
                <w:bCs/>
                <w:color w:val="FFFFFF"/>
                <w:sz w:val="18"/>
                <w:szCs w:val="18"/>
              </w:rPr>
              <w:t xml:space="preserve">Régime</w:t>
            </w:r>
          </w:p>
        </w:tc>
        <w:tc>
          <w:tcPr>
            <w:tcW w:type="dxa" w:w="2800"/>
            <w:shd w:fill="2F5D23" w:val="clear"/>
            <w:tcMar>
              <w:top w:type="dxa" w:w="70"/>
              <w:left w:type="dxa" w:w="110"/>
              <w:bottom w:type="dxa" w:w="70"/>
              <w:right w:type="dxa" w:w="110"/>
            </w:tcMar>
          </w:tcPr>
          <w:p>
            <w:pPr>
              <w:spacing w:after="0" w:line="264"/>
            </w:pPr>
            <w:r>
              <w:rPr>
                <w:b/>
                <w:bCs/>
                <w:color w:val="FFFFFF"/>
                <w:sz w:val="18"/>
                <w:szCs w:val="18"/>
              </w:rPr>
              <w:t xml:space="preserve">Décision et bénéfice</w:t>
            </w:r>
          </w:p>
        </w:tc>
        <w:tc>
          <w:tcPr>
            <w:tcW w:type="dxa" w:w="2226"/>
            <w:shd w:fill="2F5D23" w:val="clear"/>
            <w:tcMar>
              <w:top w:type="dxa" w:w="70"/>
              <w:left w:type="dxa" w:w="110"/>
              <w:bottom w:type="dxa" w:w="70"/>
              <w:right w:type="dxa" w:w="110"/>
            </w:tcMar>
          </w:tcPr>
          <w:p>
            <w:pPr>
              <w:spacing w:after="0" w:line="264"/>
            </w:pPr>
            <w:r>
              <w:rPr>
                <w:b/>
                <w:bCs/>
                <w:color w:val="FFFFFF"/>
                <w:sz w:val="18"/>
                <w:szCs w:val="18"/>
              </w:rPr>
              <w:t xml:space="preserve">Logique dominante</w:t>
            </w:r>
          </w:p>
        </w:tc>
      </w:tr>
      <w:tr>
        <w:tc>
          <w:tcPr>
            <w:tcW w:type="dxa" w:w="1900"/>
            <w:tcMar>
              <w:top w:type="dxa" w:w="70"/>
              <w:left w:type="dxa" w:w="110"/>
              <w:bottom w:type="dxa" w:w="70"/>
              <w:right w:type="dxa" w:w="110"/>
            </w:tcMar>
          </w:tcPr>
          <w:p>
            <w:pPr>
              <w:spacing w:after="0" w:line="264"/>
            </w:pPr>
            <w:r>
              <w:rPr>
                <w:b/>
                <w:bCs/>
                <w:color w:val="2F5D23"/>
                <w:sz w:val="18"/>
                <w:szCs w:val="18"/>
              </w:rPr>
              <w:t xml:space="preserve">1. Le commun citoyen</w:t>
            </w:r>
          </w:p>
        </w:tc>
        <w:tc>
          <w:tcPr>
            <w:tcW w:type="dxa" w:w="2100"/>
            <w:tcMar>
              <w:top w:type="dxa" w:w="70"/>
              <w:left w:type="dxa" w:w="110"/>
              <w:bottom w:type="dxa" w:w="70"/>
              <w:right w:type="dxa" w:w="110"/>
            </w:tcMar>
          </w:tcPr>
          <w:p>
            <w:pPr>
              <w:spacing w:after="0" w:line="264"/>
            </w:pPr>
            <w:r>
              <w:rPr>
                <w:b w:val="false"/>
                <w:bCs w:val="false"/>
                <w:sz w:val="18"/>
                <w:szCs w:val="18"/>
              </w:rPr>
              <w:t xml:space="preserve">Droit civil non lucratif, statuts verrouillés.</w:t>
            </w:r>
          </w:p>
        </w:tc>
        <w:tc>
          <w:tcPr>
            <w:tcW w:type="dxa" w:w="2800"/>
            <w:tcMar>
              <w:top w:type="dxa" w:w="70"/>
              <w:left w:type="dxa" w:w="110"/>
              <w:bottom w:type="dxa" w:w="70"/>
              <w:right w:type="dxa" w:w="110"/>
            </w:tcMar>
          </w:tcPr>
          <w:p>
            <w:pPr>
              <w:spacing w:after="0" w:line="264"/>
            </w:pPr>
            <w:r>
              <w:rPr>
                <w:b w:val="false"/>
                <w:bCs w:val="false"/>
                <w:sz w:val="18"/>
                <w:szCs w:val="18"/>
              </w:rPr>
              <w:t xml:space="preserve">Décide : le collectif citoyen usager, autogéré. Profite : ouvert, au-delà des membres.</w:t>
            </w:r>
          </w:p>
        </w:tc>
        <w:tc>
          <w:tcPr>
            <w:tcW w:type="dxa" w:w="2226"/>
            <w:tcMar>
              <w:top w:type="dxa" w:w="70"/>
              <w:left w:type="dxa" w:w="110"/>
              <w:bottom w:type="dxa" w:w="70"/>
              <w:right w:type="dxa" w:w="110"/>
            </w:tcMar>
          </w:tcPr>
          <w:p>
            <w:pPr>
              <w:spacing w:after="0" w:line="264"/>
            </w:pPr>
            <w:r>
              <w:rPr>
                <w:b w:val="false"/>
                <w:bCs w:val="false"/>
                <w:sz w:val="18"/>
                <w:szCs w:val="18"/>
              </w:rPr>
              <w:t xml:space="preserve">Le commun — troisième voie, ni État ni commerce.</w:t>
            </w:r>
          </w:p>
        </w:tc>
      </w:tr>
      <w:tr>
        <w:tc>
          <w:tcPr>
            <w:tcW w:type="dxa" w:w="1900"/>
            <w:shd w:fill="F3F1EA" w:val="clear"/>
            <w:tcMar>
              <w:top w:type="dxa" w:w="70"/>
              <w:left w:type="dxa" w:w="110"/>
              <w:bottom w:type="dxa" w:w="70"/>
              <w:right w:type="dxa" w:w="110"/>
            </w:tcMar>
          </w:tcPr>
          <w:p>
            <w:pPr>
              <w:spacing w:after="0" w:line="264"/>
            </w:pPr>
            <w:r>
              <w:rPr>
                <w:b/>
                <w:bCs/>
                <w:color w:val="2F5D23"/>
                <w:sz w:val="18"/>
                <w:szCs w:val="18"/>
              </w:rPr>
              <w:t xml:space="preserve">2. L'intérêt général institué</w:t>
            </w:r>
          </w:p>
        </w:tc>
        <w:tc>
          <w:tcPr>
            <w:tcW w:type="dxa" w:w="2100"/>
            <w:shd w:fill="F3F1EA" w:val="clear"/>
            <w:tcMar>
              <w:top w:type="dxa" w:w="70"/>
              <w:left w:type="dxa" w:w="110"/>
              <w:bottom w:type="dxa" w:w="70"/>
              <w:right w:type="dxa" w:w="110"/>
            </w:tcMar>
          </w:tcPr>
          <w:p>
            <w:pPr>
              <w:spacing w:after="0" w:line="264"/>
            </w:pPr>
            <w:r>
              <w:rPr>
                <w:b w:val="false"/>
                <w:bCs w:val="false"/>
                <w:sz w:val="18"/>
                <w:szCs w:val="18"/>
              </w:rPr>
              <w:t xml:space="preserve">Droit civil non lucratif (association ou fondation RUP, fonds de dotation).</w:t>
            </w:r>
          </w:p>
        </w:tc>
        <w:tc>
          <w:tcPr>
            <w:tcW w:type="dxa" w:w="2800"/>
            <w:shd w:fill="F3F1EA" w:val="clear"/>
            <w:tcMar>
              <w:top w:type="dxa" w:w="70"/>
              <w:left w:type="dxa" w:w="110"/>
              <w:bottom w:type="dxa" w:w="70"/>
              <w:right w:type="dxa" w:w="110"/>
            </w:tcMar>
          </w:tcPr>
          <w:p>
            <w:pPr>
              <w:spacing w:after="0" w:line="264"/>
            </w:pPr>
            <w:r>
              <w:rPr>
                <w:b w:val="false"/>
                <w:bCs w:val="false"/>
                <w:sz w:val="18"/>
                <w:szCs w:val="18"/>
              </w:rPr>
              <w:t xml:space="preserve">Décide : une instance mandatée. Profite : un intérêt général défini institutionnellement.</w:t>
            </w:r>
          </w:p>
        </w:tc>
        <w:tc>
          <w:tcPr>
            <w:tcW w:type="dxa" w:w="2226"/>
            <w:shd w:fill="F3F1EA" w:val="clear"/>
            <w:tcMar>
              <w:top w:type="dxa" w:w="70"/>
              <w:left w:type="dxa" w:w="110"/>
              <w:bottom w:type="dxa" w:w="70"/>
              <w:right w:type="dxa" w:w="110"/>
            </w:tcMar>
          </w:tcPr>
          <w:p>
            <w:pPr>
              <w:spacing w:after="0" w:line="264"/>
            </w:pPr>
            <w:r>
              <w:rPr>
                <w:b w:val="false"/>
                <w:bCs w:val="false"/>
                <w:sz w:val="18"/>
                <w:szCs w:val="18"/>
              </w:rPr>
              <w:t xml:space="preserve">L'intérêt général administré — allié du pôle 1.</w:t>
            </w:r>
          </w:p>
        </w:tc>
      </w:tr>
      <w:tr>
        <w:tc>
          <w:tcPr>
            <w:tcW w:type="dxa" w:w="1900"/>
            <w:tcMar>
              <w:top w:type="dxa" w:w="70"/>
              <w:left w:type="dxa" w:w="110"/>
              <w:bottom w:type="dxa" w:w="70"/>
              <w:right w:type="dxa" w:w="110"/>
            </w:tcMar>
          </w:tcPr>
          <w:p>
            <w:pPr>
              <w:spacing w:after="0" w:line="264"/>
            </w:pPr>
            <w:r>
              <w:rPr>
                <w:b/>
                <w:bCs/>
                <w:color w:val="2F5D23"/>
                <w:sz w:val="18"/>
                <w:szCs w:val="18"/>
              </w:rPr>
              <w:t xml:space="preserve">3. Le mutualisme d'usagers</w:t>
            </w:r>
          </w:p>
        </w:tc>
        <w:tc>
          <w:tcPr>
            <w:tcW w:type="dxa" w:w="2100"/>
            <w:tcMar>
              <w:top w:type="dxa" w:w="70"/>
              <w:left w:type="dxa" w:w="110"/>
              <w:bottom w:type="dxa" w:w="70"/>
              <w:right w:type="dxa" w:w="110"/>
            </w:tcMar>
          </w:tcPr>
          <w:p>
            <w:pPr>
              <w:spacing w:after="0" w:line="264"/>
            </w:pPr>
            <w:r>
              <w:rPr>
                <w:b w:val="false"/>
                <w:bCs w:val="false"/>
                <w:sz w:val="18"/>
                <w:szCs w:val="18"/>
              </w:rPr>
              <w:t xml:space="preserve">Société, souvent commerciale (SCIC, coopérative, SCOP).</w:t>
            </w:r>
          </w:p>
        </w:tc>
        <w:tc>
          <w:tcPr>
            <w:tcW w:type="dxa" w:w="2800"/>
            <w:tcMar>
              <w:top w:type="dxa" w:w="70"/>
              <w:left w:type="dxa" w:w="110"/>
              <w:bottom w:type="dxa" w:w="70"/>
              <w:right w:type="dxa" w:w="110"/>
            </w:tcMar>
          </w:tcPr>
          <w:p>
            <w:pPr>
              <w:spacing w:after="0" w:line="264"/>
            </w:pPr>
            <w:r>
              <w:rPr>
                <w:b w:val="false"/>
                <w:bCs w:val="false"/>
                <w:sz w:val="18"/>
                <w:szCs w:val="18"/>
              </w:rPr>
              <w:t xml:space="preserve">Décide : les sociétaires. Profite : les membres, cercle fermé.</w:t>
            </w:r>
          </w:p>
        </w:tc>
        <w:tc>
          <w:tcPr>
            <w:tcW w:type="dxa" w:w="2226"/>
            <w:tcMar>
              <w:top w:type="dxa" w:w="70"/>
              <w:left w:type="dxa" w:w="110"/>
              <w:bottom w:type="dxa" w:w="70"/>
              <w:right w:type="dxa" w:w="110"/>
            </w:tcMar>
          </w:tcPr>
          <w:p>
            <w:pPr>
              <w:spacing w:after="0" w:line="264"/>
            </w:pPr>
            <w:r>
              <w:rPr>
                <w:b w:val="false"/>
                <w:bCs w:val="false"/>
                <w:sz w:val="18"/>
                <w:szCs w:val="18"/>
              </w:rPr>
              <w:t xml:space="preserve">L'entraide entre membres — pôle des faux amis.</w:t>
            </w:r>
          </w:p>
        </w:tc>
      </w:tr>
      <w:tr>
        <w:tc>
          <w:tcPr>
            <w:tcW w:type="dxa" w:w="1900"/>
            <w:shd w:fill="F3F1EA" w:val="clear"/>
            <w:tcMar>
              <w:top w:type="dxa" w:w="70"/>
              <w:left w:type="dxa" w:w="110"/>
              <w:bottom w:type="dxa" w:w="70"/>
              <w:right w:type="dxa" w:w="110"/>
            </w:tcMar>
          </w:tcPr>
          <w:p>
            <w:pPr>
              <w:spacing w:after="0" w:line="264"/>
            </w:pPr>
            <w:r>
              <w:rPr>
                <w:b/>
                <w:bCs/>
                <w:color w:val="2F5D23"/>
                <w:sz w:val="18"/>
                <w:szCs w:val="18"/>
              </w:rPr>
              <w:t xml:space="preserve">4. L'économie sociale marchande</w:t>
            </w:r>
          </w:p>
        </w:tc>
        <w:tc>
          <w:tcPr>
            <w:tcW w:type="dxa" w:w="2100"/>
            <w:shd w:fill="F3F1EA" w:val="clear"/>
            <w:tcMar>
              <w:top w:type="dxa" w:w="70"/>
              <w:left w:type="dxa" w:w="110"/>
              <w:bottom w:type="dxa" w:w="70"/>
              <w:right w:type="dxa" w:w="110"/>
            </w:tcMar>
          </w:tcPr>
          <w:p>
            <w:pPr>
              <w:spacing w:after="0" w:line="264"/>
            </w:pPr>
            <w:r>
              <w:rPr>
                <w:b w:val="false"/>
                <w:bCs w:val="false"/>
                <w:sz w:val="18"/>
                <w:szCs w:val="18"/>
              </w:rPr>
              <w:t xml:space="preserve">Société commerciale (entreprise à mission, foncière à rendement modéré).</w:t>
            </w:r>
          </w:p>
        </w:tc>
        <w:tc>
          <w:tcPr>
            <w:tcW w:type="dxa" w:w="2800"/>
            <w:shd w:fill="F3F1EA" w:val="clear"/>
            <w:tcMar>
              <w:top w:type="dxa" w:w="70"/>
              <w:left w:type="dxa" w:w="110"/>
              <w:bottom w:type="dxa" w:w="70"/>
              <w:right w:type="dxa" w:w="110"/>
            </w:tcMar>
          </w:tcPr>
          <w:p>
            <w:pPr>
              <w:spacing w:after="0" w:line="264"/>
            </w:pPr>
            <w:r>
              <w:rPr>
                <w:b w:val="false"/>
                <w:bCs w:val="false"/>
                <w:sz w:val="18"/>
                <w:szCs w:val="18"/>
              </w:rPr>
              <w:t xml:space="preserve">Décide : dirigeants et investisseurs. Profite : la mission et un rendement servi au capital.</w:t>
            </w:r>
          </w:p>
        </w:tc>
        <w:tc>
          <w:tcPr>
            <w:tcW w:type="dxa" w:w="2226"/>
            <w:shd w:fill="F3F1EA" w:val="clear"/>
            <w:tcMar>
              <w:top w:type="dxa" w:w="70"/>
              <w:left w:type="dxa" w:w="110"/>
              <w:bottom w:type="dxa" w:w="70"/>
              <w:right w:type="dxa" w:w="110"/>
            </w:tcMar>
          </w:tcPr>
          <w:p>
            <w:pPr>
              <w:spacing w:after="0" w:line="264"/>
            </w:pPr>
            <w:r>
              <w:rPr>
                <w:b w:val="false"/>
                <w:bCs w:val="false"/>
                <w:sz w:val="18"/>
                <w:szCs w:val="18"/>
              </w:rPr>
              <w:t xml:space="preserve">Rentabilité tempérée par une posture sociale.</w:t>
            </w:r>
          </w:p>
        </w:tc>
      </w:tr>
      <w:tr>
        <w:tc>
          <w:tcPr>
            <w:tcW w:type="dxa" w:w="1900"/>
            <w:tcMar>
              <w:top w:type="dxa" w:w="70"/>
              <w:left w:type="dxa" w:w="110"/>
              <w:bottom w:type="dxa" w:w="70"/>
              <w:right w:type="dxa" w:w="110"/>
            </w:tcMar>
          </w:tcPr>
          <w:p>
            <w:pPr>
              <w:spacing w:after="0" w:line="264"/>
            </w:pPr>
            <w:r>
              <w:rPr>
                <w:b/>
                <w:bCs/>
                <w:color w:val="2F5D23"/>
                <w:sz w:val="18"/>
                <w:szCs w:val="18"/>
              </w:rPr>
              <w:t xml:space="preserve">5. La propriété marchande</w:t>
            </w:r>
          </w:p>
        </w:tc>
        <w:tc>
          <w:tcPr>
            <w:tcW w:type="dxa" w:w="2100"/>
            <w:tcMar>
              <w:top w:type="dxa" w:w="70"/>
              <w:left w:type="dxa" w:w="110"/>
              <w:bottom w:type="dxa" w:w="70"/>
              <w:right w:type="dxa" w:w="110"/>
            </w:tcMar>
          </w:tcPr>
          <w:p>
            <w:pPr>
              <w:spacing w:after="0" w:line="264"/>
            </w:pPr>
            <w:r>
              <w:rPr>
                <w:b w:val="false"/>
                <w:bCs w:val="false"/>
                <w:sz w:val="18"/>
                <w:szCs w:val="18"/>
              </w:rPr>
              <w:t xml:space="preserve">Propriété privée individuelle.</w:t>
            </w:r>
          </w:p>
        </w:tc>
        <w:tc>
          <w:tcPr>
            <w:tcW w:type="dxa" w:w="2800"/>
            <w:tcMar>
              <w:top w:type="dxa" w:w="70"/>
              <w:left w:type="dxa" w:w="110"/>
              <w:bottom w:type="dxa" w:w="70"/>
              <w:right w:type="dxa" w:w="110"/>
            </w:tcMar>
          </w:tcPr>
          <w:p>
            <w:pPr>
              <w:spacing w:after="0" w:line="264"/>
            </w:pPr>
            <w:r>
              <w:rPr>
                <w:b w:val="false"/>
                <w:bCs w:val="false"/>
                <w:sz w:val="18"/>
                <w:szCs w:val="18"/>
              </w:rPr>
              <w:t xml:space="preserve">Décide : le propriétaire. Profite : lui-même.</w:t>
            </w:r>
          </w:p>
        </w:tc>
        <w:tc>
          <w:tcPr>
            <w:tcW w:type="dxa" w:w="2226"/>
            <w:tcMar>
              <w:top w:type="dxa" w:w="70"/>
              <w:left w:type="dxa" w:w="110"/>
              <w:bottom w:type="dxa" w:w="70"/>
              <w:right w:type="dxa" w:w="110"/>
            </w:tcMar>
          </w:tcPr>
          <w:p>
            <w:pPr>
              <w:spacing w:after="0" w:line="264"/>
            </w:pPr>
            <w:r>
              <w:rPr>
                <w:b w:val="false"/>
                <w:bCs w:val="false"/>
                <w:sz w:val="18"/>
                <w:szCs w:val="18"/>
              </w:rPr>
              <w:t xml:space="preserve">Le marché — plus-value et spéculation.</w:t>
            </w:r>
          </w:p>
        </w:tc>
      </w:tr>
    </w:tbl>
    <w:p>
      <w:pPr>
        <w:spacing w:before="160"/>
      </w:pPr>
    </w:p>
    <w:p>
      <w:pPr>
        <w:spacing w:after="140" w:line="312"/>
        <w:jc w:val="both"/>
      </w:pPr>
      <w:r>
        <w:rPr>
          <w:i w:val="false"/>
          <w:iCs w:val="false"/>
        </w:rPr>
        <w:t xml:space="preserve">Le passage des trois régimes du sol aux cinq pôles ne juxtapose pas des pôles supplémentaires : il dédouble les deux régimes où la qualification se joue. Le régime civil d'intérêt général se scinde entre le commun citoyen et l'intérêt général institué — même droit, gouvernance différente. Le régime commercial se scinde entre le mutualisme coopératif et l'économie sociale franchement marchande. La propriété privée demeure un pôle unique.</w:t>
      </w:r>
    </w:p>
    <w:p>
      <w:r>
        <w:br w:type="page"/>
      </w:r>
    </w:p>
    <w:p>
      <w:pPr>
        <w:pStyle w:val="Heading1"/>
        <w:spacing w:after="140" w:before="320"/>
      </w:pPr>
      <w:r>
        <w:t xml:space="preserve">Annexe C — L'option A intelligente : les cinq disciplines</w:t>
      </w:r>
    </w:p>
    <w:p>
      <w:pPr>
        <w:spacing w:after="140" w:line="312"/>
        <w:jc w:val="both"/>
      </w:pPr>
      <w:r>
        <w:rPr>
          <w:i w:val="false"/>
          <w:iCs w:val="false"/>
        </w:rPr>
        <w:t xml:space="preserve">L'option A — un porteur ou un usufruitier est jugé aussi sur les chaînes qu'il noue — est conceptuellement juste, mais sa version naïve, qui moyennerait les scores des partenaires, serait instable et injuste. Cinq disciplines la rendent intelligente.</w:t>
      </w:r>
    </w:p>
    <w:p>
      <w:pPr>
        <w:pStyle w:val="Heading2"/>
        <w:spacing w:after="80" w:before="220"/>
      </w:pPr>
      <w:r>
        <w:t xml:space="preserve">1.  Plafonner, pas moyenner</w:t>
      </w:r>
    </w:p>
    <w:p>
      <w:pPr>
        <w:spacing w:after="140" w:line="312"/>
        <w:jc w:val="both"/>
      </w:pPr>
      <w:r>
        <w:rPr>
          <w:i w:val="false"/>
          <w:iCs w:val="false"/>
        </w:rPr>
        <w:t xml:space="preserve">Une mauvaise chaîne plafonne un axe ; une bonne chaîne ne rehausse pas au-delà du plafond intrinsèque. L'asymétrie est probatoire : une mauvaise chaîne est une preuve forte sur l'entité, une bonne chaîne une preuve faible. On ne blanchit pas une structure faible par un montage exemplaire.</w:t>
      </w:r>
    </w:p>
    <w:p>
      <w:pPr>
        <w:pStyle w:val="Heading2"/>
        <w:spacing w:after="80" w:before="220"/>
      </w:pPr>
      <w:r>
        <w:t xml:space="preserve">2.  Cibler, pas globaliser</w:t>
      </w:r>
    </w:p>
    <w:p>
      <w:pPr>
        <w:spacing w:after="140" w:line="312"/>
        <w:jc w:val="both"/>
      </w:pPr>
      <w:r>
        <w:rPr>
          <w:i w:val="false"/>
          <w:iCs w:val="false"/>
        </w:rPr>
        <w:t xml:space="preserve">La contamination ne touche que les axes où la chaîne fait réellement preuve sur l'entité : l'axe 5, qui est la pratique de bail du porteur, et les axes 2 et 4, modulés par le motif des chaînes. L'axe 1 reste intrinsèque au porteur.</w:t>
      </w:r>
    </w:p>
    <w:p>
      <w:pPr>
        <w:pStyle w:val="Heading2"/>
        <w:spacing w:after="80" w:before="220"/>
      </w:pPr>
      <w:r>
        <w:t xml:space="preserve">3.  Lire le motif, pas l'instance</w:t>
      </w:r>
    </w:p>
    <w:p>
      <w:pPr>
        <w:spacing w:after="140" w:line="312"/>
        <w:jc w:val="both"/>
      </w:pPr>
      <w:r>
        <w:rPr>
          <w:i w:val="false"/>
          <w:iCs w:val="false"/>
        </w:rPr>
        <w:t xml:space="preserve">Une mauvaise chaîne sur dix n'équivaut pas à huit sur dix. La contamination lit la distribution des chaînes d'une entité, non un cas isolé. Un bon porteur affecté d'un locataire problématique unique n'est pas plombé comme un porteur systématiquement rentier.</w:t>
      </w:r>
    </w:p>
    <w:p>
      <w:pPr>
        <w:pStyle w:val="Heading2"/>
        <w:spacing w:after="80" w:before="220"/>
      </w:pPr>
      <w:r>
        <w:t xml:space="preserve">4.  Lire la trajectoire, pas l'instantané</w:t>
      </w:r>
    </w:p>
    <w:p>
      <w:pPr>
        <w:spacing w:after="140" w:line="312"/>
        <w:jc w:val="both"/>
      </w:pPr>
      <w:r>
        <w:rPr>
          <w:i w:val="false"/>
          <w:iCs w:val="false"/>
        </w:rPr>
        <w:t xml:space="preserve">Une chaîne en cours de dé-précarisation active — bail renégocié, usufruitier en transition — compte comme l'entité faisant son travail, non comme un échec. Sans cela, le modèle créerait une incitation perverse : refuser les cas difficiles pour protéger son score.</w:t>
      </w:r>
    </w:p>
    <w:p>
      <w:pPr>
        <w:pStyle w:val="Heading2"/>
        <w:spacing w:after="80" w:before="220"/>
      </w:pPr>
      <w:r>
        <w:t xml:space="preserve">5.  Rendre lisible, pas opaque</w:t>
      </w:r>
    </w:p>
    <w:p>
      <w:pPr>
        <w:spacing w:after="140" w:line="312"/>
        <w:jc w:val="both"/>
      </w:pPr>
      <w:r>
        <w:rPr>
          <w:i w:val="false"/>
          <w:iCs w:val="false"/>
        </w:rPr>
        <w:t xml:space="preserve">La fiche affiche deux couches : un Indice intrinsèque (ce que l'entité est) et un Indice effectif (relu à travers ses chaînes), l'écart étant toujours annoté avec sa cause. Un score qui bouge sans qu'on en voie la raison ne serait pas fiable ; un score instable mais expliqué est plus honnête qu'un score stable mais fictif.</w:t>
      </w:r>
    </w:p>
    <w:p>
      <w:pPr>
        <w:spacing w:after="140" w:line="312"/>
        <w:jc w:val="both"/>
      </w:pPr>
      <w:r>
        <w:rPr>
          <w:i w:val="false"/>
          <w:iCs w:val="false"/>
        </w:rPr>
        <w:t xml:space="preserve">Ainsi comprise, l'option A n'est pas opposée à la transparence : elle la contient. La contamination de la pratique et l'affichage de la chaîne sont les deux faces d'un même geste. Et le modèle n'ajoute aucune machinerie : il étend aux chaînes le refus de la compensation déjà adopté entre les cinq axes, et reprend la transparence sous la forme du couple intrinsèque / effectif.</w:t>
      </w:r>
    </w:p>
    <w:p>
      <w:r>
        <w:br w:type="page"/>
      </w:r>
    </w:p>
    <w:p>
      <w:pPr>
        <w:pStyle w:val="Heading1"/>
        <w:spacing w:after="140" w:before="320"/>
      </w:pPr>
      <w:r>
        <w:t xml:space="preserve">Annexe D — Glossaire conceptuel</w:t>
      </w:r>
    </w:p>
    <w:p>
      <w:pPr>
        <w:spacing w:after="140" w:line="312"/>
        <w:jc w:val="both"/>
      </w:pPr>
      <w:r>
        <w:rPr>
          <w:b/>
          <w:bCs/>
        </w:rPr>
        <w:t xml:space="preserve">Libération des terres. </w:t>
      </w:r>
      <w:r>
        <w:t xml:space="preserve">Ensemble de pratiques visant à soustraire durablement un foncier à la logique spéculative et marchande, pour le placer au service d'un usage collectif d'intérêt général. Non un concept juridique codifié.</w:t>
      </w:r>
    </w:p>
    <w:p>
      <w:pPr>
        <w:spacing w:after="140" w:line="312"/>
        <w:jc w:val="both"/>
      </w:pPr>
      <w:r>
        <w:rPr>
          <w:b/>
          <w:bCs/>
        </w:rPr>
        <w:t xml:space="preserve">Démembrement. </w:t>
      </w:r>
      <w:r>
        <w:t xml:space="preserve">Séparation du droit de propriété (article 544 du Code civil) en nue-propriété et usufruit (articles 578 et suivants). L'une des modalités de la libération des terres.</w:t>
      </w:r>
    </w:p>
    <w:p>
      <w:pPr>
        <w:spacing w:after="140" w:line="312"/>
        <w:jc w:val="both"/>
      </w:pPr>
      <w:r>
        <w:rPr>
          <w:b/>
          <w:bCs/>
        </w:rPr>
        <w:t xml:space="preserve">Nue-propriété / usufruit. </w:t>
      </w:r>
      <w:r>
        <w:t xml:space="preserve">La nue-propriété est le droit de propriété privé de l'usage ; l'usufruit est le droit d'user du bien et d'en percevoir les fruits. L'usufruit d'une personne morale est plafonné à trente ans.</w:t>
      </w:r>
    </w:p>
    <w:p>
      <w:pPr>
        <w:spacing w:after="140" w:line="312"/>
        <w:jc w:val="both"/>
      </w:pPr>
      <w:r>
        <w:rPr>
          <w:b/>
          <w:bCs/>
        </w:rPr>
        <w:t xml:space="preserve">Intérêt général. </w:t>
      </w:r>
      <w:r>
        <w:t xml:space="preserve">Catégorie juridique octroyée par l'État (reconnaissance d'utilité publique, qualification fiscale). À distinguer du commun.</w:t>
      </w:r>
    </w:p>
    <w:p>
      <w:pPr>
        <w:spacing w:after="140" w:line="312"/>
        <w:jc w:val="both"/>
      </w:pPr>
      <w:r>
        <w:rPr>
          <w:b/>
          <w:bCs/>
        </w:rPr>
        <w:t xml:space="preserve">Intérêt général d'initiative citoyenne. </w:t>
      </w:r>
      <w:r>
        <w:t xml:space="preserve">Finalité d'intérêt général affirmée par la nature et la posture d'un collectif citoyen, avant et indépendamment de toute reconnaissance étatique.</w:t>
      </w:r>
    </w:p>
    <w:p>
      <w:pPr>
        <w:spacing w:after="140" w:line="312"/>
        <w:jc w:val="both"/>
      </w:pPr>
      <w:r>
        <w:rPr>
          <w:b/>
          <w:bCs/>
        </w:rPr>
        <w:t xml:space="preserve">Commun. </w:t>
      </w:r>
      <w:r>
        <w:t xml:space="preserve">Mode d'organisation d'une ressource qui n'est ni étatique ni marchand : gouvernance collective des usagers, finalité ouverte. Troisième pôle.</w:t>
      </w:r>
    </w:p>
    <w:p>
      <w:pPr>
        <w:spacing w:after="140" w:line="312"/>
        <w:jc w:val="both"/>
      </w:pPr>
      <w:r>
        <w:rPr>
          <w:b/>
          <w:bCs/>
        </w:rPr>
        <w:t xml:space="preserve">Faux ami / communs-washing. </w:t>
      </w:r>
      <w:r>
        <w:t xml:space="preserve">Entité qui mobilise le vocabulaire du commun et de l'utilité sociale tout en étant structurellement commerciale et lucrative au profit d'un cercle fermé. Cas-type : la SCIC.</w:t>
      </w:r>
    </w:p>
    <w:p>
      <w:pPr>
        <w:spacing w:after="140" w:line="312"/>
        <w:jc w:val="both"/>
      </w:pPr>
      <w:r>
        <w:rPr>
          <w:b/>
          <w:bCs/>
        </w:rPr>
        <w:t xml:space="preserve">Verrou d'actif (asset-lock). </w:t>
      </w:r>
      <w:r>
        <w:t xml:space="preserve">Clause statutaire interdisant que l'actif d'une structure soit capté à titre privé, y compris en cas de dissolution.</w:t>
      </w:r>
    </w:p>
    <w:p>
      <w:pPr>
        <w:spacing w:after="140" w:line="312"/>
        <w:jc w:val="both"/>
      </w:pPr>
      <w:r>
        <w:rPr>
          <w:b/>
          <w:bCs/>
        </w:rPr>
        <w:t xml:space="preserve">Réserves impartageables. </w:t>
      </w:r>
      <w:r>
        <w:t xml:space="preserve">Part des excédents qui ne peut être distribuée aux membres et reste affectée à l'objet de la structure.</w:t>
      </w:r>
    </w:p>
    <w:p>
      <w:pPr>
        <w:spacing w:after="140" w:line="312"/>
        <w:jc w:val="both"/>
      </w:pPr>
      <w:r>
        <w:rPr>
          <w:b/>
          <w:bCs/>
        </w:rPr>
        <w:t xml:space="preserve">Agrégation non compensatoire. </w:t>
      </w:r>
      <w:r>
        <w:t xml:space="preserve">Mode de calcul de l'indice de synthèse où l'axe le plus faible pèse lourd (moyenne géométrique ou équivalent), interdisant qu'une force rachète une faiblesse.</w:t>
      </w:r>
    </w:p>
    <w:p>
      <w:pPr>
        <w:spacing w:after="140" w:line="312"/>
        <w:jc w:val="both"/>
      </w:pPr>
      <w:r>
        <w:rPr>
          <w:b/>
          <w:bCs/>
        </w:rPr>
        <w:t xml:space="preserve">Domiciliage des axes. </w:t>
      </w:r>
      <w:r>
        <w:t xml:space="preserve">Règle attribuant chaque axe d'évaluation au maillon de la chaîne où il se joue réellement : l'axe 1 au porteur, l'axe 3 à l'usufruitier, l'axe 5 à la convention, les axes 2 et 4 à toute la chaîne.</w:t>
      </w:r>
    </w:p>
    <w:p>
      <w:pPr>
        <w:spacing w:after="140" w:line="312"/>
        <w:jc w:val="both"/>
      </w:pPr>
      <w:r>
        <w:rPr>
          <w:b/>
          <w:bCs/>
        </w:rPr>
        <w:t xml:space="preserve">Indice intrinsèque / effectif. </w:t>
      </w:r>
      <w:r>
        <w:t xml:space="preserve">L'indice intrinsèque note une entité sur ce qu'elle est ; l'indice effectif la relit à travers les chaînes qu'elle noue. Leur écart est affiché et annoté.</w:t>
      </w:r>
    </w:p>
    <w:p>
      <w:pPr>
        <w:spacing w:after="140" w:line="312"/>
        <w:jc w:val="both"/>
      </w:pPr>
      <w:r>
        <w:rPr>
          <w:b/>
          <w:bCs/>
        </w:rPr>
        <w:t xml:space="preserve">Complétude. </w:t>
      </w:r>
      <w:r>
        <w:t xml:space="preserve">Part des critères d'une fiche effectivement renseignés. Une faible complétude pénalise l'indice affiché et signale des angles morts.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6"/>
        <w:szCs w:val="16"/>
      </w:rPr>
      <w:t xml:space="preserve">Communs — cadre conceptuel et méthodologie d'évaluation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2F5D23"/>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color w:val="4A7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2026-05-23T18:26:21.942Z</dcterms:created>
  <dcterms:modified xsi:type="dcterms:W3CDTF">2026-05-23T18:26:21.942Z</dcterms:modified>
</cp:coreProperties>
</file>

<file path=docProps/custom.xml><?xml version="1.0" encoding="utf-8"?>
<Properties xmlns="http://schemas.openxmlformats.org/officeDocument/2006/custom-properties" xmlns:vt="http://schemas.openxmlformats.org/officeDocument/2006/docPropsVTypes"/>
</file>