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Analyse NIS2 / DORA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Ticket : WOR‑69 · Responsable : Cédric · Version 0.1 du 19/10/2026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Ce document s'appuie sur la matrice de risques (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ebios-rm.md</w:t>
      </w:r>
      <w:r>
        <w:rPr>
          <w:i/>
          <w:iCs/>
          <w:color w:val="4A4470"/>
        </w:rPr>
        <w:t xml:space="preserve">) et sur le coût d'un arrêt (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services-critiques.md</w:t>
      </w:r>
      <w:r>
        <w:rPr>
          <w:i/>
          <w:iCs/>
          <w:color w:val="4A4470"/>
        </w:rPr>
        <w:t xml:space="preserve">). Il alimente le PCA/PRA (WOR‑71) et les recommandations à la direction (WOR‑72).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Le sujet demande de </w:t>
      </w:r>
      <w:r>
        <w:rPr>
          <w:b/>
          <w:bCs/>
          <w:i/>
          <w:iCs/>
          <w:color w:val="4A4470"/>
        </w:rPr>
        <w:t xml:space="preserve">distinguer les exigences pertinentes des obligations qui ne peuvent pas être démontrées par un prototype de quatre jours</w:t>
      </w:r>
      <w:r>
        <w:rPr>
          <w:i/>
          <w:iCs/>
          <w:color w:val="4A4470"/>
        </w:rPr>
        <w:t xml:space="preserve">. C'est la structure de ce document : pour chaque exigence, ce que le démonstrateur prouve, et ce qu'il ne prouve pas.</w:t>
      </w:r>
    </w:p>
    <w:p>
      <w:pPr>
        <w:pStyle w:val="Heading2"/>
      </w:pPr>
      <w:r>
        <w:t xml:space="preserve">1. Quel texte s'applique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9"/>
        <w:gridCol w:w="3392"/>
        <w:gridCol w:w="3187"/>
      </w:tblGrid>
      <w:tr>
        <w:trPr>
          <w:cantSplit/>
          <w:tblHeader/>
        </w:trPr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33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Réponse</w:t>
            </w:r>
          </w:p>
        </w:tc>
        <w:tc>
          <w:tcPr>
            <w:tcW w:type="dxa" w:w="318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Fondement</w:t>
            </w:r>
          </w:p>
        </w:tc>
      </w:tr>
      <w:tr>
        <w:trPr>
          <w:cantSplit/>
          <w:tblHeader w:val="off"/>
        </w:trPr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Notre entreprise fictive est-elle dans le champ de DORA ?</w:t>
            </w:r>
          </w:p>
        </w:tc>
        <w:tc>
          <w:tcPr>
            <w:tcW w:type="dxa" w:w="33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Oui.</w:t>
            </w:r>
            <w:r>
              <w:rPr>
                <w:sz w:val="18"/>
                <w:szCs w:val="18"/>
              </w:rPr>
              <w:t xml:space="preserve"> Un opérateur de paiement est un établissement de paiement, explicitement visé.</w:t>
            </w:r>
          </w:p>
        </w:tc>
        <w:tc>
          <w:tcPr>
            <w:tcW w:type="dxa" w:w="318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DORA (règlement UE 2022/2554), art. 2.1 b. Applicable depuis le 17/01/2025.</w:t>
            </w:r>
          </w:p>
        </w:tc>
      </w:tr>
      <w:tr>
        <w:trPr>
          <w:cantSplit/>
          <w:tblHeader w:val="off"/>
        </w:trPr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Est-elle dans le champ de NIS2 ?</w:t>
            </w:r>
          </w:p>
        </w:tc>
        <w:tc>
          <w:tcPr>
            <w:tcW w:type="dxa" w:w="33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Indirectement.</w:t>
            </w:r>
            <w:r>
              <w:rPr>
                <w:sz w:val="18"/>
                <w:szCs w:val="18"/>
              </w:rPr>
              <w:t xml:space="preserve"> Le secteur bancaire de l'annexe I de NIS2 vise les établissements de crédit, pas les établissements de paiement en tant que tels.</w:t>
            </w:r>
          </w:p>
        </w:tc>
        <w:tc>
          <w:tcPr>
            <w:tcW w:type="dxa" w:w="318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NIS2 (directive UE 2022/2555), annexe I.</w:t>
            </w:r>
          </w:p>
        </w:tc>
      </w:tr>
      <w:tr>
        <w:trPr>
          <w:cantSplit/>
          <w:tblHeader w:val="off"/>
        </w:trPr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 les deux s'appliquaient, lequel prime ?</w:t>
            </w:r>
          </w:p>
        </w:tc>
        <w:tc>
          <w:tcPr>
            <w:tcW w:type="dxa" w:w="33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DORA.</w:t>
            </w:r>
            <w:r>
              <w:rPr>
                <w:sz w:val="18"/>
                <w:szCs w:val="18"/>
              </w:rPr>
              <w:t xml:space="preserve"> C'est un acte sectoriel qui prévoit des mesures au moins équivalentes ; il remplace NIS2 pour la gestion du risque et la notification des incidents.</w:t>
            </w:r>
          </w:p>
        </w:tc>
        <w:tc>
          <w:tcPr>
            <w:tcW w:type="dxa" w:w="318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NIS2, art. 4 et considérant 28.</w:t>
            </w:r>
          </w:p>
        </w:tc>
      </w:tr>
      <w:tr>
        <w:trPr>
          <w:cantSplit/>
          <w:tblHeader w:val="off"/>
        </w:trPr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 est l'autorité compétente ?</w:t>
            </w:r>
          </w:p>
        </w:tc>
        <w:tc>
          <w:tcPr>
            <w:tcW w:type="dxa" w:w="33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L'</w:t>
            </w:r>
            <w:r>
              <w:rPr>
                <w:b/>
                <w:bCs/>
                <w:sz w:val="18"/>
                <w:szCs w:val="18"/>
              </w:rPr>
              <w:t xml:space="preserve">ACPR</w:t>
            </w:r>
            <w:r>
              <w:rPr>
                <w:sz w:val="18"/>
                <w:szCs w:val="18"/>
              </w:rPr>
              <w:t xml:space="preserve"> pour un établissement de paiement en France.</w:t>
            </w:r>
          </w:p>
        </w:tc>
        <w:tc>
          <w:tcPr>
            <w:tcW w:type="dxa" w:w="318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Désignation nationale au titre de DORA.</w:t>
            </w:r>
          </w:p>
        </w:tc>
      </w:tr>
      <w:tr>
        <w:trPr>
          <w:cantSplit/>
          <w:tblHeader w:val="off"/>
        </w:trPr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cadre simplifié (art. 16) s'applique-t-il ?</w:t>
            </w:r>
          </w:p>
        </w:tc>
        <w:tc>
          <w:tcPr>
            <w:tcW w:type="dxa" w:w="33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Non.</w:t>
            </w:r>
            <w:r>
              <w:rPr>
                <w:sz w:val="18"/>
                <w:szCs w:val="18"/>
              </w:rPr>
              <w:t xml:space="preserve"> Avec 158 M€ de revenu annuel et 200 partenaires, l'entreprise n'est pas une petite structure exemptée.</w:t>
            </w:r>
          </w:p>
        </w:tc>
        <w:tc>
          <w:tcPr>
            <w:tcW w:type="dxa" w:w="318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DORA, art. 16.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Conclusion :</w:t>
      </w:r>
      <w:r>
        <w:t xml:space="preserve"> on raisonne en DORA. NIS2 reste utile comme grille de lecture (mesures de l'art. 21, chaîne d'approvisionnement), mais ce n'est pas le texte qui nous oblige.</w:t>
      </w:r>
    </w:p>
    <w:p>
      <w:pPr>
        <w:pStyle w:val="Heading2"/>
      </w:pPr>
      <w:r>
        <w:t xml:space="preserve">2. Ce que DORA exige, et ce que le démonstrateur prouve</w:t>
      </w:r>
    </w:p>
    <w:p>
      <w:pPr>
        <w:spacing w:after="120"/>
      </w:pPr>
      <w:r>
        <w:t xml:space="preserve">Légende : ✅ démontré par le prototype · 🟡 démontré en partie · ❌ non démontrable en 4 jours (à traiter dans un contexte industriel).</w:t>
      </w:r>
    </w:p>
    <w:p>
      <w:pPr>
        <w:spacing w:after="120"/>
      </w:pPr>
      <w:r>
        <w:t xml:space="preserve">Les biens supports (BS) sont ceux de </w:t>
      </w:r>
      <w:r>
        <w:rPr>
          <w:rFonts w:ascii="Menlo" w:cs="Menlo" w:eastAsia="Menlo" w:hAnsi="Menlo"/>
          <w:sz w:val="19"/>
          <w:szCs w:val="19"/>
        </w:rPr>
        <w:t xml:space="preserve">ebios-rm.md</w:t>
      </w:r>
      <w:r>
        <w:t xml:space="preserve">. Les preuves sont </w:t>
      </w:r>
      <w:r>
        <w:rPr>
          <w:b/>
          <w:bCs/>
        </w:rPr>
        <w:t xml:space="preserve">prévues</w:t>
      </w:r>
      <w:r>
        <w:t xml:space="preserve"> : elles seront confirmées par les résultats d'essais du mercredi et du jeudi (WOR‑73).</w:t>
      </w:r>
    </w:p>
    <w:p>
      <w:pPr>
        <w:pStyle w:val="Heading3"/>
      </w:pPr>
      <w:r>
        <w:t xml:space="preserve">2.1 Gestion du risque TIC (art. 5 à 16)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960"/>
        <w:gridCol w:w="1666"/>
        <w:gridCol w:w="1265"/>
        <w:gridCol w:w="2451"/>
        <w:gridCol w:w="1532"/>
      </w:tblGrid>
      <w:tr>
        <w:trPr>
          <w:cantSplit/>
          <w:tblHeader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Exigence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Article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que le prototype montre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Composants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Preuve attendue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Cadre de gestion du risque TIC documenté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Analyse EBIOS RM, services critiques chiffrés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7"/>
                <w:szCs w:val="17"/>
              </w:rPr>
              <w:t xml:space="preserve">ebios-rm.md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services-critiques.md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Identifier les fonctions critiques et leurs dépendances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Services classés par priorité, biens supports reliés aux valeurs métier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Tous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Tableaux VM ↔ BS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Protection et prévention : moindre privilège, chiffrement, gestion des secrets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Filtrage WAF, secrets hors du code, privilèges limités des conteneurs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BS5, BS9, BS8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Configuration WAF, Vault/SOPS, revue des droits du moteur de remédiation (WOR‑64)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un seul hôte, pas de segmentation physique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Détection rapide des activités anormales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Détection ML sur les métriques et journaux, alertes SIEM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BS6, BS7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Horodatage attaque → alerte, mesuré pendant l'essai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Réponse et rétablissement : politique de continuité, reprise des fonctions critiques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Cœur de la démo</w:t>
            </w:r>
            <w:r>
              <w:rPr>
                <w:sz w:val="18"/>
                <w:szCs w:val="18"/>
              </w:rPr>
              <w:t xml:space="preserve"> : remédiation automatique, puis transaction fictive réussie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BS8, BS2, BS4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Durée attaque → transaction réussie, comparée au RTO (WOR‑70)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du plan de continuité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11.6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Scénario d'attaque rejoué et chronométré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Tous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Résultats d'essais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un seul scénario, pas de programme annuel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Sauvegarde et restauration, sans perte de données validées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Restauration de la base, contrôle de cohérence après reprise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BS4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Comptage des transactions avant / après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sauvegarde sur le même hôte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Capacités redondantes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12.4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BS11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hôte unique, point de défaillance unique assumé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Retour d'expérience après incident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Analyse post-incident à partir des journaux, aidée par l'assistant RAG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BS6, BS10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Rapport d'incident généré après l'essai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Communication de crise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 de communication dans le PCA (WOR‑71)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sur papier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Responsabilité de l'organe de direction, formation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pas d'organe de direction réel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2.2 Gestion et notification des incidents (art. 17 à 23)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8"/>
        <w:gridCol w:w="960"/>
        <w:gridCol w:w="3249"/>
        <w:gridCol w:w="2041"/>
      </w:tblGrid>
      <w:tr>
        <w:trPr>
          <w:cantSplit/>
          <w:tblHeader/>
        </w:trPr>
        <w:tc>
          <w:tcPr>
            <w:tcW w:type="dxa" w:w="338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Exigence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Article</w:t>
            </w:r>
          </w:p>
        </w:tc>
        <w:tc>
          <w:tcPr>
            <w:tcW w:type="dxa" w:w="324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que le prototype montre</w:t>
            </w:r>
          </w:p>
        </w:tc>
        <w:tc>
          <w:tcPr>
            <w:tcW w:type="dxa" w:w="20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rPr>
          <w:cantSplit/>
          <w:tblHeader w:val="off"/>
        </w:trPr>
        <w:tc>
          <w:tcPr>
            <w:tcW w:type="dxa" w:w="338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Processus de détection, journalisation et suivi des incidents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4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Chaque incident détecté est horodaté et conservé dans le SIEM</w:t>
            </w:r>
          </w:p>
        </w:tc>
        <w:tc>
          <w:tcPr>
            <w:tcW w:type="dxa" w:w="20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338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Classification selon les critères réglementaires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24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Grille appliquée au scénario de la démo (voir section 3)</w:t>
            </w:r>
          </w:p>
        </w:tc>
        <w:tc>
          <w:tcPr>
            <w:tcW w:type="dxa" w:w="20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sur papier, à partir des mesures réelles</w:t>
            </w:r>
          </w:p>
        </w:tc>
      </w:tr>
      <w:tr>
        <w:trPr>
          <w:cantSplit/>
          <w:tblHeader w:val="off"/>
        </w:trPr>
        <w:tc>
          <w:tcPr>
            <w:tcW w:type="dxa" w:w="338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 des incidents majeurs à l'ACPR : initiale, intermédiaire, finale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4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Les journaux du SIEM contiennent les informations nécessaires. Aucune notification réelle n'est envoyée.</w:t>
            </w:r>
          </w:p>
        </w:tc>
        <w:tc>
          <w:tcPr>
            <w:tcW w:type="dxa" w:w="20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</w:tr>
      <w:tr>
        <w:trPr>
          <w:cantSplit/>
          <w:tblHeader w:val="off"/>
        </w:trPr>
        <w:tc>
          <w:tcPr>
            <w:tcW w:type="dxa" w:w="338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Information des clients touchés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19.3</w:t>
            </w:r>
          </w:p>
        </w:tc>
        <w:tc>
          <w:tcPr>
            <w:tcW w:type="dxa" w:w="324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2.3 Tests de résilience (art. 24 à 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960"/>
        <w:gridCol w:w="2967"/>
        <w:gridCol w:w="2542"/>
      </w:tblGrid>
      <w:tr>
        <w:trPr>
          <w:cantSplit/>
          <w:tblHeader/>
        </w:trPr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Exigence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Article</w:t>
            </w:r>
          </w:p>
        </w:tc>
        <w:tc>
          <w:tcPr>
            <w:tcW w:type="dxa" w:w="29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que le prototype montre</w:t>
            </w:r>
          </w:p>
        </w:tc>
        <w:tc>
          <w:tcPr>
            <w:tcW w:type="dxa" w:w="254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rPr>
          <w:cantSplit/>
          <w:tblHeader w:val="off"/>
        </w:trPr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Programme de tests : analyses de vulnérabilités, tests de scénarios, tests de performance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24, 25</w:t>
            </w:r>
          </w:p>
        </w:tc>
        <w:tc>
          <w:tcPr>
            <w:tcW w:type="dxa" w:w="29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Scénario Red Team depuis le PC Attaquant, scans de vulnérabilités</w:t>
            </w:r>
          </w:p>
        </w:tc>
        <w:tc>
          <w:tcPr>
            <w:tcW w:type="dxa" w:w="254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un essai ponctuel, pas un programme</w:t>
            </w:r>
          </w:p>
        </w:tc>
      </w:tr>
      <w:tr>
        <w:trPr>
          <w:cantSplit/>
          <w:tblHeader w:val="off"/>
        </w:trPr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de pénétration fondés sur la menace (TLPT), tous les 3 ans, par des testeurs indépendants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26, 27</w:t>
            </w:r>
          </w:p>
        </w:tc>
        <w:tc>
          <w:tcPr>
            <w:tcW w:type="dxa" w:w="29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4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réservé aux entités désignées, exige des testeurs externes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2.4 Risque lié aux prestataires TIC (art. 28 à 44)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989"/>
        <w:gridCol w:w="3095"/>
        <w:gridCol w:w="2625"/>
      </w:tblGrid>
      <w:tr>
        <w:trPr>
          <w:cantSplit/>
          <w:tblHeader/>
        </w:trPr>
        <w:tc>
          <w:tcPr>
            <w:tcW w:type="dxa" w:w="29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Exigence</w:t>
            </w:r>
          </w:p>
        </w:tc>
        <w:tc>
          <w:tcPr>
            <w:tcW w:type="dxa" w:w="9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Article</w:t>
            </w:r>
          </w:p>
        </w:tc>
        <w:tc>
          <w:tcPr>
            <w:tcW w:type="dxa" w:w="30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que le prototype montre</w:t>
            </w:r>
          </w:p>
        </w:tc>
        <w:tc>
          <w:tcPr>
            <w:tcW w:type="dxa" w:w="262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rPr>
          <w:cantSplit/>
          <w:tblHeader w:val="off"/>
        </w:trPr>
        <w:tc>
          <w:tcPr>
            <w:tcW w:type="dxa" w:w="29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des accords avec les prestataires TIC</w:t>
            </w:r>
          </w:p>
        </w:tc>
        <w:tc>
          <w:tcPr>
            <w:tcW w:type="dxa" w:w="9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28.3</w:t>
            </w:r>
          </w:p>
        </w:tc>
        <w:tc>
          <w:tcPr>
            <w:tcW w:type="dxa" w:w="30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Inventaire des briques utilisées (images Docker, Ollama, modèles)</w:t>
            </w:r>
          </w:p>
        </w:tc>
        <w:tc>
          <w:tcPr>
            <w:tcW w:type="dxa" w:w="262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inventaire technique, pas contractuel</w:t>
            </w:r>
          </w:p>
        </w:tc>
      </w:tr>
      <w:tr>
        <w:trPr>
          <w:cantSplit/>
          <w:tblHeader w:val="off"/>
        </w:trPr>
        <w:tc>
          <w:tcPr>
            <w:tcW w:type="dxa" w:w="29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Clauses contractuelles obligatoires, stratégies de sortie</w:t>
            </w:r>
          </w:p>
        </w:tc>
        <w:tc>
          <w:tcPr>
            <w:tcW w:type="dxa" w:w="9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28.8, 30</w:t>
            </w:r>
          </w:p>
        </w:tc>
        <w:tc>
          <w:tcPr>
            <w:tcW w:type="dxa" w:w="30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2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aucun contrat</w:t>
            </w:r>
          </w:p>
        </w:tc>
      </w:tr>
      <w:tr>
        <w:trPr>
          <w:cantSplit/>
          <w:tblHeader w:val="off"/>
        </w:trPr>
        <w:tc>
          <w:tcPr>
            <w:tcW w:type="dxa" w:w="29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Concentration du risque sur un prestataire</w:t>
            </w:r>
          </w:p>
        </w:tc>
        <w:tc>
          <w:tcPr>
            <w:tcW w:type="dxa" w:w="9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0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 est auto-hébergé, sans dépendance à un cloud</w:t>
            </w:r>
          </w:p>
        </w:tc>
        <w:tc>
          <w:tcPr>
            <w:tcW w:type="dxa" w:w="262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par construction, mais au prix de l'hôte unique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2.5 Partage d'informations (art. 45)</w:t>
      </w:r>
    </w:p>
    <w:p>
      <w:pPr>
        <w:spacing w:after="120"/>
      </w:pPr>
      <w:r>
        <w:t xml:space="preserve">Facultatif. Non traité.</w:t>
      </w:r>
    </w:p>
    <w:p>
      <w:pPr>
        <w:pStyle w:val="Heading2"/>
      </w:pPr>
      <w:r>
        <w:t xml:space="preserve">3. Le scénario de la démo est-il un incident majeur ?</w:t>
      </w:r>
    </w:p>
    <w:p>
      <w:pPr>
        <w:spacing w:after="120"/>
      </w:pPr>
      <w:r>
        <w:t xml:space="preserve">DORA classe un incident comme </w:t>
      </w:r>
      <w:r>
        <w:rPr>
          <w:b/>
          <w:bCs/>
        </w:rPr>
        <w:t xml:space="preserve">majeur</w:t>
      </w:r>
      <w:r>
        <w:t xml:space="preserve"> s'il touche un service critique et, en plus, soit entraîne une perte de données après un accès malveillant, soit dépasse les seuils d'au moins deux autres critères (règlement délégué (UE) 2024/1772). Les critères utiles ici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Durée</w:t>
      </w:r>
      <w:r>
        <w:t xml:space="preserve"> : interruption d'un service critique de plus de 2 h (ou incident de plus de 24 h)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Clients touchés</w:t>
      </w:r>
      <w:r>
        <w:t xml:space="preserve"> : plus de 10 % des clients ou des contreparties financières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 économique</w:t>
      </w:r>
      <w:r>
        <w:t xml:space="preserve"> : plus de 100 k€ de coûts et pertes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Perte de données</w:t>
      </w:r>
      <w:r>
        <w:t xml:space="preserve"> : atteinte à la disponibilité, l'intégrité ou la confidentialité des données.</w:t>
      </w:r>
    </w:p>
    <w:p>
      <w:pPr>
        <w:spacing w:after="120"/>
      </w:pPr>
      <w:r>
        <w:t xml:space="preserve">Appliqué au risque R1 (déni de service sur l'API, scénario principal pressenti), en heure de pointe et avec les 200 partenaires touchés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2"/>
        <w:gridCol w:w="930"/>
        <w:gridCol w:w="2404"/>
        <w:gridCol w:w="1581"/>
        <w:gridCol w:w="2901"/>
      </w:tblGrid>
      <w:tr>
        <w:trPr>
          <w:cantSplit/>
          <w:tblHeader/>
        </w:trPr>
        <w:tc>
          <w:tcPr>
            <w:tcW w:type="dxa" w:w="182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 de reprise</w:t>
            </w:r>
          </w:p>
        </w:tc>
        <w:tc>
          <w:tcPr>
            <w:tcW w:type="dxa" w:w="93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Durée</w:t>
            </w:r>
          </w:p>
        </w:tc>
        <w:tc>
          <w:tcPr>
            <w:tcW w:type="dxa" w:w="240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dépassés</w:t>
            </w:r>
          </w:p>
        </w:tc>
        <w:tc>
          <w:tcPr>
            <w:tcW w:type="dxa" w:w="15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Majeur ?</w:t>
            </w:r>
          </w:p>
        </w:tc>
        <w:tc>
          <w:tcPr>
            <w:tcW w:type="dxa" w:w="290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Conséquence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Automatique (cible de la démo)</w:t>
            </w:r>
          </w:p>
        </w:tc>
        <w:tc>
          <w:tcPr>
            <w:tcW w:type="dxa" w:w="93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5 min</w:t>
            </w:r>
          </w:p>
        </w:tc>
        <w:tc>
          <w:tcPr>
            <w:tcW w:type="dxa" w:w="240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Clients touchés</w:t>
            </w:r>
          </w:p>
        </w:tc>
        <w:tc>
          <w:tcPr>
            <w:tcW w:type="dxa" w:w="15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Non</w:t>
            </w:r>
          </w:p>
        </w:tc>
        <w:tc>
          <w:tcPr>
            <w:tcW w:type="dxa" w:w="290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Incident enregistré et classé, pas de notification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Manuelle</w:t>
            </w:r>
          </w:p>
        </w:tc>
        <w:tc>
          <w:tcPr>
            <w:tcW w:type="dxa" w:w="93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min à 2 h</w:t>
            </w:r>
          </w:p>
        </w:tc>
        <w:tc>
          <w:tcPr>
            <w:tcW w:type="dxa" w:w="240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Clients touchés, impact économique (pénalité SLA ~650 k€)</w:t>
            </w:r>
          </w:p>
        </w:tc>
        <w:tc>
          <w:tcPr>
            <w:tcW w:type="dxa" w:w="15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Oui, probablement</w:t>
            </w:r>
          </w:p>
        </w:tc>
        <w:tc>
          <w:tcPr>
            <w:tcW w:type="dxa" w:w="290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 initiale à l'ACPR, puis rapports intermédiaire et final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Manuelle, longue</w:t>
            </w:r>
          </w:p>
        </w:tc>
        <w:tc>
          <w:tcPr>
            <w:tcW w:type="dxa" w:w="93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&gt; 2 h</w:t>
            </w:r>
          </w:p>
        </w:tc>
        <w:tc>
          <w:tcPr>
            <w:tcW w:type="dxa" w:w="240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Clients, durée, impact économique</w:t>
            </w:r>
          </w:p>
        </w:tc>
        <w:tc>
          <w:tcPr>
            <w:tcW w:type="dxa" w:w="15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Oui</w:t>
            </w:r>
          </w:p>
        </w:tc>
        <w:tc>
          <w:tcPr>
            <w:tcW w:type="dxa" w:w="290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Idem, et incident G4 dans EBIOS</w:t>
            </w:r>
          </w:p>
        </w:tc>
      </w:tr>
    </w:tbl>
    <w:p>
      <w:pPr>
        <w:spacing w:after="60"/>
      </w:pPr>
    </w:p>
    <w:p>
      <w:pPr>
        <w:pBdr>
          <w:left w:val="single" w:color="A1A6D4" w:sz="18" w:space="8"/>
        </w:pBdr>
        <w:spacing w:after="120"/>
        <w:ind w:left="360"/>
      </w:pPr>
      <w:r>
        <w:rPr>
          <w:b/>
          <w:bCs/>
          <w:i/>
          <w:iCs/>
          <w:color w:val="4A4470"/>
        </w:rPr>
        <w:t xml:space="preserve">Attention :</w:t>
      </w:r>
      <w:r>
        <w:rPr>
          <w:i/>
          <w:iCs/>
          <w:color w:val="4A4470"/>
        </w:rPr>
        <w:t xml:space="preserve"> le critère économique peut faire basculer l'incident en majeur </w:t>
      </w:r>
      <w:r>
        <w:rPr>
          <w:b/>
          <w:bCs/>
          <w:i/>
          <w:iCs/>
          <w:color w:val="4A4470"/>
        </w:rPr>
        <w:t xml:space="preserve">avant</w:t>
      </w:r>
      <w:r>
        <w:rPr>
          <w:i/>
          <w:iCs/>
          <w:color w:val="4A4470"/>
        </w:rPr>
        <w:t xml:space="preserve"> le seuil de 2 h, dès que la pénalité SLA est déclenchée (43 min d'arrêt cumulé dans le mois). Il faut donc corriger la note de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services-critiques.md</w:t>
      </w:r>
      <w:r>
        <w:rPr>
          <w:i/>
          <w:iCs/>
          <w:color w:val="4A4470"/>
        </w:rPr>
        <w:t xml:space="preserve">, qui ne cite que le seuil de durée.</w:t>
      </w:r>
    </w:p>
    <w:p>
      <w:pPr>
        <w:spacing w:after="120"/>
      </w:pPr>
      <w:r>
        <w:t xml:space="preserve">Pour R2 et R5 (injection, exfiltration), le critère « perte de données après accès malveillant » suffit, avec la criticité du service, à rendre l'incident majeur, </w:t>
      </w:r>
      <w:r>
        <w:rPr>
          <w:b/>
          <w:bCs/>
        </w:rPr>
        <w:t xml:space="preserve">quelle que soit la vitesse de reprise</w:t>
      </w:r>
      <w:r>
        <w:t xml:space="preserve">. Restaurer la disponibilité ne dispense pas de notifier. C'est la distinction que le sujet demande de ne pas manquer (voir WOR‑39).</w:t>
      </w:r>
    </w:p>
    <w:p>
      <w:pPr>
        <w:spacing w:after="120"/>
      </w:pPr>
      <w:r>
        <w:rPr>
          <w:b/>
          <w:bCs/>
        </w:rPr>
        <w:t xml:space="preserve">Argument pour la direction :</w:t>
      </w:r>
      <w:r>
        <w:t xml:space="preserve"> la reprise automatique en moins de 5 minutes n'est pas seulement un gain technique. Elle maintient un déni de service sous les seuils de DORA, ce qui évite la notification réglementaire et la pénalité contractuelle.</w:t>
      </w:r>
    </w:p>
    <w:p>
      <w:pPr>
        <w:pStyle w:val="Heading2"/>
      </w:pPr>
      <w:r>
        <w:t xml:space="preserve">4. Ce que nous ne pouvons pas démontrer, et ce qu'il faudrait en contexte industriel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2564"/>
        <w:gridCol w:w="4684"/>
      </w:tblGrid>
      <w:tr>
        <w:trPr>
          <w:cantSplit/>
          <w:tblHeader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Limite du prototype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Exigence concernée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qu'il faudrait faire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seul PC Hôte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Redondance (art. 12)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Deuxième site ou deuxième zone de disponibilité, bascule testée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Sauvegardes sur le même hôte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Sauvegarde isolée (art. 12)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Copie hors site, immuable, restauration testée chaque trimestre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seul scénario d'attaque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Programme de tests (art. 24)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Programme annuel couvrant tous les risques retenus dans EBIOS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 de testeurs indépendants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TLPT (art. 26)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Campagne TLPT (cadre TIBER-EU) si l'entité est désignée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 de contrats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Prestataires TIC (art. 28 à 30)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d'information, clauses DORA, plans de sortie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 d'organe de direction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Gouvernance (art. 5)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Validation du cadre de risque par la direction, formation annuelle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 de notification réelle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 (art. 19)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Procédure de notification à l'ACPR, astreinte, modèles de rapports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Données fictives</w:t>
            </w:r>
          </w:p>
        </w:tc>
        <w:tc>
          <w:tcPr>
            <w:tcW w:type="dxa" w:w="256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RGPD</w:t>
            </w:r>
          </w:p>
        </w:tc>
        <w:tc>
          <w:tcPr>
            <w:tcW w:type="dxa" w:w="46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Analyse d'impact (AIPD) sur les données réelles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Pistes pour les recommandations (WOR-72)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Garder la reprise automatique comme priorité</w:t>
      </w:r>
      <w:r>
        <w:t xml:space="preserve"> : c'est elle qui maintient les incidents de disponibilité sous les seuils de DORA (section 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Traiter à part les incidents d'intégrité et de confidentialité</w:t>
      </w:r>
      <w:r>
        <w:t xml:space="preserve"> : la remédiation automatique ne doit pas effacer les traces. Les journaux doivent être conservés avant toute restauration, car ils serviront à la notification.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Préparer automatiquement le brouillon de notification</w:t>
      </w:r>
      <w:r>
        <w:t xml:space="preserve"> : le SIEM et l'assistant RAG disposent déjà des horodatages et des impacts. Un humain valide et envoie.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Budgéter en priorité la redondance et les sauvegardes hors site</w:t>
      </w:r>
      <w:r>
        <w:t xml:space="preserve"> : ce sont les deux écarts les plus lourds face à l'art. 12.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Encadrer le moteur de remédiation</w:t>
      </w:r>
      <w:r>
        <w:t xml:space="preserve"> (R3, WOR‑64) : un dispositif de défense aux droits élevés est lui-même un bien critique au sens de l'art. 9.</w:t>
      </w:r>
    </w:p>
    <w:p>
      <w:pPr>
        <w:pStyle w:val="Heading2"/>
      </w:pPr>
      <w:r>
        <w:t xml:space="preserve">À valider avec les coachs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qualification « établissement de paiement, donc DORA, NIS2 en second plan » est-elle la lecture attendue 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 niveau de détail : faut-il citer les articles, ou rester au niveau des cinq piliers de DORA pour le dossier final ?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470"/>
        <w:sz w:val="16"/>
        <w:szCs w:val="16"/>
      </w:rPr>
      <w:t xml:space="preserve">Page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PAGE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  <w:r>
      <w:rPr>
        <w:color w:val="4A4470"/>
        <w:sz w:val="16"/>
        <w:szCs w:val="16"/>
      </w:rPr>
      <w:t xml:space="preserve"> /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NUMPAGES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261E48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261E4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61E4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b/>
      <w:bCs/>
      <w:color w:val="4A447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NIS2 / DORA</dc:title>
  <dc:creator>Groupe 6</dc:creator>
  <cp:lastModifiedBy>Un-named</cp:lastModifiedBy>
  <cp:revision>1</cp:revision>
  <dcterms:created xsi:type="dcterms:W3CDTF">2026-10-19T12:46:12.397Z</dcterms:created>
  <dcterms:modified xsi:type="dcterms:W3CDTF">2026-10-19T12:46:12.397Z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