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Objectifs RTO / RPO</w:t>
      </w:r>
    </w:p>
    <w:p>
      <w:pPr>
        <w:pBdr>
          <w:left w:val="single" w:color="A1A6D4" w:sz="18" w:space="8"/>
        </w:pBdr>
        <w:spacing w:after="120"/>
        <w:ind w:left="360"/>
      </w:pPr>
      <w:r>
        <w:rPr>
          <w:i/>
          <w:iCs/>
          <w:color w:val="4A4470"/>
        </w:rPr>
        <w:t xml:space="preserve">Ticket : WOR‑70 · Responsable : Cédric · Version 0.1 du 19/10/2026</w:t>
      </w:r>
    </w:p>
    <w:p>
      <w:pPr>
        <w:pBdr>
          <w:left w:val="single" w:color="A1A6D4" w:sz="18" w:space="8"/>
        </w:pBdr>
        <w:spacing w:after="120"/>
        <w:ind w:left="360"/>
      </w:pPr>
      <w:r>
        <w:rPr>
          <w:i/>
          <w:iCs/>
          <w:color w:val="4A4470"/>
        </w:rPr>
        <w:t xml:space="preserve">Ce document fixe les objectifs à partir du coût d'un arrêt (</w:t>
      </w:r>
      <w:r>
        <w:rPr>
          <w:rFonts w:ascii="Menlo" w:cs="Menlo" w:eastAsia="Menlo" w:hAnsi="Menlo"/>
          <w:i/>
          <w:iCs/>
          <w:color w:val="4A4470"/>
          <w:sz w:val="19"/>
          <w:szCs w:val="19"/>
        </w:rPr>
        <w:t xml:space="preserve">services-critiques.md</w:t>
      </w:r>
      <w:r>
        <w:rPr>
          <w:i/>
          <w:iCs/>
          <w:color w:val="4A4470"/>
        </w:rPr>
        <w:t xml:space="preserve">) et des seuils de DORA (</w:t>
      </w:r>
      <w:r>
        <w:rPr>
          <w:rFonts w:ascii="Menlo" w:cs="Menlo" w:eastAsia="Menlo" w:hAnsi="Menlo"/>
          <w:i/>
          <w:iCs/>
          <w:color w:val="4A4470"/>
          <w:sz w:val="19"/>
          <w:szCs w:val="19"/>
        </w:rPr>
        <w:t xml:space="preserve">nis2-dora.md</w:t>
      </w:r>
      <w:r>
        <w:rPr>
          <w:i/>
          <w:iCs/>
          <w:color w:val="4A4470"/>
        </w:rPr>
        <w:t xml:space="preserve">). Il définit aussi </w:t>
      </w:r>
      <w:r>
        <w:rPr>
          <w:b/>
          <w:bCs/>
          <w:i/>
          <w:iCs/>
          <w:color w:val="4A4470"/>
        </w:rPr>
        <w:t xml:space="preserve">comment les mesurer</w:t>
      </w:r>
      <w:r>
        <w:rPr>
          <w:i/>
          <w:iCs/>
          <w:color w:val="4A4470"/>
        </w:rPr>
        <w:t xml:space="preserve"> pendant les essais (WOR‑79), pour que la comparaison objectif / mesuré soit vérifiable. Il alimente le PCA/PRA (WOR‑71).</w:t>
      </w:r>
    </w:p>
    <w:p>
      <w:pPr>
        <w:pStyle w:val="Heading2"/>
      </w:pPr>
      <w:r>
        <w:t xml:space="preserve">1. Définitions retenues</w:t>
      </w:r>
    </w:p>
    <w:p>
      <w:pPr>
        <w:pStyle w:val="ListParagraph"/>
        <w:numPr>
          <w:ilvl w:val="0"/>
          <w:numId w:val="2"/>
        </w:numPr>
        <w:spacing w:after="60"/>
      </w:pPr>
      <w:r>
        <w:rPr>
          <w:b/>
          <w:bCs/>
        </w:rPr>
        <w:t xml:space="preserve">RTO</w:t>
      </w:r>
      <w:r>
        <w:t xml:space="preserve"> (durée maximale d'interruption) : temps entre le </w:t>
      </w:r>
      <w:r>
        <w:rPr>
          <w:b/>
          <w:bCs/>
        </w:rPr>
        <w:t xml:space="preserve">début de l'impact</w:t>
      </w:r>
      <w:r>
        <w:t xml:space="preserve"> (première transaction en échec) et la </w:t>
      </w:r>
      <w:r>
        <w:rPr>
          <w:b/>
          <w:bCs/>
        </w:rPr>
        <w:t xml:space="preserve">première transaction réussie et vérifiée</w:t>
      </w:r>
      <w:r>
        <w:t xml:space="preserve"> après la reprise. On compte depuis l'impact, pas depuis la détection : c'est ce que subissent les partenaires, et c'est ce que DORA mesure (« service downtime »).</w:t>
      </w:r>
    </w:p>
    <w:p>
      <w:pPr>
        <w:pStyle w:val="ListParagraph"/>
        <w:numPr>
          <w:ilvl w:val="0"/>
          <w:numId w:val="2"/>
        </w:numPr>
        <w:spacing w:after="60"/>
      </w:pPr>
      <w:r>
        <w:rPr>
          <w:b/>
          <w:bCs/>
        </w:rPr>
        <w:t xml:space="preserve">RPO</w:t>
      </w:r>
      <w:r>
        <w:t xml:space="preserve"> (perte de données maximale admissible) : quantité de </w:t>
      </w:r>
      <w:r>
        <w:rPr>
          <w:b/>
          <w:bCs/>
        </w:rPr>
        <w:t xml:space="preserve">transactions confirmées au client</w:t>
      </w:r>
      <w:r>
        <w:t xml:space="preserve"> qui manquent ou sont dupliquées après la reprise. On l'exprime en nombre de transactions (et en durée équivalente quand une restauration est en jeu).</w:t>
      </w:r>
    </w:p>
    <w:p>
      <w:pPr>
        <w:pStyle w:val="ListParagraph"/>
        <w:numPr>
          <w:ilvl w:val="0"/>
          <w:numId w:val="2"/>
        </w:numPr>
        <w:spacing w:after="60"/>
      </w:pPr>
      <w:r>
        <w:rPr>
          <w:b/>
          <w:bCs/>
        </w:rPr>
        <w:t xml:space="preserve">Reprise vérifiée</w:t>
      </w:r>
      <w:r>
        <w:t xml:space="preserve"> : API accessible, transaction test réussie, données cohérentes (WOR‑77). Un conteneur redémarré ne compte pas.</w:t>
      </w:r>
    </w:p>
    <w:p>
      <w:pPr>
        <w:pStyle w:val="Heading2"/>
      </w:pPr>
      <w:r>
        <w:t xml:space="preserve">2. Deux niveaux d'objectifs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31"/>
        <w:gridCol w:w="3853"/>
        <w:gridCol w:w="3854"/>
      </w:tblGrid>
      <w:tr>
        <w:trPr>
          <w:cantSplit/>
          <w:tblHeader/>
        </w:trPr>
        <w:tc>
          <w:tcPr>
            <w:tcW w:type="dxa" w:w="1931"/>
            <w:tcBorders>
              <w:top w:val="single" w:color="A1A6D4" w:sz="4"/>
              <w:left w:val="single" w:color="A1A6D4" w:sz="4"/>
              <w:bottom w:val="single" w:color="A1A6D4" w:sz="4"/>
              <w:right w:val="single" w:color="A1A6D4" w:sz="4"/>
            </w:tcBorders>
            <w:shd w:fill="E4E6F3" w:color="auto" w:val="clear"/>
            <w:tcMar>
              <w:top w:type="dxa" w:w="60"/>
              <w:left w:type="dxa" w:w="100"/>
              <w:bottom w:type="dxa" w:w="60"/>
              <w:right w:type="dxa" w:w="100"/>
            </w:tcMar>
          </w:tcPr>
          <w:p>
            <w:r>
              <w:rPr>
                <w:b/>
                <w:bCs/>
                <w:sz w:val="18"/>
                <w:szCs w:val="18"/>
              </w:rPr>
              <w:t xml:space="preserve">Niveau</w:t>
            </w:r>
          </w:p>
        </w:tc>
        <w:tc>
          <w:tcPr>
            <w:tcW w:type="dxa" w:w="3853"/>
            <w:tcBorders>
              <w:top w:val="single" w:color="A1A6D4" w:sz="4"/>
              <w:left w:val="single" w:color="A1A6D4" w:sz="4"/>
              <w:bottom w:val="single" w:color="A1A6D4" w:sz="4"/>
              <w:right w:val="single" w:color="A1A6D4" w:sz="4"/>
            </w:tcBorders>
            <w:shd w:fill="E4E6F3" w:color="auto" w:val="clear"/>
            <w:tcMar>
              <w:top w:type="dxa" w:w="60"/>
              <w:left w:type="dxa" w:w="100"/>
              <w:bottom w:type="dxa" w:w="60"/>
              <w:right w:type="dxa" w:w="100"/>
            </w:tcMar>
          </w:tcPr>
          <w:p>
            <w:r>
              <w:rPr>
                <w:b/>
                <w:bCs/>
                <w:sz w:val="18"/>
                <w:szCs w:val="18"/>
              </w:rPr>
              <w:t xml:space="preserve">À quoi il sert</w:t>
            </w:r>
          </w:p>
        </w:tc>
        <w:tc>
          <w:tcPr>
            <w:tcW w:type="dxa" w:w="3854"/>
            <w:tcBorders>
              <w:top w:val="single" w:color="A1A6D4" w:sz="4"/>
              <w:left w:val="single" w:color="A1A6D4" w:sz="4"/>
              <w:bottom w:val="single" w:color="A1A6D4" w:sz="4"/>
              <w:right w:val="single" w:color="A1A6D4" w:sz="4"/>
            </w:tcBorders>
            <w:shd w:fill="E4E6F3" w:color="auto" w:val="clear"/>
            <w:tcMar>
              <w:top w:type="dxa" w:w="60"/>
              <w:left w:type="dxa" w:w="100"/>
              <w:bottom w:type="dxa" w:w="60"/>
              <w:right w:type="dxa" w:w="100"/>
            </w:tcMar>
          </w:tcPr>
          <w:p>
            <w:r>
              <w:rPr>
                <w:b/>
                <w:bCs/>
                <w:sz w:val="18"/>
                <w:szCs w:val="18"/>
              </w:rPr>
              <w:t xml:space="preserve">D'où il vient</w:t>
            </w:r>
          </w:p>
        </w:tc>
      </w:tr>
      <w:tr>
        <w:trPr>
          <w:cantSplit/>
          <w:tblHeader w:val="off"/>
        </w:trPr>
        <w:tc>
          <w:tcPr>
            <w:tcW w:type="dxa" w:w="1931"/>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b/>
                <w:bCs/>
                <w:sz w:val="18"/>
                <w:szCs w:val="18"/>
              </w:rPr>
              <w:t xml:space="preserve">Objectif métier</w:t>
            </w:r>
          </w:p>
        </w:tc>
        <w:tc>
          <w:tcPr>
            <w:tcW w:type="dxa" w:w="3853"/>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Ce que l'entreprise fictive exige ; c'est ce qu'on présente à la direction</w:t>
            </w:r>
          </w:p>
        </w:tc>
        <w:tc>
          <w:tcPr>
            <w:tcW w:type="dxa" w:w="3854"/>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Coût d'un arrêt : au-delà de 5 min, l'incident sort de G1 ; au-delà de 30 min, la pénalité SLA et la notification DORA deviennent probables</w:t>
            </w:r>
          </w:p>
        </w:tc>
      </w:tr>
      <w:tr>
        <w:trPr>
          <w:cantSplit/>
          <w:tblHeader w:val="off"/>
        </w:trPr>
        <w:tc>
          <w:tcPr>
            <w:tcW w:type="dxa" w:w="1931"/>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b/>
                <w:bCs/>
                <w:sz w:val="18"/>
                <w:szCs w:val="18"/>
              </w:rPr>
              <w:t xml:space="preserve">Cible du démonstrateur</w:t>
            </w:r>
          </w:p>
        </w:tc>
        <w:tc>
          <w:tcPr>
            <w:tcW w:type="dxa" w:w="3853"/>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Ce qu'on vise et mesure sur le PC Hôte</w:t>
            </w:r>
          </w:p>
        </w:tc>
        <w:tc>
          <w:tcPr>
            <w:tcW w:type="dxa" w:w="3854"/>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Objectif métier, avec de la marge, et la contrainte du Clip Chrono : 60 s en continu entre l'attaque et le service rétabli (WOR‑83)</w:t>
            </w:r>
          </w:p>
        </w:tc>
      </w:tr>
    </w:tbl>
    <w:p>
      <w:pPr>
        <w:spacing w:after="60"/>
      </w:pPr>
    </w:p>
    <w:p>
      <w:pPr>
        <w:pStyle w:val="Heading2"/>
      </w:pPr>
      <w:r>
        <w:t xml:space="preserve">3. Objectifs par service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67"/>
        <w:gridCol w:w="1287"/>
        <w:gridCol w:w="1092"/>
        <w:gridCol w:w="1704"/>
        <w:gridCol w:w="1760"/>
        <w:gridCol w:w="1828"/>
      </w:tblGrid>
      <w:tr>
        <w:trPr>
          <w:cantSplit/>
          <w:tblHeader/>
        </w:trPr>
        <w:tc>
          <w:tcPr>
            <w:tcW w:type="dxa" w:w="1967"/>
            <w:tcBorders>
              <w:top w:val="single" w:color="A1A6D4" w:sz="4"/>
              <w:left w:val="single" w:color="A1A6D4" w:sz="4"/>
              <w:bottom w:val="single" w:color="A1A6D4" w:sz="4"/>
              <w:right w:val="single" w:color="A1A6D4" w:sz="4"/>
            </w:tcBorders>
            <w:shd w:fill="E4E6F3" w:color="auto" w:val="clear"/>
            <w:tcMar>
              <w:top w:type="dxa" w:w="60"/>
              <w:left w:type="dxa" w:w="100"/>
              <w:bottom w:type="dxa" w:w="60"/>
              <w:right w:type="dxa" w:w="100"/>
            </w:tcMar>
          </w:tcPr>
          <w:p>
            <w:r>
              <w:rPr>
                <w:b/>
                <w:bCs/>
                <w:sz w:val="18"/>
                <w:szCs w:val="18"/>
              </w:rPr>
              <w:t xml:space="preserve">Service</w:t>
            </w:r>
          </w:p>
        </w:tc>
        <w:tc>
          <w:tcPr>
            <w:tcW w:type="dxa" w:w="1287"/>
            <w:tcBorders>
              <w:top w:val="single" w:color="A1A6D4" w:sz="4"/>
              <w:left w:val="single" w:color="A1A6D4" w:sz="4"/>
              <w:bottom w:val="single" w:color="A1A6D4" w:sz="4"/>
              <w:right w:val="single" w:color="A1A6D4" w:sz="4"/>
            </w:tcBorders>
            <w:shd w:fill="E4E6F3" w:color="auto" w:val="clear"/>
            <w:tcMar>
              <w:top w:type="dxa" w:w="60"/>
              <w:left w:type="dxa" w:w="100"/>
              <w:bottom w:type="dxa" w:w="60"/>
              <w:right w:type="dxa" w:w="100"/>
            </w:tcMar>
          </w:tcPr>
          <w:p>
            <w:r>
              <w:rPr>
                <w:b/>
                <w:bCs/>
                <w:sz w:val="18"/>
                <w:szCs w:val="18"/>
              </w:rPr>
              <w:t xml:space="preserve">Criticité</w:t>
            </w:r>
          </w:p>
        </w:tc>
        <w:tc>
          <w:tcPr>
            <w:tcW w:type="dxa" w:w="1092"/>
            <w:tcBorders>
              <w:top w:val="single" w:color="A1A6D4" w:sz="4"/>
              <w:left w:val="single" w:color="A1A6D4" w:sz="4"/>
              <w:bottom w:val="single" w:color="A1A6D4" w:sz="4"/>
              <w:right w:val="single" w:color="A1A6D4" w:sz="4"/>
            </w:tcBorders>
            <w:shd w:fill="E4E6F3" w:color="auto" w:val="clear"/>
            <w:tcMar>
              <w:top w:type="dxa" w:w="60"/>
              <w:left w:type="dxa" w:w="100"/>
              <w:bottom w:type="dxa" w:w="60"/>
              <w:right w:type="dxa" w:w="100"/>
            </w:tcMar>
          </w:tcPr>
          <w:p>
            <w:r>
              <w:rPr>
                <w:b/>
                <w:bCs/>
                <w:sz w:val="18"/>
                <w:szCs w:val="18"/>
              </w:rPr>
              <w:t xml:space="preserve">RTO métier</w:t>
            </w:r>
          </w:p>
        </w:tc>
        <w:tc>
          <w:tcPr>
            <w:tcW w:type="dxa" w:w="1704"/>
            <w:tcBorders>
              <w:top w:val="single" w:color="A1A6D4" w:sz="4"/>
              <w:left w:val="single" w:color="A1A6D4" w:sz="4"/>
              <w:bottom w:val="single" w:color="A1A6D4" w:sz="4"/>
              <w:right w:val="single" w:color="A1A6D4" w:sz="4"/>
            </w:tcBorders>
            <w:shd w:fill="E4E6F3" w:color="auto" w:val="clear"/>
            <w:tcMar>
              <w:top w:type="dxa" w:w="60"/>
              <w:left w:type="dxa" w:w="100"/>
              <w:bottom w:type="dxa" w:w="60"/>
              <w:right w:type="dxa" w:w="100"/>
            </w:tcMar>
          </w:tcPr>
          <w:p>
            <w:r>
              <w:rPr>
                <w:b/>
                <w:bCs/>
                <w:sz w:val="18"/>
                <w:szCs w:val="18"/>
              </w:rPr>
              <w:t xml:space="preserve">RPO métier</w:t>
            </w:r>
          </w:p>
        </w:tc>
        <w:tc>
          <w:tcPr>
            <w:tcW w:type="dxa" w:w="1760"/>
            <w:tcBorders>
              <w:top w:val="single" w:color="A1A6D4" w:sz="4"/>
              <w:left w:val="single" w:color="A1A6D4" w:sz="4"/>
              <w:bottom w:val="single" w:color="A1A6D4" w:sz="4"/>
              <w:right w:val="single" w:color="A1A6D4" w:sz="4"/>
            </w:tcBorders>
            <w:shd w:fill="E4E6F3" w:color="auto" w:val="clear"/>
            <w:tcMar>
              <w:top w:type="dxa" w:w="60"/>
              <w:left w:type="dxa" w:w="100"/>
              <w:bottom w:type="dxa" w:w="60"/>
              <w:right w:type="dxa" w:w="100"/>
            </w:tcMar>
          </w:tcPr>
          <w:p>
            <w:r>
              <w:rPr>
                <w:b/>
                <w:bCs/>
                <w:sz w:val="18"/>
                <w:szCs w:val="18"/>
              </w:rPr>
              <w:t xml:space="preserve">Cible démonstrateur</w:t>
            </w:r>
          </w:p>
        </w:tc>
        <w:tc>
          <w:tcPr>
            <w:tcW w:type="dxa" w:w="1828"/>
            <w:tcBorders>
              <w:top w:val="single" w:color="A1A6D4" w:sz="4"/>
              <w:left w:val="single" w:color="A1A6D4" w:sz="4"/>
              <w:bottom w:val="single" w:color="A1A6D4" w:sz="4"/>
              <w:right w:val="single" w:color="A1A6D4" w:sz="4"/>
            </w:tcBorders>
            <w:shd w:fill="E4E6F3" w:color="auto" w:val="clear"/>
            <w:tcMar>
              <w:top w:type="dxa" w:w="60"/>
              <w:left w:type="dxa" w:w="100"/>
              <w:bottom w:type="dxa" w:w="60"/>
              <w:right w:type="dxa" w:w="100"/>
            </w:tcMar>
          </w:tcPr>
          <w:p>
            <w:r>
              <w:rPr>
                <w:b/>
                <w:bCs/>
                <w:sz w:val="18"/>
                <w:szCs w:val="18"/>
              </w:rPr>
              <w:t xml:space="preserve">Mécanisme prévu</w:t>
            </w:r>
          </w:p>
        </w:tc>
      </w:tr>
      <w:tr>
        <w:trPr>
          <w:cantSplit/>
          <w:tblHeader w:val="off"/>
        </w:trPr>
        <w:tc>
          <w:tcPr>
            <w:tcW w:type="dxa" w:w="1967"/>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Traitement des transactions (API + BDD)</w:t>
            </w:r>
          </w:p>
        </w:tc>
        <w:tc>
          <w:tcPr>
            <w:tcW w:type="dxa" w:w="1287"/>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Vitale</w:t>
            </w:r>
          </w:p>
        </w:tc>
        <w:tc>
          <w:tcPr>
            <w:tcW w:type="dxa" w:w="1092"/>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b/>
                <w:bCs/>
                <w:sz w:val="18"/>
                <w:szCs w:val="18"/>
              </w:rPr>
              <w:t xml:space="preserve">≤ 5 min</w:t>
            </w:r>
          </w:p>
        </w:tc>
        <w:tc>
          <w:tcPr>
            <w:tcW w:type="dxa" w:w="1704"/>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b/>
                <w:bCs/>
                <w:sz w:val="18"/>
                <w:szCs w:val="18"/>
              </w:rPr>
              <w:t xml:space="preserve">0</w:t>
            </w:r>
            <w:r>
              <w:rPr>
                <w:sz w:val="18"/>
                <w:szCs w:val="18"/>
              </w:rPr>
              <w:t xml:space="preserve"> transaction confirmée perdue ou dupliquée</w:t>
            </w:r>
          </w:p>
        </w:tc>
        <w:tc>
          <w:tcPr>
            <w:tcW w:type="dxa" w:w="1760"/>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RTO ≤ 60 s (attaque A) · ≤ 3 min (attaque B)</w:t>
            </w:r>
          </w:p>
        </w:tc>
        <w:tc>
          <w:tcPr>
            <w:tcW w:type="dxa" w:w="1828"/>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Remédiation automatique (WOR‑38), playbooks Ansible (WOR‑44)</w:t>
            </w:r>
          </w:p>
        </w:tc>
      </w:tr>
      <w:tr>
        <w:trPr>
          <w:cantSplit/>
          <w:tblHeader w:val="off"/>
        </w:trPr>
        <w:tc>
          <w:tcPr>
            <w:tcW w:type="dxa" w:w="1967"/>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Authentification</w:t>
            </w:r>
          </w:p>
        </w:tc>
        <w:tc>
          <w:tcPr>
            <w:tcW w:type="dxa" w:w="1287"/>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Vitale</w:t>
            </w:r>
          </w:p>
        </w:tc>
        <w:tc>
          <w:tcPr>
            <w:tcW w:type="dxa" w:w="1092"/>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 5 min</w:t>
            </w:r>
          </w:p>
        </w:tc>
        <w:tc>
          <w:tcPr>
            <w:tcW w:type="dxa" w:w="1704"/>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Sans objet (sans état)</w:t>
            </w:r>
          </w:p>
        </w:tc>
        <w:tc>
          <w:tcPr>
            <w:tcW w:type="dxa" w:w="1760"/>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Retour en même temps que l'API</w:t>
            </w:r>
          </w:p>
        </w:tc>
        <w:tc>
          <w:tcPr>
            <w:tcW w:type="dxa" w:w="1828"/>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Redémarrage ; après une rotation de secret, reconnexion des utilisateurs acceptée</w:t>
            </w:r>
          </w:p>
        </w:tc>
      </w:tr>
      <w:tr>
        <w:trPr>
          <w:cantSplit/>
          <w:tblHeader w:val="off"/>
        </w:trPr>
        <w:tc>
          <w:tcPr>
            <w:tcW w:type="dxa" w:w="1967"/>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WAF / point d'entrée</w:t>
            </w:r>
          </w:p>
        </w:tc>
        <w:tc>
          <w:tcPr>
            <w:tcW w:type="dxa" w:w="1287"/>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Vitale</w:t>
            </w:r>
          </w:p>
        </w:tc>
        <w:tc>
          <w:tcPr>
            <w:tcW w:type="dxa" w:w="1092"/>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 5 min</w:t>
            </w:r>
          </w:p>
        </w:tc>
        <w:tc>
          <w:tcPr>
            <w:tcW w:type="dxa" w:w="1704"/>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Sans objet ; la configuration est versionnée</w:t>
            </w:r>
          </w:p>
        </w:tc>
        <w:tc>
          <w:tcPr>
            <w:tcW w:type="dxa" w:w="1760"/>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Pas de coupure : la règle de limitation s'ajoute à chaud</w:t>
            </w:r>
          </w:p>
        </w:tc>
        <w:tc>
          <w:tcPr>
            <w:tcW w:type="dxa" w:w="1828"/>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Configuration rechargée sans arrêt</w:t>
            </w:r>
          </w:p>
        </w:tc>
      </w:tr>
      <w:tr>
        <w:trPr>
          <w:cantSplit/>
          <w:tblHeader w:val="off"/>
        </w:trPr>
        <w:tc>
          <w:tcPr>
            <w:tcW w:type="dxa" w:w="1967"/>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Journalisation et SIEM</w:t>
            </w:r>
          </w:p>
        </w:tc>
        <w:tc>
          <w:tcPr>
            <w:tcW w:type="dxa" w:w="1287"/>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Importante</w:t>
            </w:r>
          </w:p>
        </w:tc>
        <w:tc>
          <w:tcPr>
            <w:tcW w:type="dxa" w:w="1092"/>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 1 h</w:t>
            </w:r>
          </w:p>
        </w:tc>
        <w:tc>
          <w:tcPr>
            <w:tcW w:type="dxa" w:w="1704"/>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b/>
                <w:bCs/>
                <w:sz w:val="18"/>
                <w:szCs w:val="18"/>
              </w:rPr>
              <w:t xml:space="preserve">0</w:t>
            </w:r>
            <w:r>
              <w:rPr>
                <w:sz w:val="18"/>
                <w:szCs w:val="18"/>
              </w:rPr>
              <w:t xml:space="preserve"> journal perdu</w:t>
            </w:r>
          </w:p>
        </w:tc>
        <w:tc>
          <w:tcPr>
            <w:tcW w:type="dxa" w:w="1760"/>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Aucune perte pendant les essais</w:t>
            </w:r>
          </w:p>
        </w:tc>
        <w:tc>
          <w:tcPr>
            <w:tcW w:type="dxa" w:w="1828"/>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Journaux conservés </w:t>
            </w:r>
            <w:r>
              <w:rPr>
                <w:b/>
                <w:bCs/>
                <w:sz w:val="18"/>
                <w:szCs w:val="18"/>
              </w:rPr>
              <w:t xml:space="preserve">avant</w:t>
            </w:r>
            <w:r>
              <w:rPr>
                <w:sz w:val="18"/>
                <w:szCs w:val="18"/>
              </w:rPr>
              <w:t xml:space="preserve"> toute restauration</w:t>
            </w:r>
          </w:p>
        </w:tc>
      </w:tr>
      <w:tr>
        <w:trPr>
          <w:cantSplit/>
          <w:tblHeader w:val="off"/>
        </w:trPr>
        <w:tc>
          <w:tcPr>
            <w:tcW w:type="dxa" w:w="1967"/>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Consultation de l'historique</w:t>
            </w:r>
          </w:p>
        </w:tc>
        <w:tc>
          <w:tcPr>
            <w:tcW w:type="dxa" w:w="1287"/>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Importante</w:t>
            </w:r>
          </w:p>
        </w:tc>
        <w:tc>
          <w:tcPr>
            <w:tcW w:type="dxa" w:w="1092"/>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 30 min</w:t>
            </w:r>
          </w:p>
        </w:tc>
        <w:tc>
          <w:tcPr>
            <w:tcW w:type="dxa" w:w="1704"/>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0</w:t>
            </w:r>
          </w:p>
        </w:tc>
        <w:tc>
          <w:tcPr>
            <w:tcW w:type="dxa" w:w="1760"/>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Retour en même temps que l'API</w:t>
            </w:r>
          </w:p>
        </w:tc>
        <w:tc>
          <w:tcPr>
            <w:tcW w:type="dxa" w:w="1828"/>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Même service que l'API</w:t>
            </w:r>
          </w:p>
        </w:tc>
      </w:tr>
      <w:tr>
        <w:trPr>
          <w:cantSplit/>
          <w:tblHeader w:val="off"/>
        </w:trPr>
        <w:tc>
          <w:tcPr>
            <w:tcW w:type="dxa" w:w="1967"/>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Supervision, détection ML, remédiation</w:t>
            </w:r>
          </w:p>
        </w:tc>
        <w:tc>
          <w:tcPr>
            <w:tcW w:type="dxa" w:w="1287"/>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Support critique</w:t>
            </w:r>
          </w:p>
        </w:tc>
        <w:tc>
          <w:tcPr>
            <w:tcW w:type="dxa" w:w="1092"/>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 15 min</w:t>
            </w:r>
          </w:p>
        </w:tc>
        <w:tc>
          <w:tcPr>
            <w:tcW w:type="dxa" w:w="1704"/>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Sans objet ; le modèle est versionné</w:t>
            </w:r>
          </w:p>
        </w:tc>
        <w:tc>
          <w:tcPr>
            <w:tcW w:type="dxa" w:w="1760"/>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Hors périmètre de l'attaque</w:t>
            </w:r>
          </w:p>
        </w:tc>
        <w:tc>
          <w:tcPr>
            <w:tcW w:type="dxa" w:w="1828"/>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Relance par Docker Compose</w:t>
            </w:r>
          </w:p>
        </w:tc>
      </w:tr>
      <w:tr>
        <w:trPr>
          <w:cantSplit/>
          <w:tblHeader w:val="off"/>
        </w:trPr>
        <w:tc>
          <w:tcPr>
            <w:tcW w:type="dxa" w:w="1967"/>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Assistant RAG</w:t>
            </w:r>
          </w:p>
        </w:tc>
        <w:tc>
          <w:tcPr>
            <w:tcW w:type="dxa" w:w="1287"/>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Non critique</w:t>
            </w:r>
          </w:p>
        </w:tc>
        <w:tc>
          <w:tcPr>
            <w:tcW w:type="dxa" w:w="1092"/>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Meilleur effort</w:t>
            </w:r>
          </w:p>
        </w:tc>
        <w:tc>
          <w:tcPr>
            <w:tcW w:type="dxa" w:w="1704"/>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Sans objet ; l'index peut être reconstruit</w:t>
            </w:r>
          </w:p>
        </w:tc>
        <w:tc>
          <w:tcPr>
            <w:tcW w:type="dxa" w:w="1760"/>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w:t>
            </w:r>
          </w:p>
        </w:tc>
        <w:tc>
          <w:tcPr>
            <w:tcW w:type="dxa" w:w="1828"/>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Réindexation</w:t>
            </w:r>
          </w:p>
        </w:tc>
      </w:tr>
    </w:tbl>
    <w:p>
      <w:pPr>
        <w:spacing w:after="60"/>
      </w:pPr>
    </w:p>
    <w:p>
      <w:pPr>
        <w:pStyle w:val="Heading2"/>
      </w:pPr>
      <w:r>
        <w:t xml:space="preserve">4. Répartition du RTO sur la chaîne de reprise</w:t>
      </w:r>
    </w:p>
    <w:p>
      <w:pPr>
        <w:spacing w:after="120"/>
      </w:pPr>
      <w:r>
        <w:t xml:space="preserve">Le RTO se décompose en étapes. Chaque pilier tient une partie du budget. Les durées sont des </w:t>
      </w:r>
      <w:r>
        <w:rPr>
          <w:b/>
          <w:bCs/>
        </w:rPr>
        <w:t xml:space="preserve">hypothèses à confirmer</w:t>
      </w:r>
      <w:r>
        <w:t xml:space="preserve"> avec Reza (collecte), Léa (détection) et Michael (remédiation).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4"/>
        <w:gridCol w:w="1199"/>
        <w:gridCol w:w="2248"/>
        <w:gridCol w:w="1877"/>
        <w:gridCol w:w="2150"/>
      </w:tblGrid>
      <w:tr>
        <w:trPr>
          <w:cantSplit/>
          <w:tblHeader/>
        </w:trPr>
        <w:tc>
          <w:tcPr>
            <w:tcW w:type="dxa" w:w="2164"/>
            <w:tcBorders>
              <w:top w:val="single" w:color="A1A6D4" w:sz="4"/>
              <w:left w:val="single" w:color="A1A6D4" w:sz="4"/>
              <w:bottom w:val="single" w:color="A1A6D4" w:sz="4"/>
              <w:right w:val="single" w:color="A1A6D4" w:sz="4"/>
            </w:tcBorders>
            <w:shd w:fill="E4E6F3" w:color="auto" w:val="clear"/>
            <w:tcMar>
              <w:top w:type="dxa" w:w="60"/>
              <w:left w:type="dxa" w:w="100"/>
              <w:bottom w:type="dxa" w:w="60"/>
              <w:right w:type="dxa" w:w="100"/>
            </w:tcMar>
          </w:tcPr>
          <w:p>
            <w:r>
              <w:rPr>
                <w:b/>
                <w:bCs/>
                <w:sz w:val="18"/>
                <w:szCs w:val="18"/>
              </w:rPr>
              <w:t xml:space="preserve">Étape</w:t>
            </w:r>
          </w:p>
        </w:tc>
        <w:tc>
          <w:tcPr>
            <w:tcW w:type="dxa" w:w="1199"/>
            <w:tcBorders>
              <w:top w:val="single" w:color="A1A6D4" w:sz="4"/>
              <w:left w:val="single" w:color="A1A6D4" w:sz="4"/>
              <w:bottom w:val="single" w:color="A1A6D4" w:sz="4"/>
              <w:right w:val="single" w:color="A1A6D4" w:sz="4"/>
            </w:tcBorders>
            <w:shd w:fill="E4E6F3" w:color="auto" w:val="clear"/>
            <w:tcMar>
              <w:top w:type="dxa" w:w="60"/>
              <w:left w:type="dxa" w:w="100"/>
              <w:bottom w:type="dxa" w:w="60"/>
              <w:right w:type="dxa" w:w="100"/>
            </w:tcMar>
          </w:tcPr>
          <w:p>
            <w:r>
              <w:rPr>
                <w:b/>
                <w:bCs/>
                <w:sz w:val="18"/>
                <w:szCs w:val="18"/>
              </w:rPr>
              <w:t xml:space="preserve">Marqueur de temps</w:t>
            </w:r>
          </w:p>
        </w:tc>
        <w:tc>
          <w:tcPr>
            <w:tcW w:type="dxa" w:w="2248"/>
            <w:tcBorders>
              <w:top w:val="single" w:color="A1A6D4" w:sz="4"/>
              <w:left w:val="single" w:color="A1A6D4" w:sz="4"/>
              <w:bottom w:val="single" w:color="A1A6D4" w:sz="4"/>
              <w:right w:val="single" w:color="A1A6D4" w:sz="4"/>
            </w:tcBorders>
            <w:shd w:fill="E4E6F3" w:color="auto" w:val="clear"/>
            <w:tcMar>
              <w:top w:type="dxa" w:w="60"/>
              <w:left w:type="dxa" w:w="100"/>
              <w:bottom w:type="dxa" w:w="60"/>
              <w:right w:type="dxa" w:w="100"/>
            </w:tcMar>
          </w:tcPr>
          <w:p>
            <w:r>
              <w:rPr>
                <w:b/>
                <w:bCs/>
                <w:sz w:val="18"/>
                <w:szCs w:val="18"/>
              </w:rPr>
              <w:t xml:space="preserve">Responsable</w:t>
            </w:r>
          </w:p>
        </w:tc>
        <w:tc>
          <w:tcPr>
            <w:tcW w:type="dxa" w:w="1877"/>
            <w:tcBorders>
              <w:top w:val="single" w:color="A1A6D4" w:sz="4"/>
              <w:left w:val="single" w:color="A1A6D4" w:sz="4"/>
              <w:bottom w:val="single" w:color="A1A6D4" w:sz="4"/>
              <w:right w:val="single" w:color="A1A6D4" w:sz="4"/>
            </w:tcBorders>
            <w:shd w:fill="E4E6F3" w:color="auto" w:val="clear"/>
            <w:tcMar>
              <w:top w:type="dxa" w:w="60"/>
              <w:left w:type="dxa" w:w="100"/>
              <w:bottom w:type="dxa" w:w="60"/>
              <w:right w:type="dxa" w:w="100"/>
            </w:tcMar>
          </w:tcPr>
          <w:p>
            <w:r>
              <w:rPr>
                <w:b/>
                <w:bCs/>
                <w:sz w:val="18"/>
                <w:szCs w:val="18"/>
              </w:rPr>
              <w:t xml:space="preserve">Budget attaque A</w:t>
            </w:r>
          </w:p>
        </w:tc>
        <w:tc>
          <w:tcPr>
            <w:tcW w:type="dxa" w:w="2150"/>
            <w:tcBorders>
              <w:top w:val="single" w:color="A1A6D4" w:sz="4"/>
              <w:left w:val="single" w:color="A1A6D4" w:sz="4"/>
              <w:bottom w:val="single" w:color="A1A6D4" w:sz="4"/>
              <w:right w:val="single" w:color="A1A6D4" w:sz="4"/>
            </w:tcBorders>
            <w:shd w:fill="E4E6F3" w:color="auto" w:val="clear"/>
            <w:tcMar>
              <w:top w:type="dxa" w:w="60"/>
              <w:left w:type="dxa" w:w="100"/>
              <w:bottom w:type="dxa" w:w="60"/>
              <w:right w:type="dxa" w:w="100"/>
            </w:tcMar>
          </w:tcPr>
          <w:p>
            <w:r>
              <w:rPr>
                <w:b/>
                <w:bCs/>
                <w:sz w:val="18"/>
                <w:szCs w:val="18"/>
              </w:rPr>
              <w:t xml:space="preserve">Budget attaque B</w:t>
            </w:r>
          </w:p>
        </w:tc>
      </w:tr>
      <w:tr>
        <w:trPr>
          <w:cantSplit/>
          <w:tblHeader w:val="off"/>
        </w:trPr>
        <w:tc>
          <w:tcPr>
            <w:tcW w:type="dxa" w:w="2164"/>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Début de l'impact → anomalie visible dans les métriques</w:t>
            </w:r>
          </w:p>
        </w:tc>
        <w:tc>
          <w:tcPr>
            <w:tcW w:type="dxa" w:w="1199"/>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T1 → T2</w:t>
            </w:r>
          </w:p>
        </w:tc>
        <w:tc>
          <w:tcPr>
            <w:tcW w:type="dxa" w:w="2248"/>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Infrastructure (fréquence de collecte de Prometheus)</w:t>
            </w:r>
          </w:p>
        </w:tc>
        <w:tc>
          <w:tcPr>
            <w:tcW w:type="dxa" w:w="1877"/>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 15 s</w:t>
            </w:r>
          </w:p>
        </w:tc>
        <w:tc>
          <w:tcPr>
            <w:tcW w:type="dxa" w:w="2150"/>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 15 s</w:t>
            </w:r>
          </w:p>
        </w:tc>
      </w:tr>
      <w:tr>
        <w:trPr>
          <w:cantSplit/>
          <w:tblHeader w:val="off"/>
        </w:trPr>
        <w:tc>
          <w:tcPr>
            <w:tcW w:type="dxa" w:w="2164"/>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Anomalie visible → alerte ML</w:t>
            </w:r>
          </w:p>
        </w:tc>
        <w:tc>
          <w:tcPr>
            <w:tcW w:type="dxa" w:w="1199"/>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T2 → T3</w:t>
            </w:r>
          </w:p>
        </w:tc>
        <w:tc>
          <w:tcPr>
            <w:tcW w:type="dxa" w:w="2248"/>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IA / Data (fenêtre d'analyse du modèle)</w:t>
            </w:r>
          </w:p>
        </w:tc>
        <w:tc>
          <w:tcPr>
            <w:tcW w:type="dxa" w:w="1877"/>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 15 s</w:t>
            </w:r>
          </w:p>
        </w:tc>
        <w:tc>
          <w:tcPr>
            <w:tcW w:type="dxa" w:w="2150"/>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 15 s</w:t>
            </w:r>
          </w:p>
        </w:tc>
      </w:tr>
      <w:tr>
        <w:trPr>
          <w:cantSplit/>
          <w:tblHeader w:val="off"/>
        </w:trPr>
        <w:tc>
          <w:tcPr>
            <w:tcW w:type="dxa" w:w="2164"/>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Alerte → décision de remédiation</w:t>
            </w:r>
          </w:p>
        </w:tc>
        <w:tc>
          <w:tcPr>
            <w:tcW w:type="dxa" w:w="1199"/>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T3 → T4</w:t>
            </w:r>
          </w:p>
        </w:tc>
        <w:tc>
          <w:tcPr>
            <w:tcW w:type="dxa" w:w="2248"/>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Développement</w:t>
            </w:r>
          </w:p>
        </w:tc>
        <w:tc>
          <w:tcPr>
            <w:tcW w:type="dxa" w:w="1877"/>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 5 s</w:t>
            </w:r>
          </w:p>
        </w:tc>
        <w:tc>
          <w:tcPr>
            <w:tcW w:type="dxa" w:w="2150"/>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 5 s</w:t>
            </w:r>
          </w:p>
        </w:tc>
      </w:tr>
      <w:tr>
        <w:trPr>
          <w:cantSplit/>
          <w:tblHeader w:val="off"/>
        </w:trPr>
        <w:tc>
          <w:tcPr>
            <w:tcW w:type="dxa" w:w="2164"/>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Décision → action terminée</w:t>
            </w:r>
          </w:p>
        </w:tc>
        <w:tc>
          <w:tcPr>
            <w:tcW w:type="dxa" w:w="1199"/>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T4 → T5</w:t>
            </w:r>
          </w:p>
        </w:tc>
        <w:tc>
          <w:tcPr>
            <w:tcW w:type="dxa" w:w="2248"/>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Infrastructure / Développement</w:t>
            </w:r>
          </w:p>
        </w:tc>
        <w:tc>
          <w:tcPr>
            <w:tcW w:type="dxa" w:w="1877"/>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 15 s (limitation au WAF, redémarrage)</w:t>
            </w:r>
          </w:p>
        </w:tc>
        <w:tc>
          <w:tcPr>
            <w:tcW w:type="dxa" w:w="2150"/>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 2 min (blocage, restauration, rotation du secret)</w:t>
            </w:r>
          </w:p>
        </w:tc>
      </w:tr>
      <w:tr>
        <w:trPr>
          <w:cantSplit/>
          <w:tblHeader w:val="off"/>
        </w:trPr>
        <w:tc>
          <w:tcPr>
            <w:tcW w:type="dxa" w:w="2164"/>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Action terminée → transaction test réussie et données vérifiées</w:t>
            </w:r>
          </w:p>
        </w:tc>
        <w:tc>
          <w:tcPr>
            <w:tcW w:type="dxa" w:w="1199"/>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T5 → T6</w:t>
            </w:r>
          </w:p>
        </w:tc>
        <w:tc>
          <w:tcPr>
            <w:tcW w:type="dxa" w:w="2248"/>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Développement</w:t>
            </w:r>
          </w:p>
        </w:tc>
        <w:tc>
          <w:tcPr>
            <w:tcW w:type="dxa" w:w="1877"/>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 10 s</w:t>
            </w:r>
          </w:p>
        </w:tc>
        <w:tc>
          <w:tcPr>
            <w:tcW w:type="dxa" w:w="2150"/>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 20 s</w:t>
            </w:r>
          </w:p>
        </w:tc>
      </w:tr>
      <w:tr>
        <w:trPr>
          <w:cantSplit/>
          <w:tblHeader w:val="off"/>
        </w:trPr>
        <w:tc>
          <w:tcPr>
            <w:tcW w:type="dxa" w:w="2164"/>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b/>
                <w:bCs/>
                <w:sz w:val="18"/>
                <w:szCs w:val="18"/>
              </w:rPr>
              <w:t xml:space="preserve">Total (RTO mesuré = T6 − T1)</w:t>
            </w:r>
          </w:p>
        </w:tc>
        <w:tc>
          <w:tcPr>
            <w:tcW w:type="dxa" w:w="1199"/>
            <w:tcBorders>
              <w:top w:val="single" w:color="A1A6D4" w:sz="4"/>
              <w:left w:val="single" w:color="A1A6D4" w:sz="4"/>
              <w:bottom w:val="single" w:color="A1A6D4" w:sz="4"/>
              <w:right w:val="single" w:color="A1A6D4" w:sz="4"/>
            </w:tcBorders>
            <w:tcMar>
              <w:top w:type="dxa" w:w="60"/>
              <w:left w:type="dxa" w:w="100"/>
              <w:bottom w:type="dxa" w:w="60"/>
              <w:right w:type="dxa" w:w="100"/>
            </w:tcMar>
          </w:tcPr>
          <w:p/>
        </w:tc>
        <w:tc>
          <w:tcPr>
            <w:tcW w:type="dxa" w:w="2248"/>
            <w:tcBorders>
              <w:top w:val="single" w:color="A1A6D4" w:sz="4"/>
              <w:left w:val="single" w:color="A1A6D4" w:sz="4"/>
              <w:bottom w:val="single" w:color="A1A6D4" w:sz="4"/>
              <w:right w:val="single" w:color="A1A6D4" w:sz="4"/>
            </w:tcBorders>
            <w:tcMar>
              <w:top w:type="dxa" w:w="60"/>
              <w:left w:type="dxa" w:w="100"/>
              <w:bottom w:type="dxa" w:w="60"/>
              <w:right w:type="dxa" w:w="100"/>
            </w:tcMar>
          </w:tcPr>
          <w:p/>
        </w:tc>
        <w:tc>
          <w:tcPr>
            <w:tcW w:type="dxa" w:w="1877"/>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b/>
                <w:bCs/>
                <w:sz w:val="18"/>
                <w:szCs w:val="18"/>
              </w:rPr>
              <w:t xml:space="preserve">≤ 60 s</w:t>
            </w:r>
          </w:p>
        </w:tc>
        <w:tc>
          <w:tcPr>
            <w:tcW w:type="dxa" w:w="2150"/>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b/>
                <w:bCs/>
                <w:sz w:val="18"/>
                <w:szCs w:val="18"/>
              </w:rPr>
              <w:t xml:space="preserve">≤ 3 min</w:t>
            </w:r>
          </w:p>
        </w:tc>
      </w:tr>
    </w:tbl>
    <w:p>
      <w:pPr>
        <w:spacing w:after="60"/>
      </w:pPr>
    </w:p>
    <w:p>
      <w:pPr>
        <w:spacing w:after="120"/>
      </w:pPr>
      <w:r>
        <w:t xml:space="preserve">T0 désigne le lancement de l'attaque sur le PC Attaquant. L'écart T0 → T1 dépend de l'attaque et ne compte pas dans le RTO.</w:t>
      </w:r>
    </w:p>
    <w:p>
      <w:pPr>
        <w:pBdr>
          <w:left w:val="single" w:color="A1A6D4" w:sz="18" w:space="8"/>
        </w:pBdr>
        <w:spacing w:after="120"/>
        <w:ind w:left="360"/>
      </w:pPr>
      <w:r>
        <w:rPr>
          <w:b/>
          <w:bCs/>
          <w:i/>
          <w:iCs/>
          <w:color w:val="4A4470"/>
        </w:rPr>
        <w:t xml:space="preserve">Point de vigilance pour le Clip Chrono :</w:t>
      </w:r>
      <w:r>
        <w:rPr>
          <w:i/>
          <w:iCs/>
          <w:color w:val="4A4470"/>
        </w:rPr>
        <w:t xml:space="preserve"> 60 s, c'est T0 → T6 </w:t>
      </w:r>
      <w:r>
        <w:rPr>
          <w:b/>
          <w:bCs/>
          <w:i/>
          <w:iCs/>
          <w:color w:val="4A4470"/>
        </w:rPr>
        <w:t xml:space="preserve">et</w:t>
      </w:r>
      <w:r>
        <w:rPr>
          <w:i/>
          <w:iCs/>
          <w:color w:val="4A4470"/>
        </w:rPr>
        <w:t xml:space="preserve"> l'affichage du résultat. Avec la fréquence de collecte par défaut de Prometheus (15 s) et une fenêtre ML d'une minute, le budget ne tient pas. Il faut une collecte toutes les 5 s environ et une fenêtre d'analyse courte. </w:t>
      </w:r>
      <w:r>
        <w:rPr>
          <w:b/>
          <w:bCs/>
          <w:i/>
          <w:iCs/>
          <w:color w:val="4A4470"/>
        </w:rPr>
        <w:t xml:space="preserve">À arbitrer avec Reza et Léa.</w:t>
      </w:r>
    </w:p>
    <w:p>
      <w:pPr>
        <w:pStyle w:val="Heading2"/>
      </w:pPr>
      <w:r>
        <w:t xml:space="preserve">5. Arbitrage à trancher : la restauration après une injection (attaque B)</w:t>
      </w:r>
    </w:p>
    <w:p>
      <w:pPr>
        <w:spacing w:after="120"/>
      </w:pPr>
      <w:r>
        <w:t xml:space="preserve">WOR‑29 prévoit un </w:t>
      </w:r>
      <w:r>
        <w:rPr>
          <w:b/>
          <w:bCs/>
        </w:rPr>
        <w:t xml:space="preserve">retour à un snapshot propre de la base</w:t>
      </w:r>
      <w:r>
        <w:t xml:space="preserve">. C'est incompatible avec un RPO de 0 : toutes les transactions légitimes validées entre le snapshot et la restauration seraient perdues.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80"/>
        <w:gridCol w:w="2780"/>
        <w:gridCol w:w="1064"/>
        <w:gridCol w:w="3014"/>
      </w:tblGrid>
      <w:tr>
        <w:trPr>
          <w:cantSplit/>
          <w:tblHeader/>
        </w:trPr>
        <w:tc>
          <w:tcPr>
            <w:tcW w:type="dxa" w:w="2780"/>
            <w:tcBorders>
              <w:top w:val="single" w:color="A1A6D4" w:sz="4"/>
              <w:left w:val="single" w:color="A1A6D4" w:sz="4"/>
              <w:bottom w:val="single" w:color="A1A6D4" w:sz="4"/>
              <w:right w:val="single" w:color="A1A6D4" w:sz="4"/>
            </w:tcBorders>
            <w:shd w:fill="E4E6F3" w:color="auto" w:val="clear"/>
            <w:tcMar>
              <w:top w:type="dxa" w:w="60"/>
              <w:left w:type="dxa" w:w="100"/>
              <w:bottom w:type="dxa" w:w="60"/>
              <w:right w:type="dxa" w:w="100"/>
            </w:tcMar>
          </w:tcPr>
          <w:p>
            <w:r>
              <w:rPr>
                <w:b/>
                <w:bCs/>
                <w:sz w:val="18"/>
                <w:szCs w:val="18"/>
              </w:rPr>
              <w:t xml:space="preserve">Option</w:t>
            </w:r>
          </w:p>
        </w:tc>
        <w:tc>
          <w:tcPr>
            <w:tcW w:type="dxa" w:w="2780"/>
            <w:tcBorders>
              <w:top w:val="single" w:color="A1A6D4" w:sz="4"/>
              <w:left w:val="single" w:color="A1A6D4" w:sz="4"/>
              <w:bottom w:val="single" w:color="A1A6D4" w:sz="4"/>
              <w:right w:val="single" w:color="A1A6D4" w:sz="4"/>
            </w:tcBorders>
            <w:shd w:fill="E4E6F3" w:color="auto" w:val="clear"/>
            <w:tcMar>
              <w:top w:type="dxa" w:w="60"/>
              <w:left w:type="dxa" w:w="100"/>
              <w:bottom w:type="dxa" w:w="60"/>
              <w:right w:type="dxa" w:w="100"/>
            </w:tcMar>
          </w:tcPr>
          <w:p>
            <w:r>
              <w:rPr>
                <w:b/>
                <w:bCs/>
                <w:sz w:val="18"/>
                <w:szCs w:val="18"/>
              </w:rPr>
              <w:t xml:space="preserve">RPO obtenu</w:t>
            </w:r>
          </w:p>
        </w:tc>
        <w:tc>
          <w:tcPr>
            <w:tcW w:type="dxa" w:w="1064"/>
            <w:tcBorders>
              <w:top w:val="single" w:color="A1A6D4" w:sz="4"/>
              <w:left w:val="single" w:color="A1A6D4" w:sz="4"/>
              <w:bottom w:val="single" w:color="A1A6D4" w:sz="4"/>
              <w:right w:val="single" w:color="A1A6D4" w:sz="4"/>
            </w:tcBorders>
            <w:shd w:fill="E4E6F3" w:color="auto" w:val="clear"/>
            <w:tcMar>
              <w:top w:type="dxa" w:w="60"/>
              <w:left w:type="dxa" w:w="100"/>
              <w:bottom w:type="dxa" w:w="60"/>
              <w:right w:type="dxa" w:w="100"/>
            </w:tcMar>
          </w:tcPr>
          <w:p>
            <w:r>
              <w:rPr>
                <w:b/>
                <w:bCs/>
                <w:sz w:val="18"/>
                <w:szCs w:val="18"/>
              </w:rPr>
              <w:t xml:space="preserve">Effort</w:t>
            </w:r>
          </w:p>
        </w:tc>
        <w:tc>
          <w:tcPr>
            <w:tcW w:type="dxa" w:w="3014"/>
            <w:tcBorders>
              <w:top w:val="single" w:color="A1A6D4" w:sz="4"/>
              <w:left w:val="single" w:color="A1A6D4" w:sz="4"/>
              <w:bottom w:val="single" w:color="A1A6D4" w:sz="4"/>
              <w:right w:val="single" w:color="A1A6D4" w:sz="4"/>
            </w:tcBorders>
            <w:shd w:fill="E4E6F3" w:color="auto" w:val="clear"/>
            <w:tcMar>
              <w:top w:type="dxa" w:w="60"/>
              <w:left w:type="dxa" w:w="100"/>
              <w:bottom w:type="dxa" w:w="60"/>
              <w:right w:type="dxa" w:w="100"/>
            </w:tcMar>
          </w:tcPr>
          <w:p>
            <w:r>
              <w:rPr>
                <w:b/>
                <w:bCs/>
                <w:sz w:val="18"/>
                <w:szCs w:val="18"/>
              </w:rPr>
              <w:t xml:space="preserve">Avis</w:t>
            </w:r>
          </w:p>
        </w:tc>
      </w:tr>
      <w:tr>
        <w:trPr>
          <w:cantSplit/>
          <w:tblHeader w:val="off"/>
        </w:trPr>
        <w:tc>
          <w:tcPr>
            <w:tcW w:type="dxa" w:w="2780"/>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1. Snapshot périodique seul (par exemple toutes les 5 min)</w:t>
            </w:r>
          </w:p>
        </w:tc>
        <w:tc>
          <w:tcPr>
            <w:tcW w:type="dxa" w:w="2780"/>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Jusqu'à 5 min de transactions perdues</w:t>
            </w:r>
          </w:p>
        </w:tc>
        <w:tc>
          <w:tcPr>
            <w:tcW w:type="dxa" w:w="1064"/>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Faible</w:t>
            </w:r>
          </w:p>
        </w:tc>
        <w:tc>
          <w:tcPr>
            <w:tcW w:type="dxa" w:w="3014"/>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Simple, mais contredit l'objectif métier et provoque un incident majeur DORA (perte de données)</w:t>
            </w:r>
          </w:p>
        </w:tc>
      </w:tr>
      <w:tr>
        <w:trPr>
          <w:cantSplit/>
          <w:tblHeader w:val="off"/>
        </w:trPr>
        <w:tc>
          <w:tcPr>
            <w:tcW w:type="dxa" w:w="2780"/>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2. </w:t>
            </w:r>
            <w:r>
              <w:rPr>
                <w:b/>
                <w:bCs/>
                <w:sz w:val="18"/>
                <w:szCs w:val="18"/>
              </w:rPr>
              <w:t xml:space="preserve">Snapshot + rejeu des transactions légitimes</w:t>
            </w:r>
            <w:r>
              <w:rPr>
                <w:sz w:val="18"/>
                <w:szCs w:val="18"/>
              </w:rPr>
              <w:t xml:space="preserve"> depuis un journal en ajout seul, en écartant celles qui viennent de la source bloquée</w:t>
            </w:r>
          </w:p>
        </w:tc>
        <w:tc>
          <w:tcPr>
            <w:tcW w:type="dxa" w:w="2780"/>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b/>
                <w:bCs/>
                <w:sz w:val="18"/>
                <w:szCs w:val="18"/>
              </w:rPr>
              <w:t xml:space="preserve">0</w:t>
            </w:r>
            <w:r>
              <w:rPr>
                <w:sz w:val="18"/>
                <w:szCs w:val="18"/>
              </w:rPr>
              <w:t xml:space="preserve"> si le rejeu est correct</w:t>
            </w:r>
          </w:p>
        </w:tc>
        <w:tc>
          <w:tcPr>
            <w:tcW w:type="dxa" w:w="1064"/>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Moyen</w:t>
            </w:r>
          </w:p>
        </w:tc>
        <w:tc>
          <w:tcPr>
            <w:tcW w:type="dxa" w:w="3014"/>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b/>
                <w:bCs/>
                <w:sz w:val="18"/>
                <w:szCs w:val="18"/>
              </w:rPr>
              <w:t xml:space="preserve">Recommandé</w:t>
            </w:r>
            <w:r>
              <w:rPr>
                <w:sz w:val="18"/>
                <w:szCs w:val="18"/>
              </w:rPr>
              <w:t xml:space="preserve"> : démontre l'objectif métier, et le tri entre légitime et malveillant est un bon argument pour le jury</w:t>
            </w:r>
          </w:p>
        </w:tc>
      </w:tr>
      <w:tr>
        <w:trPr>
          <w:cantSplit/>
          <w:tblHeader w:val="off"/>
        </w:trPr>
        <w:tc>
          <w:tcPr>
            <w:tcW w:type="dxa" w:w="2780"/>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3. Restauration à un instant précis (PITR, par exemple l'archivage des WAL avec PostgreSQL), juste avant la première requête malveillante</w:t>
            </w:r>
          </w:p>
        </w:tc>
        <w:tc>
          <w:tcPr>
            <w:tcW w:type="dxa" w:w="2780"/>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Proche de 0, mais les transactions légitimes postérieures sont perdues</w:t>
            </w:r>
          </w:p>
        </w:tc>
        <w:tc>
          <w:tcPr>
            <w:tcW w:type="dxa" w:w="1064"/>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Moyen à élevé</w:t>
            </w:r>
          </w:p>
        </w:tc>
        <w:tc>
          <w:tcPr>
            <w:tcW w:type="dxa" w:w="3014"/>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Solution industrielle de référence, à citer dans les recommandations</w:t>
            </w:r>
          </w:p>
        </w:tc>
      </w:tr>
      <w:tr>
        <w:trPr>
          <w:cantSplit/>
          <w:tblHeader w:val="off"/>
        </w:trPr>
        <w:tc>
          <w:tcPr>
            <w:tcW w:type="dxa" w:w="2780"/>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4. Correction ciblée : annuler les seules lignes altérées, sans restauration globale</w:t>
            </w:r>
          </w:p>
        </w:tc>
        <w:tc>
          <w:tcPr>
            <w:tcW w:type="dxa" w:w="2780"/>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0</w:t>
            </w:r>
          </w:p>
        </w:tc>
        <w:tc>
          <w:tcPr>
            <w:tcW w:type="dxa" w:w="1064"/>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Élevé et risqué</w:t>
            </w:r>
          </w:p>
        </w:tc>
        <w:tc>
          <w:tcPr>
            <w:tcW w:type="dxa" w:w="3014"/>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Non retenu pour un prototype de 4 jours</w:t>
            </w:r>
          </w:p>
        </w:tc>
      </w:tr>
    </w:tbl>
    <w:p>
      <w:pPr>
        <w:spacing w:after="60"/>
      </w:pPr>
    </w:p>
    <w:p>
      <w:pPr>
        <w:spacing w:after="120"/>
      </w:pPr>
      <w:r>
        <w:rPr>
          <w:b/>
          <w:bCs/>
        </w:rPr>
        <w:t xml:space="preserve">Proposition :</w:t>
      </w:r>
      <w:r>
        <w:t xml:space="preserve"> option 2 pour la démo, option 3 citée comme cible industrielle. Dans tous les cas, </w:t>
      </w:r>
      <w:r>
        <w:rPr>
          <w:b/>
          <w:bCs/>
        </w:rPr>
        <w:t xml:space="preserve">les journaux et l'état de la base compromise sont copiés avant la restauration</w:t>
      </w:r>
      <w:r>
        <w:t xml:space="preserve"> : ce sont des preuves pour l'investigation et la notification.</w:t>
      </w:r>
    </w:p>
    <w:p>
      <w:pPr>
        <w:spacing w:after="120"/>
      </w:pPr>
      <w:r>
        <w:t xml:space="preserve">À valider avec Michael (WOR‑38, WOR‑39) et Reza (WOR‑44) avant de figer WOR‑29.</w:t>
      </w:r>
    </w:p>
    <w:p>
      <w:pPr>
        <w:pStyle w:val="Heading2"/>
      </w:pPr>
      <w:r>
        <w:t xml:space="preserve">6. Protocole de mesure (pour WOR-79)</w:t>
      </w:r>
    </w:p>
    <w:p>
      <w:pPr>
        <w:pStyle w:val="Heading3"/>
      </w:pPr>
      <w:r>
        <w:t xml:space="preserve">Temps</w:t>
      </w:r>
    </w:p>
    <w:p>
      <w:pPr>
        <w:spacing w:after="120"/>
      </w:pPr>
      <w:r>
        <w:t xml:space="preserve">Chaque marqueur est horodaté automatiquement, sur une </w:t>
      </w:r>
      <w:r>
        <w:rPr>
          <w:b/>
          <w:bCs/>
        </w:rPr>
        <w:t xml:space="preserve">même horloge</w:t>
      </w:r>
      <w:r>
        <w:t xml:space="preserve"> (le PC Hôte ; le PC Attaquant est synchronisé dessus ou son décalage est noté avant chaque essai).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5"/>
        <w:gridCol w:w="6463"/>
      </w:tblGrid>
      <w:tr>
        <w:trPr>
          <w:cantSplit/>
          <w:tblHeader/>
        </w:trPr>
        <w:tc>
          <w:tcPr>
            <w:tcW w:type="dxa" w:w="3175"/>
            <w:tcBorders>
              <w:top w:val="single" w:color="A1A6D4" w:sz="4"/>
              <w:left w:val="single" w:color="A1A6D4" w:sz="4"/>
              <w:bottom w:val="single" w:color="A1A6D4" w:sz="4"/>
              <w:right w:val="single" w:color="A1A6D4" w:sz="4"/>
            </w:tcBorders>
            <w:shd w:fill="E4E6F3" w:color="auto" w:val="clear"/>
            <w:tcMar>
              <w:top w:type="dxa" w:w="60"/>
              <w:left w:type="dxa" w:w="100"/>
              <w:bottom w:type="dxa" w:w="60"/>
              <w:right w:type="dxa" w:w="100"/>
            </w:tcMar>
          </w:tcPr>
          <w:p>
            <w:r>
              <w:rPr>
                <w:b/>
                <w:bCs/>
                <w:sz w:val="18"/>
                <w:szCs w:val="18"/>
              </w:rPr>
              <w:t xml:space="preserve">Marqueur</w:t>
            </w:r>
          </w:p>
        </w:tc>
        <w:tc>
          <w:tcPr>
            <w:tcW w:type="dxa" w:w="6463"/>
            <w:tcBorders>
              <w:top w:val="single" w:color="A1A6D4" w:sz="4"/>
              <w:left w:val="single" w:color="A1A6D4" w:sz="4"/>
              <w:bottom w:val="single" w:color="A1A6D4" w:sz="4"/>
              <w:right w:val="single" w:color="A1A6D4" w:sz="4"/>
            </w:tcBorders>
            <w:shd w:fill="E4E6F3" w:color="auto" w:val="clear"/>
            <w:tcMar>
              <w:top w:type="dxa" w:w="60"/>
              <w:left w:type="dxa" w:w="100"/>
              <w:bottom w:type="dxa" w:w="60"/>
              <w:right w:type="dxa" w:w="100"/>
            </w:tcMar>
          </w:tcPr>
          <w:p>
            <w:r>
              <w:rPr>
                <w:b/>
                <w:bCs/>
                <w:sz w:val="18"/>
                <w:szCs w:val="18"/>
              </w:rPr>
              <w:t xml:space="preserve">Source</w:t>
            </w:r>
          </w:p>
        </w:tc>
      </w:tr>
      <w:tr>
        <w:trPr>
          <w:cantSplit/>
          <w:tblHeader w:val="off"/>
        </w:trPr>
        <w:tc>
          <w:tcPr>
            <w:tcW w:type="dxa" w:w="3175"/>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T0 lancement de l'attaque</w:t>
            </w:r>
          </w:p>
        </w:tc>
        <w:tc>
          <w:tcPr>
            <w:tcW w:type="dxa" w:w="6463"/>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Journal du script d'attaque (WOR‑58)</w:t>
            </w:r>
          </w:p>
        </w:tc>
      </w:tr>
      <w:tr>
        <w:trPr>
          <w:cantSplit/>
          <w:tblHeader w:val="off"/>
        </w:trPr>
        <w:tc>
          <w:tcPr>
            <w:tcW w:type="dxa" w:w="3175"/>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T1 première transaction en échec</w:t>
            </w:r>
          </w:p>
        </w:tc>
        <w:tc>
          <w:tcPr>
            <w:tcW w:type="dxa" w:w="6463"/>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Générateur de trafic normal : première réponse en erreur ou en dépassement de délai</w:t>
            </w:r>
          </w:p>
        </w:tc>
      </w:tr>
      <w:tr>
        <w:trPr>
          <w:cantSplit/>
          <w:tblHeader w:val="off"/>
        </w:trPr>
        <w:tc>
          <w:tcPr>
            <w:tcW w:type="dxa" w:w="3175"/>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T2 anomalie visible</w:t>
            </w:r>
          </w:p>
        </w:tc>
        <w:tc>
          <w:tcPr>
            <w:tcW w:type="dxa" w:w="6463"/>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Prometheus : premier point hors norme</w:t>
            </w:r>
          </w:p>
        </w:tc>
      </w:tr>
      <w:tr>
        <w:trPr>
          <w:cantSplit/>
          <w:tblHeader w:val="off"/>
        </w:trPr>
        <w:tc>
          <w:tcPr>
            <w:tcW w:type="dxa" w:w="3175"/>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T3 alerte ML</w:t>
            </w:r>
          </w:p>
        </w:tc>
        <w:tc>
          <w:tcPr>
            <w:tcW w:type="dxa" w:w="6463"/>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Journal du service d'inférence (WOR‑53)</w:t>
            </w:r>
          </w:p>
        </w:tc>
      </w:tr>
      <w:tr>
        <w:trPr>
          <w:cantSplit/>
          <w:tblHeader w:val="off"/>
        </w:trPr>
        <w:tc>
          <w:tcPr>
            <w:tcW w:type="dxa" w:w="3175"/>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T4, T5 décision, action terminée</w:t>
            </w:r>
          </w:p>
        </w:tc>
        <w:tc>
          <w:tcPr>
            <w:tcW w:type="dxa" w:w="6463"/>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Événements publiés par le moteur de remédiation (WOR‑38)</w:t>
            </w:r>
          </w:p>
        </w:tc>
      </w:tr>
      <w:tr>
        <w:trPr>
          <w:cantSplit/>
          <w:tblHeader w:val="off"/>
        </w:trPr>
        <w:tc>
          <w:tcPr>
            <w:tcW w:type="dxa" w:w="3175"/>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T6 reprise vérifiée</w:t>
            </w:r>
          </w:p>
        </w:tc>
        <w:tc>
          <w:tcPr>
            <w:tcW w:type="dxa" w:w="6463"/>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Moteur de remédiation : transaction test et contrôle de cohérence réussis</w:t>
            </w:r>
          </w:p>
        </w:tc>
      </w:tr>
    </w:tbl>
    <w:p>
      <w:pPr>
        <w:spacing w:after="60"/>
      </w:pPr>
    </w:p>
    <w:p>
      <w:pPr>
        <w:pStyle w:val="Heading3"/>
      </w:pPr>
      <w:r>
        <w:t xml:space="preserve">Données</w:t>
      </w:r>
    </w:p>
    <w:p>
      <w:pPr>
        <w:pStyle w:val="ListParagraph"/>
        <w:numPr>
          <w:ilvl w:val="0"/>
          <w:numId w:val="3"/>
        </w:numPr>
        <w:spacing w:after="60"/>
      </w:pPr>
      <w:r>
        <w:t xml:space="preserve">Le générateur de trafic enregistre chaque transaction </w:t>
      </w:r>
      <w:r>
        <w:rPr>
          <w:b/>
          <w:bCs/>
        </w:rPr>
        <w:t xml:space="preserve">confirmée</w:t>
      </w:r>
      <w:r>
        <w:t xml:space="preserve"> (identifiant, montant).</w:t>
      </w:r>
    </w:p>
    <w:p>
      <w:pPr>
        <w:pStyle w:val="ListParagraph"/>
        <w:numPr>
          <w:ilvl w:val="0"/>
          <w:numId w:val="3"/>
        </w:numPr>
        <w:spacing w:after="60"/>
      </w:pPr>
      <w:r>
        <w:t xml:space="preserve">Après la reprise, on compare cette liste au contenu de la base.</w:t>
      </w:r>
    </w:p>
    <w:p>
      <w:pPr>
        <w:pStyle w:val="ListParagraph"/>
        <w:numPr>
          <w:ilvl w:val="0"/>
          <w:numId w:val="3"/>
        </w:numPr>
        <w:spacing w:after="60"/>
      </w:pPr>
      <w:r>
        <w:rPr>
          <w:b/>
          <w:bCs/>
        </w:rPr>
        <w:t xml:space="preserve">Transactions manquantes + transactions en double = RPO mesuré.</w:t>
      </w:r>
      <w:r>
        <w:t xml:space="preserve"> L'objectif est 0.</w:t>
      </w:r>
    </w:p>
    <w:p>
      <w:pPr>
        <w:pStyle w:val="Heading3"/>
      </w:pPr>
      <w:r>
        <w:t xml:space="preserve">Grille de résultats</w:t>
      </w:r>
    </w:p>
    <w:p>
      <w:pPr>
        <w:spacing w:after="120"/>
      </w:pPr>
      <w:r>
        <w:t xml:space="preserve">À remplir pendant les répétitions (WOR‑78) : trois essais minimum par attaque.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60"/>
        <w:gridCol w:w="960"/>
        <w:gridCol w:w="1554"/>
        <w:gridCol w:w="1354"/>
        <w:gridCol w:w="1057"/>
        <w:gridCol w:w="2545"/>
        <w:gridCol w:w="1408"/>
      </w:tblGrid>
      <w:tr>
        <w:trPr>
          <w:cantSplit/>
          <w:tblHeader/>
        </w:trPr>
        <w:tc>
          <w:tcPr>
            <w:tcW w:type="dxa" w:w="760"/>
            <w:tcBorders>
              <w:top w:val="single" w:color="A1A6D4" w:sz="4"/>
              <w:left w:val="single" w:color="A1A6D4" w:sz="4"/>
              <w:bottom w:val="single" w:color="A1A6D4" w:sz="4"/>
              <w:right w:val="single" w:color="A1A6D4" w:sz="4"/>
            </w:tcBorders>
            <w:shd w:fill="E4E6F3" w:color="auto" w:val="clear"/>
            <w:tcMar>
              <w:top w:type="dxa" w:w="60"/>
              <w:left w:type="dxa" w:w="100"/>
              <w:bottom w:type="dxa" w:w="60"/>
              <w:right w:type="dxa" w:w="100"/>
            </w:tcMar>
          </w:tcPr>
          <w:p>
            <w:r>
              <w:rPr>
                <w:b/>
                <w:bCs/>
                <w:sz w:val="18"/>
                <w:szCs w:val="18"/>
              </w:rPr>
              <w:t xml:space="preserve">Essai</w:t>
            </w:r>
          </w:p>
        </w:tc>
        <w:tc>
          <w:tcPr>
            <w:tcW w:type="dxa" w:w="960"/>
            <w:tcBorders>
              <w:top w:val="single" w:color="A1A6D4" w:sz="4"/>
              <w:left w:val="single" w:color="A1A6D4" w:sz="4"/>
              <w:bottom w:val="single" w:color="A1A6D4" w:sz="4"/>
              <w:right w:val="single" w:color="A1A6D4" w:sz="4"/>
            </w:tcBorders>
            <w:shd w:fill="E4E6F3" w:color="auto" w:val="clear"/>
            <w:tcMar>
              <w:top w:type="dxa" w:w="60"/>
              <w:left w:type="dxa" w:w="100"/>
              <w:bottom w:type="dxa" w:w="60"/>
              <w:right w:type="dxa" w:w="100"/>
            </w:tcMar>
          </w:tcPr>
          <w:p>
            <w:r>
              <w:rPr>
                <w:b/>
                <w:bCs/>
                <w:sz w:val="18"/>
                <w:szCs w:val="18"/>
              </w:rPr>
              <w:t xml:space="preserve">Attaque</w:t>
            </w:r>
          </w:p>
        </w:tc>
        <w:tc>
          <w:tcPr>
            <w:tcW w:type="dxa" w:w="1554"/>
            <w:tcBorders>
              <w:top w:val="single" w:color="A1A6D4" w:sz="4"/>
              <w:left w:val="single" w:color="A1A6D4" w:sz="4"/>
              <w:bottom w:val="single" w:color="A1A6D4" w:sz="4"/>
              <w:right w:val="single" w:color="A1A6D4" w:sz="4"/>
            </w:tcBorders>
            <w:shd w:fill="E4E6F3" w:color="auto" w:val="clear"/>
            <w:tcMar>
              <w:top w:type="dxa" w:w="60"/>
              <w:left w:type="dxa" w:w="100"/>
              <w:bottom w:type="dxa" w:w="60"/>
              <w:right w:type="dxa" w:w="100"/>
            </w:tcMar>
          </w:tcPr>
          <w:p>
            <w:r>
              <w:rPr>
                <w:b/>
                <w:bCs/>
                <w:sz w:val="18"/>
                <w:szCs w:val="18"/>
              </w:rPr>
              <w:t xml:space="preserve">T1 → T3 détection</w:t>
            </w:r>
          </w:p>
        </w:tc>
        <w:tc>
          <w:tcPr>
            <w:tcW w:type="dxa" w:w="1354"/>
            <w:tcBorders>
              <w:top w:val="single" w:color="A1A6D4" w:sz="4"/>
              <w:left w:val="single" w:color="A1A6D4" w:sz="4"/>
              <w:bottom w:val="single" w:color="A1A6D4" w:sz="4"/>
              <w:right w:val="single" w:color="A1A6D4" w:sz="4"/>
            </w:tcBorders>
            <w:shd w:fill="E4E6F3" w:color="auto" w:val="clear"/>
            <w:tcMar>
              <w:top w:type="dxa" w:w="60"/>
              <w:left w:type="dxa" w:w="100"/>
              <w:bottom w:type="dxa" w:w="60"/>
              <w:right w:type="dxa" w:w="100"/>
            </w:tcMar>
          </w:tcPr>
          <w:p>
            <w:r>
              <w:rPr>
                <w:b/>
                <w:bCs/>
                <w:sz w:val="18"/>
                <w:szCs w:val="18"/>
              </w:rPr>
              <w:t xml:space="preserve">T3 → T6 reprise</w:t>
            </w:r>
          </w:p>
        </w:tc>
        <w:tc>
          <w:tcPr>
            <w:tcW w:type="dxa" w:w="1057"/>
            <w:tcBorders>
              <w:top w:val="single" w:color="A1A6D4" w:sz="4"/>
              <w:left w:val="single" w:color="A1A6D4" w:sz="4"/>
              <w:bottom w:val="single" w:color="A1A6D4" w:sz="4"/>
              <w:right w:val="single" w:color="A1A6D4" w:sz="4"/>
            </w:tcBorders>
            <w:shd w:fill="E4E6F3" w:color="auto" w:val="clear"/>
            <w:tcMar>
              <w:top w:type="dxa" w:w="60"/>
              <w:left w:type="dxa" w:w="100"/>
              <w:bottom w:type="dxa" w:w="60"/>
              <w:right w:type="dxa" w:w="100"/>
            </w:tcMar>
          </w:tcPr>
          <w:p>
            <w:r>
              <w:rPr>
                <w:b/>
                <w:bCs/>
                <w:sz w:val="18"/>
                <w:szCs w:val="18"/>
              </w:rPr>
              <w:t xml:space="preserve">RTO mesuré</w:t>
            </w:r>
          </w:p>
        </w:tc>
        <w:tc>
          <w:tcPr>
            <w:tcW w:type="dxa" w:w="2545"/>
            <w:tcBorders>
              <w:top w:val="single" w:color="A1A6D4" w:sz="4"/>
              <w:left w:val="single" w:color="A1A6D4" w:sz="4"/>
              <w:bottom w:val="single" w:color="A1A6D4" w:sz="4"/>
              <w:right w:val="single" w:color="A1A6D4" w:sz="4"/>
            </w:tcBorders>
            <w:shd w:fill="E4E6F3" w:color="auto" w:val="clear"/>
            <w:tcMar>
              <w:top w:type="dxa" w:w="60"/>
              <w:left w:type="dxa" w:w="100"/>
              <w:bottom w:type="dxa" w:w="60"/>
              <w:right w:type="dxa" w:w="100"/>
            </w:tcMar>
          </w:tcPr>
          <w:p>
            <w:r>
              <w:rPr>
                <w:b/>
                <w:bCs/>
                <w:sz w:val="18"/>
                <w:szCs w:val="18"/>
              </w:rPr>
              <w:t xml:space="preserve">Transactions perdues ou dupliquées</w:t>
            </w:r>
          </w:p>
        </w:tc>
        <w:tc>
          <w:tcPr>
            <w:tcW w:type="dxa" w:w="1408"/>
            <w:tcBorders>
              <w:top w:val="single" w:color="A1A6D4" w:sz="4"/>
              <w:left w:val="single" w:color="A1A6D4" w:sz="4"/>
              <w:bottom w:val="single" w:color="A1A6D4" w:sz="4"/>
              <w:right w:val="single" w:color="A1A6D4" w:sz="4"/>
            </w:tcBorders>
            <w:shd w:fill="E4E6F3" w:color="auto" w:val="clear"/>
            <w:tcMar>
              <w:top w:type="dxa" w:w="60"/>
              <w:left w:type="dxa" w:w="100"/>
              <w:bottom w:type="dxa" w:w="60"/>
              <w:right w:type="dxa" w:w="100"/>
            </w:tcMar>
          </w:tcPr>
          <w:p>
            <w:r>
              <w:rPr>
                <w:b/>
                <w:bCs/>
                <w:sz w:val="18"/>
                <w:szCs w:val="18"/>
              </w:rPr>
              <w:t xml:space="preserve">Objectif tenu ?</w:t>
            </w:r>
          </w:p>
        </w:tc>
      </w:tr>
      <w:tr>
        <w:trPr>
          <w:cantSplit/>
          <w:tblHeader w:val="off"/>
        </w:trPr>
        <w:tc>
          <w:tcPr>
            <w:tcW w:type="dxa" w:w="760"/>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1</w:t>
            </w:r>
          </w:p>
        </w:tc>
        <w:tc>
          <w:tcPr>
            <w:tcW w:type="dxa" w:w="960"/>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A</w:t>
            </w:r>
          </w:p>
        </w:tc>
        <w:tc>
          <w:tcPr>
            <w:tcW w:type="dxa" w:w="1554"/>
            <w:tcBorders>
              <w:top w:val="single" w:color="A1A6D4" w:sz="4"/>
              <w:left w:val="single" w:color="A1A6D4" w:sz="4"/>
              <w:bottom w:val="single" w:color="A1A6D4" w:sz="4"/>
              <w:right w:val="single" w:color="A1A6D4" w:sz="4"/>
            </w:tcBorders>
            <w:tcMar>
              <w:top w:type="dxa" w:w="60"/>
              <w:left w:type="dxa" w:w="100"/>
              <w:bottom w:type="dxa" w:w="60"/>
              <w:right w:type="dxa" w:w="100"/>
            </w:tcMar>
          </w:tcPr>
          <w:p/>
        </w:tc>
        <w:tc>
          <w:tcPr>
            <w:tcW w:type="dxa" w:w="1354"/>
            <w:tcBorders>
              <w:top w:val="single" w:color="A1A6D4" w:sz="4"/>
              <w:left w:val="single" w:color="A1A6D4" w:sz="4"/>
              <w:bottom w:val="single" w:color="A1A6D4" w:sz="4"/>
              <w:right w:val="single" w:color="A1A6D4" w:sz="4"/>
            </w:tcBorders>
            <w:tcMar>
              <w:top w:type="dxa" w:w="60"/>
              <w:left w:type="dxa" w:w="100"/>
              <w:bottom w:type="dxa" w:w="60"/>
              <w:right w:type="dxa" w:w="100"/>
            </w:tcMar>
          </w:tcPr>
          <w:p/>
        </w:tc>
        <w:tc>
          <w:tcPr>
            <w:tcW w:type="dxa" w:w="1057"/>
            <w:tcBorders>
              <w:top w:val="single" w:color="A1A6D4" w:sz="4"/>
              <w:left w:val="single" w:color="A1A6D4" w:sz="4"/>
              <w:bottom w:val="single" w:color="A1A6D4" w:sz="4"/>
              <w:right w:val="single" w:color="A1A6D4" w:sz="4"/>
            </w:tcBorders>
            <w:tcMar>
              <w:top w:type="dxa" w:w="60"/>
              <w:left w:type="dxa" w:w="100"/>
              <w:bottom w:type="dxa" w:w="60"/>
              <w:right w:type="dxa" w:w="100"/>
            </w:tcMar>
          </w:tcPr>
          <w:p/>
        </w:tc>
        <w:tc>
          <w:tcPr>
            <w:tcW w:type="dxa" w:w="2545"/>
            <w:tcBorders>
              <w:top w:val="single" w:color="A1A6D4" w:sz="4"/>
              <w:left w:val="single" w:color="A1A6D4" w:sz="4"/>
              <w:bottom w:val="single" w:color="A1A6D4" w:sz="4"/>
              <w:right w:val="single" w:color="A1A6D4" w:sz="4"/>
            </w:tcBorders>
            <w:tcMar>
              <w:top w:type="dxa" w:w="60"/>
              <w:left w:type="dxa" w:w="100"/>
              <w:bottom w:type="dxa" w:w="60"/>
              <w:right w:type="dxa" w:w="100"/>
            </w:tcMar>
          </w:tcPr>
          <w:p/>
        </w:tc>
        <w:tc>
          <w:tcPr>
            <w:tcW w:type="dxa" w:w="1408"/>
            <w:tcBorders>
              <w:top w:val="single" w:color="A1A6D4" w:sz="4"/>
              <w:left w:val="single" w:color="A1A6D4" w:sz="4"/>
              <w:bottom w:val="single" w:color="A1A6D4" w:sz="4"/>
              <w:right w:val="single" w:color="A1A6D4" w:sz="4"/>
            </w:tcBorders>
            <w:tcMar>
              <w:top w:type="dxa" w:w="60"/>
              <w:left w:type="dxa" w:w="100"/>
              <w:bottom w:type="dxa" w:w="60"/>
              <w:right w:type="dxa" w:w="100"/>
            </w:tcMar>
          </w:tcPr>
          <w:p/>
        </w:tc>
      </w:tr>
      <w:tr>
        <w:trPr>
          <w:cantSplit/>
          <w:tblHeader w:val="off"/>
        </w:trPr>
        <w:tc>
          <w:tcPr>
            <w:tcW w:type="dxa" w:w="760"/>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2</w:t>
            </w:r>
          </w:p>
        </w:tc>
        <w:tc>
          <w:tcPr>
            <w:tcW w:type="dxa" w:w="960"/>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A</w:t>
            </w:r>
          </w:p>
        </w:tc>
        <w:tc>
          <w:tcPr>
            <w:tcW w:type="dxa" w:w="1554"/>
            <w:tcBorders>
              <w:top w:val="single" w:color="A1A6D4" w:sz="4"/>
              <w:left w:val="single" w:color="A1A6D4" w:sz="4"/>
              <w:bottom w:val="single" w:color="A1A6D4" w:sz="4"/>
              <w:right w:val="single" w:color="A1A6D4" w:sz="4"/>
            </w:tcBorders>
            <w:tcMar>
              <w:top w:type="dxa" w:w="60"/>
              <w:left w:type="dxa" w:w="100"/>
              <w:bottom w:type="dxa" w:w="60"/>
              <w:right w:type="dxa" w:w="100"/>
            </w:tcMar>
          </w:tcPr>
          <w:p/>
        </w:tc>
        <w:tc>
          <w:tcPr>
            <w:tcW w:type="dxa" w:w="1354"/>
            <w:tcBorders>
              <w:top w:val="single" w:color="A1A6D4" w:sz="4"/>
              <w:left w:val="single" w:color="A1A6D4" w:sz="4"/>
              <w:bottom w:val="single" w:color="A1A6D4" w:sz="4"/>
              <w:right w:val="single" w:color="A1A6D4" w:sz="4"/>
            </w:tcBorders>
            <w:tcMar>
              <w:top w:type="dxa" w:w="60"/>
              <w:left w:type="dxa" w:w="100"/>
              <w:bottom w:type="dxa" w:w="60"/>
              <w:right w:type="dxa" w:w="100"/>
            </w:tcMar>
          </w:tcPr>
          <w:p/>
        </w:tc>
        <w:tc>
          <w:tcPr>
            <w:tcW w:type="dxa" w:w="1057"/>
            <w:tcBorders>
              <w:top w:val="single" w:color="A1A6D4" w:sz="4"/>
              <w:left w:val="single" w:color="A1A6D4" w:sz="4"/>
              <w:bottom w:val="single" w:color="A1A6D4" w:sz="4"/>
              <w:right w:val="single" w:color="A1A6D4" w:sz="4"/>
            </w:tcBorders>
            <w:tcMar>
              <w:top w:type="dxa" w:w="60"/>
              <w:left w:type="dxa" w:w="100"/>
              <w:bottom w:type="dxa" w:w="60"/>
              <w:right w:type="dxa" w:w="100"/>
            </w:tcMar>
          </w:tcPr>
          <w:p/>
        </w:tc>
        <w:tc>
          <w:tcPr>
            <w:tcW w:type="dxa" w:w="2545"/>
            <w:tcBorders>
              <w:top w:val="single" w:color="A1A6D4" w:sz="4"/>
              <w:left w:val="single" w:color="A1A6D4" w:sz="4"/>
              <w:bottom w:val="single" w:color="A1A6D4" w:sz="4"/>
              <w:right w:val="single" w:color="A1A6D4" w:sz="4"/>
            </w:tcBorders>
            <w:tcMar>
              <w:top w:type="dxa" w:w="60"/>
              <w:left w:type="dxa" w:w="100"/>
              <w:bottom w:type="dxa" w:w="60"/>
              <w:right w:type="dxa" w:w="100"/>
            </w:tcMar>
          </w:tcPr>
          <w:p/>
        </w:tc>
        <w:tc>
          <w:tcPr>
            <w:tcW w:type="dxa" w:w="1408"/>
            <w:tcBorders>
              <w:top w:val="single" w:color="A1A6D4" w:sz="4"/>
              <w:left w:val="single" w:color="A1A6D4" w:sz="4"/>
              <w:bottom w:val="single" w:color="A1A6D4" w:sz="4"/>
              <w:right w:val="single" w:color="A1A6D4" w:sz="4"/>
            </w:tcBorders>
            <w:tcMar>
              <w:top w:type="dxa" w:w="60"/>
              <w:left w:type="dxa" w:w="100"/>
              <w:bottom w:type="dxa" w:w="60"/>
              <w:right w:type="dxa" w:w="100"/>
            </w:tcMar>
          </w:tcPr>
          <w:p/>
        </w:tc>
      </w:tr>
      <w:tr>
        <w:trPr>
          <w:cantSplit/>
          <w:tblHeader w:val="off"/>
        </w:trPr>
        <w:tc>
          <w:tcPr>
            <w:tcW w:type="dxa" w:w="760"/>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3</w:t>
            </w:r>
          </w:p>
        </w:tc>
        <w:tc>
          <w:tcPr>
            <w:tcW w:type="dxa" w:w="960"/>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A</w:t>
            </w:r>
          </w:p>
        </w:tc>
        <w:tc>
          <w:tcPr>
            <w:tcW w:type="dxa" w:w="1554"/>
            <w:tcBorders>
              <w:top w:val="single" w:color="A1A6D4" w:sz="4"/>
              <w:left w:val="single" w:color="A1A6D4" w:sz="4"/>
              <w:bottom w:val="single" w:color="A1A6D4" w:sz="4"/>
              <w:right w:val="single" w:color="A1A6D4" w:sz="4"/>
            </w:tcBorders>
            <w:tcMar>
              <w:top w:type="dxa" w:w="60"/>
              <w:left w:type="dxa" w:w="100"/>
              <w:bottom w:type="dxa" w:w="60"/>
              <w:right w:type="dxa" w:w="100"/>
            </w:tcMar>
          </w:tcPr>
          <w:p/>
        </w:tc>
        <w:tc>
          <w:tcPr>
            <w:tcW w:type="dxa" w:w="1354"/>
            <w:tcBorders>
              <w:top w:val="single" w:color="A1A6D4" w:sz="4"/>
              <w:left w:val="single" w:color="A1A6D4" w:sz="4"/>
              <w:bottom w:val="single" w:color="A1A6D4" w:sz="4"/>
              <w:right w:val="single" w:color="A1A6D4" w:sz="4"/>
            </w:tcBorders>
            <w:tcMar>
              <w:top w:type="dxa" w:w="60"/>
              <w:left w:type="dxa" w:w="100"/>
              <w:bottom w:type="dxa" w:w="60"/>
              <w:right w:type="dxa" w:w="100"/>
            </w:tcMar>
          </w:tcPr>
          <w:p/>
        </w:tc>
        <w:tc>
          <w:tcPr>
            <w:tcW w:type="dxa" w:w="1057"/>
            <w:tcBorders>
              <w:top w:val="single" w:color="A1A6D4" w:sz="4"/>
              <w:left w:val="single" w:color="A1A6D4" w:sz="4"/>
              <w:bottom w:val="single" w:color="A1A6D4" w:sz="4"/>
              <w:right w:val="single" w:color="A1A6D4" w:sz="4"/>
            </w:tcBorders>
            <w:tcMar>
              <w:top w:type="dxa" w:w="60"/>
              <w:left w:type="dxa" w:w="100"/>
              <w:bottom w:type="dxa" w:w="60"/>
              <w:right w:type="dxa" w:w="100"/>
            </w:tcMar>
          </w:tcPr>
          <w:p/>
        </w:tc>
        <w:tc>
          <w:tcPr>
            <w:tcW w:type="dxa" w:w="2545"/>
            <w:tcBorders>
              <w:top w:val="single" w:color="A1A6D4" w:sz="4"/>
              <w:left w:val="single" w:color="A1A6D4" w:sz="4"/>
              <w:bottom w:val="single" w:color="A1A6D4" w:sz="4"/>
              <w:right w:val="single" w:color="A1A6D4" w:sz="4"/>
            </w:tcBorders>
            <w:tcMar>
              <w:top w:type="dxa" w:w="60"/>
              <w:left w:type="dxa" w:w="100"/>
              <w:bottom w:type="dxa" w:w="60"/>
              <w:right w:type="dxa" w:w="100"/>
            </w:tcMar>
          </w:tcPr>
          <w:p/>
        </w:tc>
        <w:tc>
          <w:tcPr>
            <w:tcW w:type="dxa" w:w="1408"/>
            <w:tcBorders>
              <w:top w:val="single" w:color="A1A6D4" w:sz="4"/>
              <w:left w:val="single" w:color="A1A6D4" w:sz="4"/>
              <w:bottom w:val="single" w:color="A1A6D4" w:sz="4"/>
              <w:right w:val="single" w:color="A1A6D4" w:sz="4"/>
            </w:tcBorders>
            <w:tcMar>
              <w:top w:type="dxa" w:w="60"/>
              <w:left w:type="dxa" w:w="100"/>
              <w:bottom w:type="dxa" w:w="60"/>
              <w:right w:type="dxa" w:w="100"/>
            </w:tcMar>
          </w:tcPr>
          <w:p/>
        </w:tc>
      </w:tr>
      <w:tr>
        <w:trPr>
          <w:cantSplit/>
          <w:tblHeader w:val="off"/>
        </w:trPr>
        <w:tc>
          <w:tcPr>
            <w:tcW w:type="dxa" w:w="760"/>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1</w:t>
            </w:r>
          </w:p>
        </w:tc>
        <w:tc>
          <w:tcPr>
            <w:tcW w:type="dxa" w:w="960"/>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B</w:t>
            </w:r>
          </w:p>
        </w:tc>
        <w:tc>
          <w:tcPr>
            <w:tcW w:type="dxa" w:w="1554"/>
            <w:tcBorders>
              <w:top w:val="single" w:color="A1A6D4" w:sz="4"/>
              <w:left w:val="single" w:color="A1A6D4" w:sz="4"/>
              <w:bottom w:val="single" w:color="A1A6D4" w:sz="4"/>
              <w:right w:val="single" w:color="A1A6D4" w:sz="4"/>
            </w:tcBorders>
            <w:tcMar>
              <w:top w:type="dxa" w:w="60"/>
              <w:left w:type="dxa" w:w="100"/>
              <w:bottom w:type="dxa" w:w="60"/>
              <w:right w:type="dxa" w:w="100"/>
            </w:tcMar>
          </w:tcPr>
          <w:p/>
        </w:tc>
        <w:tc>
          <w:tcPr>
            <w:tcW w:type="dxa" w:w="1354"/>
            <w:tcBorders>
              <w:top w:val="single" w:color="A1A6D4" w:sz="4"/>
              <w:left w:val="single" w:color="A1A6D4" w:sz="4"/>
              <w:bottom w:val="single" w:color="A1A6D4" w:sz="4"/>
              <w:right w:val="single" w:color="A1A6D4" w:sz="4"/>
            </w:tcBorders>
            <w:tcMar>
              <w:top w:type="dxa" w:w="60"/>
              <w:left w:type="dxa" w:w="100"/>
              <w:bottom w:type="dxa" w:w="60"/>
              <w:right w:type="dxa" w:w="100"/>
            </w:tcMar>
          </w:tcPr>
          <w:p/>
        </w:tc>
        <w:tc>
          <w:tcPr>
            <w:tcW w:type="dxa" w:w="1057"/>
            <w:tcBorders>
              <w:top w:val="single" w:color="A1A6D4" w:sz="4"/>
              <w:left w:val="single" w:color="A1A6D4" w:sz="4"/>
              <w:bottom w:val="single" w:color="A1A6D4" w:sz="4"/>
              <w:right w:val="single" w:color="A1A6D4" w:sz="4"/>
            </w:tcBorders>
            <w:tcMar>
              <w:top w:type="dxa" w:w="60"/>
              <w:left w:type="dxa" w:w="100"/>
              <w:bottom w:type="dxa" w:w="60"/>
              <w:right w:type="dxa" w:w="100"/>
            </w:tcMar>
          </w:tcPr>
          <w:p/>
        </w:tc>
        <w:tc>
          <w:tcPr>
            <w:tcW w:type="dxa" w:w="2545"/>
            <w:tcBorders>
              <w:top w:val="single" w:color="A1A6D4" w:sz="4"/>
              <w:left w:val="single" w:color="A1A6D4" w:sz="4"/>
              <w:bottom w:val="single" w:color="A1A6D4" w:sz="4"/>
              <w:right w:val="single" w:color="A1A6D4" w:sz="4"/>
            </w:tcBorders>
            <w:tcMar>
              <w:top w:type="dxa" w:w="60"/>
              <w:left w:type="dxa" w:w="100"/>
              <w:bottom w:type="dxa" w:w="60"/>
              <w:right w:type="dxa" w:w="100"/>
            </w:tcMar>
          </w:tcPr>
          <w:p/>
        </w:tc>
        <w:tc>
          <w:tcPr>
            <w:tcW w:type="dxa" w:w="1408"/>
            <w:tcBorders>
              <w:top w:val="single" w:color="A1A6D4" w:sz="4"/>
              <w:left w:val="single" w:color="A1A6D4" w:sz="4"/>
              <w:bottom w:val="single" w:color="A1A6D4" w:sz="4"/>
              <w:right w:val="single" w:color="A1A6D4" w:sz="4"/>
            </w:tcBorders>
            <w:tcMar>
              <w:top w:type="dxa" w:w="60"/>
              <w:left w:type="dxa" w:w="100"/>
              <w:bottom w:type="dxa" w:w="60"/>
              <w:right w:type="dxa" w:w="100"/>
            </w:tcMar>
          </w:tcPr>
          <w:p/>
        </w:tc>
      </w:tr>
      <w:tr>
        <w:trPr>
          <w:cantSplit/>
          <w:tblHeader w:val="off"/>
        </w:trPr>
        <w:tc>
          <w:tcPr>
            <w:tcW w:type="dxa" w:w="760"/>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2</w:t>
            </w:r>
          </w:p>
        </w:tc>
        <w:tc>
          <w:tcPr>
            <w:tcW w:type="dxa" w:w="960"/>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B</w:t>
            </w:r>
          </w:p>
        </w:tc>
        <w:tc>
          <w:tcPr>
            <w:tcW w:type="dxa" w:w="1554"/>
            <w:tcBorders>
              <w:top w:val="single" w:color="A1A6D4" w:sz="4"/>
              <w:left w:val="single" w:color="A1A6D4" w:sz="4"/>
              <w:bottom w:val="single" w:color="A1A6D4" w:sz="4"/>
              <w:right w:val="single" w:color="A1A6D4" w:sz="4"/>
            </w:tcBorders>
            <w:tcMar>
              <w:top w:type="dxa" w:w="60"/>
              <w:left w:type="dxa" w:w="100"/>
              <w:bottom w:type="dxa" w:w="60"/>
              <w:right w:type="dxa" w:w="100"/>
            </w:tcMar>
          </w:tcPr>
          <w:p/>
        </w:tc>
        <w:tc>
          <w:tcPr>
            <w:tcW w:type="dxa" w:w="1354"/>
            <w:tcBorders>
              <w:top w:val="single" w:color="A1A6D4" w:sz="4"/>
              <w:left w:val="single" w:color="A1A6D4" w:sz="4"/>
              <w:bottom w:val="single" w:color="A1A6D4" w:sz="4"/>
              <w:right w:val="single" w:color="A1A6D4" w:sz="4"/>
            </w:tcBorders>
            <w:tcMar>
              <w:top w:type="dxa" w:w="60"/>
              <w:left w:type="dxa" w:w="100"/>
              <w:bottom w:type="dxa" w:w="60"/>
              <w:right w:type="dxa" w:w="100"/>
            </w:tcMar>
          </w:tcPr>
          <w:p/>
        </w:tc>
        <w:tc>
          <w:tcPr>
            <w:tcW w:type="dxa" w:w="1057"/>
            <w:tcBorders>
              <w:top w:val="single" w:color="A1A6D4" w:sz="4"/>
              <w:left w:val="single" w:color="A1A6D4" w:sz="4"/>
              <w:bottom w:val="single" w:color="A1A6D4" w:sz="4"/>
              <w:right w:val="single" w:color="A1A6D4" w:sz="4"/>
            </w:tcBorders>
            <w:tcMar>
              <w:top w:type="dxa" w:w="60"/>
              <w:left w:type="dxa" w:w="100"/>
              <w:bottom w:type="dxa" w:w="60"/>
              <w:right w:type="dxa" w:w="100"/>
            </w:tcMar>
          </w:tcPr>
          <w:p/>
        </w:tc>
        <w:tc>
          <w:tcPr>
            <w:tcW w:type="dxa" w:w="2545"/>
            <w:tcBorders>
              <w:top w:val="single" w:color="A1A6D4" w:sz="4"/>
              <w:left w:val="single" w:color="A1A6D4" w:sz="4"/>
              <w:bottom w:val="single" w:color="A1A6D4" w:sz="4"/>
              <w:right w:val="single" w:color="A1A6D4" w:sz="4"/>
            </w:tcBorders>
            <w:tcMar>
              <w:top w:type="dxa" w:w="60"/>
              <w:left w:type="dxa" w:w="100"/>
              <w:bottom w:type="dxa" w:w="60"/>
              <w:right w:type="dxa" w:w="100"/>
            </w:tcMar>
          </w:tcPr>
          <w:p/>
        </w:tc>
        <w:tc>
          <w:tcPr>
            <w:tcW w:type="dxa" w:w="1408"/>
            <w:tcBorders>
              <w:top w:val="single" w:color="A1A6D4" w:sz="4"/>
              <w:left w:val="single" w:color="A1A6D4" w:sz="4"/>
              <w:bottom w:val="single" w:color="A1A6D4" w:sz="4"/>
              <w:right w:val="single" w:color="A1A6D4" w:sz="4"/>
            </w:tcBorders>
            <w:tcMar>
              <w:top w:type="dxa" w:w="60"/>
              <w:left w:type="dxa" w:w="100"/>
              <w:bottom w:type="dxa" w:w="60"/>
              <w:right w:type="dxa" w:w="100"/>
            </w:tcMar>
          </w:tcPr>
          <w:p/>
        </w:tc>
      </w:tr>
      <w:tr>
        <w:trPr>
          <w:cantSplit/>
          <w:tblHeader w:val="off"/>
        </w:trPr>
        <w:tc>
          <w:tcPr>
            <w:tcW w:type="dxa" w:w="760"/>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3</w:t>
            </w:r>
          </w:p>
        </w:tc>
        <w:tc>
          <w:tcPr>
            <w:tcW w:type="dxa" w:w="960"/>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B</w:t>
            </w:r>
          </w:p>
        </w:tc>
        <w:tc>
          <w:tcPr>
            <w:tcW w:type="dxa" w:w="1554"/>
            <w:tcBorders>
              <w:top w:val="single" w:color="A1A6D4" w:sz="4"/>
              <w:left w:val="single" w:color="A1A6D4" w:sz="4"/>
              <w:bottom w:val="single" w:color="A1A6D4" w:sz="4"/>
              <w:right w:val="single" w:color="A1A6D4" w:sz="4"/>
            </w:tcBorders>
            <w:tcMar>
              <w:top w:type="dxa" w:w="60"/>
              <w:left w:type="dxa" w:w="100"/>
              <w:bottom w:type="dxa" w:w="60"/>
              <w:right w:type="dxa" w:w="100"/>
            </w:tcMar>
          </w:tcPr>
          <w:p/>
        </w:tc>
        <w:tc>
          <w:tcPr>
            <w:tcW w:type="dxa" w:w="1354"/>
            <w:tcBorders>
              <w:top w:val="single" w:color="A1A6D4" w:sz="4"/>
              <w:left w:val="single" w:color="A1A6D4" w:sz="4"/>
              <w:bottom w:val="single" w:color="A1A6D4" w:sz="4"/>
              <w:right w:val="single" w:color="A1A6D4" w:sz="4"/>
            </w:tcBorders>
            <w:tcMar>
              <w:top w:type="dxa" w:w="60"/>
              <w:left w:type="dxa" w:w="100"/>
              <w:bottom w:type="dxa" w:w="60"/>
              <w:right w:type="dxa" w:w="100"/>
            </w:tcMar>
          </w:tcPr>
          <w:p/>
        </w:tc>
        <w:tc>
          <w:tcPr>
            <w:tcW w:type="dxa" w:w="1057"/>
            <w:tcBorders>
              <w:top w:val="single" w:color="A1A6D4" w:sz="4"/>
              <w:left w:val="single" w:color="A1A6D4" w:sz="4"/>
              <w:bottom w:val="single" w:color="A1A6D4" w:sz="4"/>
              <w:right w:val="single" w:color="A1A6D4" w:sz="4"/>
            </w:tcBorders>
            <w:tcMar>
              <w:top w:type="dxa" w:w="60"/>
              <w:left w:type="dxa" w:w="100"/>
              <w:bottom w:type="dxa" w:w="60"/>
              <w:right w:type="dxa" w:w="100"/>
            </w:tcMar>
          </w:tcPr>
          <w:p/>
        </w:tc>
        <w:tc>
          <w:tcPr>
            <w:tcW w:type="dxa" w:w="2545"/>
            <w:tcBorders>
              <w:top w:val="single" w:color="A1A6D4" w:sz="4"/>
              <w:left w:val="single" w:color="A1A6D4" w:sz="4"/>
              <w:bottom w:val="single" w:color="A1A6D4" w:sz="4"/>
              <w:right w:val="single" w:color="A1A6D4" w:sz="4"/>
            </w:tcBorders>
            <w:tcMar>
              <w:top w:type="dxa" w:w="60"/>
              <w:left w:type="dxa" w:w="100"/>
              <w:bottom w:type="dxa" w:w="60"/>
              <w:right w:type="dxa" w:w="100"/>
            </w:tcMar>
          </w:tcPr>
          <w:p/>
        </w:tc>
        <w:tc>
          <w:tcPr>
            <w:tcW w:type="dxa" w:w="1408"/>
            <w:tcBorders>
              <w:top w:val="single" w:color="A1A6D4" w:sz="4"/>
              <w:left w:val="single" w:color="A1A6D4" w:sz="4"/>
              <w:bottom w:val="single" w:color="A1A6D4" w:sz="4"/>
              <w:right w:val="single" w:color="A1A6D4" w:sz="4"/>
            </w:tcBorders>
            <w:tcMar>
              <w:top w:type="dxa" w:w="60"/>
              <w:left w:type="dxa" w:w="100"/>
              <w:bottom w:type="dxa" w:w="60"/>
              <w:right w:type="dxa" w:w="100"/>
            </w:tcMar>
          </w:tcPr>
          <w:p/>
        </w:tc>
      </w:tr>
    </w:tbl>
    <w:p>
      <w:pPr>
        <w:spacing w:after="60"/>
      </w:pPr>
    </w:p>
    <w:p>
      <w:pPr>
        <w:spacing w:after="120"/>
      </w:pPr>
      <w:r>
        <w:t xml:space="preserve">On retient le </w:t>
      </w:r>
      <w:r>
        <w:rPr>
          <w:b/>
          <w:bCs/>
        </w:rPr>
        <w:t xml:space="preserve">pire des trois essais</w:t>
      </w:r>
      <w:r>
        <w:t xml:space="preserve">, pas la moyenne : un RTO se garantit, il ne s'espère pas.</w:t>
      </w:r>
    </w:p>
    <w:p>
      <w:pPr>
        <w:pStyle w:val="Heading2"/>
      </w:pPr>
      <w:r>
        <w:t xml:space="preserve">7. Ce que ces objectifs ne couvrent pas</w:t>
      </w:r>
    </w:p>
    <w:p>
      <w:pPr>
        <w:pStyle w:val="ListParagraph"/>
        <w:numPr>
          <w:ilvl w:val="0"/>
          <w:numId w:val="2"/>
        </w:numPr>
        <w:spacing w:after="60"/>
      </w:pPr>
      <w:r>
        <w:rPr>
          <w:b/>
          <w:bCs/>
        </w:rPr>
        <w:t xml:space="preserve">Perte du PC Hôte</w:t>
      </w:r>
      <w:r>
        <w:t xml:space="preserve"> (panne, rançongiciel R7) : pas de deuxième site, donc pas de RTO tenable. La reprise passe par une réinstallation depuis le dépôt Git (WOR‑49), sans objectif chiffré. C'est un risque résiduel assumé, à porter dans le PCA/PRA (WOR‑71).</w:t>
      </w:r>
    </w:p>
    <w:p>
      <w:pPr>
        <w:pStyle w:val="ListParagraph"/>
        <w:numPr>
          <w:ilvl w:val="0"/>
          <w:numId w:val="2"/>
        </w:numPr>
        <w:spacing w:after="60"/>
      </w:pPr>
      <w:r>
        <w:rPr>
          <w:b/>
          <w:bCs/>
        </w:rPr>
        <w:t xml:space="preserve">Sauvegardes sur le même hôte</w:t>
      </w:r>
      <w:r>
        <w:t xml:space="preserve"> : le RPO de 0 ne tient que si la base n'est pas détruite avec son hôte.</w:t>
      </w:r>
    </w:p>
    <w:p>
      <w:pPr>
        <w:pStyle w:val="ListParagraph"/>
        <w:numPr>
          <w:ilvl w:val="0"/>
          <w:numId w:val="2"/>
        </w:numPr>
        <w:spacing w:after="60"/>
      </w:pPr>
      <w:r>
        <w:rPr>
          <w:b/>
          <w:bCs/>
        </w:rPr>
        <w:t xml:space="preserve">Faux positif du modèle ML</w:t>
      </w:r>
      <w:r>
        <w:t xml:space="preserve"> : une remédiation déclenchée à tort provoque elle-même une coupure, que le RTO doit absorber. À mesurer pendant le chaos engineering (WOR‑76).</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A4470"/>
        <w:sz w:val="16"/>
        <w:szCs w:val="16"/>
      </w:rPr>
      <w:t xml:space="preserve">Page </w:t>
    </w:r>
    <w:r>
      <w:rPr>
        <w:color w:val="4A4470"/>
        <w:sz w:val="16"/>
        <w:szCs w:val="16"/>
      </w:rPr>
      <w:fldChar w:fldCharType="begin"/>
    </w:r>
    <w:r>
      <w:rPr>
        <w:color w:val="4A4470"/>
        <w:sz w:val="16"/>
        <w:szCs w:val="16"/>
      </w:rPr>
      <w:instrText xml:space="preserve">PAGE</w:instrText>
    </w:r>
    <w:r>
      <w:rPr>
        <w:color w:val="4A4470"/>
        <w:sz w:val="16"/>
        <w:szCs w:val="16"/>
      </w:rPr>
      <w:fldChar w:fldCharType="separate"/>
    </w:r>
    <w:r>
      <w:rPr>
        <w:color w:val="4A4470"/>
        <w:sz w:val="16"/>
        <w:szCs w:val="16"/>
      </w:rPr>
      <w:fldChar w:fldCharType="end"/>
    </w:r>
    <w:r>
      <w:rPr>
        <w:color w:val="4A4470"/>
        <w:sz w:val="16"/>
        <w:szCs w:val="16"/>
      </w:rPr>
      <w:t xml:space="preserve"> / </w:t>
    </w:r>
    <w:r>
      <w:rPr>
        <w:color w:val="4A4470"/>
        <w:sz w:val="16"/>
        <w:szCs w:val="16"/>
      </w:rPr>
      <w:fldChar w:fldCharType="begin"/>
    </w:r>
    <w:r>
      <w:rPr>
        <w:color w:val="4A4470"/>
        <w:sz w:val="16"/>
        <w:szCs w:val="16"/>
      </w:rPr>
      <w:instrText xml:space="preserve">NUMPAGES</w:instrText>
    </w:r>
    <w:r>
      <w:rPr>
        <w:color w:val="4A4470"/>
        <w:sz w:val="16"/>
        <w:szCs w:val="16"/>
      </w:rPr>
      <w:fldChar w:fldCharType="separate"/>
    </w:r>
    <w:r>
      <w:rPr>
        <w:color w:val="4A4470"/>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abstractNum>
  <w:abstractNum w:abstractNumId="3" w15:restartNumberingAfterBreak="0">
    <w:multiLevelType w:val="hybridMultilevel"/>
    <w:lvl w:ilvl="0" w:tentative="1">
      <w:start w:val="1"/>
      <w:numFmt w:val="decimal"/>
      <w:lvlText w:val="%1."/>
      <w:lvlJc w:val="left"/>
      <w:pPr>
        <w:ind w:left="720" w:hanging="360"/>
      </w:pPr>
    </w:lvl>
    <w:lvl w:ilvl="1" w: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lvlOverride w:ilvl="1">
      <w:startOverride w:val="1"/>
    </w:lvlOverride>
  </w:num>
  <w:num w:numId="3">
    <w:abstractNumId w:val="3"/>
    <w:lvlOverride w:ilvl="0">
      <w:startOverride w:val="1"/>
    </w:lvlOverride>
    <w:lvlOverride w:ilvl="1">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20"/>
    </w:pPr>
    <w:rPr>
      <w:rFonts w:ascii="Calibri" w:cs="Calibri" w:eastAsia="Calibri" w:hAnsi="Calibri"/>
      <w:b/>
      <w:bCs/>
      <w:color w:val="261E48"/>
      <w:sz w:val="44"/>
      <w:szCs w:val="44"/>
    </w:rPr>
  </w:style>
  <w:style w:type="paragraph" w:styleId="Heading1">
    <w:name w:val="Heading 1"/>
    <w:basedOn w:val="Normal"/>
    <w:next w:val="Normal"/>
    <w:qFormat/>
    <w:pPr>
      <w:keepNext/>
      <w:spacing w:after="160" w:before="360"/>
      <w:outlineLvl w:val="0"/>
    </w:pPr>
    <w:rPr>
      <w:b/>
      <w:bCs/>
      <w:color w:val="261E48"/>
      <w:sz w:val="32"/>
      <w:szCs w:val="32"/>
    </w:rPr>
  </w:style>
  <w:style w:type="paragraph" w:styleId="Heading2">
    <w:name w:val="Heading 2"/>
    <w:basedOn w:val="Normal"/>
    <w:next w:val="Normal"/>
    <w:qFormat/>
    <w:pPr>
      <w:keepNext/>
      <w:spacing w:after="120" w:before="280"/>
      <w:outlineLvl w:val="1"/>
    </w:pPr>
    <w:rPr>
      <w:b/>
      <w:bCs/>
      <w:color w:val="261E48"/>
      <w:sz w:val="26"/>
      <w:szCs w:val="26"/>
    </w:rPr>
  </w:style>
  <w:style w:type="paragraph" w:styleId="Heading3">
    <w:name w:val="Heading 3"/>
    <w:basedOn w:val="Normal"/>
    <w:next w:val="Normal"/>
    <w:qFormat/>
    <w:pPr>
      <w:keepNext/>
      <w:spacing w:after="100" w:before="200"/>
      <w:outlineLvl w:val="2"/>
    </w:pPr>
    <w:rPr>
      <w:b/>
      <w:bCs/>
      <w:color w:val="4A4470"/>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Objectifs RTO / RPO</dc:title>
  <dc:creator>Groupe 6</dc:creator>
  <cp:lastModifiedBy>Un-named</cp:lastModifiedBy>
  <cp:revision>1</cp:revision>
  <dcterms:created xsi:type="dcterms:W3CDTF">2026-10-19T12:46:12.410Z</dcterms:created>
  <dcterms:modified xsi:type="dcterms:W3CDTF">2026-10-19T12:46:12.410Z</dcterms:modified>
</cp:coreProperties>
</file>

<file path=docProps/custom.xml><?xml version="1.0" encoding="utf-8"?>
<Properties xmlns="http://schemas.openxmlformats.org/officeDocument/2006/custom-properties" xmlns:vt="http://schemas.openxmlformats.org/officeDocument/2006/docPropsVTypes"/>
</file>