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EBIOS RM — Matrice de risques (version initiale)</w:t>
      </w:r>
    </w:p>
    <w:p>
      <w:pPr>
        <w:pBdr>
          <w:left w:val="single" w:color="A1A6D4" w:sz="18" w:space="8"/>
        </w:pBdr>
        <w:spacing w:after="120"/>
        <w:ind w:left="360"/>
      </w:pPr>
      <w:r>
        <w:rPr>
          <w:i/>
          <w:iCs/>
          <w:color w:val="4A4470"/>
        </w:rPr>
        <w:t xml:space="preserve">Ticket : WOR‑31 · Responsable : Cédric · Version 0.1 du 19/10/2026, à valider par les coachs</w:t>
      </w:r>
    </w:p>
    <w:p>
      <w:pPr>
        <w:pBdr>
          <w:left w:val="single" w:color="A1A6D4" w:sz="18" w:space="8"/>
        </w:pBdr>
        <w:spacing w:after="120"/>
        <w:ind w:left="360"/>
      </w:pPr>
      <w:r>
        <w:rPr>
          <w:i/>
          <w:iCs/>
          <w:color w:val="4A4470"/>
        </w:rPr>
        <w:t xml:space="preserve">Cette version couvre les </w:t>
      </w:r>
      <w:r>
        <w:rPr>
          <w:b/>
          <w:bCs/>
          <w:i/>
          <w:iCs/>
          <w:color w:val="4A4470"/>
        </w:rPr>
        <w:t xml:space="preserve">ateliers 1 et 2</w:t>
      </w:r>
      <w:r>
        <w:rPr>
          <w:i/>
          <w:iCs/>
          <w:color w:val="4A4470"/>
        </w:rPr>
        <w:t xml:space="preserve">. Les ateliers 3 à 5 (scénarios stratégiques et opérationnels, traitement du risque) seront faits dans WOR‑67, une fois l'architecture (WOR‑27) et le scénario d'attaque (WOR‑29) arrêtés.</w:t>
      </w:r>
    </w:p>
    <w:p>
      <w:pPr>
        <w:pStyle w:val="Heading2"/>
      </w:pPr>
      <w:r>
        <w:t xml:space="preserve">Hypothèses de travail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L'entreprise est un </w:t>
      </w:r>
      <w:r>
        <w:rPr>
          <w:b/>
          <w:bCs/>
        </w:rPr>
        <w:t xml:space="preserve">opérateur de paiement fictif</w:t>
      </w:r>
      <w:r>
        <w:t xml:space="preserve">. Il traite les paiements de commerçants partenaires pour des utilisateurs finaux. Toutes les données sont fictives.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démonstrateur tourne sur </w:t>
      </w:r>
      <w:r>
        <w:rPr>
          <w:b/>
          <w:bCs/>
        </w:rPr>
        <w:t xml:space="preserve">un seul PC Hôte</w:t>
      </w:r>
      <w:r>
        <w:t xml:space="preserve">, avec Docker Compose sur le réseau </w:t>
      </w:r>
      <w:r>
        <w:rPr>
          <w:rFonts w:ascii="Menlo" w:cs="Menlo" w:eastAsia="Menlo" w:hAnsi="Menlo"/>
          <w:sz w:val="19"/>
          <w:szCs w:val="19"/>
        </w:rPr>
        <w:t xml:space="preserve">RESILIENCE-G6</w:t>
      </w:r>
      <w:r>
        <w:t xml:space="preserve">. L'attaque vient d'un PC Attaquant distinct.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coût d'un arrêt est chiffré dans </w:t>
      </w:r>
      <w:r>
        <w:rPr>
          <w:rFonts w:ascii="Menlo" w:cs="Menlo" w:eastAsia="Menlo" w:hAnsi="Menlo"/>
          <w:sz w:val="19"/>
          <w:szCs w:val="19"/>
        </w:rPr>
        <w:t xml:space="preserve">services-critiques.md</w:t>
      </w:r>
      <w:r>
        <w:t xml:space="preserve"> (WOR‑68). Les objectifs RTO/RPO seront arrêtés dans WOR‑70.</w:t>
      </w:r>
    </w:p>
    <w:p>
      <w:pPr>
        <w:pStyle w:val="Heading2"/>
      </w:pPr>
      <w:r>
        <w:t xml:space="preserve">Atelier 1 — Cadrage et socle de sécurité</w:t>
      </w:r>
    </w:p>
    <w:p>
      <w:pPr>
        <w:pStyle w:val="Heading3"/>
      </w:pPr>
      <w:r>
        <w:t xml:space="preserve">1.1 Valeurs métier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329"/>
        <w:gridCol w:w="1360"/>
        <w:gridCol w:w="2389"/>
      </w:tblGrid>
      <w:tr>
        <w:trPr>
          <w:cantSplit/>
          <w:tblHeader/>
        </w:trPr>
        <w:tc>
          <w:tcPr>
            <w:tcW w:type="dxa" w:w="5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532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Valeur métier</w:t>
            </w:r>
          </w:p>
        </w:tc>
        <w:tc>
          <w:tcPr>
            <w:tcW w:type="dxa" w:w="13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Nature</w:t>
            </w:r>
          </w:p>
        </w:tc>
        <w:tc>
          <w:tcPr>
            <w:tcW w:type="dxa" w:w="238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Responsable métier (fictif)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VM1</w:t>
            </w:r>
          </w:p>
        </w:tc>
        <w:tc>
          <w:tcPr>
            <w:tcW w:type="dxa" w:w="532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Traitement des paiements : initier, autoriser, enregistrer une transaction</w:t>
            </w:r>
          </w:p>
        </w:tc>
        <w:tc>
          <w:tcPr>
            <w:tcW w:type="dxa" w:w="13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Processus</w:t>
            </w:r>
          </w:p>
        </w:tc>
        <w:tc>
          <w:tcPr>
            <w:tcW w:type="dxa" w:w="238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Direction des opérations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VM2</w:t>
            </w:r>
          </w:p>
        </w:tc>
        <w:tc>
          <w:tcPr>
            <w:tcW w:type="dxa" w:w="532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Consultation des transactions par les partenaires et les utilisateurs</w:t>
            </w:r>
          </w:p>
        </w:tc>
        <w:tc>
          <w:tcPr>
            <w:tcW w:type="dxa" w:w="13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Processus</w:t>
            </w:r>
          </w:p>
        </w:tc>
        <w:tc>
          <w:tcPr>
            <w:tcW w:type="dxa" w:w="238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Direction des opérations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VM3</w:t>
            </w:r>
          </w:p>
        </w:tc>
        <w:tc>
          <w:tcPr>
            <w:tcW w:type="dxa" w:w="532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Authentification et gestion des accès</w:t>
            </w:r>
          </w:p>
        </w:tc>
        <w:tc>
          <w:tcPr>
            <w:tcW w:type="dxa" w:w="13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Processus</w:t>
            </w:r>
          </w:p>
        </w:tc>
        <w:tc>
          <w:tcPr>
            <w:tcW w:type="dxa" w:w="238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RSSI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VM4</w:t>
            </w:r>
          </w:p>
        </w:tc>
        <w:tc>
          <w:tcPr>
            <w:tcW w:type="dxa" w:w="532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Données de comptes et de transactions</w:t>
            </w:r>
          </w:p>
        </w:tc>
        <w:tc>
          <w:tcPr>
            <w:tcW w:type="dxa" w:w="13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Information</w:t>
            </w:r>
          </w:p>
        </w:tc>
        <w:tc>
          <w:tcPr>
            <w:tcW w:type="dxa" w:w="238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DPO / Direction financière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VM5</w:t>
            </w:r>
          </w:p>
        </w:tc>
        <w:tc>
          <w:tcPr>
            <w:tcW w:type="dxa" w:w="532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Traçabilité : journaux et preuves d'audit</w:t>
            </w:r>
          </w:p>
        </w:tc>
        <w:tc>
          <w:tcPr>
            <w:tcW w:type="dxa" w:w="13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Information</w:t>
            </w:r>
          </w:p>
        </w:tc>
        <w:tc>
          <w:tcPr>
            <w:tcW w:type="dxa" w:w="238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RSSI / Conformité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VM6</w:t>
            </w:r>
          </w:p>
        </w:tc>
        <w:tc>
          <w:tcPr>
            <w:tcW w:type="dxa" w:w="532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Capacité de détection et de reprise automatique</w:t>
            </w:r>
          </w:p>
        </w:tc>
        <w:tc>
          <w:tcPr>
            <w:tcW w:type="dxa" w:w="13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Processus</w:t>
            </w:r>
          </w:p>
        </w:tc>
        <w:tc>
          <w:tcPr>
            <w:tcW w:type="dxa" w:w="238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Direction de la production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1.2 Biens supports (provisoires, à aligner sur WOR-27)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5972"/>
        <w:gridCol w:w="3006"/>
      </w:tblGrid>
      <w:tr>
        <w:trPr>
          <w:cantSplit/>
          <w:tblHeader/>
        </w:trPr>
        <w:tc>
          <w:tcPr>
            <w:tcW w:type="dxa" w:w="6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597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Bien support</w:t>
            </w:r>
          </w:p>
        </w:tc>
        <w:tc>
          <w:tcPr>
            <w:tcW w:type="dxa" w:w="300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Valeurs métier portées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BS1</w:t>
            </w:r>
          </w:p>
        </w:tc>
        <w:tc>
          <w:tcPr>
            <w:tcW w:type="dxa" w:w="597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Front web de paiement</w:t>
            </w:r>
          </w:p>
        </w:tc>
        <w:tc>
          <w:tcPr>
            <w:tcW w:type="dxa" w:w="300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VM1, VM2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BS2</w:t>
            </w:r>
          </w:p>
        </w:tc>
        <w:tc>
          <w:tcPr>
            <w:tcW w:type="dxa" w:w="597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 métier de paiement</w:t>
            </w:r>
          </w:p>
        </w:tc>
        <w:tc>
          <w:tcPr>
            <w:tcW w:type="dxa" w:w="300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VM1, VM2, VM4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BS3</w:t>
            </w:r>
          </w:p>
        </w:tc>
        <w:tc>
          <w:tcPr>
            <w:tcW w:type="dxa" w:w="597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Service d'authentification</w:t>
            </w:r>
          </w:p>
        </w:tc>
        <w:tc>
          <w:tcPr>
            <w:tcW w:type="dxa" w:w="300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VM3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BS4</w:t>
            </w:r>
          </w:p>
        </w:tc>
        <w:tc>
          <w:tcPr>
            <w:tcW w:type="dxa" w:w="597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Base de données (comptes, transactions)</w:t>
            </w:r>
          </w:p>
        </w:tc>
        <w:tc>
          <w:tcPr>
            <w:tcW w:type="dxa" w:w="300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VM1, VM4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BS5</w:t>
            </w:r>
          </w:p>
        </w:tc>
        <w:tc>
          <w:tcPr>
            <w:tcW w:type="dxa" w:w="597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WAF / reverse proxy</w:t>
            </w:r>
          </w:p>
        </w:tc>
        <w:tc>
          <w:tcPr>
            <w:tcW w:type="dxa" w:w="300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VM1, VM2, VM3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BS6</w:t>
            </w:r>
          </w:p>
        </w:tc>
        <w:tc>
          <w:tcPr>
            <w:tcW w:type="dxa" w:w="597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Stack d'observabilité (Prometheus, Loki, Grafana) et SIEM</w:t>
            </w:r>
          </w:p>
        </w:tc>
        <w:tc>
          <w:tcPr>
            <w:tcW w:type="dxa" w:w="300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VM5, VM6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BS7</w:t>
            </w:r>
          </w:p>
        </w:tc>
        <w:tc>
          <w:tcPr>
            <w:tcW w:type="dxa" w:w="597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Service d'inférence ML (détection d'anomalies)</w:t>
            </w:r>
          </w:p>
        </w:tc>
        <w:tc>
          <w:tcPr>
            <w:tcW w:type="dxa" w:w="300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VM6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BS8</w:t>
            </w:r>
          </w:p>
        </w:tc>
        <w:tc>
          <w:tcPr>
            <w:tcW w:type="dxa" w:w="597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Moteur de remédiation, playbooks Ansible, accès au moteur Docker</w:t>
            </w:r>
          </w:p>
        </w:tc>
        <w:tc>
          <w:tcPr>
            <w:tcW w:type="dxa" w:w="300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VM6, puis indirectement toutes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BS9</w:t>
            </w:r>
          </w:p>
        </w:tc>
        <w:tc>
          <w:tcPr>
            <w:tcW w:type="dxa" w:w="597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Gestion des secrets (Vault ou SOPS)</w:t>
            </w:r>
          </w:p>
        </w:tc>
        <w:tc>
          <w:tcPr>
            <w:tcW w:type="dxa" w:w="300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VM3, VM4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BS10</w:t>
            </w:r>
          </w:p>
        </w:tc>
        <w:tc>
          <w:tcPr>
            <w:tcW w:type="dxa" w:w="597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Assistant RAG (Ollama, LangChain)</w:t>
            </w:r>
          </w:p>
        </w:tc>
        <w:tc>
          <w:tcPr>
            <w:tcW w:type="dxa" w:w="300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VM6 (aide aux opérateurs)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BS11</w:t>
            </w:r>
          </w:p>
        </w:tc>
        <w:tc>
          <w:tcPr>
            <w:tcW w:type="dxa" w:w="597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PC Hôte et réseau </w:t>
            </w:r>
            <w:r>
              <w:rPr>
                <w:rFonts w:ascii="Menlo" w:cs="Menlo" w:eastAsia="Menlo" w:hAnsi="Menlo"/>
                <w:sz w:val="17"/>
                <w:szCs w:val="17"/>
              </w:rPr>
              <w:t xml:space="preserve">RESILIENCE-G6</w:t>
            </w:r>
          </w:p>
        </w:tc>
        <w:tc>
          <w:tcPr>
            <w:tcW w:type="dxa" w:w="300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Toutes</w:t>
            </w:r>
          </w:p>
        </w:tc>
      </w:tr>
      <w:tr>
        <w:trPr>
          <w:cantSplit/>
          <w:tblHeader w:val="off"/>
        </w:trPr>
        <w:tc>
          <w:tcPr>
            <w:tcW w:type="dxa" w:w="6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BS12</w:t>
            </w:r>
          </w:p>
        </w:tc>
        <w:tc>
          <w:tcPr>
            <w:tcW w:type="dxa" w:w="597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Dépôt Git et procédure de déploiement</w:t>
            </w:r>
          </w:p>
        </w:tc>
        <w:tc>
          <w:tcPr>
            <w:tcW w:type="dxa" w:w="300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VM6</w:t>
            </w:r>
          </w:p>
        </w:tc>
      </w:tr>
    </w:tbl>
    <w:p>
      <w:pPr>
        <w:spacing w:after="60"/>
      </w:pPr>
    </w:p>
    <w:p>
      <w:pPr>
        <w:pBdr>
          <w:left w:val="single" w:color="A1A6D4" w:sz="18" w:space="8"/>
        </w:pBdr>
        <w:spacing w:after="120"/>
        <w:ind w:left="360"/>
      </w:pPr>
      <w:r>
        <w:rPr>
          <w:b/>
          <w:bCs/>
          <w:i/>
          <w:iCs/>
          <w:color w:val="4A4470"/>
        </w:rPr>
        <w:t xml:space="preserve">Point d'attention :</w:t>
      </w:r>
      <w:r>
        <w:rPr>
          <w:i/>
          <w:iCs/>
          <w:color w:val="4A4470"/>
        </w:rPr>
        <w:t xml:space="preserve"> BS8 (le moteur de remédiation) a des droits élevés sur tous les conteneurs. C'est le bien support le plus sensible du dispositif (voir ER6).</w:t>
      </w:r>
    </w:p>
    <w:p>
      <w:pPr>
        <w:pStyle w:val="Heading3"/>
      </w:pPr>
      <w:r>
        <w:t xml:space="preserve">1.3 Événements redoutés</w:t>
      </w:r>
    </w:p>
    <w:p>
      <w:pPr>
        <w:spacing w:after="120"/>
      </w:pPr>
      <w:r>
        <w:t xml:space="preserve">Échelle de gravité : </w:t>
      </w:r>
      <w:r>
        <w:rPr>
          <w:b/>
          <w:bCs/>
        </w:rPr>
        <w:t xml:space="preserve">G1</w:t>
      </w:r>
      <w:r>
        <w:t xml:space="preserve"> mineure · </w:t>
      </w:r>
      <w:r>
        <w:rPr>
          <w:b/>
          <w:bCs/>
        </w:rPr>
        <w:t xml:space="preserve">G2</w:t>
      </w:r>
      <w:r>
        <w:t xml:space="preserve"> significative · </w:t>
      </w:r>
      <w:r>
        <w:rPr>
          <w:b/>
          <w:bCs/>
        </w:rPr>
        <w:t xml:space="preserve">G3</w:t>
      </w:r>
      <w:r>
        <w:t xml:space="preserve"> grave · </w:t>
      </w:r>
      <w:r>
        <w:rPr>
          <w:b/>
          <w:bCs/>
        </w:rPr>
        <w:t xml:space="preserve">G4</w:t>
      </w:r>
      <w:r>
        <w:t xml:space="preserve"> critique.</w:t>
      </w:r>
    </w:p>
    <w:p>
      <w:pPr>
        <w:spacing w:after="120"/>
      </w:pPr>
      <w:r>
        <w:t xml:space="preserve">Pour une indisponibilité, l'échelle est chiffrée dans </w:t>
      </w:r>
      <w:r>
        <w:rPr>
          <w:rFonts w:ascii="Menlo" w:cs="Menlo" w:eastAsia="Menlo" w:hAnsi="Menlo"/>
          <w:sz w:val="19"/>
          <w:szCs w:val="19"/>
        </w:rPr>
        <w:t xml:space="preserve">services-critiques.md</w:t>
      </w:r>
      <w:r>
        <w:t xml:space="preserve"> (WOR‑68) : G1 ≤ 5 min (~1,5 k€), G2 ≤ 30 min (~10 k€), G3 ≤ 2 h (~700 k€, SLA dépassé), G4 &gt; 2 h (&gt; 1,5 M€, incident majeur DORA).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607"/>
        <w:gridCol w:w="839"/>
        <w:gridCol w:w="3671"/>
        <w:gridCol w:w="961"/>
      </w:tblGrid>
      <w:tr>
        <w:trPr>
          <w:cantSplit/>
          <w:tblHeader/>
        </w:trPr>
        <w:tc>
          <w:tcPr>
            <w:tcW w:type="dxa" w:w="5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360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Événement redouté</w:t>
            </w:r>
          </w:p>
        </w:tc>
        <w:tc>
          <w:tcPr>
            <w:tcW w:type="dxa" w:w="83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VM</w:t>
            </w:r>
          </w:p>
        </w:tc>
        <w:tc>
          <w:tcPr>
            <w:tcW w:type="dxa" w:w="367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Impacts</w:t>
            </w:r>
          </w:p>
        </w:tc>
        <w:tc>
          <w:tcPr>
            <w:tcW w:type="dxa" w:w="96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Gravité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ER1</w:t>
            </w:r>
          </w:p>
        </w:tc>
        <w:tc>
          <w:tcPr>
            <w:tcW w:type="dxa" w:w="360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Paiements indisponibles au-delà du RTO</w:t>
            </w:r>
          </w:p>
        </w:tc>
        <w:tc>
          <w:tcPr>
            <w:tcW w:type="dxa" w:w="83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VM1</w:t>
            </w:r>
          </w:p>
        </w:tc>
        <w:tc>
          <w:tcPr>
            <w:tcW w:type="dxa" w:w="367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Transactions des partenaires bloquées, perte de chiffre d'affaires, perte de confiance, incident majeur à déclarer (DORA)</w:t>
            </w:r>
          </w:p>
        </w:tc>
        <w:tc>
          <w:tcPr>
            <w:tcW w:type="dxa" w:w="96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G4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ER2</w:t>
            </w:r>
          </w:p>
        </w:tc>
        <w:tc>
          <w:tcPr>
            <w:tcW w:type="dxa" w:w="360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Transactions altérées ou incohérentes (montant modifié, double débit, transaction fantôme)</w:t>
            </w:r>
          </w:p>
        </w:tc>
        <w:tc>
          <w:tcPr>
            <w:tcW w:type="dxa" w:w="83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VM1, VM4</w:t>
            </w:r>
          </w:p>
        </w:tc>
        <w:tc>
          <w:tcPr>
            <w:tcW w:type="dxa" w:w="367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Préjudice financier direct, litiges, données comptables fausses</w:t>
            </w:r>
          </w:p>
        </w:tc>
        <w:tc>
          <w:tcPr>
            <w:tcW w:type="dxa" w:w="96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G4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ER3</w:t>
            </w:r>
          </w:p>
        </w:tc>
        <w:tc>
          <w:tcPr>
            <w:tcW w:type="dxa" w:w="360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Fuite des données de comptes ou de transactions</w:t>
            </w:r>
          </w:p>
        </w:tc>
        <w:tc>
          <w:tcPr>
            <w:tcW w:type="dxa" w:w="83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VM4</w:t>
            </w:r>
          </w:p>
        </w:tc>
        <w:tc>
          <w:tcPr>
            <w:tcW w:type="dxa" w:w="367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Atteinte à la vie privée (RGPD), sanctions, atteinte à l'image</w:t>
            </w:r>
          </w:p>
        </w:tc>
        <w:tc>
          <w:tcPr>
            <w:tcW w:type="dxa" w:w="96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G3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ER4</w:t>
            </w:r>
          </w:p>
        </w:tc>
        <w:tc>
          <w:tcPr>
            <w:tcW w:type="dxa" w:w="360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Accès non autorisé à un compte (usurpation d'identité)</w:t>
            </w:r>
          </w:p>
        </w:tc>
        <w:tc>
          <w:tcPr>
            <w:tcW w:type="dxa" w:w="83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VM3</w:t>
            </w:r>
          </w:p>
        </w:tc>
        <w:tc>
          <w:tcPr>
            <w:tcW w:type="dxa" w:w="367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Fraude, opérations frauduleuses initiées</w:t>
            </w:r>
          </w:p>
        </w:tc>
        <w:tc>
          <w:tcPr>
            <w:tcW w:type="dxa" w:w="96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G3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ER5</w:t>
            </w:r>
          </w:p>
        </w:tc>
        <w:tc>
          <w:tcPr>
            <w:tcW w:type="dxa" w:w="360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Journaux perdus ou altérés</w:t>
            </w:r>
          </w:p>
        </w:tc>
        <w:tc>
          <w:tcPr>
            <w:tcW w:type="dxa" w:w="83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VM5</w:t>
            </w:r>
          </w:p>
        </w:tc>
        <w:tc>
          <w:tcPr>
            <w:tcW w:type="dxa" w:w="367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Investigation impossible, preuves perdues, non-conformité</w:t>
            </w:r>
          </w:p>
        </w:tc>
        <w:tc>
          <w:tcPr>
            <w:tcW w:type="dxa" w:w="96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G3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ER6</w:t>
            </w:r>
          </w:p>
        </w:tc>
        <w:tc>
          <w:tcPr>
            <w:tcW w:type="dxa" w:w="360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Moteur de remédiation détourné ou en erreur (arrêt de services, restauration de mauvaises données)</w:t>
            </w:r>
          </w:p>
        </w:tc>
        <w:tc>
          <w:tcPr>
            <w:tcW w:type="dxa" w:w="83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VM6 → VM1</w:t>
            </w:r>
          </w:p>
        </w:tc>
        <w:tc>
          <w:tcPr>
            <w:tcW w:type="dxa" w:w="367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Interruption provoquée par le dispositif de défense lui-même, possibilité de rebond sur tout le SI</w:t>
            </w:r>
          </w:p>
        </w:tc>
        <w:tc>
          <w:tcPr>
            <w:tcW w:type="dxa" w:w="96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G4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ER7</w:t>
            </w:r>
          </w:p>
        </w:tc>
        <w:tc>
          <w:tcPr>
            <w:tcW w:type="dxa" w:w="360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Consultation des transactions indisponible</w:t>
            </w:r>
          </w:p>
        </w:tc>
        <w:tc>
          <w:tcPr>
            <w:tcW w:type="dxa" w:w="839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VM2</w:t>
            </w:r>
          </w:p>
        </w:tc>
        <w:tc>
          <w:tcPr>
            <w:tcW w:type="dxa" w:w="367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Gêne pour les partenaires, appels au support</w:t>
            </w:r>
          </w:p>
        </w:tc>
        <w:tc>
          <w:tcPr>
            <w:tcW w:type="dxa" w:w="96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G2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1.4 Socle de sécurité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6"/>
        <w:gridCol w:w="3707"/>
        <w:gridCol w:w="3515"/>
      </w:tblGrid>
      <w:tr>
        <w:trPr>
          <w:cantSplit/>
          <w:tblHeader/>
        </w:trPr>
        <w:tc>
          <w:tcPr>
            <w:tcW w:type="dxa" w:w="241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Référentiel</w:t>
            </w:r>
          </w:p>
        </w:tc>
        <w:tc>
          <w:tcPr>
            <w:tcW w:type="dxa" w:w="370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Applicabilité</w:t>
            </w:r>
          </w:p>
        </w:tc>
        <w:tc>
          <w:tcPr>
            <w:tcW w:type="dxa" w:w="351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Écarts connus à ce stade</w:t>
            </w:r>
          </w:p>
        </w:tc>
      </w:tr>
      <w:tr>
        <w:trPr>
          <w:cantSplit/>
          <w:tblHeader w:val="off"/>
        </w:trPr>
        <w:tc>
          <w:tcPr>
            <w:tcW w:type="dxa" w:w="241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DORA (règlement UE 2022/2554)</w:t>
            </w:r>
          </w:p>
        </w:tc>
        <w:tc>
          <w:tcPr>
            <w:tcW w:type="dxa" w:w="370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Applicable : entité financière</w:t>
            </w:r>
          </w:p>
        </w:tc>
        <w:tc>
          <w:tcPr>
            <w:tcW w:type="dxa" w:w="351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 de tests de résilience menés par un tiers, pas de gestion des prestataires TIC (voir WOR‑69)</w:t>
            </w:r>
          </w:p>
        </w:tc>
      </w:tr>
      <w:tr>
        <w:trPr>
          <w:cantSplit/>
          <w:tblHeader w:val="off"/>
        </w:trPr>
        <w:tc>
          <w:tcPr>
            <w:tcW w:type="dxa" w:w="241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NIS2 (directive UE 2022/2555)</w:t>
            </w:r>
          </w:p>
        </w:tc>
        <w:tc>
          <w:tcPr>
            <w:tcW w:type="dxa" w:w="370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Le secteur bancaire et les infrastructures des marchés financiers sont couverts, mais DORA s'applique en priorité</w:t>
            </w:r>
          </w:p>
        </w:tc>
        <w:tc>
          <w:tcPr>
            <w:tcW w:type="dxa" w:w="351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Analyse à faire dans WOR‑69</w:t>
            </w:r>
          </w:p>
        </w:tc>
      </w:tr>
      <w:tr>
        <w:trPr>
          <w:cantSplit/>
          <w:tblHeader w:val="off"/>
        </w:trPr>
        <w:tc>
          <w:tcPr>
            <w:tcW w:type="dxa" w:w="241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RGPD</w:t>
            </w:r>
          </w:p>
        </w:tc>
        <w:tc>
          <w:tcPr>
            <w:tcW w:type="dxa" w:w="370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Applicable par principe (données personnelles fictives)</w:t>
            </w:r>
          </w:p>
        </w:tc>
        <w:tc>
          <w:tcPr>
            <w:tcW w:type="dxa" w:w="351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Aucune donnée réelle, donc écart sans conséquence pour le prototype</w:t>
            </w:r>
          </w:p>
        </w:tc>
      </w:tr>
      <w:tr>
        <w:trPr>
          <w:cantSplit/>
          <w:tblHeader w:val="off"/>
        </w:trPr>
        <w:tc>
          <w:tcPr>
            <w:tcW w:type="dxa" w:w="241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Guide d'hygiène informatique de l'ANSSI</w:t>
            </w:r>
          </w:p>
        </w:tc>
        <w:tc>
          <w:tcPr>
            <w:tcW w:type="dxa" w:w="370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Bonnes pratiques de référence</w:t>
            </w:r>
          </w:p>
        </w:tc>
        <w:tc>
          <w:tcPr>
            <w:tcW w:type="dxa" w:w="351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Hôte unique (point de défaillance unique), pas de sauvegarde hors site</w:t>
            </w:r>
          </w:p>
        </w:tc>
      </w:tr>
      <w:tr>
        <w:trPr>
          <w:cantSplit/>
          <w:tblHeader w:val="off"/>
        </w:trPr>
        <w:tc>
          <w:tcPr>
            <w:tcW w:type="dxa" w:w="241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PCI DSS</w:t>
            </w:r>
          </w:p>
        </w:tc>
        <w:tc>
          <w:tcPr>
            <w:tcW w:type="dxa" w:w="3707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Référence du secteur pour les données de carte</w:t>
            </w:r>
          </w:p>
        </w:tc>
        <w:tc>
          <w:tcPr>
            <w:tcW w:type="dxa" w:w="351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Hors périmètre</w:t>
            </w:r>
            <w:r>
              <w:rPr>
                <w:sz w:val="18"/>
                <w:szCs w:val="18"/>
              </w:rPr>
              <w:t xml:space="preserve"> : aucune donnée de carte manipulée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Atelier 2 — Sources de risque et objectifs visés</w:t>
      </w:r>
    </w:p>
    <w:p>
      <w:pPr>
        <w:spacing w:after="120"/>
      </w:pPr>
      <w:r>
        <w:t xml:space="preserve">Cotation de la pertinence : </w:t>
      </w:r>
      <w:r>
        <w:rPr>
          <w:b/>
          <w:bCs/>
        </w:rPr>
        <w:t xml:space="preserve">1</w:t>
      </w:r>
      <w:r>
        <w:t xml:space="preserve"> faible · </w:t>
      </w:r>
      <w:r>
        <w:rPr>
          <w:b/>
          <w:bCs/>
        </w:rPr>
        <w:t xml:space="preserve">2</w:t>
      </w:r>
      <w:r>
        <w:t xml:space="preserve"> moyenne · </w:t>
      </w:r>
      <w:r>
        <w:rPr>
          <w:b/>
          <w:bCs/>
        </w:rPr>
        <w:t xml:space="preserve">3</w:t>
      </w:r>
      <w:r>
        <w:t xml:space="preserve"> forte. Elle combine la motivation, les ressources et l'activité constatée de la source.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595"/>
        <w:gridCol w:w="1731"/>
        <w:gridCol w:w="1284"/>
        <w:gridCol w:w="1376"/>
        <w:gridCol w:w="1260"/>
        <w:gridCol w:w="1832"/>
      </w:tblGrid>
      <w:tr>
        <w:trPr>
          <w:cantSplit/>
          <w:tblHeader/>
        </w:trPr>
        <w:tc>
          <w:tcPr>
            <w:tcW w:type="dxa" w:w="5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59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de risque (SR)</w:t>
            </w:r>
          </w:p>
        </w:tc>
        <w:tc>
          <w:tcPr>
            <w:tcW w:type="dxa" w:w="173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Objectif visé (OV)</w:t>
            </w:r>
          </w:p>
        </w:tc>
        <w:tc>
          <w:tcPr>
            <w:tcW w:type="dxa" w:w="128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Motivation</w:t>
            </w:r>
          </w:p>
        </w:tc>
        <w:tc>
          <w:tcPr>
            <w:tcW w:type="dxa" w:w="137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Ressources</w:t>
            </w:r>
          </w:p>
        </w:tc>
        <w:tc>
          <w:tcPr>
            <w:tcW w:type="dxa" w:w="12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Pertinence</w:t>
            </w:r>
          </w:p>
        </w:tc>
        <w:tc>
          <w:tcPr>
            <w:tcW w:type="dxa" w:w="183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Retenu ?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SR1</w:t>
            </w:r>
          </w:p>
        </w:tc>
        <w:tc>
          <w:tcPr>
            <w:tcW w:type="dxa" w:w="159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Cybercriminel organisé</w:t>
            </w:r>
          </w:p>
        </w:tc>
        <w:tc>
          <w:tcPr>
            <w:tcW w:type="dxa" w:w="173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Gain financier : fraude aux paiements, rançongiciel</w:t>
            </w:r>
          </w:p>
        </w:tc>
        <w:tc>
          <w:tcPr>
            <w:tcW w:type="dxa" w:w="128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Forte</w:t>
            </w:r>
          </w:p>
        </w:tc>
        <w:tc>
          <w:tcPr>
            <w:tcW w:type="dxa" w:w="137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Importantes</w:t>
            </w:r>
          </w:p>
        </w:tc>
        <w:tc>
          <w:tcPr>
            <w:tcW w:type="dxa" w:w="12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83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SR2</w:t>
            </w:r>
          </w:p>
        </w:tc>
        <w:tc>
          <w:tcPr>
            <w:tcW w:type="dxa" w:w="159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Hacktiviste</w:t>
            </w:r>
          </w:p>
        </w:tc>
        <w:tc>
          <w:tcPr>
            <w:tcW w:type="dxa" w:w="173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Visibilité, nuire à l'image : déni de service</w:t>
            </w:r>
          </w:p>
        </w:tc>
        <w:tc>
          <w:tcPr>
            <w:tcW w:type="dxa" w:w="128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tcW w:type="dxa" w:w="137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Moyennes (botnets loués)</w:t>
            </w:r>
          </w:p>
        </w:tc>
        <w:tc>
          <w:tcPr>
            <w:tcW w:type="dxa" w:w="12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83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SR3</w:t>
            </w:r>
          </w:p>
        </w:tc>
        <w:tc>
          <w:tcPr>
            <w:tcW w:type="dxa" w:w="159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Initié malveillant (employé, prestataire)</w:t>
            </w:r>
          </w:p>
        </w:tc>
        <w:tc>
          <w:tcPr>
            <w:tcW w:type="dxa" w:w="173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Vengeance ou gain : sabotage, fraude interne</w:t>
            </w:r>
          </w:p>
        </w:tc>
        <w:tc>
          <w:tcPr>
            <w:tcW w:type="dxa" w:w="128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Moyenne</w:t>
            </w:r>
          </w:p>
        </w:tc>
        <w:tc>
          <w:tcPr>
            <w:tcW w:type="dxa" w:w="137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Accès légitimes</w:t>
            </w:r>
          </w:p>
        </w:tc>
        <w:tc>
          <w:tcPr>
            <w:tcW w:type="dxa" w:w="12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83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SR4</w:t>
            </w:r>
          </w:p>
        </w:tc>
        <w:tc>
          <w:tcPr>
            <w:tcW w:type="dxa" w:w="159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Attaquant opportuniste</w:t>
            </w:r>
          </w:p>
        </w:tc>
        <w:tc>
          <w:tcPr>
            <w:tcW w:type="dxa" w:w="173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Défi, revente d'accès : exploitation d'une vulnérabilité web, bourrage d'identifiants</w:t>
            </w:r>
          </w:p>
        </w:tc>
        <w:tc>
          <w:tcPr>
            <w:tcW w:type="dxa" w:w="128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Faible</w:t>
            </w:r>
          </w:p>
        </w:tc>
        <w:tc>
          <w:tcPr>
            <w:tcW w:type="dxa" w:w="137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Outils publics</w:t>
            </w:r>
          </w:p>
        </w:tc>
        <w:tc>
          <w:tcPr>
            <w:tcW w:type="dxa" w:w="12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83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SR5</w:t>
            </w:r>
          </w:p>
        </w:tc>
        <w:tc>
          <w:tcPr>
            <w:tcW w:type="dxa" w:w="159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Concurrent ou officine d'espionnage</w:t>
            </w:r>
          </w:p>
        </w:tc>
        <w:tc>
          <w:tcPr>
            <w:tcW w:type="dxa" w:w="173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Vol de données commerciales</w:t>
            </w:r>
          </w:p>
        </w:tc>
        <w:tc>
          <w:tcPr>
            <w:tcW w:type="dxa" w:w="128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Faible</w:t>
            </w:r>
          </w:p>
        </w:tc>
        <w:tc>
          <w:tcPr>
            <w:tcW w:type="dxa" w:w="137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Moyennes</w:t>
            </w:r>
          </w:p>
        </w:tc>
        <w:tc>
          <w:tcPr>
            <w:tcW w:type="dxa" w:w="12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83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 données fictives, sans valeur concurrentielle</w:t>
            </w:r>
          </w:p>
        </w:tc>
      </w:tr>
      <w:tr>
        <w:trPr>
          <w:cantSplit/>
          <w:tblHeader w:val="off"/>
        </w:trPr>
        <w:tc>
          <w:tcPr>
            <w:tcW w:type="dxa" w:w="5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SR6</w:t>
            </w:r>
          </w:p>
        </w:tc>
        <w:tc>
          <w:tcPr>
            <w:tcW w:type="dxa" w:w="1595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Acteur étatique (APT)</w:t>
            </w:r>
          </w:p>
        </w:tc>
        <w:tc>
          <w:tcPr>
            <w:tcW w:type="dxa" w:w="173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Déstabiliser le secteur financier</w:t>
            </w:r>
          </w:p>
        </w:tc>
        <w:tc>
          <w:tcPr>
            <w:tcW w:type="dxa" w:w="1284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Faible pour une petite entité</w:t>
            </w:r>
          </w:p>
        </w:tc>
        <w:tc>
          <w:tcPr>
            <w:tcW w:type="dxa" w:w="137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Très importantes</w:t>
            </w:r>
          </w:p>
        </w:tc>
        <w:tc>
          <w:tcPr>
            <w:tcW w:type="dxa" w:w="12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83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❌ hors de portée d'un prototype de 4 jours, cité comme risque résiduel</w:t>
            </w:r>
          </w:p>
        </w:tc>
      </w:tr>
    </w:tbl>
    <w:p>
      <w:pPr>
        <w:spacing w:after="60"/>
      </w:pPr>
    </w:p>
    <w:p>
      <w:pPr>
        <w:pBdr>
          <w:left w:val="single" w:color="A1A6D4" w:sz="18" w:space="8"/>
        </w:pBdr>
        <w:spacing w:after="120"/>
        <w:ind w:left="360"/>
      </w:pPr>
      <w:r>
        <w:rPr>
          <w:i/>
          <w:iCs/>
          <w:color w:val="4A4470"/>
        </w:rPr>
        <w:t xml:space="preserve">Les événements non intentionnels (erreur d'exploitation, panne, faux positif du modèle ML) ne sont pas des sources de risque au sens d'EBIOS. Ils seront traités dans le PCA/PRA (WOR‑71).</w:t>
      </w:r>
    </w:p>
    <w:p>
      <w:pPr>
        <w:pStyle w:val="Heading2"/>
      </w:pPr>
      <w:r>
        <w:t xml:space="preserve">Matrice de risques initiale</w:t>
      </w:r>
    </w:p>
    <w:p>
      <w:pPr>
        <w:spacing w:after="120"/>
      </w:pPr>
      <w:r>
        <w:t xml:space="preserve">Vraisemblance provisoire : </w:t>
      </w:r>
      <w:r>
        <w:rPr>
          <w:b/>
          <w:bCs/>
        </w:rPr>
        <w:t xml:space="preserve">V1</w:t>
      </w:r>
      <w:r>
        <w:t xml:space="preserve"> peu vraisemblable · </w:t>
      </w:r>
      <w:r>
        <w:rPr>
          <w:b/>
          <w:bCs/>
        </w:rPr>
        <w:t xml:space="preserve">V2</w:t>
      </w:r>
      <w:r>
        <w:t xml:space="preserve"> vraisemblable · </w:t>
      </w:r>
      <w:r>
        <w:rPr>
          <w:b/>
          <w:bCs/>
        </w:rPr>
        <w:t xml:space="preserve">V3</w:t>
      </w:r>
      <w:r>
        <w:t xml:space="preserve"> très vraisemblable · </w:t>
      </w:r>
      <w:r>
        <w:rPr>
          <w:b/>
          <w:bCs/>
        </w:rPr>
        <w:t xml:space="preserve">V4</w:t>
      </w:r>
      <w:r>
        <w:t xml:space="preserve"> quasi certain. Elle sera affinée dans les ateliers 3 et 4.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5026"/>
        <w:gridCol w:w="960"/>
        <w:gridCol w:w="1560"/>
        <w:gridCol w:w="1632"/>
      </w:tblGrid>
      <w:tr>
        <w:trPr>
          <w:cantSplit/>
          <w:tblHeader/>
        </w:trPr>
        <w:tc>
          <w:tcPr>
            <w:tcW w:type="dxa" w:w="4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502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Risque (SR → mode d'action → ER)</w:t>
            </w:r>
          </w:p>
        </w:tc>
        <w:tc>
          <w:tcPr>
            <w:tcW w:type="dxa" w:w="9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Gravité</w:t>
            </w:r>
          </w:p>
        </w:tc>
        <w:tc>
          <w:tcPr>
            <w:tcW w:type="dxa" w:w="15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Vraisemblance</w:t>
            </w:r>
          </w:p>
        </w:tc>
        <w:tc>
          <w:tcPr>
            <w:tcW w:type="dxa" w:w="163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Niveau</w:t>
            </w:r>
          </w:p>
        </w:tc>
      </w:tr>
      <w:tr>
        <w:trPr>
          <w:cantSplit/>
          <w:tblHeader w:val="off"/>
        </w:trPr>
        <w:tc>
          <w:tcPr>
            <w:tcW w:type="dxa" w:w="4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R1</w:t>
            </w:r>
          </w:p>
        </w:tc>
        <w:tc>
          <w:tcPr>
            <w:tcW w:type="dxa" w:w="502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SR2 → déni de service applicatif sur l'API ou le front → ER1</w:t>
            </w:r>
          </w:p>
        </w:tc>
        <w:tc>
          <w:tcPr>
            <w:tcW w:type="dxa" w:w="9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G4</w:t>
            </w:r>
          </w:p>
        </w:tc>
        <w:tc>
          <w:tcPr>
            <w:tcW w:type="dxa" w:w="15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V3</w:t>
            </w:r>
          </w:p>
        </w:tc>
        <w:tc>
          <w:tcPr>
            <w:tcW w:type="dxa" w:w="163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🔴 Élevé</w:t>
            </w:r>
          </w:p>
        </w:tc>
      </w:tr>
      <w:tr>
        <w:trPr>
          <w:cantSplit/>
          <w:tblHeader w:val="off"/>
        </w:trPr>
        <w:tc>
          <w:tcPr>
            <w:tcW w:type="dxa" w:w="4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R2</w:t>
            </w:r>
          </w:p>
        </w:tc>
        <w:tc>
          <w:tcPr>
            <w:tcW w:type="dxa" w:w="502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SR1 → injection applicative sur l'API → ER2</w:t>
            </w:r>
          </w:p>
        </w:tc>
        <w:tc>
          <w:tcPr>
            <w:tcW w:type="dxa" w:w="9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G4</w:t>
            </w:r>
          </w:p>
        </w:tc>
        <w:tc>
          <w:tcPr>
            <w:tcW w:type="dxa" w:w="15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V2</w:t>
            </w:r>
          </w:p>
        </w:tc>
        <w:tc>
          <w:tcPr>
            <w:tcW w:type="dxa" w:w="163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🔴 Élevé</w:t>
            </w:r>
          </w:p>
        </w:tc>
      </w:tr>
      <w:tr>
        <w:trPr>
          <w:cantSplit/>
          <w:tblHeader w:val="off"/>
        </w:trPr>
        <w:tc>
          <w:tcPr>
            <w:tcW w:type="dxa" w:w="4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R3</w:t>
            </w:r>
          </w:p>
        </w:tc>
        <w:tc>
          <w:tcPr>
            <w:tcW w:type="dxa" w:w="502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SR3 → détournement des droits du moteur de remédiation → ER6</w:t>
            </w:r>
          </w:p>
        </w:tc>
        <w:tc>
          <w:tcPr>
            <w:tcW w:type="dxa" w:w="9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G4</w:t>
            </w:r>
          </w:p>
        </w:tc>
        <w:tc>
          <w:tcPr>
            <w:tcW w:type="dxa" w:w="15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V2</w:t>
            </w:r>
          </w:p>
        </w:tc>
        <w:tc>
          <w:tcPr>
            <w:tcW w:type="dxa" w:w="163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🔴 Élevé</w:t>
            </w:r>
          </w:p>
        </w:tc>
      </w:tr>
      <w:tr>
        <w:trPr>
          <w:cantSplit/>
          <w:tblHeader w:val="off"/>
        </w:trPr>
        <w:tc>
          <w:tcPr>
            <w:tcW w:type="dxa" w:w="4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R4</w:t>
            </w:r>
          </w:p>
        </w:tc>
        <w:tc>
          <w:tcPr>
            <w:tcW w:type="dxa" w:w="502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SR4 → bourrage d'identifiants ou force brute sur l'authentification → ER4</w:t>
            </w:r>
          </w:p>
        </w:tc>
        <w:tc>
          <w:tcPr>
            <w:tcW w:type="dxa" w:w="9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G3</w:t>
            </w:r>
          </w:p>
        </w:tc>
        <w:tc>
          <w:tcPr>
            <w:tcW w:type="dxa" w:w="15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V3</w:t>
            </w:r>
          </w:p>
        </w:tc>
        <w:tc>
          <w:tcPr>
            <w:tcW w:type="dxa" w:w="163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🟠 Significatif</w:t>
            </w:r>
          </w:p>
        </w:tc>
      </w:tr>
      <w:tr>
        <w:trPr>
          <w:cantSplit/>
          <w:tblHeader w:val="off"/>
        </w:trPr>
        <w:tc>
          <w:tcPr>
            <w:tcW w:type="dxa" w:w="4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R5</w:t>
            </w:r>
          </w:p>
        </w:tc>
        <w:tc>
          <w:tcPr>
            <w:tcW w:type="dxa" w:w="502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SR1 → compromission puis exfiltration de la base → ER3</w:t>
            </w:r>
          </w:p>
        </w:tc>
        <w:tc>
          <w:tcPr>
            <w:tcW w:type="dxa" w:w="9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G3</w:t>
            </w:r>
          </w:p>
        </w:tc>
        <w:tc>
          <w:tcPr>
            <w:tcW w:type="dxa" w:w="15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V2</w:t>
            </w:r>
          </w:p>
        </w:tc>
        <w:tc>
          <w:tcPr>
            <w:tcW w:type="dxa" w:w="163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🟠 Significatif</w:t>
            </w:r>
          </w:p>
        </w:tc>
      </w:tr>
      <w:tr>
        <w:trPr>
          <w:cantSplit/>
          <w:tblHeader w:val="off"/>
        </w:trPr>
        <w:tc>
          <w:tcPr>
            <w:tcW w:type="dxa" w:w="4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R6</w:t>
            </w:r>
          </w:p>
        </w:tc>
        <w:tc>
          <w:tcPr>
            <w:tcW w:type="dxa" w:w="502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SR3 → effacement ou altération des journaux → ER5</w:t>
            </w:r>
          </w:p>
        </w:tc>
        <w:tc>
          <w:tcPr>
            <w:tcW w:type="dxa" w:w="9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G3</w:t>
            </w:r>
          </w:p>
        </w:tc>
        <w:tc>
          <w:tcPr>
            <w:tcW w:type="dxa" w:w="15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V2</w:t>
            </w:r>
          </w:p>
        </w:tc>
        <w:tc>
          <w:tcPr>
            <w:tcW w:type="dxa" w:w="163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🟠 Significatif</w:t>
            </w:r>
          </w:p>
        </w:tc>
      </w:tr>
      <w:tr>
        <w:trPr>
          <w:cantSplit/>
          <w:tblHeader w:val="off"/>
        </w:trPr>
        <w:tc>
          <w:tcPr>
            <w:tcW w:type="dxa" w:w="4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R7</w:t>
            </w:r>
          </w:p>
        </w:tc>
        <w:tc>
          <w:tcPr>
            <w:tcW w:type="dxa" w:w="502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SR1 → rançongiciel sur le PC Hôte → ER1, ER3</w:t>
            </w:r>
          </w:p>
        </w:tc>
        <w:tc>
          <w:tcPr>
            <w:tcW w:type="dxa" w:w="9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G4</w:t>
            </w:r>
          </w:p>
        </w:tc>
        <w:tc>
          <w:tcPr>
            <w:tcW w:type="dxa" w:w="15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V1</w:t>
            </w:r>
          </w:p>
        </w:tc>
        <w:tc>
          <w:tcPr>
            <w:tcW w:type="dxa" w:w="163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🟠 Significatif</w:t>
            </w:r>
          </w:p>
        </w:tc>
      </w:tr>
      <w:tr>
        <w:trPr>
          <w:cantSplit/>
          <w:tblHeader w:val="off"/>
        </w:trPr>
        <w:tc>
          <w:tcPr>
            <w:tcW w:type="dxa" w:w="4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R8</w:t>
            </w:r>
          </w:p>
        </w:tc>
        <w:tc>
          <w:tcPr>
            <w:tcW w:type="dxa" w:w="502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SR2 → saturation de la consultation → ER7</w:t>
            </w:r>
          </w:p>
        </w:tc>
        <w:tc>
          <w:tcPr>
            <w:tcW w:type="dxa" w:w="9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G2</w:t>
            </w:r>
          </w:p>
        </w:tc>
        <w:tc>
          <w:tcPr>
            <w:tcW w:type="dxa" w:w="15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V3</w:t>
            </w:r>
          </w:p>
        </w:tc>
        <w:tc>
          <w:tcPr>
            <w:tcW w:type="dxa" w:w="1632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 Modéré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Cartographie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81"/>
        <w:gridCol w:w="460"/>
        <w:gridCol w:w="1976"/>
        <w:gridCol w:w="460"/>
        <w:gridCol w:w="461"/>
      </w:tblGrid>
      <w:tr>
        <w:trPr>
          <w:cantSplit/>
          <w:tblHeader/>
        </w:trPr>
        <w:tc>
          <w:tcPr>
            <w:tcW w:type="dxa" w:w="628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Gravité \ Vraisemblance</w:t>
            </w:r>
          </w:p>
        </w:tc>
        <w:tc>
          <w:tcPr>
            <w:tcW w:type="dxa" w:w="4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V1</w:t>
            </w:r>
          </w:p>
        </w:tc>
        <w:tc>
          <w:tcPr>
            <w:tcW w:type="dxa" w:w="197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V2</w:t>
            </w:r>
          </w:p>
        </w:tc>
        <w:tc>
          <w:tcPr>
            <w:tcW w:type="dxa" w:w="4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V3</w:t>
            </w:r>
          </w:p>
        </w:tc>
        <w:tc>
          <w:tcPr>
            <w:tcW w:type="dxa" w:w="46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shd w:fill="E4E6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V4</w:t>
            </w:r>
          </w:p>
        </w:tc>
      </w:tr>
      <w:tr>
        <w:trPr>
          <w:cantSplit/>
          <w:tblHeader w:val="off"/>
        </w:trPr>
        <w:tc>
          <w:tcPr>
            <w:tcW w:type="dxa" w:w="628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G4</w:t>
            </w:r>
          </w:p>
        </w:tc>
        <w:tc>
          <w:tcPr>
            <w:tcW w:type="dxa" w:w="4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R7</w:t>
            </w:r>
          </w:p>
        </w:tc>
        <w:tc>
          <w:tcPr>
            <w:tcW w:type="dxa" w:w="197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R2, R3</w:t>
            </w:r>
          </w:p>
        </w:tc>
        <w:tc>
          <w:tcPr>
            <w:tcW w:type="dxa" w:w="4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R1</w:t>
            </w:r>
          </w:p>
        </w:tc>
        <w:tc>
          <w:tcPr>
            <w:tcW w:type="dxa" w:w="46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628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G3</w:t>
            </w:r>
          </w:p>
        </w:tc>
        <w:tc>
          <w:tcPr>
            <w:tcW w:type="dxa" w:w="4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7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R5, R6</w:t>
            </w:r>
          </w:p>
        </w:tc>
        <w:tc>
          <w:tcPr>
            <w:tcW w:type="dxa" w:w="4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R4</w:t>
            </w:r>
          </w:p>
        </w:tc>
        <w:tc>
          <w:tcPr>
            <w:tcW w:type="dxa" w:w="46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628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G2</w:t>
            </w:r>
          </w:p>
        </w:tc>
        <w:tc>
          <w:tcPr>
            <w:tcW w:type="dxa" w:w="4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7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R8</w:t>
            </w:r>
          </w:p>
        </w:tc>
        <w:tc>
          <w:tcPr>
            <w:tcW w:type="dxa" w:w="46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  <w:tblHeader w:val="off"/>
        </w:trPr>
        <w:tc>
          <w:tcPr>
            <w:tcW w:type="dxa" w:w="628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G1</w:t>
            </w:r>
          </w:p>
        </w:tc>
        <w:tc>
          <w:tcPr>
            <w:tcW w:type="dxa" w:w="4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76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60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61"/>
            <w:tcBorders>
              <w:top w:val="single" w:color="A1A6D4" w:sz="4"/>
              <w:left w:val="single" w:color="A1A6D4" w:sz="4"/>
              <w:bottom w:val="single" w:color="A1A6D4" w:sz="4"/>
              <w:right w:val="single" w:color="A1A6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60"/>
      </w:pPr>
    </w:p>
    <w:p>
      <w:pPr>
        <w:pStyle w:val="Heading3"/>
      </w:pPr>
      <w:r>
        <w:t xml:space="preserve">Lecture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R1 (déni de service)</w:t>
      </w:r>
      <w:r>
        <w:t xml:space="preserve"> est le risque le plus élevé. C'est aussi le meilleur candidat pour le scénario d'attaque de la démo (WOR‑29) : effet observable, détectable par le ML et réparable automatiquement.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R2 et R5</w:t>
      </w:r>
      <w:r>
        <w:t xml:space="preserve"> (injection, exfiltration) appellent une réponse différente d'une simple restauration de la disponibilité. Le sujet demande explicitement de ne pas confondre les deux (voir WOR‑39).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R3</w:t>
      </w:r>
      <w:r>
        <w:t xml:space="preserve"> porte sur notre propre dispositif de défense. Il justifie WOR‑64 (sécuriser le moteur de remédiation), que le jury évalue sur l'Axe 2.</w:t>
      </w:r>
    </w:p>
    <w:p>
      <w:pPr>
        <w:pStyle w:val="Heading2"/>
      </w:pPr>
      <w:r>
        <w:t xml:space="preserve">À valider avec les coachs (WOR-32)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périmètre des valeurs métier : faut-il garder VM6 (la capacité de reprise) comme valeur métier, ou seulement comme bien support 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Les sources de risque écartées (SR5 et SR6) et leur justification.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choix de R1 comme scénario principal de la démo.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L'échelle de gravité chiffrée (durée d'arrêt et coût, voir </w:t>
      </w:r>
      <w:r>
        <w:rPr>
          <w:rFonts w:ascii="Menlo" w:cs="Menlo" w:eastAsia="Menlo" w:hAnsi="Menlo"/>
          <w:sz w:val="19"/>
          <w:szCs w:val="19"/>
        </w:rPr>
        <w:t xml:space="preserve">services-critiques.md</w:t>
      </w:r>
      <w:r>
        <w:t xml:space="preserve">) : les hypothèses sur l'entreprise fictive sont-elles crédibles ?</w:t>
      </w:r>
    </w:p>
    <w:p>
      <w:pPr>
        <w:pStyle w:val="Heading2"/>
      </w:pPr>
      <w:r>
        <w:t xml:space="preserve">Suites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WOR‑67</w:t>
      </w:r>
      <w:r>
        <w:t xml:space="preserve"> : ateliers 3 à 5, avec les chemins d'attaque sur les biens supports réels et les mesures de traitement.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WOR‑73</w:t>
      </w:r>
      <w:r>
        <w:t xml:space="preserve"> : relier chaque risque aux composants et aux résultats des tests.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4470"/>
        <w:sz w:val="16"/>
        <w:szCs w:val="16"/>
      </w:rPr>
      <w:t xml:space="preserve">Page </w:t>
    </w:r>
    <w:r>
      <w:rPr>
        <w:color w:val="4A4470"/>
        <w:sz w:val="16"/>
        <w:szCs w:val="16"/>
      </w:rPr>
      <w:fldChar w:fldCharType="begin"/>
    </w:r>
    <w:r>
      <w:rPr>
        <w:color w:val="4A4470"/>
        <w:sz w:val="16"/>
        <w:szCs w:val="16"/>
      </w:rPr>
      <w:instrText xml:space="preserve">PAGE</w:instrText>
    </w:r>
    <w:r>
      <w:rPr>
        <w:color w:val="4A4470"/>
        <w:sz w:val="16"/>
        <w:szCs w:val="16"/>
      </w:rPr>
      <w:fldChar w:fldCharType="separate"/>
    </w:r>
    <w:r>
      <w:rPr>
        <w:color w:val="4A4470"/>
        <w:sz w:val="16"/>
        <w:szCs w:val="16"/>
      </w:rPr>
      <w:fldChar w:fldCharType="end"/>
    </w:r>
    <w:r>
      <w:rPr>
        <w:color w:val="4A4470"/>
        <w:sz w:val="16"/>
        <w:szCs w:val="16"/>
      </w:rPr>
      <w:t xml:space="preserve"> / </w:t>
    </w:r>
    <w:r>
      <w:rPr>
        <w:color w:val="4A4470"/>
        <w:sz w:val="16"/>
        <w:szCs w:val="16"/>
      </w:rPr>
      <w:fldChar w:fldCharType="begin"/>
    </w:r>
    <w:r>
      <w:rPr>
        <w:color w:val="4A4470"/>
        <w:sz w:val="16"/>
        <w:szCs w:val="16"/>
      </w:rPr>
      <w:instrText xml:space="preserve">NUMPAGES</w:instrText>
    </w:r>
    <w:r>
      <w:rPr>
        <w:color w:val="4A4470"/>
        <w:sz w:val="16"/>
        <w:szCs w:val="16"/>
      </w:rPr>
      <w:fldChar w:fldCharType="separate"/>
    </w:r>
    <w:r>
      <w:rPr>
        <w:color w:val="4A44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261E48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b/>
      <w:bCs/>
      <w:color w:val="261E4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b/>
      <w:bCs/>
      <w:color w:val="261E48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b/>
      <w:bCs/>
      <w:color w:val="4A447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EBIOS RM — Matrice de risques (version initiale)</dc:title>
  <dc:creator>Groupe 6</dc:creator>
  <cp:lastModifiedBy>Un-named</cp:lastModifiedBy>
  <cp:revision>1</cp:revision>
  <dcterms:created xsi:type="dcterms:W3CDTF">2026-10-19T12:46:12.363Z</dcterms:created>
  <dcterms:modified xsi:type="dcterms:W3CDTF">2026-10-19T12:46:12.363Z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