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Recommandations à la direction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Ticket : WOR‑72 · Responsable : Cédric · Version 0.1 du 19/10/2026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Synthèse des travaux de gouvernance : 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ebios-rm.md</w:t>
      </w:r>
      <w:r>
        <w:rPr>
          <w:i/>
          <w:iCs/>
          <w:color w:val="4A4470"/>
        </w:rPr>
        <w:t xml:space="preserve">, 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services-critiques.md</w:t>
      </w:r>
      <w:r>
        <w:rPr>
          <w:i/>
          <w:iCs/>
          <w:color w:val="4A4470"/>
        </w:rPr>
        <w:t xml:space="preserve">, 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nis2-dora.md</w:t>
      </w:r>
      <w:r>
        <w:rPr>
          <w:i/>
          <w:iCs/>
          <w:color w:val="4A4470"/>
        </w:rPr>
        <w:t xml:space="preserve">, 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rto-rpo.md</w:t>
      </w:r>
      <w:r>
        <w:rPr>
          <w:i/>
          <w:iCs/>
          <w:color w:val="4A4470"/>
        </w:rPr>
        <w:t xml:space="preserve">, </w:t>
      </w:r>
      <w:r>
        <w:rPr>
          <w:rFonts w:ascii="Menlo" w:cs="Menlo" w:eastAsia="Menlo" w:hAnsi="Menlo"/>
          <w:i/>
          <w:iCs/>
          <w:color w:val="4A4470"/>
          <w:sz w:val="19"/>
          <w:szCs w:val="19"/>
        </w:rPr>
        <w:t xml:space="preserve">pca-pra.md</w:t>
      </w:r>
      <w:r>
        <w:rPr>
          <w:i/>
          <w:iCs/>
          <w:color w:val="4A4470"/>
        </w:rPr>
        <w:t xml:space="preserve">. Les mesures citées comme preuves seront renseignées après les essais (WOR‑79) ; d'ici là, elles sont marquées *à mesurer*.</w:t>
      </w:r>
    </w:p>
    <w:p>
      <w:pPr>
        <w:pStyle w:val="Heading2"/>
      </w:pPr>
      <w:r>
        <w:t xml:space="preserve">Synthèse pour la direction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arrêt de paiement coûte peu pendant 5 minutes, puis le coût explose.</w:t>
      </w:r>
      <w:r>
        <w:t xml:space="preserve"> Une heure d'arrêt en pointe coûte environ 700 k€, essentiellement en pénalités contractuelles, et déclenche probablement une notification à l'ACPR au titre de DORA.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reprise automatique est donc l'investissement prioritaire.</w:t>
      </w:r>
      <w:r>
        <w:t xml:space="preserve"> Le démonstrateur vise un retour du service vérifié en moins d'une minute sur un déni de service, contre 30 minutes ou plus pour une reprise manuelle.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Elle ne suffit pas pour une attaque sur l'intégrité des données.</w:t>
      </w:r>
      <w:r>
        <w:t xml:space="preserve"> Une injection impose de préserver les preuves, de vérifier les données et de notifier, même si le service revient vite. L'automate ne doit pas décider seul dans ce 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démonstrateur repose sur un seul serveur.</w:t>
      </w:r>
      <w:r>
        <w:t xml:space="preserve"> C'est acceptable pour prouver le principe, pas pour la production : un deuxième site et des sauvegardes hors site sont la première dépense à prévoir.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Nous demandons trois décisions</w:t>
      </w:r>
      <w:r>
        <w:t xml:space="preserve"> à la direction (dernière section).</w:t>
      </w:r>
    </w:p>
    <w:p>
      <w:pPr>
        <w:pStyle w:val="Heading2"/>
      </w:pPr>
      <w:r>
        <w:t xml:space="preserve">1. Les arbitrages que nous avons faits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0"/>
        <w:gridCol w:w="2367"/>
        <w:gridCol w:w="1683"/>
        <w:gridCol w:w="2182"/>
        <w:gridCol w:w="1816"/>
      </w:tblGrid>
      <w:tr>
        <w:trPr>
          <w:cantSplit/>
          <w:tblHeader/>
        </w:trPr>
        <w:tc>
          <w:tcPr>
            <w:tcW w:type="dxa" w:w="15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Arbitrage</w:t>
            </w:r>
          </w:p>
        </w:tc>
        <w:tc>
          <w:tcPr>
            <w:tcW w:type="dxa" w:w="23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 que nous avons choisi</w:t>
            </w:r>
          </w:p>
        </w:tc>
        <w:tc>
          <w:tcPr>
            <w:tcW w:type="dxa" w:w="168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 que nous avons écarté</w:t>
            </w:r>
          </w:p>
        </w:tc>
        <w:tc>
          <w:tcPr>
            <w:tcW w:type="dxa" w:w="218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Pourquoi</w:t>
            </w:r>
          </w:p>
        </w:tc>
        <w:tc>
          <w:tcPr>
            <w:tcW w:type="dxa" w:w="18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 que ça coûte</w:t>
            </w:r>
          </w:p>
        </w:tc>
      </w:tr>
      <w:tr>
        <w:trPr>
          <w:cantSplit/>
          <w:tblHeader w:val="off"/>
        </w:trPr>
        <w:tc>
          <w:tcPr>
            <w:tcW w:type="dxa" w:w="15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Quoi protéger d'abord</w:t>
            </w:r>
          </w:p>
        </w:tc>
        <w:tc>
          <w:tcPr>
            <w:tcW w:type="dxa" w:w="23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chaîne de paiement : API, base, authentification, WAF</w:t>
            </w:r>
          </w:p>
        </w:tc>
        <w:tc>
          <w:tcPr>
            <w:tcW w:type="dxa" w:w="168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Protéger tous les services au même niveau</w:t>
            </w:r>
          </w:p>
        </w:tc>
        <w:tc>
          <w:tcPr>
            <w:tcW w:type="dxa" w:w="218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 sont eux qui portent le revenu et l'engagement envers les 200 partenaires</w:t>
            </w:r>
          </w:p>
        </w:tc>
        <w:tc>
          <w:tcPr>
            <w:tcW w:type="dxa" w:w="18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L'assistant RAG et la consultation passent après</w:t>
            </w:r>
          </w:p>
        </w:tc>
      </w:tr>
      <w:tr>
        <w:trPr>
          <w:cantSplit/>
          <w:tblHeader w:val="off"/>
        </w:trPr>
        <w:tc>
          <w:tcPr>
            <w:tcW w:type="dxa" w:w="15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Automatique ou humain</w:t>
            </w:r>
          </w:p>
        </w:tc>
        <w:tc>
          <w:tcPr>
            <w:tcW w:type="dxa" w:w="23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Automatique pour les actions réversibles (limitation, redémarrage) ; un humain valide les actions destructrices et les incidents d'intégrité</w:t>
            </w:r>
          </w:p>
        </w:tc>
        <w:tc>
          <w:tcPr>
            <w:tcW w:type="dxa" w:w="168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 automatiser, ou tout faire valider</w:t>
            </w:r>
          </w:p>
        </w:tc>
        <w:tc>
          <w:tcPr>
            <w:tcW w:type="dxa" w:w="218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 vitesse compte pour la disponibilité ; une restauration à tort coûte plus cher qu'une minute d'arrêt</w:t>
            </w:r>
          </w:p>
        </w:tc>
        <w:tc>
          <w:tcPr>
            <w:tcW w:type="dxa" w:w="18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Une injection est traitée moins vite qu'un déni de service</w:t>
            </w:r>
          </w:p>
        </w:tc>
      </w:tr>
      <w:tr>
        <w:trPr>
          <w:cantSplit/>
          <w:tblHeader w:val="off"/>
        </w:trPr>
        <w:tc>
          <w:tcPr>
            <w:tcW w:type="dxa" w:w="15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Vitesse ou preuves</w:t>
            </w:r>
          </w:p>
        </w:tc>
        <w:tc>
          <w:tcPr>
            <w:tcW w:type="dxa" w:w="23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Copier les journaux et la base compromise </w:t>
            </w:r>
            <w:r>
              <w:rPr>
                <w:b/>
                <w:bCs/>
                <w:sz w:val="18"/>
                <w:szCs w:val="18"/>
              </w:rPr>
              <w:t xml:space="preserve">avant</w:t>
            </w:r>
            <w:r>
              <w:rPr>
                <w:sz w:val="18"/>
                <w:szCs w:val="18"/>
              </w:rPr>
              <w:t xml:space="preserve"> de restaurer</w:t>
            </w:r>
          </w:p>
        </w:tc>
        <w:tc>
          <w:tcPr>
            <w:tcW w:type="dxa" w:w="168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Restaurer au plus vite</w:t>
            </w:r>
          </w:p>
        </w:tc>
        <w:tc>
          <w:tcPr>
            <w:tcW w:type="dxa" w:w="218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Sans preuves, pas d'investigation ni de notification DORA crédible</w:t>
            </w:r>
          </w:p>
        </w:tc>
        <w:tc>
          <w:tcPr>
            <w:tcW w:type="dxa" w:w="18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Quelques secondes de plus sur la reprise</w:t>
            </w:r>
          </w:p>
        </w:tc>
      </w:tr>
      <w:tr>
        <w:trPr>
          <w:cantSplit/>
          <w:tblHeader w:val="off"/>
        </w:trPr>
        <w:tc>
          <w:tcPr>
            <w:tcW w:type="dxa" w:w="15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Scénario principal de la démo</w:t>
            </w:r>
          </w:p>
        </w:tc>
        <w:tc>
          <w:tcPr>
            <w:tcW w:type="dxa" w:w="23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Déni de service (risque R1) ; injection en second scénario</w:t>
            </w:r>
          </w:p>
        </w:tc>
        <w:tc>
          <w:tcPr>
            <w:tcW w:type="dxa" w:w="168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Une seule attaque</w:t>
            </w:r>
          </w:p>
        </w:tc>
        <w:tc>
          <w:tcPr>
            <w:tcW w:type="dxa" w:w="218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R1 est le risque le plus élevé ; le second scénario montre que la réponse dépend du type d'incident</w:t>
            </w:r>
          </w:p>
        </w:tc>
        <w:tc>
          <w:tcPr>
            <w:tcW w:type="dxa" w:w="18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Deux chaînes de remédiation à construire et tester</w:t>
            </w:r>
          </w:p>
        </w:tc>
      </w:tr>
      <w:tr>
        <w:trPr>
          <w:cantSplit/>
          <w:tblHeader w:val="off"/>
        </w:trPr>
        <w:tc>
          <w:tcPr>
            <w:tcW w:type="dxa" w:w="15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Hébergement</w:t>
            </w:r>
          </w:p>
        </w:tc>
        <w:tc>
          <w:tcPr>
            <w:tcW w:type="dxa" w:w="23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 sur un hôte, sans dépendance à un cloud</w:t>
            </w:r>
          </w:p>
        </w:tc>
        <w:tc>
          <w:tcPr>
            <w:tcW w:type="dxa" w:w="168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Services managés</w:t>
            </w:r>
          </w:p>
        </w:tc>
        <w:tc>
          <w:tcPr>
            <w:tcW w:type="dxa" w:w="218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Imposé par le cadre du projet ; évite aussi le risque lié à un prestataire</w:t>
            </w:r>
          </w:p>
        </w:tc>
        <w:tc>
          <w:tcPr>
            <w:tcW w:type="dxa" w:w="18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Point de défaillance unique, assumé et documenté</w:t>
            </w:r>
          </w:p>
        </w:tc>
      </w:tr>
      <w:tr>
        <w:trPr>
          <w:cantSplit/>
          <w:tblHeader w:val="off"/>
        </w:trPr>
        <w:tc>
          <w:tcPr>
            <w:tcW w:type="dxa" w:w="15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Restauration après injection</w:t>
            </w:r>
          </w:p>
        </w:tc>
        <w:tc>
          <w:tcPr>
            <w:tcW w:type="dxa" w:w="23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*À trancher* : snapshot seul, ou snapshot et rejeu des transactions légitimes</w:t>
            </w:r>
          </w:p>
        </w:tc>
        <w:tc>
          <w:tcPr>
            <w:tcW w:type="dxa" w:w="168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18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snapshot seul perd des transactions confirmées (objectif : zéro)</w:t>
            </w:r>
          </w:p>
        </w:tc>
        <w:tc>
          <w:tcPr>
            <w:tcW w:type="dxa" w:w="18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rejeu demande un journal des transactions</w:t>
            </w:r>
          </w:p>
        </w:tc>
      </w:tr>
      <w:tr>
        <w:trPr>
          <w:cantSplit/>
          <w:tblHeader w:val="off"/>
        </w:trPr>
        <w:tc>
          <w:tcPr>
            <w:tcW w:type="dxa" w:w="159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Référentiels</w:t>
            </w:r>
          </w:p>
        </w:tc>
        <w:tc>
          <w:tcPr>
            <w:tcW w:type="dxa" w:w="236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DORA, EBIOS RM ; NIS2 en grille de lecture</w:t>
            </w:r>
          </w:p>
        </w:tc>
        <w:tc>
          <w:tcPr>
            <w:tcW w:type="dxa" w:w="168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PCI DSS</w:t>
            </w:r>
          </w:p>
        </w:tc>
        <w:tc>
          <w:tcPr>
            <w:tcW w:type="dxa" w:w="218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Aucune donnée de carte manipulée</w:t>
            </w:r>
          </w:p>
        </w:tc>
        <w:tc>
          <w:tcPr>
            <w:tcW w:type="dxa" w:w="18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2. Recommandations</w:t>
      </w:r>
    </w:p>
    <w:p>
      <w:pPr>
        <w:spacing w:after="120"/>
      </w:pPr>
      <w:r>
        <w:t xml:space="preserve">Chaque recommandation repose sur un élément </w:t>
      </w:r>
      <w:r>
        <w:rPr>
          <w:b/>
          <w:bCs/>
        </w:rPr>
        <w:t xml:space="preserve">vérifiable</w:t>
      </w:r>
      <w:r>
        <w:t xml:space="preserve">, issu de nos essais ou de nos documents.</w:t>
      </w:r>
    </w:p>
    <w:p>
      <w:pPr>
        <w:pStyle w:val="Heading3"/>
      </w:pPr>
      <w:r>
        <w:t xml:space="preserve">Priorité 1 — à décider maintenant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979"/>
        <w:gridCol w:w="4038"/>
        <w:gridCol w:w="861"/>
      </w:tblGrid>
      <w:tr>
        <w:trPr>
          <w:cantSplit/>
          <w:tblHeader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Recommandation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Élément vérifiable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Effort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REC‑1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Généraliser la reprise automatique</w:t>
            </w:r>
            <w:r>
              <w:rPr>
                <w:sz w:val="18"/>
                <w:szCs w:val="18"/>
              </w:rPr>
              <w:t xml:space="preserve"> aux incidents de disponibilité sur toute la chaîne de paiement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RTO mesuré sur 3 essais, pire cas retenu (*à mesurer*) ; nombre d'interventions humaines pendant les répétitions : objectif 0 (WOR‑78)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REC‑2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Garder un humain dans la boucle pour les incidents d'intégrité</w:t>
            </w:r>
            <w:r>
              <w:rPr>
                <w:sz w:val="18"/>
                <w:szCs w:val="18"/>
              </w:rPr>
              <w:t xml:space="preserve"> : blocage automatique, mais restauration et notification validées par une personne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Fiche S2 du PCA ; délai entre l'alerte et la décision humaine, à mesurer en exercice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Faible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REC‑3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Exiger deux signaux concordants</w:t>
            </w:r>
            <w:r>
              <w:rPr>
                <w:sz w:val="18"/>
                <w:szCs w:val="18"/>
              </w:rPr>
              <w:t xml:space="preserve"> avant toute action destructrice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Taux de faux positifs du modèle ML (WOR‑52) ; nombre de remédiations à tort pendant le chaos engineering (WOR‑76) (*à mesurer*)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Faible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REC‑4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Encadrer le moteur de remédiation</w:t>
            </w:r>
            <w:r>
              <w:rPr>
                <w:sz w:val="18"/>
                <w:szCs w:val="18"/>
              </w:rPr>
              <w:t xml:space="preserve"> comme un bien critique : périmètre d'actions limité, appels authentifiés, journalisation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Revue des droits du moteur (WOR‑64) ; essai d'appel depuis un composant non autorisé, qui doit être refusé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Priorité 2 — dans les 6 mois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4038"/>
        <w:gridCol w:w="3979"/>
        <w:gridCol w:w="861"/>
      </w:tblGrid>
      <w:tr>
        <w:trPr>
          <w:cantSplit/>
          <w:tblHeader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Recommandation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Élément vérifiable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Effort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REC‑5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Sauvegardes hors site et immuables</w:t>
            </w:r>
            <w:r>
              <w:rPr>
                <w:sz w:val="18"/>
                <w:szCs w:val="18"/>
              </w:rPr>
              <w:t xml:space="preserve">, avec restauration testée chaque trimestre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Temps de restauration mesuré ; nombre de transactions perdues à la restauration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REC‑6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Restauration de la base à un instant précis</w:t>
            </w:r>
            <w:r>
              <w:rPr>
                <w:sz w:val="18"/>
                <w:szCs w:val="18"/>
              </w:rPr>
              <w:t xml:space="preserve"> (archivage continu des journaux de la base), pour tenir zéro transaction perdue après une injection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Essai d'injection suivi d'une restauration, sans transaction légitime perdue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REC‑7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Procédure de notification DORA</w:t>
            </w:r>
            <w:r>
              <w:rPr>
                <w:sz w:val="18"/>
                <w:szCs w:val="18"/>
              </w:rPr>
              <w:t xml:space="preserve"> : classification, brouillon préparé à partir des journaux, validation, envoi à l'ACPR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Exercice de notification chronométré face aux délais réglementaires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Faible</w:t>
            </w:r>
          </w:p>
        </w:tc>
      </w:tr>
      <w:tr>
        <w:trPr>
          <w:cantSplit/>
          <w:tblHeader w:val="off"/>
        </w:trPr>
        <w:tc>
          <w:tcPr>
            <w:tcW w:type="dxa" w:w="7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REC‑8</w:t>
            </w:r>
          </w:p>
        </w:tc>
        <w:tc>
          <w:tcPr>
            <w:tcW w:type="dxa" w:w="4038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Programme annuel de tests de résilience</w:t>
            </w:r>
            <w:r>
              <w:rPr>
                <w:sz w:val="18"/>
                <w:szCs w:val="18"/>
              </w:rPr>
              <w:t xml:space="preserve"> couvrant tous les risques retenus dans l'EBIOS, pas seulement le scénario de démo</w:t>
            </w:r>
          </w:p>
        </w:tc>
        <w:tc>
          <w:tcPr>
            <w:tcW w:type="dxa" w:w="397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Taux de couverture des risques R1 à R8 par au moins un test</w:t>
            </w:r>
          </w:p>
        </w:tc>
        <w:tc>
          <w:tcPr>
            <w:tcW w:type="dxa" w:w="8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Priorité 3 — dans les 12 mois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4273"/>
        <w:gridCol w:w="2219"/>
        <w:gridCol w:w="2286"/>
      </w:tblGrid>
      <w:tr>
        <w:trPr>
          <w:cantSplit/>
          <w:tblHeader/>
        </w:trPr>
        <w:tc>
          <w:tcPr>
            <w:tcW w:type="dxa" w:w="8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7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Recommandation</w:t>
            </w:r>
          </w:p>
        </w:tc>
        <w:tc>
          <w:tcPr>
            <w:tcW w:type="dxa" w:w="22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Élément vérifiable</w:t>
            </w:r>
          </w:p>
        </w:tc>
        <w:tc>
          <w:tcPr>
            <w:tcW w:type="dxa" w:w="228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Effort</w:t>
            </w:r>
          </w:p>
        </w:tc>
      </w:tr>
      <w:tr>
        <w:trPr>
          <w:cantSplit/>
          <w:tblHeader w:val="off"/>
        </w:trPr>
        <w:tc>
          <w:tcPr>
            <w:tcW w:type="dxa" w:w="8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REC‑9</w:t>
            </w:r>
          </w:p>
        </w:tc>
        <w:tc>
          <w:tcPr>
            <w:tcW w:type="dxa" w:w="427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Deuxième site</w:t>
            </w:r>
            <w:r>
              <w:rPr>
                <w:sz w:val="18"/>
                <w:szCs w:val="18"/>
              </w:rPr>
              <w:t xml:space="preserve"> (ou deuxième zone de disponibilité), avec bascule testée</w:t>
            </w:r>
          </w:p>
        </w:tc>
        <w:tc>
          <w:tcPr>
            <w:tcW w:type="dxa" w:w="22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Durée de bascule mesurée</w:t>
            </w:r>
          </w:p>
        </w:tc>
        <w:tc>
          <w:tcPr>
            <w:tcW w:type="dxa" w:w="228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Élevé</w:t>
            </w:r>
          </w:p>
        </w:tc>
      </w:tr>
      <w:tr>
        <w:trPr>
          <w:cantSplit/>
          <w:tblHeader w:val="off"/>
        </w:trPr>
        <w:tc>
          <w:tcPr>
            <w:tcW w:type="dxa" w:w="8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REC‑10</w:t>
            </w:r>
          </w:p>
        </w:tc>
        <w:tc>
          <w:tcPr>
            <w:tcW w:type="dxa" w:w="427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Protection anti-déni de service en amont</w:t>
            </w:r>
            <w:r>
              <w:rPr>
                <w:sz w:val="18"/>
                <w:szCs w:val="18"/>
              </w:rPr>
              <w:t xml:space="preserve"> du WAF, pour les attaques distribuées</w:t>
            </w:r>
          </w:p>
        </w:tc>
        <w:tc>
          <w:tcPr>
            <w:tcW w:type="dxa" w:w="22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Essai de charge distribuée</w:t>
            </w:r>
          </w:p>
        </w:tc>
        <w:tc>
          <w:tcPr>
            <w:tcW w:type="dxa" w:w="228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Moyen, souvent sous forme de service</w:t>
            </w:r>
          </w:p>
        </w:tc>
      </w:tr>
      <w:tr>
        <w:trPr>
          <w:cantSplit/>
          <w:tblHeader w:val="off"/>
        </w:trPr>
        <w:tc>
          <w:tcPr>
            <w:tcW w:type="dxa" w:w="8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REC‑11</w:t>
            </w:r>
          </w:p>
        </w:tc>
        <w:tc>
          <w:tcPr>
            <w:tcW w:type="dxa" w:w="4273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Gestion des prestataires TIC selon DORA</w:t>
            </w:r>
            <w:r>
              <w:rPr>
                <w:sz w:val="18"/>
                <w:szCs w:val="18"/>
              </w:rPr>
              <w:t xml:space="preserve"> : registre, clauses contractuelles, plans de sortie</w:t>
            </w:r>
          </w:p>
        </w:tc>
        <w:tc>
          <w:tcPr>
            <w:tcW w:type="dxa" w:w="22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Registre à jour, contrats revus</w:t>
            </w:r>
          </w:p>
        </w:tc>
        <w:tc>
          <w:tcPr>
            <w:tcW w:type="dxa" w:w="228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Ordre de grandeur pour arbitrer :</w:t>
      </w:r>
      <w:r>
        <w:t xml:space="preserve"> un seul incident de 30 minutes à 2 heures en pointe coûte environ 700 k€ (</w:t>
      </w:r>
      <w:r>
        <w:rPr>
          <w:rFonts w:ascii="Menlo" w:cs="Menlo" w:eastAsia="Menlo" w:hAnsi="Menlo"/>
          <w:sz w:val="19"/>
          <w:szCs w:val="19"/>
        </w:rPr>
        <w:t xml:space="preserve">services-critiques.md</w:t>
      </w:r>
      <w:r>
        <w:t xml:space="preserve">). Les priorités 1 et 2 visent à ce qu'il ne se produise pas ; la priorité 3 protège contre la perte complète du site.</w:t>
      </w:r>
    </w:p>
    <w:p>
      <w:pPr>
        <w:pStyle w:val="Heading2"/>
      </w:pPr>
      <w:r>
        <w:t xml:space="preserve">3. Ce que nous ferions autrement en contexte industriel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9"/>
        <w:gridCol w:w="5019"/>
      </w:tblGrid>
      <w:tr>
        <w:trPr>
          <w:cantSplit/>
          <w:tblHeader/>
        </w:trPr>
        <w:tc>
          <w:tcPr>
            <w:tcW w:type="dxa" w:w="46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Dans le démonstrateur</w:t>
            </w:r>
          </w:p>
        </w:tc>
        <w:tc>
          <w:tcPr>
            <w:tcW w:type="dxa" w:w="50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 production</w:t>
            </w:r>
          </w:p>
        </w:tc>
      </w:tr>
      <w:tr>
        <w:trPr>
          <w:cantSplit/>
          <w:tblHeader w:val="off"/>
        </w:trPr>
        <w:tc>
          <w:tcPr>
            <w:tcW w:type="dxa" w:w="46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seul hôte, sauvegardes locales</w:t>
            </w:r>
          </w:p>
        </w:tc>
        <w:tc>
          <w:tcPr>
            <w:tcW w:type="dxa" w:w="50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Deux sites, sauvegardes hors site et immuables</w:t>
            </w:r>
          </w:p>
        </w:tc>
      </w:tr>
      <w:tr>
        <w:trPr>
          <w:cantSplit/>
          <w:tblHeader w:val="off"/>
        </w:trPr>
        <w:tc>
          <w:tcPr>
            <w:tcW w:type="dxa" w:w="46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 modèle ML entraîné sur quelques dizaines de minutes de trafic</w:t>
            </w:r>
          </w:p>
        </w:tc>
        <w:tc>
          <w:tcPr>
            <w:tcW w:type="dxa" w:w="50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Plusieurs semaines de données réelles, réentraînement régulier, suivi de la dérive du modèle</w:t>
            </w:r>
          </w:p>
        </w:tc>
      </w:tr>
      <w:tr>
        <w:trPr>
          <w:cantSplit/>
          <w:tblHeader w:val="off"/>
        </w:trPr>
        <w:tc>
          <w:tcPr>
            <w:tcW w:type="dxa" w:w="46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Deux scénarios d'attaque, joués par l'équipe</w:t>
            </w:r>
          </w:p>
        </w:tc>
        <w:tc>
          <w:tcPr>
            <w:tcW w:type="dxa" w:w="50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Programme de tests annuel, tests d'intrusion par des testeurs indépendants (TLPT si l'entité est désignée)</w:t>
            </w:r>
          </w:p>
        </w:tc>
      </w:tr>
      <w:tr>
        <w:trPr>
          <w:cantSplit/>
          <w:tblHeader w:val="off"/>
        </w:trPr>
        <w:tc>
          <w:tcPr>
            <w:tcW w:type="dxa" w:w="46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 décrite sur papier</w:t>
            </w:r>
          </w:p>
        </w:tc>
        <w:tc>
          <w:tcPr>
            <w:tcW w:type="dxa" w:w="50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Procédure exercée, astreinte conformité, modèles de rapports ACPR</w:t>
            </w:r>
          </w:p>
        </w:tc>
      </w:tr>
      <w:tr>
        <w:trPr>
          <w:cantSplit/>
          <w:tblHeader w:val="off"/>
        </w:trPr>
        <w:tc>
          <w:tcPr>
            <w:tcW w:type="dxa" w:w="46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Rôles fictifs (directeur de crise, RSSI, DPO)</w:t>
            </w:r>
          </w:p>
        </w:tc>
        <w:tc>
          <w:tcPr>
            <w:tcW w:type="dxa" w:w="50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Rôles nommés, suppléants, exercices de crise deux fois par an</w:t>
            </w:r>
          </w:p>
        </w:tc>
      </w:tr>
      <w:tr>
        <w:trPr>
          <w:cantSplit/>
          <w:tblHeader w:val="off"/>
        </w:trPr>
        <w:tc>
          <w:tcPr>
            <w:tcW w:type="dxa" w:w="46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Hypothèses financières fictives</w:t>
            </w:r>
          </w:p>
        </w:tc>
        <w:tc>
          <w:tcPr>
            <w:tcW w:type="dxa" w:w="50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Analyse d'impact sur l'activité menée avec les métiers et la finance</w:t>
            </w:r>
          </w:p>
        </w:tc>
      </w:tr>
      <w:tr>
        <w:trPr>
          <w:cantSplit/>
          <w:tblHeader w:val="off"/>
        </w:trPr>
        <w:tc>
          <w:tcPr>
            <w:tcW w:type="dxa" w:w="46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Gouvernance portée par l'équipe projet</w:t>
            </w:r>
          </w:p>
        </w:tc>
        <w:tc>
          <w:tcPr>
            <w:tcW w:type="dxa" w:w="501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Cadre de risque TIC approuvé par l'organe de direction, comme l'exige DORA (art. 5)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 Limites de cette analyse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chiffres financiers sont </w:t>
      </w:r>
      <w:r>
        <w:rPr>
          <w:b/>
          <w:bCs/>
        </w:rPr>
        <w:t xml:space="preserve">fictifs</w:t>
      </w:r>
      <w:r>
        <w:t xml:space="preserve">. Ils donnent des ordres de grandeur, pas un budget.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seuils DORA et les délais de notification sont repris de notre lecture des textes, à confirmer par un juriste.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temps de reprise ne vaudront preuve qu'une fois mesurés (WOR‑79). Si les mesures ne tiennent pas les objectifs, les recommandations REC‑1 et REC‑3 seront revues.</w:t>
      </w:r>
    </w:p>
    <w:p>
      <w:pPr>
        <w:pStyle w:val="Heading2"/>
      </w:pPr>
      <w:r>
        <w:t xml:space="preserve">5. Décisions demandées à la direction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Valider le principe d'une reprise automatique</w:t>
      </w:r>
      <w:r>
        <w:t xml:space="preserve"> pour les incidents de disponibilité, avec validation humaine pour les incidents d'intégrité (REC‑1, REC‑2).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Accepter le risque résiduel de l'hôte unique</w:t>
      </w:r>
      <w:r>
        <w:t xml:space="preserve"> pour la phase pilote, et </w:t>
      </w:r>
      <w:r>
        <w:rPr>
          <w:b/>
          <w:bCs/>
        </w:rPr>
        <w:t xml:space="preserve">inscrire au budget</w:t>
      </w:r>
      <w:r>
        <w:t xml:space="preserve"> les sauvegardes hors site (REC‑5) puis le deuxième site (REC‑9).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Désigner les responsables</w:t>
      </w:r>
      <w:r>
        <w:t xml:space="preserve"> des rôles du PCA (directeur de crise, conformité, astreinte) et planifier un premier exercice de crise.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470"/>
        <w:sz w:val="16"/>
        <w:szCs w:val="16"/>
      </w:rPr>
      <w:t xml:space="preserve">Page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PAGE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  <w:r>
      <w:rPr>
        <w:color w:val="4A4470"/>
        <w:sz w:val="16"/>
        <w:szCs w:val="16"/>
      </w:rPr>
      <w:t xml:space="preserve"> /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NUMPAGES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261E48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261E4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61E4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b/>
      <w:bCs/>
      <w:color w:val="4A447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Recommandations à la direction</dc:title>
  <dc:creator>Groupe 6</dc:creator>
  <cp:lastModifiedBy>Un-named</cp:lastModifiedBy>
  <cp:revision>1</cp:revision>
  <dcterms:created xsi:type="dcterms:W3CDTF">2026-10-19T12:46:12.435Z</dcterms:created>
  <dcterms:modified xsi:type="dcterms:W3CDTF">2026-10-19T12:46:12.435Z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