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Services critiques et coût d'un arrêt de paiement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Ticket : WOR‑68 · Responsable : Cédric · Version 0.1 du 19/10/2026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Ce document sert d'entrée à l'EBIOS RM (échelle de gravité, voir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ebios-rm.md</w:t>
      </w:r>
      <w:r>
        <w:rPr>
          <w:i/>
          <w:iCs/>
          <w:color w:val="4A4470"/>
        </w:rPr>
        <w:t xml:space="preserve">), aux objectifs RTO/RPO (WOR‑70) et au PCA/PRA (WOR‑71).</w:t>
      </w:r>
    </w:p>
    <w:p>
      <w:pPr>
        <w:pStyle w:val="Heading2"/>
      </w:pPr>
      <w:r>
        <w:t xml:space="preserve">Hypothèses sur l'entreprise fictive</w:t>
      </w:r>
    </w:p>
    <w:p>
      <w:pPr>
        <w:spacing w:after="120"/>
      </w:pPr>
      <w:r>
        <w:t xml:space="preserve">Tous les chiffres sont </w:t>
      </w:r>
      <w:r>
        <w:rPr>
          <w:b/>
          <w:bCs/>
        </w:rPr>
        <w:t xml:space="preserve">fictifs</w:t>
      </w:r>
      <w:r>
        <w:t xml:space="preserve">. Ils sont choisis pour donner des ordres de grandeur réalistes à un opérateur de paiement de taille moyenne.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2276"/>
        <w:gridCol w:w="4066"/>
      </w:tblGrid>
      <w:tr>
        <w:trPr>
          <w:cantSplit/>
          <w:tblHeader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Paramètre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 retenue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par jour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1 200 000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Soit environ 830 par minute en moyenne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Montant moyen d'une transaction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45 €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Paiement de détail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Flux traité par jour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54 M€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1 200 000 × 45 €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Commission moyenne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0,8 %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 de l'opérateur sur chaque transaction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 par jour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432 k€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Soit environ 158 M€ par an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Facteur des heures de pointe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× 2,5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h–14 h et 18 h–20 h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Taux d'abandon définitif pendant un arrêt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40 %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autres transactions sont rejouées après la reprise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Commerçants partenaires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Liés par un contrat de niveau de service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Engagement de disponibilité (SLA)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99,9 % par mois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Soit 43 minutes d'arrêt tolérées par mois</w:t>
            </w:r>
          </w:p>
        </w:tc>
      </w:tr>
      <w:tr>
        <w:trPr>
          <w:cantSplit/>
          <w:tblHeader w:val="off"/>
        </w:trPr>
        <w:tc>
          <w:tcPr>
            <w:tcW w:type="dxa" w:w="329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Pénalité en cas de dépassement du SLA</w:t>
            </w:r>
          </w:p>
        </w:tc>
        <w:tc>
          <w:tcPr>
            <w:tcW w:type="dxa" w:w="22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5 % de la facture mensuelle</w:t>
            </w:r>
          </w:p>
        </w:tc>
        <w:tc>
          <w:tcPr>
            <w:tcW w:type="dxa" w:w="406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 650 k€ si tous les partenaires sont touchés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Coût d'un arrêt du traitement des paiements</w:t>
      </w:r>
    </w:p>
    <w:p>
      <w:pPr>
        <w:pStyle w:val="Heading3"/>
      </w:pPr>
      <w:r>
        <w:t xml:space="preserve">Perte directe par minute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0"/>
        <w:gridCol w:w="1080"/>
        <w:gridCol w:w="1948"/>
      </w:tblGrid>
      <w:tr>
        <w:trPr>
          <w:cantSplit/>
          <w:tblHeader/>
        </w:trPr>
        <w:tc>
          <w:tcPr>
            <w:tcW w:type="dxa" w:w="661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8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Moyenne</w:t>
            </w:r>
          </w:p>
        </w:tc>
        <w:tc>
          <w:tcPr>
            <w:tcW w:type="dxa" w:w="19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Heure de pointe</w:t>
            </w:r>
          </w:p>
        </w:tc>
      </w:tr>
      <w:tr>
        <w:trPr>
          <w:cantSplit/>
          <w:tblHeader w:val="off"/>
        </w:trPr>
        <w:tc>
          <w:tcPr>
            <w:tcW w:type="dxa" w:w="661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bloquées par minute</w:t>
            </w:r>
          </w:p>
        </w:tc>
        <w:tc>
          <w:tcPr>
            <w:tcW w:type="dxa" w:w="108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830</w:t>
            </w:r>
          </w:p>
        </w:tc>
        <w:tc>
          <w:tcPr>
            <w:tcW w:type="dxa" w:w="19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2 080</w:t>
            </w:r>
          </w:p>
        </w:tc>
      </w:tr>
      <w:tr>
        <w:trPr>
          <w:cantSplit/>
          <w:tblHeader w:val="off"/>
        </w:trPr>
        <w:tc>
          <w:tcPr>
            <w:tcW w:type="dxa" w:w="661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Flux bloqué par minute</w:t>
            </w:r>
          </w:p>
        </w:tc>
        <w:tc>
          <w:tcPr>
            <w:tcW w:type="dxa" w:w="108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37 500 €</w:t>
            </w:r>
          </w:p>
        </w:tc>
        <w:tc>
          <w:tcPr>
            <w:tcW w:type="dxa" w:w="19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93 750 €</w:t>
            </w:r>
          </w:p>
        </w:tc>
      </w:tr>
      <w:tr>
        <w:trPr>
          <w:cantSplit/>
          <w:tblHeader w:val="off"/>
        </w:trPr>
        <w:tc>
          <w:tcPr>
            <w:tcW w:type="dxa" w:w="661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 bloqué par minute</w:t>
            </w:r>
          </w:p>
        </w:tc>
        <w:tc>
          <w:tcPr>
            <w:tcW w:type="dxa" w:w="108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300 €</w:t>
            </w:r>
          </w:p>
        </w:tc>
        <w:tc>
          <w:tcPr>
            <w:tcW w:type="dxa" w:w="19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750 €</w:t>
            </w:r>
          </w:p>
        </w:tc>
      </w:tr>
      <w:tr>
        <w:trPr>
          <w:cantSplit/>
          <w:tblHeader w:val="off"/>
        </w:trPr>
        <w:tc>
          <w:tcPr>
            <w:tcW w:type="dxa" w:w="661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Revenu perdu définitivement par minute</w:t>
            </w:r>
            <w:r>
              <w:rPr>
                <w:sz w:val="18"/>
                <w:szCs w:val="18"/>
              </w:rPr>
              <w:t xml:space="preserve"> (40 % d'abandon)</w:t>
            </w:r>
          </w:p>
        </w:tc>
        <w:tc>
          <w:tcPr>
            <w:tcW w:type="dxa" w:w="108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120 €</w:t>
            </w:r>
          </w:p>
        </w:tc>
        <w:tc>
          <w:tcPr>
            <w:tcW w:type="dxa" w:w="19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300 €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perte directe reste modeste. </w:t>
      </w:r>
      <w:r>
        <w:rPr>
          <w:b/>
          <w:bCs/>
        </w:rPr>
        <w:t xml:space="preserve">Le vrai coût vient des effets de seuil</w:t>
      </w:r>
      <w:r>
        <w:t xml:space="preserve"> : la pénalité contractuelle, l'obligation réglementaire et la perte de confiance.</w:t>
      </w:r>
    </w:p>
    <w:p>
      <w:pPr>
        <w:pStyle w:val="Heading3"/>
      </w:pPr>
      <w:r>
        <w:t xml:space="preserve">Coût selon la durée (incident en heure de pointe)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1"/>
        <w:gridCol w:w="1220"/>
        <w:gridCol w:w="4037"/>
        <w:gridCol w:w="1338"/>
        <w:gridCol w:w="1692"/>
      </w:tblGrid>
      <w:tr>
        <w:trPr>
          <w:cantSplit/>
          <w:tblHeader/>
        </w:trPr>
        <w:tc>
          <w:tcPr>
            <w:tcW w:type="dxa" w:w="13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Durée de l'arrêt</w:t>
            </w:r>
          </w:p>
        </w:tc>
        <w:tc>
          <w:tcPr>
            <w:tcW w:type="dxa" w:w="122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Perte directe</w:t>
            </w:r>
          </w:p>
        </w:tc>
        <w:tc>
          <w:tcPr>
            <w:tcW w:type="dxa" w:w="403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Effets de seuil</w:t>
            </w:r>
          </w:p>
        </w:tc>
        <w:tc>
          <w:tcPr>
            <w:tcW w:type="dxa" w:w="13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Coût total estimé</w:t>
            </w:r>
          </w:p>
        </w:tc>
        <w:tc>
          <w:tcPr>
            <w:tcW w:type="dxa" w:w="16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 EBIOS</w:t>
            </w:r>
          </w:p>
        </w:tc>
      </w:tr>
      <w:tr>
        <w:trPr>
          <w:cantSplit/>
          <w:tblHeader w:val="off"/>
        </w:trPr>
        <w:tc>
          <w:tcPr>
            <w:tcW w:type="dxa" w:w="13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5 min</w:t>
            </w:r>
          </w:p>
        </w:tc>
        <w:tc>
          <w:tcPr>
            <w:tcW w:type="dxa" w:w="122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1 500 €</w:t>
            </w:r>
          </w:p>
        </w:tc>
        <w:tc>
          <w:tcPr>
            <w:tcW w:type="dxa" w:w="403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</w:t>
            </w:r>
          </w:p>
        </w:tc>
        <w:tc>
          <w:tcPr>
            <w:tcW w:type="dxa" w:w="13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~1,5 k€</w:t>
            </w:r>
          </w:p>
        </w:tc>
        <w:tc>
          <w:tcPr>
            <w:tcW w:type="dxa" w:w="16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 mineure</w:t>
            </w:r>
          </w:p>
        </w:tc>
      </w:tr>
      <w:tr>
        <w:trPr>
          <w:cantSplit/>
          <w:tblHeader w:val="off"/>
        </w:trPr>
        <w:tc>
          <w:tcPr>
            <w:tcW w:type="dxa" w:w="13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à 30 min</w:t>
            </w:r>
          </w:p>
        </w:tc>
        <w:tc>
          <w:tcPr>
            <w:tcW w:type="dxa" w:w="122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jusqu'à 9 k€</w:t>
            </w:r>
          </w:p>
        </w:tc>
        <w:tc>
          <w:tcPr>
            <w:tcW w:type="dxa" w:w="403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Hausse des appels au support</w:t>
            </w:r>
          </w:p>
        </w:tc>
        <w:tc>
          <w:tcPr>
            <w:tcW w:type="dxa" w:w="13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~10 k€</w:t>
            </w:r>
          </w:p>
        </w:tc>
        <w:tc>
          <w:tcPr>
            <w:tcW w:type="dxa" w:w="16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 significative</w:t>
            </w:r>
          </w:p>
        </w:tc>
      </w:tr>
      <w:tr>
        <w:trPr>
          <w:cantSplit/>
          <w:tblHeader w:val="off"/>
        </w:trPr>
        <w:tc>
          <w:tcPr>
            <w:tcW w:type="dxa" w:w="13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min à 2 h</w:t>
            </w:r>
          </w:p>
        </w:tc>
        <w:tc>
          <w:tcPr>
            <w:tcW w:type="dxa" w:w="122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jusqu'à 36 k€</w:t>
            </w:r>
          </w:p>
        </w:tc>
        <w:tc>
          <w:tcPr>
            <w:tcW w:type="dxa" w:w="403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Budget SLA mensuel de 43 min dépassé, donc pénalité d'environ 650 k€ ; incident probablement majeur au sens de DORA (critère économique)</w:t>
            </w:r>
          </w:p>
        </w:tc>
        <w:tc>
          <w:tcPr>
            <w:tcW w:type="dxa" w:w="13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~700 k€</w:t>
            </w:r>
          </w:p>
        </w:tc>
        <w:tc>
          <w:tcPr>
            <w:tcW w:type="dxa" w:w="16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 grave</w:t>
            </w:r>
          </w:p>
        </w:tc>
      </w:tr>
      <w:tr>
        <w:trPr>
          <w:cantSplit/>
          <w:tblHeader w:val="off"/>
        </w:trPr>
        <w:tc>
          <w:tcPr>
            <w:tcW w:type="dxa" w:w="135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2 h</w:t>
            </w:r>
          </w:p>
        </w:tc>
        <w:tc>
          <w:tcPr>
            <w:tcW w:type="dxa" w:w="122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 k€ et plus</w:t>
            </w:r>
          </w:p>
        </w:tc>
        <w:tc>
          <w:tcPr>
            <w:tcW w:type="dxa" w:w="403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Pénalité SLA, incident </w:t>
            </w:r>
            <w:r>
              <w:rPr>
                <w:b/>
                <w:bCs/>
                <w:sz w:val="18"/>
                <w:szCs w:val="18"/>
              </w:rPr>
              <w:t xml:space="preserve">majeur au sens de DORA</w:t>
            </w:r>
            <w:r>
              <w:rPr>
                <w:sz w:val="18"/>
                <w:szCs w:val="18"/>
              </w:rPr>
              <w:t xml:space="preserve"> (notification à l'ACPR), départ estimé de 0,5 % des partenaires (environ 790 k€ par an)</w:t>
            </w:r>
          </w:p>
        </w:tc>
        <w:tc>
          <w:tcPr>
            <w:tcW w:type="dxa" w:w="13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1,5 M€</w:t>
            </w:r>
          </w:p>
        </w:tc>
        <w:tc>
          <w:tcPr>
            <w:tcW w:type="dxa" w:w="169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 critique</w:t>
            </w:r>
          </w:p>
        </w:tc>
      </w:tr>
    </w:tbl>
    <w:p>
      <w:pPr>
        <w:spacing w:after="60"/>
      </w:pP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Le seuil DORA de 2 h d'interruption d'un service critique vient des critères de classification des incidents (règlement délégué (UE) 2024/1772). Ce n'est pas le seul critère : dès que la pénalité SLA est déclenchée, l'impact économique dépasse 100 k€ et, avec les partenaires touchés, l'incident devient probablement majeur </w:t>
      </w:r>
      <w:r>
        <w:rPr>
          <w:b/>
          <w:bCs/>
          <w:i/>
          <w:iCs/>
          <w:color w:val="4A4470"/>
        </w:rPr>
        <w:t xml:space="preserve">dès la tranche 30 min à 2 h</w:t>
      </w:r>
      <w:r>
        <w:rPr>
          <w:i/>
          <w:iCs/>
          <w:color w:val="4A4470"/>
        </w:rPr>
        <w:t xml:space="preserve">. Le détail est dans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nis2-dora.md</w:t>
      </w:r>
      <w:r>
        <w:rPr>
          <w:i/>
          <w:iCs/>
          <w:color w:val="4A4470"/>
        </w:rPr>
        <w:t xml:space="preserve"> (WOR‑69).</w:t>
      </w:r>
    </w:p>
    <w:p>
      <w:pPr>
        <w:spacing w:after="120"/>
      </w:pPr>
      <w:r>
        <w:rPr>
          <w:b/>
          <w:bCs/>
        </w:rPr>
        <w:t xml:space="preserve">À retenir :</w:t>
      </w:r>
      <w:r>
        <w:t xml:space="preserve"> l'arrêt coûte peu tant qu'il dure moins de quelques minutes, puis le coût explose. C'est l'argument central en faveur de la reprise automatique : une reprise manuelle (30 min et plus, d'après le contexte du sujet) fait basculer l'incident en G3, alors qu'une reprise automatique en quelques minutes le maintient en G1.</w:t>
      </w:r>
    </w:p>
    <w:p>
      <w:pPr>
        <w:pStyle w:val="Heading2"/>
      </w:pPr>
      <w:r>
        <w:t xml:space="preserve">Services critiques par ordre de priorité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548"/>
        <w:gridCol w:w="1346"/>
        <w:gridCol w:w="2548"/>
        <w:gridCol w:w="2536"/>
      </w:tblGrid>
      <w:tr>
        <w:trPr>
          <w:cantSplit/>
          <w:tblHeader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Rang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Criticité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Dégradation acceptable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Traitement des transactions (API de paiement et base de données)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Vitale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Porte directement le revenu et l'engagement envers les partenaires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Vitale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Sans elle, aucune transaction ne peut être initiée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WAF / point d'entrée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Vitale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 de passage unique de tout le trafic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contournement temporaire n'est </w:t>
            </w:r>
            <w:r>
              <w:rPr>
                <w:b/>
                <w:bCs/>
                <w:sz w:val="18"/>
                <w:szCs w:val="18"/>
              </w:rPr>
              <w:t xml:space="preserve">pas</w:t>
            </w:r>
            <w:r>
              <w:rPr>
                <w:sz w:val="18"/>
                <w:szCs w:val="18"/>
              </w:rPr>
              <w:t xml:space="preserve"> acceptable (exposition directe)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Journalisation et SIEM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 revenu en jeu, mais elle est indispensable à l'investigation et à la conformité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Arrêt de quelques heures, </w:t>
            </w:r>
            <w:r>
              <w:rPr>
                <w:b/>
                <w:bCs/>
                <w:sz w:val="18"/>
                <w:szCs w:val="18"/>
              </w:rPr>
              <w:t xml:space="preserve">sans perte</w:t>
            </w:r>
            <w:r>
              <w:rPr>
                <w:sz w:val="18"/>
                <w:szCs w:val="18"/>
              </w:rPr>
              <w:t xml:space="preserve"> de journaux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 de l'historique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Gêne pour les partenaires, sans perte de revenu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 dégradé possible (lecture différée)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Supervision, détection ML, moteur de remédiation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Support critique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N'est pas un service métier, mais conditionne la reprise de tous les autres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Arrêt de courte durée, avec retour à une surveillance manuelle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Assistant RAG</w:t>
            </w:r>
          </w:p>
        </w:tc>
        <w:tc>
          <w:tcPr>
            <w:tcW w:type="dxa" w:w="134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 critique</w:t>
            </w:r>
          </w:p>
        </w:tc>
        <w:tc>
          <w:tcPr>
            <w:tcW w:type="dxa" w:w="254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Aide les opérateurs ; le service rendu aux clients n'en dépend pas</w:t>
            </w:r>
          </w:p>
        </w:tc>
        <w:tc>
          <w:tcPr>
            <w:tcW w:type="dxa" w:w="25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Indisponibilité acceptable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Ce qu'on protège en priorité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continuité du traitement des paiements</w:t>
      </w:r>
      <w:r>
        <w:t xml:space="preserve"> (rangs 1 à 3) : la reprise automatique doit viser un retour en service en moins de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L'intégrité des transactions déjà validées</w:t>
      </w:r>
      <w:r>
        <w:t xml:space="preserve"> : une transaction confirmée ne doit jamais être perdue ni dupliquée. Une transaction perdue coûte bien plus cher qu'une minute d'arrêt (litiges, écritures comptables fausses).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conservation des journaux</w:t>
      </w:r>
      <w:r>
        <w:t xml:space="preserve"> : sans eux, impossible d'expliquer l'incident au régulateur ni d'améliorer la détection.</w:t>
      </w:r>
    </w:p>
    <w:p>
      <w:pPr>
        <w:pStyle w:val="Heading2"/>
      </w:pPr>
      <w:r>
        <w:t xml:space="preserve">Pistes pour les RTO / RPO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Objectifs arrêtés, répartition du RTO sur la chaîne de reprise et protocole de mesure : voir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rto-rpo.md</w:t>
      </w:r>
      <w:r>
        <w:rPr>
          <w:i/>
          <w:iCs/>
          <w:color w:val="4A4470"/>
        </w:rPr>
        <w:t xml:space="preserve"> (WOR‑70).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9"/>
        <w:gridCol w:w="1912"/>
        <w:gridCol w:w="4527"/>
      </w:tblGrid>
      <w:tr>
        <w:trPr>
          <w:cantSplit/>
          <w:tblHeader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RTO proposé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RPO proposé</w:t>
            </w:r>
          </w:p>
        </w:tc>
      </w:tr>
      <w:tr>
        <w:trPr>
          <w:cantSplit/>
          <w:tblHeader w:val="off"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Traitement des transactions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5 min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(aucune transaction validée perdue)</w:t>
            </w:r>
          </w:p>
        </w:tc>
      </w:tr>
      <w:tr>
        <w:trPr>
          <w:cantSplit/>
          <w:tblHeader w:val="off"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5 min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Sans objet (service sans état)</w:t>
            </w:r>
          </w:p>
        </w:tc>
      </w:tr>
      <w:tr>
        <w:trPr>
          <w:cantSplit/>
          <w:tblHeader w:val="off"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Journalisation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1 h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30 min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31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Assistant RAG</w:t>
            </w:r>
          </w:p>
        </w:tc>
        <w:tc>
          <w:tcPr>
            <w:tcW w:type="dxa" w:w="191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Meilleur effort</w:t>
            </w:r>
          </w:p>
        </w:tc>
        <w:tc>
          <w:tcPr>
            <w:tcW w:type="dxa" w:w="452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Sans objet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470"/>
        <w:sz w:val="16"/>
        <w:szCs w:val="16"/>
      </w:rPr>
      <w:t xml:space="preserve">Page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PAGE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  <w:r>
      <w:rPr>
        <w:color w:val="4A4470"/>
        <w:sz w:val="16"/>
        <w:szCs w:val="16"/>
      </w:rPr>
      <w:t xml:space="preserve"> /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NUMPAGES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61E4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261E4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61E4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4A44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critiques et coût d'un arrêt de paiement</dc:title>
  <dc:creator>Groupe 6</dc:creator>
  <cp:lastModifiedBy>Un-named</cp:lastModifiedBy>
  <cp:revision>1</cp:revision>
  <dcterms:created xsi:type="dcterms:W3CDTF">2026-10-19T12:46:12.386Z</dcterms:created>
  <dcterms:modified xsi:type="dcterms:W3CDTF">2026-10-19T12:46:12.386Z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