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PCA / PRA — Plateforme de paiement RESILIENCE-ALPHA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Ticket : WOR‑71 · Responsable : Cédric · Version 0.1 du 19/10/2026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Ce plan s'appuie sur la matrice de risques (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ebios-rm.md</w:t>
      </w:r>
      <w:r>
        <w:rPr>
          <w:i/>
          <w:iCs/>
          <w:color w:val="4A4470"/>
        </w:rPr>
        <w:t xml:space="preserve">), le coût d'un arrêt (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services-critiques.md</w:t>
      </w:r>
      <w:r>
        <w:rPr>
          <w:i/>
          <w:iCs/>
          <w:color w:val="4A4470"/>
        </w:rPr>
        <w:t xml:space="preserve">), les objectifs de reprise (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rto-rpo.md</w:t>
      </w:r>
      <w:r>
        <w:rPr>
          <w:i/>
          <w:iCs/>
          <w:color w:val="4A4470"/>
        </w:rPr>
        <w:t xml:space="preserve">) et l'analyse réglementaire (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nis2-dora.md</w:t>
      </w:r>
      <w:r>
        <w:rPr>
          <w:i/>
          <w:iCs/>
          <w:color w:val="4A4470"/>
        </w:rPr>
        <w:t xml:space="preserve">).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b/>
          <w:bCs/>
          <w:i/>
          <w:iCs/>
          <w:color w:val="4A4470"/>
        </w:rPr>
        <w:t xml:space="preserve">Statut :</w:t>
      </w:r>
      <w:r>
        <w:rPr>
          <w:i/>
          <w:iCs/>
          <w:color w:val="4A4470"/>
        </w:rPr>
        <w:t xml:space="preserve"> les mécanismes décrits sont ceux </w:t>
      </w:r>
      <w:r>
        <w:rPr>
          <w:b/>
          <w:bCs/>
          <w:i/>
          <w:iCs/>
          <w:color w:val="4A4470"/>
        </w:rPr>
        <w:t xml:space="preserve">prévus</w:t>
      </w:r>
      <w:r>
        <w:rPr>
          <w:i/>
          <w:iCs/>
          <w:color w:val="4A4470"/>
        </w:rPr>
        <w:t xml:space="preserve"> pour le démonstrateur. Chaque fiche sera confirmée ou corrigée après les essais de restauration (WOR‑75), le chaos engineering (WOR‑76) et les répétitions (WOR‑78).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Ce document est indexé par l'assistant RAG (WOR‑56). Chaque fiche scénario est donc rédigée pour être lue seule.</w:t>
      </w:r>
    </w:p>
    <w:p>
      <w:pPr>
        <w:pStyle w:val="Heading2"/>
      </w:pPr>
      <w:r>
        <w:t xml:space="preserve">1. Objet et périmètre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PCA (plan de continuité)</w:t>
      </w:r>
      <w:r>
        <w:t xml:space="preserve"> : comment le service de paiement </w:t>
      </w:r>
      <w:r>
        <w:rPr>
          <w:b/>
          <w:bCs/>
        </w:rPr>
        <w:t xml:space="preserve">continue</w:t>
      </w:r>
      <w:r>
        <w:t xml:space="preserve"> pendant l'incident, en mode normal ou dégradé.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PRA (plan de reprise)</w:t>
      </w:r>
      <w:r>
        <w:t xml:space="preserve"> : comment on </w:t>
      </w:r>
      <w:r>
        <w:rPr>
          <w:b/>
          <w:bCs/>
        </w:rPr>
        <w:t xml:space="preserve">revient</w:t>
      </w:r>
      <w:r>
        <w:t xml:space="preserve"> à un état sain et vérifié après l'incident, avec quelles données.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3"/>
        <w:gridCol w:w="4135"/>
      </w:tblGrid>
      <w:tr>
        <w:trPr>
          <w:cantSplit/>
          <w:tblHeader/>
        </w:trPr>
        <w:tc>
          <w:tcPr>
            <w:tcW w:type="dxa" w:w="550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Dans le périmètre</w:t>
            </w:r>
          </w:p>
        </w:tc>
        <w:tc>
          <w:tcPr>
            <w:tcW w:type="dxa" w:w="413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Hors périmètre</w:t>
            </w:r>
          </w:p>
        </w:tc>
      </w:tr>
      <w:tr>
        <w:trPr>
          <w:cantSplit/>
          <w:tblHeader w:val="off"/>
        </w:trPr>
        <w:tc>
          <w:tcPr>
            <w:tcW w:type="dxa" w:w="550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Plateforme Docker Compose du PC Hôte : front, authentification, API de paiement, base de données, WAF, supervision, détection ML, moteur de remédiation, assistant RAG</w:t>
            </w:r>
          </w:p>
        </w:tc>
        <w:tc>
          <w:tcPr>
            <w:tcW w:type="dxa" w:w="413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Infrastructure du campus, postes des autres groupes</w:t>
            </w:r>
          </w:p>
        </w:tc>
      </w:tr>
      <w:tr>
        <w:trPr>
          <w:cantSplit/>
          <w:tblHeader w:val="off"/>
        </w:trPr>
        <w:tc>
          <w:tcPr>
            <w:tcW w:type="dxa" w:w="550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Incidents de disponibilité, d'intégrité, défaillances internes, perte de l'hôte</w:t>
            </w:r>
          </w:p>
        </w:tc>
        <w:tc>
          <w:tcPr>
            <w:tcW w:type="dxa" w:w="413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Données réelles : toutes les données sont fictives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Rôles et responsabilités</w:t>
      </w:r>
    </w:p>
    <w:p>
      <w:pPr>
        <w:pStyle w:val="Heading3"/>
      </w:pPr>
      <w:r>
        <w:t xml:space="preserve">2.1 Dans l'entreprise fictive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3"/>
        <w:gridCol w:w="5745"/>
      </w:tblGrid>
      <w:tr>
        <w:trPr>
          <w:cantSplit/>
          <w:tblHeader/>
        </w:trPr>
        <w:tc>
          <w:tcPr>
            <w:tcW w:type="dxa" w:w="389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Rôle</w:t>
            </w:r>
          </w:p>
        </w:tc>
        <w:tc>
          <w:tcPr>
            <w:tcW w:type="dxa" w:w="574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Responsabilité pendant un incident</w:t>
            </w:r>
          </w:p>
        </w:tc>
      </w:tr>
      <w:tr>
        <w:trPr>
          <w:cantSplit/>
          <w:tblHeader w:val="off"/>
        </w:trPr>
        <w:tc>
          <w:tcPr>
            <w:tcW w:type="dxa" w:w="389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Moteur de remédiation (automate)</w:t>
            </w:r>
          </w:p>
        </w:tc>
        <w:tc>
          <w:tcPr>
            <w:tcW w:type="dxa" w:w="574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Premier intervenant : détecte, décide, agit et vérifie dans le périmètre d'actions qui lui est autorisé</w:t>
            </w:r>
          </w:p>
        </w:tc>
      </w:tr>
      <w:tr>
        <w:trPr>
          <w:cantSplit/>
          <w:tblHeader w:val="off"/>
        </w:trPr>
        <w:tc>
          <w:tcPr>
            <w:tcW w:type="dxa" w:w="389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Opérateur d'astreinte</w:t>
            </w:r>
            <w:r>
              <w:rPr>
                <w:sz w:val="18"/>
                <w:szCs w:val="18"/>
              </w:rPr>
              <w:t xml:space="preserve"> (équipe production)</w:t>
            </w:r>
          </w:p>
        </w:tc>
        <w:tc>
          <w:tcPr>
            <w:tcW w:type="dxa" w:w="574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Surveille le tableau de bord, reprend la main si l'automate échoue ou sort de son périmètre</w:t>
            </w:r>
          </w:p>
        </w:tc>
      </w:tr>
      <w:tr>
        <w:trPr>
          <w:cantSplit/>
          <w:tblHeader w:val="off"/>
        </w:trPr>
        <w:tc>
          <w:tcPr>
            <w:tcW w:type="dxa" w:w="389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 de la production</w:t>
            </w:r>
          </w:p>
        </w:tc>
        <w:tc>
          <w:tcPr>
            <w:tcW w:type="dxa" w:w="574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Décide des restaurations de données et des modes dégradés</w:t>
            </w:r>
          </w:p>
        </w:tc>
      </w:tr>
      <w:tr>
        <w:trPr>
          <w:cantSplit/>
          <w:tblHeader w:val="off"/>
        </w:trPr>
        <w:tc>
          <w:tcPr>
            <w:tcW w:type="dxa" w:w="389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RSSI</w:t>
            </w:r>
          </w:p>
        </w:tc>
        <w:tc>
          <w:tcPr>
            <w:tcW w:type="dxa" w:w="574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Qualifie les incidents de sécurité, décide de la préservation des preuves et de la rotation des secrets</w:t>
            </w:r>
          </w:p>
        </w:tc>
      </w:tr>
      <w:tr>
        <w:trPr>
          <w:cantSplit/>
          <w:tblHeader w:val="off"/>
        </w:trPr>
        <w:tc>
          <w:tcPr>
            <w:tcW w:type="dxa" w:w="389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Directeur de crise</w:t>
            </w:r>
            <w:r>
              <w:rPr>
                <w:sz w:val="18"/>
                <w:szCs w:val="18"/>
              </w:rPr>
              <w:t xml:space="preserve"> (direction des opérations)</w:t>
            </w:r>
          </w:p>
        </w:tc>
        <w:tc>
          <w:tcPr>
            <w:tcW w:type="dxa" w:w="574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Pilote la cellule de crise, arbitre entre reprise rapide et investigation</w:t>
            </w:r>
          </w:p>
        </w:tc>
      </w:tr>
      <w:tr>
        <w:trPr>
          <w:cantSplit/>
          <w:tblHeader w:val="off"/>
        </w:trPr>
        <w:tc>
          <w:tcPr>
            <w:tcW w:type="dxa" w:w="389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Conformité</w:t>
            </w:r>
          </w:p>
        </w:tc>
        <w:tc>
          <w:tcPr>
            <w:tcW w:type="dxa" w:w="574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Classe l'incident selon DORA et prépare les notifications à l'ACPR</w:t>
            </w:r>
          </w:p>
        </w:tc>
      </w:tr>
      <w:tr>
        <w:trPr>
          <w:cantSplit/>
          <w:tblHeader w:val="off"/>
        </w:trPr>
        <w:tc>
          <w:tcPr>
            <w:tcW w:type="dxa" w:w="389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574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Informe les partenaires commerçants</w:t>
            </w:r>
          </w:p>
        </w:tc>
      </w:tr>
      <w:tr>
        <w:trPr>
          <w:cantSplit/>
          <w:tblHeader w:val="off"/>
        </w:trPr>
        <w:tc>
          <w:tcPr>
            <w:tcW w:type="dxa" w:w="389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DPO</w:t>
            </w:r>
          </w:p>
        </w:tc>
        <w:tc>
          <w:tcPr>
            <w:tcW w:type="dxa" w:w="574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Évalue l'atteinte aux données personnelles (RGPD)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2.2 Dans l'équipe du démonstrateur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9"/>
        <w:gridCol w:w="7099"/>
      </w:tblGrid>
      <w:tr>
        <w:trPr>
          <w:cantSplit/>
          <w:tblHeader/>
        </w:trPr>
        <w:tc>
          <w:tcPr>
            <w:tcW w:type="dxa" w:w="25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Membre</w:t>
            </w:r>
          </w:p>
        </w:tc>
        <w:tc>
          <w:tcPr>
            <w:tcW w:type="dxa" w:w="70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 qu'il porte dans ce plan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Michael (Développement)</w:t>
            </w:r>
          </w:p>
        </w:tc>
        <w:tc>
          <w:tcPr>
            <w:tcW w:type="dxa" w:w="70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Moteur de remédiation, vérification de la reprise, cohérence des données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Reza (Infrastructure)</w:t>
            </w:r>
          </w:p>
        </w:tc>
        <w:tc>
          <w:tcPr>
            <w:tcW w:type="dxa" w:w="70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Playbooks Ansible, sauvegardes et restauration, remise à l'état sain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Léa (IA / Data)</w:t>
            </w:r>
          </w:p>
        </w:tc>
        <w:tc>
          <w:tcPr>
            <w:tcW w:type="dxa" w:w="70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Détection ML, assistant RAG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Axel (Cybersécurité)</w:t>
            </w:r>
          </w:p>
        </w:tc>
        <w:tc>
          <w:tcPr>
            <w:tcW w:type="dxa" w:w="70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WAF, SIEM, secrets, préservation des journaux</w:t>
            </w:r>
          </w:p>
        </w:tc>
      </w:tr>
      <w:tr>
        <w:trPr>
          <w:cantSplit/>
          <w:tblHeader w:val="off"/>
        </w:trPr>
        <w:tc>
          <w:tcPr>
            <w:tcW w:type="dxa" w:w="25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Cédric (Gouvernance)</w:t>
            </w:r>
          </w:p>
        </w:tc>
        <w:tc>
          <w:tcPr>
            <w:tcW w:type="dxa" w:w="709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 plan, classification des incidents, notifications, retour d'expérience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 Niveaux de réponse et escalade</w:t>
      </w:r>
    </w:p>
    <w:p>
      <w:pPr>
        <w:spacing w:after="120"/>
      </w:pPr>
      <w:r>
        <w:t xml:space="preserve">Les seuils viennent du coût d'un arrêt (</w:t>
      </w:r>
      <w:r>
        <w:rPr>
          <w:rFonts w:ascii="Menlo" w:cs="Menlo" w:eastAsia="Menlo" w:hAnsi="Menlo"/>
          <w:sz w:val="19"/>
          <w:szCs w:val="19"/>
        </w:rPr>
        <w:t xml:space="preserve">services-critiques.md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4"/>
        <w:gridCol w:w="3874"/>
        <w:gridCol w:w="3059"/>
        <w:gridCol w:w="961"/>
      </w:tblGrid>
      <w:tr>
        <w:trPr>
          <w:cantSplit/>
          <w:tblHeader/>
        </w:trPr>
        <w:tc>
          <w:tcPr>
            <w:tcW w:type="dxa" w:w="174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dxa" w:w="387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Qui agit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Gravité</w:t>
            </w:r>
          </w:p>
        </w:tc>
      </w:tr>
      <w:tr>
        <w:trPr>
          <w:cantSplit/>
          <w:tblHeader w:val="off"/>
        </w:trPr>
        <w:tc>
          <w:tcPr>
            <w:tcW w:type="dxa" w:w="174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N0 — Automatique</w:t>
            </w:r>
          </w:p>
        </w:tc>
        <w:tc>
          <w:tcPr>
            <w:tcW w:type="dxa" w:w="387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Alerte ML ou SIEM</w:t>
            </w:r>
          </w:p>
        </w:tc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Moteur de remédiation seul ; l'opérateur est informé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</w:t>
            </w:r>
          </w:p>
        </w:tc>
      </w:tr>
      <w:tr>
        <w:trPr>
          <w:cantSplit/>
          <w:tblHeader w:val="off"/>
        </w:trPr>
        <w:tc>
          <w:tcPr>
            <w:tcW w:type="dxa" w:w="174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N1 — Astreinte</w:t>
            </w:r>
          </w:p>
        </w:tc>
        <w:tc>
          <w:tcPr>
            <w:tcW w:type="dxa" w:w="387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Échec de la remédiation, </w:t>
            </w:r>
            <w:r>
              <w:rPr>
                <w:b/>
                <w:bCs/>
                <w:sz w:val="18"/>
                <w:szCs w:val="18"/>
              </w:rPr>
              <w:t xml:space="preserve">ou</w:t>
            </w:r>
            <w:r>
              <w:rPr>
                <w:sz w:val="18"/>
                <w:szCs w:val="18"/>
              </w:rPr>
              <w:t xml:space="preserve"> service non rétabli à 5 min, </w:t>
            </w:r>
            <w:r>
              <w:rPr>
                <w:b/>
                <w:bCs/>
                <w:sz w:val="18"/>
                <w:szCs w:val="18"/>
              </w:rPr>
              <w:t xml:space="preserve">ou</w:t>
            </w:r>
            <w:r>
              <w:rPr>
                <w:sz w:val="18"/>
                <w:szCs w:val="18"/>
              </w:rPr>
              <w:t xml:space="preserve"> incident d'intégrité ou de confidentialité (même si la remédiation a réussi)</w:t>
            </w:r>
          </w:p>
        </w:tc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Opérateur d'astreinte, RSSI informé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G2</w:t>
            </w:r>
          </w:p>
        </w:tc>
      </w:tr>
      <w:tr>
        <w:trPr>
          <w:cantSplit/>
          <w:tblHeader w:val="off"/>
        </w:trPr>
        <w:tc>
          <w:tcPr>
            <w:tcW w:type="dxa" w:w="174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N2 — Cellule de crise</w:t>
            </w:r>
          </w:p>
        </w:tc>
        <w:tc>
          <w:tcPr>
            <w:tcW w:type="dxa" w:w="387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non rétabli à 30 min, </w:t>
            </w:r>
            <w:r>
              <w:rPr>
                <w:b/>
                <w:bCs/>
                <w:sz w:val="18"/>
                <w:szCs w:val="18"/>
              </w:rPr>
              <w:t xml:space="preserve">ou</w:t>
            </w:r>
            <w:r>
              <w:rPr>
                <w:sz w:val="18"/>
                <w:szCs w:val="18"/>
              </w:rPr>
              <w:t xml:space="preserve"> perte de données confirmée, </w:t>
            </w:r>
            <w:r>
              <w:rPr>
                <w:b/>
                <w:bCs/>
                <w:sz w:val="18"/>
                <w:szCs w:val="18"/>
              </w:rPr>
              <w:t xml:space="preserve">ou</w:t>
            </w:r>
            <w:r>
              <w:rPr>
                <w:sz w:val="18"/>
                <w:szCs w:val="18"/>
              </w:rPr>
              <w:t xml:space="preserve"> compromission du moteur de remédiation</w:t>
            </w:r>
          </w:p>
        </w:tc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Directeur de crise, RSSI, conformité, communication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G3</w:t>
            </w:r>
          </w:p>
        </w:tc>
      </w:tr>
      <w:tr>
        <w:trPr>
          <w:cantSplit/>
          <w:tblHeader w:val="off"/>
        </w:trPr>
        <w:tc>
          <w:tcPr>
            <w:tcW w:type="dxa" w:w="174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N3 — Crise majeure</w:t>
            </w:r>
          </w:p>
        </w:tc>
        <w:tc>
          <w:tcPr>
            <w:tcW w:type="dxa" w:w="387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non rétabli à 2 h, </w:t>
            </w:r>
            <w:r>
              <w:rPr>
                <w:b/>
                <w:bCs/>
                <w:sz w:val="18"/>
                <w:szCs w:val="18"/>
              </w:rPr>
              <w:t xml:space="preserve">ou</w:t>
            </w:r>
            <w:r>
              <w:rPr>
                <w:sz w:val="18"/>
                <w:szCs w:val="18"/>
              </w:rPr>
              <w:t xml:space="preserve"> perte du PC Hôte</w:t>
            </w:r>
          </w:p>
        </w:tc>
        <w:tc>
          <w:tcPr>
            <w:tcW w:type="dxa" w:w="305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 générale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Règle de l'automate :</w:t>
      </w:r>
      <w:r>
        <w:t xml:space="preserve"> l'automate ne tente </w:t>
      </w:r>
      <w:r>
        <w:rPr>
          <w:b/>
          <w:bCs/>
        </w:rPr>
        <w:t xml:space="preserve">pas plus de 3 remédiations en 10 minutes</w:t>
      </w:r>
      <w:r>
        <w:t xml:space="preserve"> sur le même service. Au-delà, il s'arrête et passe en N1, pour éviter une boucle de redémarrages qui aggraverait l'arrêt.</w:t>
      </w:r>
    </w:p>
    <w:p>
      <w:pPr>
        <w:pStyle w:val="Heading2"/>
      </w:pPr>
      <w:r>
        <w:t xml:space="preserve">4. Fiches scénarios</w:t>
      </w:r>
    </w:p>
    <w:p>
      <w:pPr>
        <w:pStyle w:val="Heading3"/>
      </w:pPr>
      <w:r>
        <w:t xml:space="preserve">Fiche S1 — Déni de service sur l'API de paiement (attaque 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 EBIOS :</w:t>
      </w:r>
      <w:r>
        <w:t xml:space="preserve"> R1 (hacktiviste, ER1) · gravité G4 si non traité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Signaux :</w:t>
      </w:r>
      <w:r>
        <w:t xml:space="preserve"> latence et taux d'erreurs 5xx en forte hausse, débit anormal depuis une ou quelques sources, transactions en échec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Actions automatiques 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Limitation de débit au WAF pour la ou les sources identifiées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Redémarrage propre de l'API si elle ne répond plus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Vérification : transaction test réussie, latence revenue au niveau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Données :</w:t>
      </w:r>
      <w:r>
        <w:t xml:space="preserve"> aucune restauration, la base n'est pas touchée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 :</w:t>
      </w:r>
      <w:r>
        <w:t xml:space="preserve"> RTO ≤ 5 min (cible démonstrateur ≤ 60 s) · RPO 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Escalade :</w:t>
      </w:r>
      <w:r>
        <w:t xml:space="preserve"> N1 si l'attaque reprend depuis d'autres sources après la limitation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Retour à la normale :</w:t>
      </w:r>
      <w:r>
        <w:t xml:space="preserve"> limitation levée après 30 min sans trafic anormal, ou sur décision de l'opérateur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Risques résiduels 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L'attaquant change d'adresse : la limitation par source ne suffit plus (un vrai déni de service distribué exige une protection en amont, hors de portée du prototype)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 partenaire légitime au fort volume peut être limité à tort</w:t>
      </w:r>
    </w:p>
    <w:p>
      <w:pPr>
        <w:pStyle w:val="Heading3"/>
      </w:pPr>
      <w:r>
        <w:t xml:space="preserve">Fiche S2 — Injection applicative et altération de données (attaque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 EBIOS :</w:t>
      </w:r>
      <w:r>
        <w:t xml:space="preserve"> R2 (cybercriminel, ER2) · gravité G4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Signaux :</w:t>
      </w:r>
      <w:r>
        <w:t xml:space="preserve"> règle WAF déclenchée, motif anormal dans les journaux de l'API, erreurs applicatives, incohérence détectée dans les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Actions automatiques :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Blocage de la source au WAF</w:t>
      </w:r>
    </w:p>
    <w:p>
      <w:pPr>
        <w:pStyle w:val="ListParagraph"/>
        <w:numPr>
          <w:ilvl w:val="1"/>
          <w:numId w:val="4"/>
        </w:numPr>
        <w:spacing w:after="60"/>
      </w:pPr>
      <w:r>
        <w:rPr>
          <w:b/>
          <w:bCs/>
        </w:rPr>
        <w:t xml:space="preserve">Copie des journaux et de l'état de la base compromise</w:t>
      </w:r>
      <w:r>
        <w:t xml:space="preserve"> (preuves), avant toute restauration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Restauration de la base depuis le dernier snapshot sain, puis rejeu des transactions légitimes (arbitrage en cours, voir </w:t>
      </w:r>
      <w:r>
        <w:rPr>
          <w:rFonts w:ascii="Menlo" w:cs="Menlo" w:eastAsia="Menlo" w:hAnsi="Menlo"/>
          <w:sz w:val="19"/>
          <w:szCs w:val="19"/>
        </w:rPr>
        <w:t xml:space="preserve">rto-rpo.md</w:t>
      </w:r>
      <w:r>
        <w:t xml:space="preserve"> §5)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Rotation du secret concerné</w:t>
      </w:r>
    </w:p>
    <w:p>
      <w:pPr>
        <w:pStyle w:val="ListParagraph"/>
        <w:numPr>
          <w:ilvl w:val="1"/>
          <w:numId w:val="4"/>
        </w:numPr>
        <w:spacing w:after="60"/>
      </w:pPr>
      <w:r>
        <w:t xml:space="preserve">Vérification : transaction test réussie </w:t>
      </w:r>
      <w:r>
        <w:rPr>
          <w:b/>
          <w:bCs/>
        </w:rPr>
        <w:t xml:space="preserve">et</w:t>
      </w:r>
      <w:r>
        <w:t xml:space="preserve"> contrôle d'intégrité des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 :</w:t>
      </w:r>
      <w:r>
        <w:t xml:space="preserve"> RTO ≤ 5 min (cible ≤ 3 min) · RPO = 0 transaction confirmée perdue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Escalade :</w:t>
      </w:r>
      <w:r>
        <w:t xml:space="preserve"> </w:t>
      </w:r>
      <w:r>
        <w:rPr>
          <w:b/>
          <w:bCs/>
        </w:rPr>
        <w:t xml:space="preserve">N1 systématique</w:t>
      </w:r>
      <w:r>
        <w:t xml:space="preserve">, même si la reprise réussit. Le RSSI qualifie l'incident ; la conformité évalue s'il est majeur au sens de DORA (une perte de données après un accès malveillant suffit)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Retour à la normale :</w:t>
      </w:r>
      <w:r>
        <w:t xml:space="preserve"> après correction de la vulnérabilité exploitée. D'ici là, la règle WAF reste active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Risques résiduels 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 vulnérabilité est toujours dans le code : le WAF n'est qu'un pansement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Une porte dérobée a pu être déposée ; restaurer les données ne la supprime pas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Le snapshot « sain » peut contenir une altération plus ancienne, passée inaperçue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Après la rotation des secrets, les utilisateurs doivent se reconnecter</w:t>
      </w:r>
    </w:p>
    <w:p>
      <w:pPr>
        <w:pStyle w:val="Heading3"/>
      </w:pPr>
      <w:r>
        <w:t xml:space="preserve">Fiche S3 — Panne d'un service sans attaque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Couvre :</w:t>
      </w:r>
      <w:r>
        <w:t xml:space="preserve"> arrêt brutal d'un conteneur, saturation mémoire, base injoignable (testé par le chaos engineering, WOR‑76)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Signaux :</w:t>
      </w:r>
      <w:r>
        <w:t xml:space="preserve"> contrôle de santé en échec, métriques absentes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Actions automatiques :</w:t>
      </w:r>
      <w:r>
        <w:t xml:space="preserve"> redémarrage du service ; si la base est en cause, vérification de son intégrité avant de relancer l'API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 :</w:t>
      </w:r>
      <w:r>
        <w:t xml:space="preserve"> RTO ≤ 5 min · RPO 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Escalade :</w:t>
      </w:r>
      <w:r>
        <w:t xml:space="preserve"> N1 au-delà de 3 redémarrages en 10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Risques résiduels :</w:t>
      </w:r>
      <w:r>
        <w:t xml:space="preserve"> une cause profonde (disque plein, fuite mémoire) fera revenir la panne</w:t>
      </w:r>
    </w:p>
    <w:p>
      <w:pPr>
        <w:pStyle w:val="Heading3"/>
      </w:pPr>
      <w:r>
        <w:t xml:space="preserve">Fiche S4 — Remédiation déclenchée à tort (faux positif du modèle 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 :</w:t>
      </w:r>
      <w:r>
        <w:t xml:space="preserve"> non intentionnel, cité dans </w:t>
      </w:r>
      <w:r>
        <w:rPr>
          <w:rFonts w:ascii="Menlo" w:cs="Menlo" w:eastAsia="Menlo" w:hAnsi="Menlo"/>
          <w:sz w:val="19"/>
          <w:szCs w:val="19"/>
        </w:rPr>
        <w:t xml:space="preserve">ebios-rm.md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Signaux :</w:t>
      </w:r>
      <w:r>
        <w:t xml:space="preserve"> remédiation exécutée sans anomalie confirmée par un second signal (SIEM, contrôle de santé)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Conduite à tenir :</w:t>
      </w:r>
    </w:p>
    <w:p>
      <w:pPr>
        <w:pStyle w:val="ListParagraph"/>
        <w:numPr>
          <w:ilvl w:val="1"/>
          <w:numId w:val="5"/>
        </w:numPr>
        <w:spacing w:after="60"/>
      </w:pPr>
      <w:r>
        <w:t xml:space="preserve">Les actions de type S1 (limitation, redémarrage) restent autorisées : elles sont réversibles et courtes</w:t>
      </w:r>
    </w:p>
    <w:p>
      <w:pPr>
        <w:pStyle w:val="ListParagraph"/>
        <w:numPr>
          <w:ilvl w:val="1"/>
          <w:numId w:val="5"/>
        </w:numPr>
        <w:spacing w:after="60"/>
      </w:pPr>
      <w:r>
        <w:t xml:space="preserve">Les actions destructrices (restauration de la base, rotation des secrets) </w:t>
      </w:r>
      <w:r>
        <w:rPr>
          <w:b/>
          <w:bCs/>
        </w:rPr>
        <w:t xml:space="preserve">exigent deux signaux concordants</w:t>
      </w:r>
      <w:r>
        <w:t xml:space="preserve"> (ML et WAF ou SIEM). Sinon, l'automate passe en N1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Risques résiduels :</w:t>
      </w:r>
      <w:r>
        <w:t xml:space="preserve"> une coupure courte provoquée par la défense elle-même ; elle est comptée dans le RTO</w:t>
      </w:r>
    </w:p>
    <w:p>
      <w:pPr>
        <w:pStyle w:val="Heading3"/>
      </w:pPr>
      <w:r>
        <w:t xml:space="preserve">Fiche S5 — Moteur de remédiation défaillant ou détourné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 EBIOS :</w:t>
      </w:r>
      <w:r>
        <w:t xml:space="preserve"> R3 (initié malveillant, ER6) · gravité G4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Signaux :</w:t>
      </w:r>
      <w:r>
        <w:t xml:space="preserve"> action hors du périmètre autorisé, appel au moteur depuis un composant non autorisé, rafale d'actions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Conduite à tenir :</w:t>
      </w:r>
    </w:p>
    <w:p>
      <w:pPr>
        <w:pStyle w:val="ListParagraph"/>
        <w:numPr>
          <w:ilvl w:val="1"/>
          <w:numId w:val="6"/>
        </w:numPr>
        <w:spacing w:after="60"/>
      </w:pPr>
      <w:r>
        <w:t xml:space="preserve">Arrêter le moteur de remédiation</w:t>
      </w:r>
    </w:p>
    <w:p>
      <w:pPr>
        <w:pStyle w:val="ListParagraph"/>
        <w:numPr>
          <w:ilvl w:val="1"/>
          <w:numId w:val="6"/>
        </w:numPr>
        <w:spacing w:after="60"/>
      </w:pPr>
      <w:r>
        <w:t xml:space="preserve">Passer en </w:t>
      </w:r>
      <w:r>
        <w:rPr>
          <w:b/>
          <w:bCs/>
        </w:rPr>
        <w:t xml:space="preserve">surveillance manuelle</w:t>
      </w:r>
      <w:r>
        <w:t xml:space="preserve"> : l'opérateur suit le tableau de bord et applique les fiches à la main</w:t>
      </w:r>
    </w:p>
    <w:p>
      <w:pPr>
        <w:pStyle w:val="ListParagraph"/>
        <w:numPr>
          <w:ilvl w:val="1"/>
          <w:numId w:val="6"/>
        </w:numPr>
        <w:spacing w:after="60"/>
      </w:pPr>
      <w:r>
        <w:t xml:space="preserve">Préserver les journaux du moteur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Escalade :</w:t>
      </w:r>
      <w:r>
        <w:t xml:space="preserve"> N2 immédiat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Prévention :</w:t>
      </w:r>
      <w:r>
        <w:t xml:space="preserve"> périmètre d'actions limité, authentification des appels, journalisation (WOR‑64)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Risques résiduels :</w:t>
      </w:r>
      <w:r>
        <w:t xml:space="preserve"> pendant l'arrêt du moteur, plus aucune reprise automatique ; on retombe sur un RTO manuel de 30 min ou plus</w:t>
      </w:r>
    </w:p>
    <w:p>
      <w:pPr>
        <w:pStyle w:val="Heading3"/>
      </w:pPr>
      <w:r>
        <w:t xml:space="preserve">Fiche S6 — Suspicion de fuite de données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 EBIOS :</w:t>
      </w:r>
      <w:r>
        <w:t xml:space="preserve"> R5 (ER3) · gravité G3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Signaux :</w:t>
      </w:r>
      <w:r>
        <w:t xml:space="preserve"> volume de lecture anormal, requêtes inhabituelles sur la base, sortie de données vers une destination inconnue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Conduite à tenir :</w:t>
      </w:r>
      <w:r>
        <w:t xml:space="preserve"> couper l'accès de la source, préserver les preuves, </w:t>
      </w:r>
      <w:r>
        <w:rPr>
          <w:b/>
          <w:bCs/>
        </w:rPr>
        <w:t xml:space="preserve">ne pas restaurer</w:t>
      </w:r>
      <w:r>
        <w:t xml:space="preserve"> (restaurer n'efface pas une fuite), prévenir le DPO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Escalade :</w:t>
      </w:r>
      <w:r>
        <w:t xml:space="preserve"> N2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Remarque :</w:t>
      </w:r>
      <w:r>
        <w:t xml:space="preserve"> non joué pendant la démo ; la fiche montre que la réponse diffère d'une simple remise en service (WOR‑39)</w:t>
      </w:r>
    </w:p>
    <w:p>
      <w:pPr>
        <w:pStyle w:val="Heading3"/>
      </w:pPr>
      <w:r>
        <w:t xml:space="preserve">Fiche S7 — Perte du PC Hôte (PRA)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 EBIOS :</w:t>
      </w:r>
      <w:r>
        <w:t xml:space="preserve"> R7 (rançongiciel) ou panne matérielle · gravité G4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Conduite à tenir :</w:t>
      </w:r>
    </w:p>
    <w:p>
      <w:pPr>
        <w:pStyle w:val="ListParagraph"/>
        <w:numPr>
          <w:ilvl w:val="1"/>
          <w:numId w:val="7"/>
        </w:numPr>
        <w:spacing w:after="60"/>
      </w:pPr>
      <w:r>
        <w:t xml:space="preserve">Préparer une machine de remplacement (prérequis du README, WOR‑49)</w:t>
      </w:r>
    </w:p>
    <w:p>
      <w:pPr>
        <w:pStyle w:val="ListParagraph"/>
        <w:numPr>
          <w:ilvl w:val="1"/>
          <w:numId w:val="7"/>
        </w:numPr>
        <w:spacing w:after="60"/>
      </w:pPr>
      <w:r>
        <w:t xml:space="preserve">Cloner le dépôt Git, redéployer avec Docker Compose et les playbooks Ansible</w:t>
      </w:r>
    </w:p>
    <w:p>
      <w:pPr>
        <w:pStyle w:val="ListParagraph"/>
        <w:numPr>
          <w:ilvl w:val="1"/>
          <w:numId w:val="7"/>
        </w:numPr>
        <w:spacing w:after="60"/>
      </w:pPr>
      <w:r>
        <w:t xml:space="preserve">Restaurer les secrets depuis leur coffre (Vault ou SOPS)</w:t>
      </w:r>
    </w:p>
    <w:p>
      <w:pPr>
        <w:pStyle w:val="ListParagraph"/>
        <w:numPr>
          <w:ilvl w:val="1"/>
          <w:numId w:val="7"/>
        </w:numPr>
        <w:spacing w:after="60"/>
      </w:pPr>
      <w:r>
        <w:t xml:space="preserve">Restaurer la dernière sauvegarde de la base, </w:t>
      </w:r>
      <w:r>
        <w:rPr>
          <w:b/>
          <w:bCs/>
        </w:rPr>
        <w:t xml:space="preserve">si elle existe hors de l'hôte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Objectif :</w:t>
      </w:r>
      <w:r>
        <w:t xml:space="preserve"> aucun objectif chiffré tenable avec un seul hôte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Risques résiduels :</w:t>
      </w:r>
      <w:r>
        <w:t xml:space="preserve"> </w:t>
      </w:r>
      <w:r>
        <w:rPr>
          <w:b/>
          <w:bCs/>
        </w:rPr>
        <w:t xml:space="preserve">perte de toutes les données depuis la dernière copie hors hôte</w:t>
      </w:r>
      <w:r>
        <w:t xml:space="preserve">. C'est le principal écart du démonstrateur (voir §8)</w:t>
      </w:r>
    </w:p>
    <w:p>
      <w:pPr>
        <w:pStyle w:val="Heading2"/>
      </w:pPr>
      <w:r>
        <w:t xml:space="preserve">5. Mode dégradé</w:t>
      </w:r>
    </w:p>
    <w:p>
      <w:pPr>
        <w:spacing w:after="120"/>
      </w:pPr>
      <w:r>
        <w:t xml:space="preserve">Quand la reprise automatique échoue, on maintient ce qui peut l'être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6"/>
        <w:gridCol w:w="4757"/>
        <w:gridCol w:w="3365"/>
      </w:tblGrid>
      <w:tr>
        <w:trPr>
          <w:cantSplit/>
          <w:tblHeader/>
        </w:trPr>
        <w:tc>
          <w:tcPr>
            <w:tcW w:type="dxa" w:w="15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475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 mode dégradé</w:t>
            </w:r>
          </w:p>
        </w:tc>
        <w:tc>
          <w:tcPr>
            <w:tcW w:type="dxa" w:w="33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Interdit</w:t>
            </w:r>
          </w:p>
        </w:tc>
      </w:tr>
      <w:tr>
        <w:trPr>
          <w:cantSplit/>
          <w:tblHeader w:val="off"/>
        </w:trPr>
        <w:tc>
          <w:tcPr>
            <w:tcW w:type="dxa" w:w="15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Paiement</w:t>
            </w:r>
          </w:p>
        </w:tc>
        <w:tc>
          <w:tcPr>
            <w:tcW w:type="dxa" w:w="475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Limitation de débit stricte : on accepte moins de transactions plutôt qu'aucune</w:t>
            </w:r>
          </w:p>
        </w:tc>
        <w:tc>
          <w:tcPr>
            <w:tcW w:type="dxa" w:w="33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WAF</w:t>
            </w:r>
          </w:p>
        </w:tc>
        <w:tc>
          <w:tcPr>
            <w:tcW w:type="dxa" w:w="475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 de filtrage strict</w:t>
            </w:r>
          </w:p>
        </w:tc>
        <w:tc>
          <w:tcPr>
            <w:tcW w:type="dxa" w:w="33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 contourner</w:t>
            </w:r>
            <w:r>
              <w:rPr>
                <w:sz w:val="18"/>
                <w:szCs w:val="18"/>
              </w:rPr>
              <w:t xml:space="preserve"> pour rétablir le trafic plus vite</w:t>
            </w:r>
          </w:p>
        </w:tc>
      </w:tr>
      <w:tr>
        <w:trPr>
          <w:cantSplit/>
          <w:tblHeader w:val="off"/>
        </w:trPr>
        <w:tc>
          <w:tcPr>
            <w:tcW w:type="dxa" w:w="15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Consultation</w:t>
            </w:r>
          </w:p>
        </w:tc>
        <w:tc>
          <w:tcPr>
            <w:tcW w:type="dxa" w:w="475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Lecture seule, voire suspendue pour soulager la base</w:t>
            </w:r>
          </w:p>
        </w:tc>
        <w:tc>
          <w:tcPr>
            <w:tcW w:type="dxa" w:w="33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Supervision</w:t>
            </w:r>
          </w:p>
        </w:tc>
        <w:tc>
          <w:tcPr>
            <w:tcW w:type="dxa" w:w="475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Surveillance manuelle sur le tableau de bord</w:t>
            </w:r>
          </w:p>
        </w:tc>
        <w:tc>
          <w:tcPr>
            <w:tcW w:type="dxa" w:w="33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Assistant RAG</w:t>
            </w:r>
          </w:p>
        </w:tc>
        <w:tc>
          <w:tcPr>
            <w:tcW w:type="dxa" w:w="475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Peut être arrêté pour libérer des ressources</w:t>
            </w:r>
          </w:p>
        </w:tc>
        <w:tc>
          <w:tcPr>
            <w:tcW w:type="dxa" w:w="336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Lui donner des droits d'action (WOR‑57)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 Choix de restauration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6"/>
        <w:gridCol w:w="2341"/>
        <w:gridCol w:w="2153"/>
        <w:gridCol w:w="1833"/>
        <w:gridCol w:w="1395"/>
      </w:tblGrid>
      <w:tr>
        <w:trPr>
          <w:cantSplit/>
          <w:tblHeader/>
        </w:trPr>
        <w:tc>
          <w:tcPr>
            <w:tcW w:type="dxa" w:w="19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Élément</w:t>
            </w:r>
          </w:p>
        </w:tc>
        <w:tc>
          <w:tcPr>
            <w:tcW w:type="dxa" w:w="23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Où se trouve la référence saine</w:t>
            </w:r>
          </w:p>
        </w:tc>
        <w:tc>
          <w:tcPr>
            <w:tcW w:type="dxa" w:w="215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Comment on restaure</w:t>
            </w:r>
          </w:p>
        </w:tc>
        <w:tc>
          <w:tcPr>
            <w:tcW w:type="dxa" w:w="1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Fréquence</w:t>
            </w:r>
          </w:p>
        </w:tc>
        <w:tc>
          <w:tcPr>
            <w:tcW w:type="dxa" w:w="13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  <w:tblHeader w:val="off"/>
        </w:trPr>
        <w:tc>
          <w:tcPr>
            <w:tcW w:type="dxa" w:w="19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 et configuration des services</w:t>
            </w:r>
          </w:p>
        </w:tc>
        <w:tc>
          <w:tcPr>
            <w:tcW w:type="dxa" w:w="23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Dépôt Git, version taguée (WOR‑80)</w:t>
            </w:r>
          </w:p>
        </w:tc>
        <w:tc>
          <w:tcPr>
            <w:tcW w:type="dxa" w:w="215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Redéploiement Docker Compose et Ansible</w:t>
            </w:r>
          </w:p>
        </w:tc>
        <w:tc>
          <w:tcPr>
            <w:tcW w:type="dxa" w:w="1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chaque livraison</w:t>
            </w:r>
          </w:p>
        </w:tc>
        <w:tc>
          <w:tcPr>
            <w:tcW w:type="dxa" w:w="13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Reza</w:t>
            </w:r>
          </w:p>
        </w:tc>
      </w:tr>
      <w:tr>
        <w:trPr>
          <w:cantSplit/>
          <w:tblHeader w:val="off"/>
        </w:trPr>
        <w:tc>
          <w:tcPr>
            <w:tcW w:type="dxa" w:w="19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Règles du WAF</w:t>
            </w:r>
          </w:p>
        </w:tc>
        <w:tc>
          <w:tcPr>
            <w:tcW w:type="dxa" w:w="23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Dépôt Git</w:t>
            </w:r>
          </w:p>
        </w:tc>
        <w:tc>
          <w:tcPr>
            <w:tcW w:type="dxa" w:w="215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Rechargement à chaud</w:t>
            </w:r>
          </w:p>
        </w:tc>
        <w:tc>
          <w:tcPr>
            <w:tcW w:type="dxa" w:w="1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chaque modification</w:t>
            </w:r>
          </w:p>
        </w:tc>
        <w:tc>
          <w:tcPr>
            <w:tcW w:type="dxa" w:w="13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Axel</w:t>
            </w:r>
          </w:p>
        </w:tc>
      </w:tr>
      <w:tr>
        <w:trPr>
          <w:cantSplit/>
          <w:tblHeader w:val="off"/>
        </w:trPr>
        <w:tc>
          <w:tcPr>
            <w:tcW w:type="dxa" w:w="19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Secrets</w:t>
            </w:r>
          </w:p>
        </w:tc>
        <w:tc>
          <w:tcPr>
            <w:tcW w:type="dxa" w:w="23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Vault ou SOPS</w:t>
            </w:r>
          </w:p>
        </w:tc>
        <w:tc>
          <w:tcPr>
            <w:tcW w:type="dxa" w:w="215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Rotation puis redémarrage des services concernés</w:t>
            </w:r>
          </w:p>
        </w:tc>
        <w:tc>
          <w:tcPr>
            <w:tcW w:type="dxa" w:w="1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Après tout incident d'intégrité</w:t>
            </w:r>
          </w:p>
        </w:tc>
        <w:tc>
          <w:tcPr>
            <w:tcW w:type="dxa" w:w="13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Axel</w:t>
            </w:r>
          </w:p>
        </w:tc>
      </w:tr>
      <w:tr>
        <w:trPr>
          <w:cantSplit/>
          <w:tblHeader w:val="off"/>
        </w:trPr>
        <w:tc>
          <w:tcPr>
            <w:tcW w:type="dxa" w:w="19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3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Snapshot + journal des transactions (à confirmer,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rto-rpo.md</w:t>
            </w:r>
            <w:r>
              <w:rPr>
                <w:sz w:val="18"/>
                <w:szCs w:val="18"/>
              </w:rPr>
              <w:t xml:space="preserve"> §5)</w:t>
            </w:r>
          </w:p>
        </w:tc>
        <w:tc>
          <w:tcPr>
            <w:tcW w:type="dxa" w:w="215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Restauration du snapshot puis rejeu</w:t>
            </w:r>
          </w:p>
        </w:tc>
        <w:tc>
          <w:tcPr>
            <w:tcW w:type="dxa" w:w="1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définir avec Reza</w:t>
            </w:r>
          </w:p>
        </w:tc>
        <w:tc>
          <w:tcPr>
            <w:tcW w:type="dxa" w:w="13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Reza, Michael</w:t>
            </w:r>
          </w:p>
        </w:tc>
      </w:tr>
      <w:tr>
        <w:trPr>
          <w:cantSplit/>
          <w:tblHeader w:val="off"/>
        </w:trPr>
        <w:tc>
          <w:tcPr>
            <w:tcW w:type="dxa" w:w="19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Journaux</w:t>
            </w:r>
          </w:p>
        </w:tc>
        <w:tc>
          <w:tcPr>
            <w:tcW w:type="dxa" w:w="23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Loki</w:t>
            </w:r>
          </w:p>
        </w:tc>
        <w:tc>
          <w:tcPr>
            <w:tcW w:type="dxa" w:w="215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Jamais écrasés</w:t>
            </w:r>
            <w:r>
              <w:rPr>
                <w:sz w:val="18"/>
                <w:szCs w:val="18"/>
              </w:rPr>
              <w:t xml:space="preserve"> ; copiés avant toute restauration</w:t>
            </w:r>
          </w:p>
        </w:tc>
        <w:tc>
          <w:tcPr>
            <w:tcW w:type="dxa" w:w="1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 continu</w:t>
            </w:r>
          </w:p>
        </w:tc>
        <w:tc>
          <w:tcPr>
            <w:tcW w:type="dxa" w:w="13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Axel</w:t>
            </w:r>
          </w:p>
        </w:tc>
      </w:tr>
      <w:tr>
        <w:trPr>
          <w:cantSplit/>
          <w:tblHeader w:val="off"/>
        </w:trPr>
        <w:tc>
          <w:tcPr>
            <w:tcW w:type="dxa" w:w="19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Modèle ML</w:t>
            </w:r>
          </w:p>
        </w:tc>
        <w:tc>
          <w:tcPr>
            <w:tcW w:type="dxa" w:w="23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Dépôt Git (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ml/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15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Rechargement de la version validée</w:t>
            </w:r>
          </w:p>
        </w:tc>
        <w:tc>
          <w:tcPr>
            <w:tcW w:type="dxa" w:w="1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chaque entraînement</w:t>
            </w:r>
          </w:p>
        </w:tc>
        <w:tc>
          <w:tcPr>
            <w:tcW w:type="dxa" w:w="13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Léa</w:t>
            </w:r>
          </w:p>
        </w:tc>
      </w:tr>
      <w:tr>
        <w:trPr>
          <w:cantSplit/>
          <w:tblHeader w:val="off"/>
        </w:trPr>
        <w:tc>
          <w:tcPr>
            <w:tcW w:type="dxa" w:w="19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Index du RAG</w:t>
            </w:r>
          </w:p>
        </w:tc>
        <w:tc>
          <w:tcPr>
            <w:tcW w:type="dxa" w:w="234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Documents du dépôt</w:t>
            </w:r>
          </w:p>
        </w:tc>
        <w:tc>
          <w:tcPr>
            <w:tcW w:type="dxa" w:w="215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Réindexation</w:t>
            </w:r>
          </w:p>
        </w:tc>
        <w:tc>
          <w:tcPr>
            <w:tcW w:type="dxa" w:w="1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chaque mise à jour des documents</w:t>
            </w:r>
          </w:p>
        </w:tc>
        <w:tc>
          <w:tcPr>
            <w:tcW w:type="dxa" w:w="13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Léa</w:t>
            </w:r>
          </w:p>
        </w:tc>
      </w:tr>
    </w:tbl>
    <w:p>
      <w:pPr>
        <w:spacing w:after="60"/>
      </w:pPr>
    </w:p>
    <w:p>
      <w:pPr>
        <w:pBdr>
          <w:left w:val="single" w:color="A1A6D4" w:sz="18" w:space="8"/>
        </w:pBdr>
        <w:spacing w:after="120"/>
        <w:ind w:left="360"/>
      </w:pPr>
      <w:r>
        <w:rPr>
          <w:b/>
          <w:bCs/>
          <w:i/>
          <w:iCs/>
          <w:color w:val="4A4470"/>
        </w:rPr>
        <w:t xml:space="preserve">Ne pas confondre restauration et remise à l'état sain.</w:t>
      </w:r>
      <w:r>
        <w:rPr>
          <w:i/>
          <w:iCs/>
          <w:color w:val="4A4470"/>
        </w:rPr>
        <w:t xml:space="preserve"> La remise à l'état sain (WOR‑90) recharge les </w:t>
      </w:r>
      <w:r>
        <w:rPr>
          <w:b/>
          <w:bCs/>
          <w:i/>
          <w:iCs/>
          <w:color w:val="4A4470"/>
        </w:rPr>
        <w:t xml:space="preserve">données de départ</w:t>
      </w:r>
      <w:r>
        <w:rPr>
          <w:i/>
          <w:iCs/>
          <w:color w:val="4A4470"/>
        </w:rPr>
        <w:t xml:space="preserve"> pour rejouer un essai : elle efface les transactions. Elle ne doit </w:t>
      </w:r>
      <w:r>
        <w:rPr>
          <w:b/>
          <w:bCs/>
          <w:i/>
          <w:iCs/>
          <w:color w:val="4A4470"/>
        </w:rPr>
        <w:t xml:space="preserve">jamais</w:t>
      </w:r>
      <w:r>
        <w:rPr>
          <w:i/>
          <w:iCs/>
          <w:color w:val="4A4470"/>
        </w:rPr>
        <w:t xml:space="preserve"> servir à reprendre après un incident réel.</w:t>
      </w:r>
    </w:p>
    <w:p>
      <w:pPr>
        <w:pStyle w:val="Heading2"/>
      </w:pPr>
      <w:r>
        <w:t xml:space="preserve">7. Communication et notification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5"/>
        <w:gridCol w:w="3173"/>
        <w:gridCol w:w="2768"/>
        <w:gridCol w:w="1562"/>
      </w:tblGrid>
      <w:tr>
        <w:trPr>
          <w:cantSplit/>
          <w:tblHeader/>
        </w:trPr>
        <w:tc>
          <w:tcPr>
            <w:tcW w:type="dxa" w:w="213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Destinataire</w:t>
            </w:r>
          </w:p>
        </w:tc>
        <w:tc>
          <w:tcPr>
            <w:tcW w:type="dxa" w:w="317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Quand</w:t>
            </w:r>
          </w:p>
        </w:tc>
        <w:tc>
          <w:tcPr>
            <w:tcW w:type="dxa" w:w="276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Quoi</w:t>
            </w:r>
          </w:p>
        </w:tc>
        <w:tc>
          <w:tcPr>
            <w:tcW w:type="dxa" w:w="156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Qui</w:t>
            </w:r>
          </w:p>
        </w:tc>
      </w:tr>
      <w:tr>
        <w:trPr>
          <w:cantSplit/>
          <w:tblHeader w:val="off"/>
        </w:trPr>
        <w:tc>
          <w:tcPr>
            <w:tcW w:type="dxa" w:w="213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Opérateur d'astreinte</w:t>
            </w:r>
          </w:p>
        </w:tc>
        <w:tc>
          <w:tcPr>
            <w:tcW w:type="dxa" w:w="317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Dès N0</w:t>
            </w:r>
          </w:p>
        </w:tc>
        <w:tc>
          <w:tcPr>
            <w:tcW w:type="dxa" w:w="276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Alerte et état de la reprise sur le tableau de bord</w:t>
            </w:r>
          </w:p>
        </w:tc>
        <w:tc>
          <w:tcPr>
            <w:tcW w:type="dxa" w:w="156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Automate</w:t>
            </w:r>
          </w:p>
        </w:tc>
      </w:tr>
      <w:tr>
        <w:trPr>
          <w:cantSplit/>
          <w:tblHeader w:val="off"/>
        </w:trPr>
        <w:tc>
          <w:tcPr>
            <w:tcW w:type="dxa" w:w="213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Partenaires commerçants</w:t>
            </w:r>
          </w:p>
        </w:tc>
        <w:tc>
          <w:tcPr>
            <w:tcW w:type="dxa" w:w="317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Dès N1 si leurs transactions échouent</w:t>
            </w:r>
          </w:p>
        </w:tc>
        <w:tc>
          <w:tcPr>
            <w:tcW w:type="dxa" w:w="276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Nature de la gêne, heure de reprise estimée</w:t>
            </w:r>
          </w:p>
        </w:tc>
        <w:tc>
          <w:tcPr>
            <w:tcW w:type="dxa" w:w="156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Communication</w:t>
            </w:r>
          </w:p>
        </w:tc>
      </w:tr>
      <w:tr>
        <w:trPr>
          <w:cantSplit/>
          <w:tblHeader w:val="off"/>
        </w:trPr>
        <w:tc>
          <w:tcPr>
            <w:tcW w:type="dxa" w:w="213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ACPR, incident majeur au sens de DORA</w:t>
            </w:r>
          </w:p>
        </w:tc>
        <w:tc>
          <w:tcPr>
            <w:tcW w:type="dxa" w:w="317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 initiale dans les 4 h après la classification en majeur (et au plus tard 24 h après la détection), rapport intermédiaire sous 72 h, rapport final sous 1 mois</w:t>
            </w:r>
          </w:p>
        </w:tc>
        <w:tc>
          <w:tcPr>
            <w:tcW w:type="dxa" w:w="276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Formulaire réglementaire, à partir des journaux du SIEM</w:t>
            </w:r>
          </w:p>
        </w:tc>
        <w:tc>
          <w:tcPr>
            <w:tcW w:type="dxa" w:w="156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Conformité</w:t>
            </w:r>
          </w:p>
        </w:tc>
      </w:tr>
      <w:tr>
        <w:trPr>
          <w:cantSplit/>
          <w:tblHeader w:val="off"/>
        </w:trPr>
        <w:tc>
          <w:tcPr>
            <w:tcW w:type="dxa" w:w="213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CNIL</w:t>
            </w:r>
          </w:p>
        </w:tc>
        <w:tc>
          <w:tcPr>
            <w:tcW w:type="dxa" w:w="317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Sous 72 h en cas de violation de données personnelles</w:t>
            </w:r>
          </w:p>
        </w:tc>
        <w:tc>
          <w:tcPr>
            <w:tcW w:type="dxa" w:w="276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 RGPD</w:t>
            </w:r>
          </w:p>
        </w:tc>
        <w:tc>
          <w:tcPr>
            <w:tcW w:type="dxa" w:w="156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DPO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Les délais de notification DORA sont à vérifier sur le texte officiel avant le rendu final. L'assistant RAG peut préparer un brouillon de notification à partir des journaux ; un humain le valide et l'envoie.</w:t>
      </w:r>
    </w:p>
    <w:p>
      <w:pPr>
        <w:pStyle w:val="Heading2"/>
      </w:pPr>
      <w:r>
        <w:t xml:space="preserve">8. Risques résiduels après la reprise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3"/>
        <w:gridCol w:w="3169"/>
        <w:gridCol w:w="3636"/>
      </w:tblGrid>
      <w:tr>
        <w:trPr>
          <w:cantSplit/>
          <w:tblHeader/>
        </w:trPr>
        <w:tc>
          <w:tcPr>
            <w:tcW w:type="dxa" w:w="2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Risque résiduel</w:t>
            </w:r>
          </w:p>
        </w:tc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 il subsiste</w:t>
            </w:r>
          </w:p>
        </w:tc>
        <w:tc>
          <w:tcPr>
            <w:tcW w:type="dxa" w:w="36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Traitement proposé</w:t>
            </w:r>
          </w:p>
        </w:tc>
      </w:tr>
      <w:tr>
        <w:trPr>
          <w:cantSplit/>
          <w:tblHeader w:val="off"/>
        </w:trPr>
        <w:tc>
          <w:tcPr>
            <w:tcW w:type="dxa" w:w="2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L'attaquant revient, depuis une autre source</w:t>
            </w:r>
          </w:p>
        </w:tc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limitation est faite par source, sur un seul hôte</w:t>
            </w:r>
          </w:p>
        </w:tc>
        <w:tc>
          <w:tcPr>
            <w:tcW w:type="dxa" w:w="36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Protection anti-déni de service en amont (contexte industriel)</w:t>
            </w:r>
          </w:p>
        </w:tc>
      </w:tr>
      <w:tr>
        <w:trPr>
          <w:cantSplit/>
          <w:tblHeader w:val="off"/>
        </w:trPr>
        <w:tc>
          <w:tcPr>
            <w:tcW w:type="dxa" w:w="2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Vulnérabilité toujours présente après une injection</w:t>
            </w:r>
          </w:p>
        </w:tc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WAF bloque, mais le code n'est pas corrigé</w:t>
            </w:r>
          </w:p>
        </w:tc>
        <w:tc>
          <w:tcPr>
            <w:tcW w:type="dxa" w:w="36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Correctif et test de non-régression avant de lever le niveau N1</w:t>
            </w:r>
          </w:p>
        </w:tc>
      </w:tr>
      <w:tr>
        <w:trPr>
          <w:cantSplit/>
          <w:tblHeader w:val="off"/>
        </w:trPr>
        <w:tc>
          <w:tcPr>
            <w:tcW w:type="dxa" w:w="2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Porte dérobée ou altération ancienne</w:t>
            </w:r>
          </w:p>
        </w:tc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Restaurer les données ne nettoie pas tout</w:t>
            </w:r>
          </w:p>
        </w:tc>
        <w:tc>
          <w:tcPr>
            <w:tcW w:type="dxa" w:w="36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Analyse après incident à partir des journaux conservés</w:t>
            </w:r>
          </w:p>
        </w:tc>
      </w:tr>
      <w:tr>
        <w:trPr>
          <w:cantSplit/>
          <w:tblHeader w:val="off"/>
        </w:trPr>
        <w:tc>
          <w:tcPr>
            <w:tcW w:type="dxa" w:w="2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Hôte unique</w:t>
            </w:r>
          </w:p>
        </w:tc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Point de défaillance unique</w:t>
            </w:r>
          </w:p>
        </w:tc>
        <w:tc>
          <w:tcPr>
            <w:tcW w:type="dxa" w:w="36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Deuxième site et sauvegardes hors site (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nis2-dora.md</w:t>
            </w:r>
            <w:r>
              <w:rPr>
                <w:sz w:val="18"/>
                <w:szCs w:val="18"/>
              </w:rPr>
              <w:t xml:space="preserve"> §4)</w:t>
            </w:r>
          </w:p>
        </w:tc>
      </w:tr>
      <w:tr>
        <w:trPr>
          <w:cantSplit/>
          <w:tblHeader w:val="off"/>
        </w:trPr>
        <w:tc>
          <w:tcPr>
            <w:tcW w:type="dxa" w:w="2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Sauvegardes sur le même hôte</w:t>
            </w:r>
          </w:p>
        </w:tc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Perdues avec l'hôte</w:t>
            </w:r>
          </w:p>
        </w:tc>
        <w:tc>
          <w:tcPr>
            <w:tcW w:type="dxa" w:w="36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Copie hors site, immuable</w:t>
            </w:r>
          </w:p>
        </w:tc>
      </w:tr>
      <w:tr>
        <w:trPr>
          <w:cantSplit/>
          <w:tblHeader w:val="off"/>
        </w:trPr>
        <w:tc>
          <w:tcPr>
            <w:tcW w:type="dxa" w:w="2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Boucle de remédiation</w:t>
            </w:r>
          </w:p>
        </w:tc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incident persistant peut faire redémarrer un service en boucle</w:t>
            </w:r>
          </w:p>
        </w:tc>
        <w:tc>
          <w:tcPr>
            <w:tcW w:type="dxa" w:w="36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Limite de 3 remédiations en 10 minutes, puis escalade</w:t>
            </w:r>
          </w:p>
        </w:tc>
      </w:tr>
      <w:tr>
        <w:trPr>
          <w:cantSplit/>
          <w:tblHeader w:val="off"/>
        </w:trPr>
        <w:tc>
          <w:tcPr>
            <w:tcW w:type="dxa" w:w="2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Faux positifs ML</w:t>
            </w:r>
          </w:p>
        </w:tc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modèle entraîné sur peu de données</w:t>
            </w:r>
          </w:p>
        </w:tc>
        <w:tc>
          <w:tcPr>
            <w:tcW w:type="dxa" w:w="36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Deux signaux exigés pour les actions destructrices ; réentraînement</w:t>
            </w:r>
          </w:p>
        </w:tc>
      </w:tr>
      <w:tr>
        <w:trPr>
          <w:cantSplit/>
          <w:tblHeader w:val="off"/>
        </w:trPr>
        <w:tc>
          <w:tcPr>
            <w:tcW w:type="dxa" w:w="283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Droits élevés du moteur de remédiation</w:t>
            </w:r>
          </w:p>
        </w:tc>
        <w:tc>
          <w:tcPr>
            <w:tcW w:type="dxa" w:w="316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Nécessaires pour agir sur les conteneurs</w:t>
            </w:r>
          </w:p>
        </w:tc>
        <w:tc>
          <w:tcPr>
            <w:tcW w:type="dxa" w:w="363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Périmètre limité, authentification, journalisation (WOR‑64)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9. Tests et maintien du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5"/>
        <w:gridCol w:w="860"/>
        <w:gridCol w:w="2007"/>
        <w:gridCol w:w="3616"/>
      </w:tblGrid>
      <w:tr>
        <w:trPr>
          <w:cantSplit/>
          <w:tblHeader/>
        </w:trPr>
        <w:tc>
          <w:tcPr>
            <w:tcW w:type="dxa" w:w="315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8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Ticket</w:t>
            </w:r>
          </w:p>
        </w:tc>
        <w:tc>
          <w:tcPr>
            <w:tcW w:type="dxa" w:w="20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Scénarios vérifiés</w:t>
            </w:r>
          </w:p>
        </w:tc>
        <w:tc>
          <w:tcPr>
            <w:tcW w:type="dxa" w:w="36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Résultat</w:t>
            </w:r>
          </w:p>
        </w:tc>
      </w:tr>
      <w:tr>
        <w:trPr>
          <w:cantSplit/>
          <w:tblHeader w:val="off"/>
        </w:trPr>
        <w:tc>
          <w:tcPr>
            <w:tcW w:type="dxa" w:w="315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Premiers tests de restauration</w:t>
            </w:r>
          </w:p>
        </w:tc>
        <w:tc>
          <w:tcPr>
            <w:tcW w:type="dxa" w:w="8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WOR‑75</w:t>
            </w:r>
          </w:p>
        </w:tc>
        <w:tc>
          <w:tcPr>
            <w:tcW w:type="dxa" w:w="20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S2, S7 (en partie)</w:t>
            </w:r>
          </w:p>
        </w:tc>
        <w:tc>
          <w:tcPr>
            <w:tcW w:type="dxa" w:w="36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remplir</w:t>
            </w:r>
          </w:p>
        </w:tc>
      </w:tr>
      <w:tr>
        <w:trPr>
          <w:cantSplit/>
          <w:tblHeader w:val="off"/>
        </w:trPr>
        <w:tc>
          <w:tcPr>
            <w:tcW w:type="dxa" w:w="315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Chaos engineering</w:t>
            </w:r>
          </w:p>
        </w:tc>
        <w:tc>
          <w:tcPr>
            <w:tcW w:type="dxa" w:w="8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WOR‑76</w:t>
            </w:r>
          </w:p>
        </w:tc>
        <w:tc>
          <w:tcPr>
            <w:tcW w:type="dxa" w:w="20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S3, S4</w:t>
            </w:r>
          </w:p>
        </w:tc>
        <w:tc>
          <w:tcPr>
            <w:tcW w:type="dxa" w:w="36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remplir</w:t>
            </w:r>
          </w:p>
        </w:tc>
      </w:tr>
      <w:tr>
        <w:trPr>
          <w:cantSplit/>
          <w:tblHeader w:val="off"/>
        </w:trPr>
        <w:tc>
          <w:tcPr>
            <w:tcW w:type="dxa" w:w="315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Démo complète répétée 3 fois</w:t>
            </w:r>
          </w:p>
        </w:tc>
        <w:tc>
          <w:tcPr>
            <w:tcW w:type="dxa" w:w="8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WOR‑78</w:t>
            </w:r>
          </w:p>
        </w:tc>
        <w:tc>
          <w:tcPr>
            <w:tcW w:type="dxa" w:w="20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S1, S2</w:t>
            </w:r>
          </w:p>
        </w:tc>
        <w:tc>
          <w:tcPr>
            <w:tcW w:type="dxa" w:w="36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À remplir, temps dans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rto-rpo.md</w:t>
            </w:r>
            <w:r>
              <w:rPr>
                <w:sz w:val="18"/>
                <w:szCs w:val="18"/>
              </w:rPr>
              <w:t xml:space="preserve"> §6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Le plan est mis à jour après chaque test et après chaque incident (retour d'expérience, DORA art. 13).</w:t>
      </w:r>
    </w:p>
    <w:p>
      <w:pPr>
        <w:pStyle w:val="Heading2"/>
      </w:pPr>
      <w:r>
        <w:t xml:space="preserve">10. Décisions en attente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Méthode de restauration de la base après une injection (snapshot seul, ou snapshot et rejeu) : Michael, Reza.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Fréquence des snapshots de la base : Reza.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Règle des deux signaux pour les actions destructrices et limite de 3 remédiations : à intégrer au moteur (WOR‑38) si l'équipe valide.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470"/>
        <w:sz w:val="16"/>
        <w:szCs w:val="16"/>
      </w:rPr>
      <w:t xml:space="preserve">Page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PAGE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  <w:r>
      <w:rPr>
        <w:color w:val="4A4470"/>
        <w:sz w:val="16"/>
        <w:szCs w:val="16"/>
      </w:rPr>
      <w:t xml:space="preserve"> /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NUMPAGES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261E48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261E4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61E4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b/>
      <w:bCs/>
      <w:color w:val="4A447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 / PRA — Plateforme de paiement RESILIENCE-ALPHA</dc:title>
  <dc:creator>Groupe 6</dc:creator>
  <cp:lastModifiedBy>Un-named</cp:lastModifiedBy>
  <cp:revision>1</cp:revision>
  <dcterms:created xsi:type="dcterms:W3CDTF">2026-10-19T12:46:12.422Z</dcterms:created>
  <dcterms:modified xsi:type="dcterms:W3CDTF">2026-10-19T12:46:12.422Z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