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2857500" cy="561975"/>
            <wp:effectExtent t="0" r="0" b="0" l="0"/>
            <wp:docPr id="1" name="entete" descr="Armoiries de la République Démocratique du Congo, Ministère de l’Éducation Nationale et Nouvelle Citoyenneté, Inspection Générale de l’Enseignement" title="Armoi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61975"/>
                    </a:xfrm>
                    <a:prstGeom prst="rect">
                      <a:avLst/>
                    </a:prstGeom>
                  </pic:spPr>
                </pic:pic>
              </a:graphicData>
            </a:graphic>
          </wp:inline>
        </w:drawing>
      </w:r>
    </w:p>
    <w:p>
      <w:pPr>
        <w:spacing w:after="0" w:before="160"/>
      </w:pPr>
      <w:r>
        <w:drawing>
          <wp:inline distT="0" distB="0" distL="0" distR="0">
            <wp:extent cx="6115050" cy="38100"/>
            <wp:effectExtent t="0" r="0" b="0" l="0"/>
            <wp:docPr id="2" name="bande" descr="Bande tricolore bleu, jaune, rouge" title="Bande trico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8100"/>
                    </a:xfrm>
                    <a:prstGeom prst="rect">
                      <a:avLst/>
                    </a:prstGeom>
                  </pic:spPr>
                </pic:pic>
              </a:graphicData>
            </a:graphic>
          </wp:inline>
        </w:drawing>
      </w:r>
    </w:p>
    <w:p>
      <w:pPr>
        <w:spacing w:after="120" w:before="1500"/>
      </w:pPr>
      <w:r>
        <w:rPr>
          <w:rFonts w:ascii="Cooper Hewitt" w:cs="Cooper Hewitt" w:eastAsia="Cooper Hewitt" w:hAnsi="Cooper Hewitt"/>
          <w:b/>
          <w:bCs/>
          <w:color w:val="0095C9"/>
          <w:spacing w:val="60"/>
          <w:sz w:val="24"/>
          <w:szCs w:val="24"/>
        </w:rPr>
        <w:t xml:space="preserve">CAHIER DE RECETTE (UAT)</w:t>
      </w:r>
    </w:p>
    <w:p>
      <w:pPr>
        <w:spacing w:after="160" w:line="240" w:lineRule="auto"/>
      </w:pPr>
      <w:r>
        <w:rPr>
          <w:rFonts w:ascii="Cooper Hewitt" w:cs="Cooper Hewitt" w:eastAsia="Cooper Hewitt" w:hAnsi="Cooper Hewitt"/>
          <w:b/>
          <w:bCs/>
          <w:color w:val="17418A"/>
          <w:sz w:val="62"/>
          <w:szCs w:val="62"/>
        </w:rPr>
        <w:t xml:space="preserve">Gestion des frais de fonctionnement</w:t>
      </w:r>
    </w:p>
    <w:p>
      <w:pPr>
        <w:spacing w:after="420" w:line="300" w:lineRule="auto"/>
      </w:pPr>
      <w:r>
        <w:rPr>
          <w:rFonts w:ascii="EB Garamond" w:cs="EB Garamond" w:eastAsia="EB Garamond" w:hAnsi="EB Garamond"/>
          <w:color w:val="5D6670"/>
          <w:sz w:val="30"/>
          <w:szCs w:val="30"/>
        </w:rPr>
        <w:t xml:space="preserve">Scénarios de tests d’acceptation utilisateur de bout en bout, par profil, et procès-verbal de recette</w:t>
      </w:r>
    </w:p>
    <w:p>
      <w:pPr>
        <w:pBdr>
          <w:top w:val="single" w:color="E1E5EA" w:sz="4" w:space="2"/>
          <w:left w:val="single" w:color="E1E5EA" w:sz="4" w:space="2"/>
          <w:bottom w:val="single" w:color="E1E5EA" w:sz="4" w:space="2"/>
          <w:right w:val="single" w:color="E1E5EA" w:sz="4" w:space="2"/>
        </w:pBdr>
        <w:spacing w:after="420"/>
        <w:jc w:val="center"/>
      </w:pPr>
      <w:r>
        <w:drawing>
          <wp:inline distT="0" distB="0" distL="0" distR="0">
            <wp:extent cx="5905500" cy="3429000"/>
            <wp:effectExtent t="0" r="0" b="0" l="0"/>
            <wp:docPr id="3" name="apercu" descr="Aperçu de la file de vérification de l’application" title="File de vé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17418A" w:sz="12"/>
              <w:left w:val="none" w:color="FFFFFF" w:sz="0"/>
              <w:bottom w:val="none" w:color="FFFFFF" w:sz="0"/>
              <w:right w:val="none" w:color="FFFFFF" w:sz="0"/>
            </w:tcBorders>
            <w:tcMar>
              <w:top w:type="dxa" w:w="100"/>
              <w:left w:type="dxa" w:w="0"/>
              <w:bottom w:type="dxa" w:w="60"/>
              <w:right w:type="dxa" w:w="120"/>
            </w:tcMar>
          </w:tcPr>
          <w:p>
            <w:pPr>
              <w:spacing w:after="20"/>
            </w:pPr>
            <w:r>
              <w:rPr>
                <w:rFonts w:ascii="Cooper Hewitt" w:cs="Cooper Hewitt" w:eastAsia="Cooper Hewitt" w:hAnsi="Cooper Hewitt"/>
                <w:b/>
                <w:bCs/>
                <w:color w:val="5D6670"/>
                <w:spacing w:val="20"/>
                <w:sz w:val="14"/>
                <w:szCs w:val="14"/>
              </w:rPr>
              <w:t xml:space="preserve">VERSION DU CAHIER</w:t>
            </w:r>
          </w:p>
          <w:p>
            <w:r>
              <w:rPr>
                <w:rFonts w:ascii="Cooper Hewitt" w:cs="Cooper Hewitt" w:eastAsia="Cooper Hewitt" w:hAnsi="Cooper Hewitt"/>
                <w:b/>
                <w:bCs/>
                <w:color w:val="17418A"/>
                <w:sz w:val="20"/>
                <w:szCs w:val="20"/>
              </w:rPr>
              <w:t xml:space="preserve">1.0</w:t>
            </w:r>
          </w:p>
        </w:tc>
        <w:tc>
          <w:tcPr>
            <w:tcW w:type="dxa" w:w="2409"/>
            <w:tcBorders>
              <w:top w:val="single" w:color="17418A" w:sz="12"/>
              <w:left w:val="none" w:color="FFFFFF" w:sz="0"/>
              <w:bottom w:val="none" w:color="FFFFFF" w:sz="0"/>
              <w:right w:val="none" w:color="FFFFFF" w:sz="0"/>
            </w:tcBorders>
            <w:tcMar>
              <w:top w:type="dxa" w:w="100"/>
              <w:left w:type="dxa" w:w="0"/>
              <w:bottom w:type="dxa" w:w="60"/>
              <w:right w:type="dxa" w:w="120"/>
            </w:tcMar>
          </w:tcPr>
          <w:p>
            <w:pPr>
              <w:spacing w:after="20"/>
            </w:pPr>
            <w:r>
              <w:rPr>
                <w:rFonts w:ascii="Cooper Hewitt" w:cs="Cooper Hewitt" w:eastAsia="Cooper Hewitt" w:hAnsi="Cooper Hewitt"/>
                <w:b/>
                <w:bCs/>
                <w:color w:val="5D6670"/>
                <w:spacing w:val="20"/>
                <w:sz w:val="14"/>
                <w:szCs w:val="14"/>
              </w:rPr>
              <w:t xml:space="preserve">APPLICATION DÉCRITE</w:t>
            </w:r>
          </w:p>
          <w:p>
            <w:r>
              <w:rPr>
                <w:rFonts w:ascii="Cooper Hewitt" w:cs="Cooper Hewitt" w:eastAsia="Cooper Hewitt" w:hAnsi="Cooper Hewitt"/>
                <w:b/>
                <w:bCs/>
                <w:color w:val="17418A"/>
                <w:sz w:val="20"/>
                <w:szCs w:val="20"/>
              </w:rPr>
              <w:t xml:space="preserve">version 2.2.1</w:t>
            </w:r>
          </w:p>
        </w:tc>
        <w:tc>
          <w:tcPr>
            <w:tcW w:type="dxa" w:w="2409"/>
            <w:tcBorders>
              <w:top w:val="single" w:color="17418A" w:sz="12"/>
              <w:left w:val="none" w:color="FFFFFF" w:sz="0"/>
              <w:bottom w:val="none" w:color="FFFFFF" w:sz="0"/>
              <w:right w:val="none" w:color="FFFFFF" w:sz="0"/>
            </w:tcBorders>
            <w:tcMar>
              <w:top w:type="dxa" w:w="100"/>
              <w:left w:type="dxa" w:w="0"/>
              <w:bottom w:type="dxa" w:w="60"/>
              <w:right w:type="dxa" w:w="120"/>
            </w:tcMar>
          </w:tcPr>
          <w:p>
            <w:pPr>
              <w:spacing w:after="20"/>
            </w:pPr>
            <w:r>
              <w:rPr>
                <w:rFonts w:ascii="Cooper Hewitt" w:cs="Cooper Hewitt" w:eastAsia="Cooper Hewitt" w:hAnsi="Cooper Hewitt"/>
                <w:b/>
                <w:bCs/>
                <w:color w:val="5D6670"/>
                <w:spacing w:val="20"/>
                <w:sz w:val="14"/>
                <w:szCs w:val="14"/>
              </w:rPr>
              <w:t xml:space="preserve">DATE</w:t>
            </w:r>
          </w:p>
          <w:p>
            <w:r>
              <w:rPr>
                <w:rFonts w:ascii="Cooper Hewitt" w:cs="Cooper Hewitt" w:eastAsia="Cooper Hewitt" w:hAnsi="Cooper Hewitt"/>
                <w:b/>
                <w:bCs/>
                <w:color w:val="17418A"/>
                <w:sz w:val="20"/>
                <w:szCs w:val="20"/>
              </w:rPr>
              <w:t xml:space="preserve">24 octobre 2026</w:t>
            </w:r>
          </w:p>
        </w:tc>
        <w:tc>
          <w:tcPr>
            <w:tcW w:type="dxa" w:w="2411"/>
            <w:tcBorders>
              <w:top w:val="single" w:color="17418A" w:sz="12"/>
              <w:left w:val="none" w:color="FFFFFF" w:sz="0"/>
              <w:bottom w:val="none" w:color="FFFFFF" w:sz="0"/>
              <w:right w:val="none" w:color="FFFFFF" w:sz="0"/>
            </w:tcBorders>
            <w:tcMar>
              <w:top w:type="dxa" w:w="100"/>
              <w:left w:type="dxa" w:w="0"/>
              <w:bottom w:type="dxa" w:w="60"/>
              <w:right w:type="dxa" w:w="120"/>
            </w:tcMar>
          </w:tcPr>
          <w:p>
            <w:pPr>
              <w:spacing w:after="20"/>
            </w:pPr>
            <w:r>
              <w:rPr>
                <w:rFonts w:ascii="Cooper Hewitt" w:cs="Cooper Hewitt" w:eastAsia="Cooper Hewitt" w:hAnsi="Cooper Hewitt"/>
                <w:b/>
                <w:bCs/>
                <w:color w:val="5D6670"/>
                <w:spacing w:val="20"/>
                <w:sz w:val="14"/>
                <w:szCs w:val="14"/>
              </w:rPr>
              <w:t xml:space="preserve">PUBLIC</w:t>
            </w:r>
          </w:p>
          <w:p>
            <w:r>
              <w:rPr>
                <w:rFonts w:ascii="Cooper Hewitt" w:cs="Cooper Hewitt" w:eastAsia="Cooper Hewitt" w:hAnsi="Cooper Hewitt"/>
                <w:b/>
                <w:bCs/>
                <w:color w:val="17418A"/>
                <w:sz w:val="20"/>
                <w:szCs w:val="20"/>
              </w:rPr>
              <w:t xml:space="preserve">Testeurs et pilote</w:t>
            </w:r>
          </w:p>
        </w:tc>
      </w:tr>
    </w:tbl>
    <w:p>
      <w:pPr>
        <w:spacing w:after="60" w:before="500"/>
      </w:pPr>
      <w:r>
        <w:rPr>
          <w:rFonts w:ascii="Cooper Hewitt" w:cs="Cooper Hewitt" w:eastAsia="Cooper Hewitt" w:hAnsi="Cooper Hewitt"/>
          <w:color w:val="5D6670"/>
          <w:sz w:val="16"/>
          <w:szCs w:val="16"/>
        </w:rPr>
        <w:t xml:space="preserve">Ministère de l’Éducation Nationale et Nouvelle Citoyenneté · Inspection Générale de l’Enseignement</w:t>
      </w:r>
    </w:p>
    <w:p>
      <w:pPr>
        <w:spacing w:after="120"/>
      </w:pPr>
      <w:r>
        <w:rPr>
          <w:rFonts w:ascii="Cooper Hewitt" w:cs="Cooper Hewitt" w:eastAsia="Cooper Hewitt" w:hAnsi="Cooper Hewitt"/>
          <w:color w:val="5D6670"/>
          <w:sz w:val="16"/>
          <w:szCs w:val="16"/>
        </w:rPr>
        <w:t xml:space="preserve">Kinshasa · République Démocratique du Congo</w:t>
      </w:r>
    </w:p>
    <w:p>
      <w:pPr>
        <w:spacing w:after="0" w:before="0"/>
      </w:pPr>
      <w:r>
        <w:drawing>
          <wp:inline distT="0" distB="0" distL="0" distR="0">
            <wp:extent cx="6115050" cy="66675"/>
            <wp:effectExtent t="0" r="0" b="0" l="0"/>
            <wp:docPr id="4" name="bande" descr="Bande tricolore bleu, jaune, rouge" title="Bande trico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66675"/>
                    </a:xfrm>
                    <a:prstGeom prst="rect">
                      <a:avLst/>
                    </a:prstGeom>
                  </pic:spPr>
                </pic:pic>
              </a:graphicData>
            </a:graphic>
          </wp:inline>
        </w:drawing>
      </w:r>
    </w:p>
    <w:p>
      <w:pPr>
        <w:sectPr>
          <w:headerReference w:type="default" r:id="rId6"/>
          <w:footerReference w:type="default" r:id="rId7"/>
          <w:pgSz w:w="11906" w:h="16838" w:orient="portrait"/>
          <w:pgMar w:top="1000" w:right="1134" w:bottom="900" w:left="1134" w:header="500" w:footer="450" w:gutter="0"/>
          <w:pgNumType/>
          <w:docGrid w:linePitch="360"/>
        </w:sectPr>
      </w:pPr>
    </w:p>
    <w:p>
      <w:pPr>
        <w:pStyle w:val="TitreSection"/>
        <w:keepNext/>
      </w:pPr>
      <w:r>
        <w:t xml:space="preserve">Informations sur le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Élément</w:t>
            </w:r>
          </w:p>
        </w:tc>
        <w:tc>
          <w:tcPr>
            <w:tcW w:type="dxa" w:w="7325"/>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Description</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Titre</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Cahier de recette (UAT) — Gestion des frais de fonctionnement</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Référence</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IGE-AF-REC-001</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Version et date</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Version 1.0 du 24 octobre 2026</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Statut</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Version de diffusion</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Produit décrit</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Application « Gestion des frais de fonctionnement » : extension métier IGE FF version 2.2.1 et thème IGE version 1.0.2</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Public visé</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Pilote de la recette, testeurs de chaque profil, équipe technique, signataires du procès-verbal</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Éditeur</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Inspection Générale de l’Enseignement — Administration et Finance</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Norme de rédaction</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Structure conforme à la norme ISO/IEC/IEEE 29119-3 (documentation des tests logiciels)</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Diffusion</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Usage interne. Ce document peut être imprimé ; la version électronique fait référence.</w:t>
            </w:r>
          </w:p>
        </w:tc>
      </w:tr>
    </w:tbl>
    <w:p>
      <w:pPr>
        <w:spacing w:after="100" w:before="0"/>
      </w:pPr>
    </w:p>
    <w:p>
      <w:pPr>
        <w:pStyle w:val="SousTitreSection"/>
        <w:keepNext/>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120"/>
        <w:gridCol w:w="6361"/>
      </w:tblGrid>
      <w:tr>
        <w:trPr>
          <w:cantSplit/>
          <w:tblHeader/>
        </w:trPr>
        <w:tc>
          <w:tcPr>
            <w:tcW w:type="dxa" w:w="115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Version</w:t>
            </w:r>
          </w:p>
        </w:tc>
        <w:tc>
          <w:tcPr>
            <w:tcW w:type="dxa" w:w="212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Date</w:t>
            </w:r>
          </w:p>
        </w:tc>
        <w:tc>
          <w:tcPr>
            <w:tcW w:type="dxa" w:w="636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Objet de la version</w:t>
            </w:r>
          </w:p>
        </w:tc>
      </w:tr>
      <w:tr>
        <w:trPr>
          <w:cantSplit/>
        </w:trPr>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1.0</w:t>
            </w:r>
          </w:p>
        </w:tc>
        <w:tc>
          <w:tcPr>
            <w:tcW w:type="dxa" w:w="212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24 octobre 2026</w:t>
            </w:r>
          </w:p>
        </w:tc>
        <w:tc>
          <w:tcPr>
            <w:tcW w:type="dxa" w:w="636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Première version : 51 scénarios couvrant l’application 2.2.1.</w:t>
            </w:r>
          </w:p>
        </w:tc>
      </w:tr>
    </w:tbl>
    <w:p>
      <w:pPr>
        <w:spacing w:after="100" w:before="0"/>
      </w:pPr>
    </w:p>
    <w:p>
      <w:pPr>
        <w:pStyle w:val="SousTitreSection"/>
        <w:keepNext/>
      </w:pPr>
      <w:r>
        <w:t xml:space="preserve">Avertissements</w:t>
      </w:r>
    </w:p>
    <w:p>
      <w:r>
        <w:rPr>
          <w:rFonts w:ascii="EB Garamond" w:cs="EB Garamond" w:eastAsia="EB Garamond" w:hAnsi="EB Garamond"/>
          <w:color w:val="323230"/>
          <w:sz w:val="23"/>
          <w:szCs w:val="23"/>
        </w:rPr>
        <w:t xml:space="preserve">La recette se déroule sur un site de recette distinct de la production, avec des données fictives. Aucune donnée réelle ne doit y être saisie, et aucun test ne doit être exécuté sur le site de production.</w:t>
      </w:r>
    </w:p>
    <w:p>
      <w:r>
        <w:rPr>
          <w:rFonts w:ascii="EB Garamond" w:cs="EB Garamond" w:eastAsia="EB Garamond" w:hAnsi="EB Garamond"/>
          <w:color w:val="323230"/>
          <w:sz w:val="23"/>
          <w:szCs w:val="23"/>
        </w:rPr>
        <w:t xml:space="preserve">Les résultats attendus supposent les règles de contrôle à leurs valeurs par défaut (annexe B du guide d’utilisation) et tous les modules activés. Si un paramètre a été modifié, adaptez le résultat attendu et notez-le en commentaire.</w:t>
      </w:r>
    </w:p>
    <w:p>
      <w:r>
        <w:rPr>
          <w:rFonts w:ascii="EB Garamond" w:cs="EB Garamond" w:eastAsia="EB Garamond" w:hAnsi="EB Garamond"/>
          <w:color w:val="323230"/>
          <w:sz w:val="23"/>
          <w:szCs w:val="23"/>
        </w:rPr>
        <w:t xml:space="preserve">Les polices de la charte graphique, Cooper Hewitt et EB Garamond, sont distribuées sous licence SIL Open Font License et incorporées au document.</w:t>
      </w:r>
    </w:p>
    <w:p>
      <w:r>
        <w:br w:type="page"/>
      </w:r>
    </w:p>
    <w:p>
      <w:pPr>
        <w:pStyle w:val="TitreSection"/>
        <w:keepNext/>
      </w:pPr>
      <w:r>
        <w:t xml:space="preserve">Table des matières</w:t>
      </w:r>
    </w:p>
    <w:p>
      <w:pPr>
        <w:pStyle w:val="TOC1"/>
        <w:tabs>
          <w:tab w:val="right" w:pos="9638" w:leader="dot"/>
        </w:tabs>
      </w:pPr>
      <w:r>
        <w:fldChar w:fldCharType="begin" w:dirty="false"/>
      </w:r>
      <w:r>
        <w:instrText xml:space="preserve"> TOC \o "1-2" \h \z \u </w:instrText>
      </w:r>
      <w:r>
        <w:fldChar w:fldCharType="separate"/>
      </w:r>
      <w:hyperlink w:history="1" w:anchor="h_1">
        <w:r>
          <w:rPr>
            <w:color w:val="0095C9"/>
          </w:rPr>
          <w:t xml:space="preserve">1 </w:t>
        </w:r>
        <w:r>
          <w:t xml:space="preserve">Introduction</w:t>
        </w:r>
        <w:r>
          <w:t xml:space="preserve">	4</w:t>
        </w:r>
      </w:hyperlink>
    </w:p>
    <w:p>
      <w:pPr>
        <w:pStyle w:val="TOC2"/>
        <w:tabs>
          <w:tab w:val="right" w:pos="9638" w:leader="dot"/>
        </w:tabs>
      </w:pPr>
      <w:hyperlink w:history="1" w:anchor="h_1_1">
        <w:r>
          <w:rPr>
            <w:color w:val="17418A"/>
          </w:rPr>
          <w:t xml:space="preserve">1.1 </w:t>
        </w:r>
        <w:r>
          <w:t xml:space="preserve">Objet du document</w:t>
        </w:r>
        <w:r>
          <w:t xml:space="preserve">	4</w:t>
        </w:r>
      </w:hyperlink>
    </w:p>
    <w:p>
      <w:pPr>
        <w:pStyle w:val="TOC2"/>
        <w:tabs>
          <w:tab w:val="right" w:pos="9638" w:leader="dot"/>
        </w:tabs>
      </w:pPr>
      <w:hyperlink w:history="1" w:anchor="h_1_2">
        <w:r>
          <w:rPr>
            <w:color w:val="17418A"/>
          </w:rPr>
          <w:t xml:space="preserve">1.2 </w:t>
        </w:r>
        <w:r>
          <w:t xml:space="preserve">Périmètre</w:t>
        </w:r>
        <w:r>
          <w:t xml:space="preserve">	4</w:t>
        </w:r>
      </w:hyperlink>
    </w:p>
    <w:p>
      <w:pPr>
        <w:pStyle w:val="TOC2"/>
        <w:tabs>
          <w:tab w:val="right" w:pos="9638" w:leader="dot"/>
        </w:tabs>
      </w:pPr>
      <w:hyperlink w:history="1" w:anchor="h_1_3">
        <w:r>
          <w:rPr>
            <w:color w:val="17418A"/>
          </w:rPr>
          <w:t xml:space="preserve">1.3 </w:t>
        </w:r>
        <w:r>
          <w:t xml:space="preserve">Documents de référence</w:t>
        </w:r>
        <w:r>
          <w:t xml:space="preserve">	4</w:t>
        </w:r>
      </w:hyperlink>
    </w:p>
    <w:p>
      <w:pPr>
        <w:pStyle w:val="TOC1"/>
        <w:tabs>
          <w:tab w:val="right" w:pos="9638" w:leader="dot"/>
        </w:tabs>
      </w:pPr>
      <w:hyperlink w:history="1" w:anchor="h_2">
        <w:r>
          <w:rPr>
            <w:color w:val="0095C9"/>
          </w:rPr>
          <w:t xml:space="preserve">2 </w:t>
        </w:r>
        <w:r>
          <w:t xml:space="preserve">Organisation de la recette</w:t>
        </w:r>
        <w:r>
          <w:t xml:space="preserve">	5</w:t>
        </w:r>
      </w:hyperlink>
    </w:p>
    <w:p>
      <w:pPr>
        <w:pStyle w:val="TOC2"/>
        <w:tabs>
          <w:tab w:val="right" w:pos="9638" w:leader="dot"/>
        </w:tabs>
      </w:pPr>
      <w:hyperlink w:history="1" w:anchor="h_2_1">
        <w:r>
          <w:rPr>
            <w:color w:val="17418A"/>
          </w:rPr>
          <w:t xml:space="preserve">2.1 </w:t>
        </w:r>
        <w:r>
          <w:t xml:space="preserve">Profils de test et participants</w:t>
        </w:r>
        <w:r>
          <w:t xml:space="preserve">	5</w:t>
        </w:r>
      </w:hyperlink>
    </w:p>
    <w:p>
      <w:pPr>
        <w:pStyle w:val="TOC2"/>
        <w:tabs>
          <w:tab w:val="right" w:pos="9638" w:leader="dot"/>
        </w:tabs>
      </w:pPr>
      <w:hyperlink w:history="1" w:anchor="h_2_2">
        <w:r>
          <w:rPr>
            <w:color w:val="17418A"/>
          </w:rPr>
          <w:t xml:space="preserve">2.2 </w:t>
        </w:r>
        <w:r>
          <w:t xml:space="preserve">Environnement de test</w:t>
        </w:r>
        <w:r>
          <w:t xml:space="preserve">	5</w:t>
        </w:r>
      </w:hyperlink>
    </w:p>
    <w:p>
      <w:pPr>
        <w:pStyle w:val="TOC2"/>
        <w:tabs>
          <w:tab w:val="right" w:pos="9638" w:leader="dot"/>
        </w:tabs>
      </w:pPr>
      <w:hyperlink w:history="1" w:anchor="h_2_3">
        <w:r>
          <w:rPr>
            <w:color w:val="17418A"/>
          </w:rPr>
          <w:t xml:space="preserve">2.3 </w:t>
        </w:r>
        <w:r>
          <w:t xml:space="preserve">Jeu de données à préparer</w:t>
        </w:r>
        <w:r>
          <w:t xml:space="preserve">	6</w:t>
        </w:r>
      </w:hyperlink>
    </w:p>
    <w:p>
      <w:pPr>
        <w:pStyle w:val="TOC2"/>
        <w:tabs>
          <w:tab w:val="right" w:pos="9638" w:leader="dot"/>
        </w:tabs>
      </w:pPr>
      <w:hyperlink w:history="1" w:anchor="h_2_4">
        <w:r>
          <w:rPr>
            <w:color w:val="17418A"/>
          </w:rPr>
          <w:t xml:space="preserve">2.4 </w:t>
        </w:r>
        <w:r>
          <w:t xml:space="preserve">Calendrier indicatif</w:t>
        </w:r>
        <w:r>
          <w:t xml:space="preserve">	6</w:t>
        </w:r>
      </w:hyperlink>
    </w:p>
    <w:p>
      <w:pPr>
        <w:pStyle w:val="TOC1"/>
        <w:tabs>
          <w:tab w:val="right" w:pos="9638" w:leader="dot"/>
        </w:tabs>
      </w:pPr>
      <w:hyperlink w:history="1" w:anchor="h_3">
        <w:r>
          <w:rPr>
            <w:color w:val="0095C9"/>
          </w:rPr>
          <w:t xml:space="preserve">3 </w:t>
        </w:r>
        <w:r>
          <w:t xml:space="preserve">Démarche de test</w:t>
        </w:r>
        <w:r>
          <w:t xml:space="preserve">	7</w:t>
        </w:r>
      </w:hyperlink>
    </w:p>
    <w:p>
      <w:pPr>
        <w:pStyle w:val="TOC2"/>
        <w:tabs>
          <w:tab w:val="right" w:pos="9638" w:leader="dot"/>
        </w:tabs>
      </w:pPr>
      <w:hyperlink w:history="1" w:anchor="h_3_1">
        <w:r>
          <w:rPr>
            <w:color w:val="17418A"/>
          </w:rPr>
          <w:t xml:space="preserve">3.1 </w:t>
        </w:r>
        <w:r>
          <w:t xml:space="preserve">Exécuter un scénario</w:t>
        </w:r>
        <w:r>
          <w:t xml:space="preserve">	7</w:t>
        </w:r>
      </w:hyperlink>
    </w:p>
    <w:p>
      <w:pPr>
        <w:pStyle w:val="TOC2"/>
        <w:tabs>
          <w:tab w:val="right" w:pos="9638" w:leader="dot"/>
        </w:tabs>
      </w:pPr>
      <w:hyperlink w:history="1" w:anchor="h_3_2">
        <w:r>
          <w:rPr>
            <w:color w:val="17418A"/>
          </w:rPr>
          <w:t xml:space="preserve">3.2 </w:t>
        </w:r>
        <w:r>
          <w:t xml:space="preserve">Gravité des anomalies</w:t>
        </w:r>
        <w:r>
          <w:t xml:space="preserve">	7</w:t>
        </w:r>
      </w:hyperlink>
    </w:p>
    <w:p>
      <w:pPr>
        <w:pStyle w:val="TOC2"/>
        <w:tabs>
          <w:tab w:val="right" w:pos="9638" w:leader="dot"/>
        </w:tabs>
      </w:pPr>
      <w:hyperlink w:history="1" w:anchor="h_3_3">
        <w:r>
          <w:rPr>
            <w:color w:val="17418A"/>
          </w:rPr>
          <w:t xml:space="preserve">3.3 </w:t>
        </w:r>
        <w:r>
          <w:t xml:space="preserve">Cycle de vie d’une anomalie</w:t>
        </w:r>
        <w:r>
          <w:t xml:space="preserve">	7</w:t>
        </w:r>
      </w:hyperlink>
    </w:p>
    <w:p>
      <w:pPr>
        <w:pStyle w:val="TOC2"/>
        <w:tabs>
          <w:tab w:val="right" w:pos="9638" w:leader="dot"/>
        </w:tabs>
      </w:pPr>
      <w:hyperlink w:history="1" w:anchor="h_3_4">
        <w:r>
          <w:rPr>
            <w:color w:val="17418A"/>
          </w:rPr>
          <w:t xml:space="preserve">3.4 </w:t>
        </w:r>
        <w:r>
          <w:t xml:space="preserve">Critères d’entrée et de sortie</w:t>
        </w:r>
        <w:r>
          <w:t xml:space="preserve">	8</w:t>
        </w:r>
      </w:hyperlink>
    </w:p>
    <w:p>
      <w:pPr>
        <w:pStyle w:val="TOC1"/>
        <w:tabs>
          <w:tab w:val="right" w:pos="9638" w:leader="dot"/>
        </w:tabs>
      </w:pPr>
      <w:hyperlink w:history="1" w:anchor="h_4">
        <w:r>
          <w:rPr>
            <w:color w:val="0095C9"/>
          </w:rPr>
          <w:t xml:space="preserve">4 </w:t>
        </w:r>
        <w:r>
          <w:t xml:space="preserve">Liste des scénarios</w:t>
        </w:r>
        <w:r>
          <w:t xml:space="preserve">	9</w:t>
        </w:r>
      </w:hyperlink>
    </w:p>
    <w:p>
      <w:pPr>
        <w:pStyle w:val="TOC1"/>
        <w:tabs>
          <w:tab w:val="right" w:pos="9638" w:leader="dot"/>
        </w:tabs>
      </w:pPr>
      <w:hyperlink w:history="1" w:anchor="h_5">
        <w:r>
          <w:rPr>
            <w:color w:val="0095C9"/>
          </w:rPr>
          <w:t xml:space="preserve">5 </w:t>
        </w:r>
        <w:r>
          <w:t xml:space="preserve">Scénarios détaillés</w:t>
        </w:r>
        <w:r>
          <w:t xml:space="preserve">	11</w:t>
        </w:r>
      </w:hyperlink>
    </w:p>
    <w:p>
      <w:pPr>
        <w:pStyle w:val="TOC2"/>
        <w:tabs>
          <w:tab w:val="right" w:pos="9638" w:leader="dot"/>
        </w:tabs>
      </w:pPr>
      <w:hyperlink w:history="1" w:anchor="h_5_1">
        <w:r>
          <w:rPr>
            <w:color w:val="17418A"/>
          </w:rPr>
          <w:t xml:space="preserve">5.1 </w:t>
        </w:r>
        <w:r>
          <w:t xml:space="preserve">Phase 1 — Préparation de l’environnement</w:t>
        </w:r>
        <w:r>
          <w:t xml:space="preserve">	11</w:t>
        </w:r>
      </w:hyperlink>
    </w:p>
    <w:p>
      <w:pPr>
        <w:pStyle w:val="TOC2"/>
        <w:tabs>
          <w:tab w:val="right" w:pos="9638" w:leader="dot"/>
        </w:tabs>
      </w:pPr>
      <w:hyperlink w:history="1" w:anchor="h_5_2">
        <w:r>
          <w:rPr>
            <w:color w:val="17418A"/>
          </w:rPr>
          <w:t xml:space="preserve">5.2 </w:t>
        </w:r>
        <w:r>
          <w:t xml:space="preserve">Phase 2 — Accès et sécurité</w:t>
        </w:r>
        <w:r>
          <w:t xml:space="preserve">	13</w:t>
        </w:r>
      </w:hyperlink>
    </w:p>
    <w:p>
      <w:pPr>
        <w:pStyle w:val="TOC2"/>
        <w:tabs>
          <w:tab w:val="right" w:pos="9638" w:leader="dot"/>
        </w:tabs>
      </w:pPr>
      <w:hyperlink w:history="1" w:anchor="h_5_3">
        <w:r>
          <w:rPr>
            <w:color w:val="17418A"/>
          </w:rPr>
          <w:t xml:space="preserve">5.3 </w:t>
        </w:r>
        <w:r>
          <w:t xml:space="preserve">Phase 3 — Budget et fonds</w:t>
        </w:r>
        <w:r>
          <w:t xml:space="preserve">	15</w:t>
        </w:r>
      </w:hyperlink>
    </w:p>
    <w:p>
      <w:pPr>
        <w:pStyle w:val="TOC2"/>
        <w:tabs>
          <w:tab w:val="right" w:pos="9638" w:leader="dot"/>
        </w:tabs>
      </w:pPr>
      <w:hyperlink w:history="1" w:anchor="h_5_4">
        <w:r>
          <w:rPr>
            <w:color w:val="17418A"/>
          </w:rPr>
          <w:t xml:space="preserve">5.4 </w:t>
        </w:r>
        <w:r>
          <w:t xml:space="preserve">Phase 4 — Saisie et contrôles</w:t>
        </w:r>
        <w:r>
          <w:t xml:space="preserve">	17</w:t>
        </w:r>
      </w:hyperlink>
    </w:p>
    <w:p>
      <w:pPr>
        <w:pStyle w:val="TOC2"/>
        <w:tabs>
          <w:tab w:val="right" w:pos="9638" w:leader="dot"/>
        </w:tabs>
      </w:pPr>
      <w:hyperlink w:history="1" w:anchor="h_5_5">
        <w:r>
          <w:rPr>
            <w:color w:val="17418A"/>
          </w:rPr>
          <w:t xml:space="preserve">5.5 </w:t>
        </w:r>
        <w:r>
          <w:t xml:space="preserve">Phase 5 — Transmission et vérification</w:t>
        </w:r>
        <w:r>
          <w:t xml:space="preserve">	22</w:t>
        </w:r>
      </w:hyperlink>
    </w:p>
    <w:p>
      <w:pPr>
        <w:pStyle w:val="TOC2"/>
        <w:tabs>
          <w:tab w:val="right" w:pos="9638" w:leader="dot"/>
        </w:tabs>
      </w:pPr>
      <w:hyperlink w:history="1" w:anchor="h_5_6">
        <w:r>
          <w:rPr>
            <w:color w:val="17418A"/>
          </w:rPr>
          <w:t xml:space="preserve">5.6 </w:t>
        </w:r>
        <w:r>
          <w:t xml:space="preserve">Phase 6 — Missions d’inspection</w:t>
        </w:r>
        <w:r>
          <w:t xml:space="preserve">	24</w:t>
        </w:r>
      </w:hyperlink>
    </w:p>
    <w:p>
      <w:pPr>
        <w:pStyle w:val="TOC2"/>
        <w:tabs>
          <w:tab w:val="right" w:pos="9638" w:leader="dot"/>
        </w:tabs>
      </w:pPr>
      <w:hyperlink w:history="1" w:anchor="h_5_7">
        <w:r>
          <w:rPr>
            <w:color w:val="17418A"/>
          </w:rPr>
          <w:t xml:space="preserve">5.7 </w:t>
        </w:r>
        <w:r>
          <w:t xml:space="preserve">Phase 7 — Caisse et arrêtés</w:t>
        </w:r>
        <w:r>
          <w:t xml:space="preserve">	25</w:t>
        </w:r>
      </w:hyperlink>
    </w:p>
    <w:p>
      <w:pPr>
        <w:pStyle w:val="TOC2"/>
        <w:tabs>
          <w:tab w:val="right" w:pos="9638" w:leader="dot"/>
        </w:tabs>
      </w:pPr>
      <w:hyperlink w:history="1" w:anchor="h_5_8">
        <w:r>
          <w:rPr>
            <w:color w:val="17418A"/>
          </w:rPr>
          <w:t xml:space="preserve">5.8 </w:t>
        </w:r>
        <w:r>
          <w:t xml:space="preserve">Phase 8 — Trésorerie et banque</w:t>
        </w:r>
        <w:r>
          <w:t xml:space="preserve">	26</w:t>
        </w:r>
      </w:hyperlink>
    </w:p>
    <w:p>
      <w:pPr>
        <w:pStyle w:val="TOC2"/>
        <w:tabs>
          <w:tab w:val="right" w:pos="9638" w:leader="dot"/>
        </w:tabs>
      </w:pPr>
      <w:hyperlink w:history="1" w:anchor="h_5_9">
        <w:r>
          <w:rPr>
            <w:color w:val="17418A"/>
          </w:rPr>
          <w:t xml:space="preserve">5.9 </w:t>
        </w:r>
        <w:r>
          <w:t xml:space="preserve">Phase 9 — Parc automobile</w:t>
        </w:r>
        <w:r>
          <w:t xml:space="preserve">	27</w:t>
        </w:r>
      </w:hyperlink>
    </w:p>
    <w:p>
      <w:pPr>
        <w:pStyle w:val="TOC2"/>
        <w:tabs>
          <w:tab w:val="right" w:pos="9638" w:leader="dot"/>
        </w:tabs>
      </w:pPr>
      <w:hyperlink w:history="1" w:anchor="h_5_10">
        <w:r>
          <w:rPr>
            <w:color w:val="17418A"/>
          </w:rPr>
          <w:t xml:space="preserve">5.10 </w:t>
        </w:r>
        <w:r>
          <w:t xml:space="preserve">Phase 10 — Stocks de fournitures</w:t>
        </w:r>
        <w:r>
          <w:t xml:space="preserve">	29</w:t>
        </w:r>
      </w:hyperlink>
    </w:p>
    <w:p>
      <w:pPr>
        <w:pStyle w:val="TOC2"/>
        <w:tabs>
          <w:tab w:val="right" w:pos="9638" w:leader="dot"/>
        </w:tabs>
      </w:pPr>
      <w:hyperlink w:history="1" w:anchor="h_5_11">
        <w:r>
          <w:rPr>
            <w:color w:val="17418A"/>
          </w:rPr>
          <w:t xml:space="preserve">5.11 </w:t>
        </w:r>
        <w:r>
          <w:t xml:space="preserve">Phase 11 — Pilotage et rapports</w:t>
        </w:r>
        <w:r>
          <w:t xml:space="preserve">	29</w:t>
        </w:r>
      </w:hyperlink>
    </w:p>
    <w:p>
      <w:pPr>
        <w:pStyle w:val="TOC2"/>
        <w:tabs>
          <w:tab w:val="right" w:pos="9638" w:leader="dot"/>
        </w:tabs>
      </w:pPr>
      <w:hyperlink w:history="1" w:anchor="h_5_12">
        <w:r>
          <w:rPr>
            <w:color w:val="17418A"/>
          </w:rPr>
          <w:t xml:space="preserve">5.12 </w:t>
        </w:r>
        <w:r>
          <w:t xml:space="preserve">Phase 12 — Direction</w:t>
        </w:r>
        <w:r>
          <w:t xml:space="preserve">	31</w:t>
        </w:r>
      </w:hyperlink>
    </w:p>
    <w:p>
      <w:pPr>
        <w:pStyle w:val="TOC2"/>
        <w:tabs>
          <w:tab w:val="right" w:pos="9638" w:leader="dot"/>
        </w:tabs>
      </w:pPr>
      <w:hyperlink w:history="1" w:anchor="h_5_13">
        <w:r>
          <w:rPr>
            <w:color w:val="17418A"/>
          </w:rPr>
          <w:t xml:space="preserve">5.13 </w:t>
        </w:r>
        <w:r>
          <w:t xml:space="preserve">Phase 13 — Administration et traçabilité</w:t>
        </w:r>
        <w:r>
          <w:t xml:space="preserve">	31</w:t>
        </w:r>
      </w:hyperlink>
    </w:p>
    <w:p>
      <w:pPr>
        <w:pStyle w:val="TOC2"/>
        <w:tabs>
          <w:tab w:val="right" w:pos="9638" w:leader="dot"/>
        </w:tabs>
      </w:pPr>
      <w:hyperlink w:history="1" w:anchor="h_5_14">
        <w:r>
          <w:rPr>
            <w:color w:val="17418A"/>
          </w:rPr>
          <w:t xml:space="preserve">5.14 </w:t>
        </w:r>
        <w:r>
          <w:t xml:space="preserve">Phase 14 — Transverse et clôture</w:t>
        </w:r>
        <w:r>
          <w:t xml:space="preserve">	33</w:t>
        </w:r>
      </w:hyperlink>
    </w:p>
    <w:p>
      <w:pPr>
        <w:pStyle w:val="TOC1"/>
        <w:tabs>
          <w:tab w:val="right" w:pos="9638" w:leader="dot"/>
        </w:tabs>
      </w:pPr>
      <w:hyperlink w:history="1" w:anchor="h_6">
        <w:r>
          <w:rPr>
            <w:color w:val="0095C9"/>
          </w:rPr>
          <w:t xml:space="preserve">6 </w:t>
        </w:r>
        <w:r>
          <w:t xml:space="preserve">Procès-verbal de recette</w:t>
        </w:r>
        <w:r>
          <w:t xml:space="preserve">	35</w:t>
        </w:r>
      </w:hyperlink>
    </w:p>
    <w:p>
      <w:pPr>
        <w:pStyle w:val="TOC2"/>
        <w:tabs>
          <w:tab w:val="right" w:pos="9638" w:leader="dot"/>
        </w:tabs>
      </w:pPr>
      <w:hyperlink w:history="1" w:anchor="h_6_1">
        <w:r>
          <w:rPr>
            <w:color w:val="17418A"/>
          </w:rPr>
          <w:t xml:space="preserve">6.1 </w:t>
        </w:r>
        <w:r>
          <w:t xml:space="preserve">Synthèse des résultats</w:t>
        </w:r>
        <w:r>
          <w:t xml:space="preserve">	35</w:t>
        </w:r>
      </w:hyperlink>
    </w:p>
    <w:p>
      <w:pPr>
        <w:pStyle w:val="TOC2"/>
        <w:tabs>
          <w:tab w:val="right" w:pos="9638" w:leader="dot"/>
        </w:tabs>
      </w:pPr>
      <w:hyperlink w:history="1" w:anchor="h_6_2">
        <w:r>
          <w:rPr>
            <w:color w:val="17418A"/>
          </w:rPr>
          <w:t xml:space="preserve">6.2 </w:t>
        </w:r>
        <w:r>
          <w:t xml:space="preserve">Décision</w:t>
        </w:r>
        <w:r>
          <w:t xml:space="preserve">	35</w:t>
        </w:r>
      </w:hyperlink>
    </w:p>
    <w:p>
      <w:pPr>
        <w:pStyle w:val="TOC2"/>
        <w:tabs>
          <w:tab w:val="right" w:pos="9638" w:leader="dot"/>
        </w:tabs>
      </w:pPr>
      <w:hyperlink w:history="1" w:anchor="h_6_3">
        <w:r>
          <w:rPr>
            <w:color w:val="17418A"/>
          </w:rPr>
          <w:t xml:space="preserve">6.3 </w:t>
        </w:r>
        <w:r>
          <w:t xml:space="preserve">Signatures</w:t>
        </w:r>
        <w:r>
          <w:t xml:space="preserve">	36</w:t>
        </w:r>
      </w:hyperlink>
    </w:p>
    <w:p>
      <w:pPr>
        <w:pStyle w:val="TOC1"/>
        <w:tabs>
          <w:tab w:val="right" w:pos="9638" w:leader="dot"/>
        </w:tabs>
      </w:pPr>
      <w:hyperlink w:history="1" w:anchor="h_Annexe_A___Fiche_d_anomalie">
        <w:r>
          <w:t xml:space="preserve">Annexe A — Fiche d’anomalie</w:t>
        </w:r>
        <w:r>
          <w:t xml:space="preserve">	37</w:t>
        </w:r>
      </w:hyperlink>
    </w:p>
    <w:p>
      <w:pPr>
        <w:pStyle w:val="TOC1"/>
        <w:tabs>
          <w:tab w:val="right" w:pos="9638" w:leader="dot"/>
        </w:tabs>
      </w:pPr>
      <w:hyperlink w:history="1" w:anchor="h_Annexe_B___Couverture_fonctionnelle">
        <w:r>
          <w:t xml:space="preserve">Annexe B — Couverture fonctionnelle</w:t>
        </w:r>
        <w:r>
          <w:t xml:space="preserve">	38</w:t>
        </w:r>
      </w:hyperlink>
      <w:r>
        <w:fldChar w:fldCharType="end"/>
      </w:r>
    </w:p>
    <w:p>
      <w:pPr>
        <w:pStyle w:val="Heading1"/>
        <w:keepNext/>
      </w:pPr>
      <w:bookmarkStart w:name="h_1" w:id="1"/>
      <w:r>
        <w:rPr>
          <w:color w:val="0095C9"/>
        </w:rPr>
        <w:t xml:space="preserve">1 </w:t>
      </w:r>
      <w:r>
        <w:t xml:space="preserve">Introduction</w:t>
      </w:r>
      <w:bookmarkEnd w:id="1"/>
    </w:p>
    <w:p>
      <w:pPr>
        <w:pStyle w:val="Heading2"/>
        <w:keepNext/>
      </w:pPr>
      <w:bookmarkStart w:name="h_1_1" w:id="2"/>
      <w:r>
        <w:rPr>
          <w:color w:val="17418A"/>
        </w:rPr>
        <w:t xml:space="preserve">1.1 </w:t>
      </w:r>
      <w:r>
        <w:t xml:space="preserve">Objet du document</w:t>
      </w:r>
      <w:bookmarkEnd w:id="2"/>
    </w:p>
    <w:p>
      <w:r>
        <w:rPr>
          <w:rFonts w:ascii="EB Garamond" w:cs="EB Garamond" w:eastAsia="EB Garamond" w:hAnsi="EB Garamond"/>
          <w:color w:val="323230"/>
          <w:sz w:val="23"/>
          <w:szCs w:val="23"/>
        </w:rPr>
        <w:t xml:space="preserve">Ce cahier de recette décrit les tests d’acceptation utilisateur (UAT) de l’application </w:t>
      </w:r>
      <w:r>
        <w:rPr>
          <w:rFonts w:ascii="EB Garamond" w:cs="EB Garamond" w:eastAsia="EB Garamond" w:hAnsi="EB Garamond"/>
          <w:b/>
          <w:bCs/>
          <w:color w:val="323230"/>
          <w:sz w:val="23"/>
          <w:szCs w:val="23"/>
        </w:rPr>
        <w:t xml:space="preserve">Gestion des frais de fonctionnement</w:t>
      </w:r>
      <w:r>
        <w:rPr>
          <w:rFonts w:ascii="EB Garamond" w:cs="EB Garamond" w:eastAsia="EB Garamond" w:hAnsi="EB Garamond"/>
          <w:color w:val="323230"/>
          <w:sz w:val="23"/>
          <w:szCs w:val="23"/>
        </w:rPr>
        <w:t xml:space="preserve"> de l’Inspection Générale de l’Enseignement. Il permet aux futurs utilisateurs de vérifier, de bout en bout et avec leurs propres comptes, que l’application répond aux besoins exprimés avant sa mise en service avec des données réelles.</w:t>
      </w:r>
    </w:p>
    <w:p>
      <w:r>
        <w:rPr>
          <w:rFonts w:ascii="EB Garamond" w:cs="EB Garamond" w:eastAsia="EB Garamond" w:hAnsi="EB Garamond"/>
          <w:color w:val="323230"/>
          <w:sz w:val="23"/>
          <w:szCs w:val="23"/>
        </w:rPr>
        <w:t xml:space="preserve">Il contient 51 scénarios regroupant 235 étapes, ordonnés pour reproduire un cycle de gestion complet : préparation, accès, budget et fonds, saisie, vérification, missions, caisse, trésorerie, logistique, pilotage, Direction et administration. Il se termine par le procès-verbal de recette à signer.</w:t>
      </w:r>
    </w:p>
    <w:p>
      <w:r>
        <w:rPr>
          <w:rFonts w:ascii="EB Garamond" w:cs="EB Garamond" w:eastAsia="EB Garamond" w:hAnsi="EB Garamond"/>
          <w:color w:val="323230"/>
          <w:sz w:val="23"/>
          <w:szCs w:val="23"/>
        </w:rPr>
        <w:t xml:space="preserve">Les résultats se notent dans le classeur de suivi qui accompagne ce document (une ligne par étape, registre des anomalies et synthèse calculée automatiquement).</w:t>
      </w:r>
    </w:p>
    <w:p>
      <w:pPr>
        <w:pStyle w:val="Heading2"/>
        <w:keepNext/>
      </w:pPr>
      <w:bookmarkStart w:name="h_1_2" w:id="3"/>
      <w:r>
        <w:rPr>
          <w:color w:val="17418A"/>
        </w:rPr>
        <w:t xml:space="preserve">1.2 </w:t>
      </w:r>
      <w:r>
        <w:t xml:space="preserve">Périmètre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Dans le périmètre</w:t>
            </w:r>
          </w:p>
        </w:tc>
        <w:tc>
          <w:tcPr>
            <w:tcW w:type="dxa" w:w="481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Hors du périmètre</w:t>
            </w:r>
          </w:p>
        </w:tc>
      </w:tr>
      <w:tr>
        <w:trPr>
          <w:cantSplit/>
        </w:trPr>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Toutes les fonctions de l’application version 2.2.1 : socle caisse et budget, demandes de fonds, chaîne de la dépense, missions, trésorerie, devise USD, rapprochement bancaire, parc automobile, dotations et bons carburant, stocks, analyses, rapports officiels, saisie hors connexion, administration, fonctions du site.</w:t>
            </w:r>
          </w:p>
        </w:tc>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Envoi de notifications par SMS ou WhatsApp (non réalisé : nécessite un compte chez un fournisseur).</w:t>
            </w:r>
          </w:p>
          <w:p>
            <w:pPr>
              <w:spacing w:after="0" w:line="252" w:lineRule="auto"/>
            </w:pPr>
            <w:r>
              <w:rPr>
                <w:rFonts w:ascii="Cooper Hewitt" w:cs="Cooper Hewitt" w:eastAsia="Cooper Hewitt" w:hAnsi="Cooper Hewitt"/>
                <w:color w:val="323230"/>
                <w:sz w:val="18"/>
                <w:szCs w:val="18"/>
              </w:rPr>
              <w:t xml:space="preserve">Tests de charge et tests d’intrusion, à confier à un spécialiste.</w:t>
            </w:r>
          </w:p>
          <w:p>
            <w:pPr>
              <w:spacing w:after="0" w:line="252" w:lineRule="auto"/>
            </w:pPr>
            <w:r>
              <w:rPr>
                <w:rFonts w:ascii="Cooper Hewitt" w:cs="Cooper Hewitt" w:eastAsia="Cooper Hewitt" w:hAnsi="Cooper Hewitt"/>
                <w:color w:val="323230"/>
                <w:sz w:val="18"/>
                <w:szCs w:val="18"/>
              </w:rPr>
              <w:t xml:space="preserve">Revue du code source, recommandée avant l’utilisation de données réelles.</w:t>
            </w:r>
          </w:p>
        </w:tc>
      </w:tr>
    </w:tbl>
    <w:p>
      <w:pPr>
        <w:spacing w:after="100" w:before="0"/>
      </w:pPr>
    </w:p>
    <w:p>
      <w:pPr>
        <w:pStyle w:val="Heading2"/>
        <w:keepNext/>
      </w:pPr>
      <w:bookmarkStart w:name="h_1_3" w:id="4"/>
      <w:r>
        <w:rPr>
          <w:color w:val="17418A"/>
        </w:rPr>
        <w:t xml:space="preserve">1.3 </w:t>
      </w:r>
      <w:r>
        <w:t xml:space="preserve">Documents de référence</w:t>
      </w:r>
      <w:bookmarkEnd w:id="4"/>
    </w:p>
    <w:p>
      <w:pPr>
        <w:pStyle w:val="Liste"/>
        <w:numPr>
          <w:ilvl w:val="0"/>
          <w:numId w:val="2"/>
        </w:numPr>
      </w:pPr>
      <w:r>
        <w:rPr>
          <w:rFonts w:ascii="EB Garamond" w:cs="EB Garamond" w:eastAsia="EB Garamond" w:hAnsi="EB Garamond"/>
          <w:b/>
          <w:bCs/>
          <w:color w:val="323230"/>
          <w:sz w:val="23"/>
          <w:szCs w:val="23"/>
        </w:rPr>
        <w:t xml:space="preserve">Guide d’utilisation</w:t>
      </w:r>
      <w:r>
        <w:rPr>
          <w:rFonts w:ascii="EB Garamond" w:cs="EB Garamond" w:eastAsia="EB Garamond" w:hAnsi="EB Garamond"/>
          <w:color w:val="323230"/>
          <w:sz w:val="23"/>
          <w:szCs w:val="23"/>
        </w:rPr>
        <w:t xml:space="preserve">, version 1.0 du 24 octobre 2026 : chaque scénario renvoie à la section du guide qui décrit la tâche.</w:t>
      </w:r>
    </w:p>
    <w:p>
      <w:pPr>
        <w:pStyle w:val="Liste"/>
        <w:numPr>
          <w:ilvl w:val="0"/>
          <w:numId w:val="2"/>
        </w:numPr>
      </w:pPr>
      <w:r>
        <w:rPr>
          <w:rFonts w:ascii="EB Garamond" w:cs="EB Garamond" w:eastAsia="EB Garamond" w:hAnsi="EB Garamond"/>
          <w:b/>
          <w:bCs/>
          <w:color w:val="323230"/>
          <w:sz w:val="23"/>
          <w:szCs w:val="23"/>
        </w:rPr>
        <w:t xml:space="preserve">Expression des besoins</w:t>
      </w:r>
      <w:r>
        <w:rPr>
          <w:rFonts w:ascii="EB Garamond" w:cs="EB Garamond" w:eastAsia="EB Garamond" w:hAnsi="EB Garamond"/>
          <w:color w:val="323230"/>
          <w:sz w:val="23"/>
          <w:szCs w:val="23"/>
        </w:rPr>
        <w:t xml:space="preserve"> (cahier des charges et tableau des fonctions VA) de l’application.</w:t>
      </w:r>
    </w:p>
    <w:p>
      <w:pPr>
        <w:pStyle w:val="Liste"/>
        <w:numPr>
          <w:ilvl w:val="0"/>
          <w:numId w:val="2"/>
        </w:numPr>
      </w:pPr>
      <w:r>
        <w:rPr>
          <w:rFonts w:ascii="EB Garamond" w:cs="EB Garamond" w:eastAsia="EB Garamond" w:hAnsi="EB Garamond"/>
          <w:b/>
          <w:bCs/>
          <w:color w:val="323230"/>
          <w:sz w:val="23"/>
          <w:szCs w:val="23"/>
        </w:rPr>
        <w:t xml:space="preserve">Classeur de suivi de la recette</w:t>
      </w:r>
      <w:r>
        <w:rPr>
          <w:rFonts w:ascii="EB Garamond" w:cs="EB Garamond" w:eastAsia="EB Garamond" w:hAnsi="EB Garamond"/>
          <w:color w:val="323230"/>
          <w:sz w:val="23"/>
          <w:szCs w:val="23"/>
        </w:rPr>
        <w:t xml:space="preserve"> (fichier Excel livré avec ce cahier).</w:t>
      </w:r>
    </w:p>
    <w:p>
      <w:pPr>
        <w:pStyle w:val="Liste"/>
        <w:numPr>
          <w:ilvl w:val="0"/>
          <w:numId w:val="2"/>
        </w:numPr>
      </w:pPr>
      <w:r>
        <w:rPr>
          <w:rFonts w:ascii="EB Garamond" w:cs="EB Garamond" w:eastAsia="EB Garamond" w:hAnsi="EB Garamond"/>
          <w:color w:val="323230"/>
          <w:sz w:val="23"/>
          <w:szCs w:val="23"/>
        </w:rPr>
        <w:t xml:space="preserve">Norme ISO/IEC/IEEE 29119-3 (documentation des tests logiciels), dont ce cahier suit la structure : plan, spécification des cas, compte rendu et procès-verbal.</w:t>
      </w:r>
    </w:p>
    <w:p>
      <w:pPr>
        <w:pStyle w:val="Heading1"/>
        <w:keepNext/>
      </w:pPr>
      <w:bookmarkStart w:name="h_2" w:id="5"/>
      <w:r>
        <w:rPr>
          <w:color w:val="0095C9"/>
        </w:rPr>
        <w:t xml:space="preserve">2 </w:t>
      </w:r>
      <w:r>
        <w:t xml:space="preserve">Organisation de la recette</w:t>
      </w:r>
      <w:bookmarkEnd w:id="5"/>
    </w:p>
    <w:p>
      <w:pPr>
        <w:pStyle w:val="Heading2"/>
        <w:keepNext/>
      </w:pPr>
      <w:bookmarkStart w:name="h_2_1" w:id="6"/>
      <w:r>
        <w:rPr>
          <w:color w:val="17418A"/>
        </w:rPr>
        <w:t xml:space="preserve">2.1 </w:t>
      </w:r>
      <w:r>
        <w:t xml:space="preserve">Profils de test et participants</w:t>
      </w:r>
      <w:bookmarkEnd w:id="6"/>
    </w:p>
    <w:p>
      <w:r>
        <w:rPr>
          <w:rFonts w:ascii="EB Garamond" w:cs="EB Garamond" w:eastAsia="EB Garamond" w:hAnsi="EB Garamond"/>
          <w:color w:val="323230"/>
          <w:sz w:val="23"/>
          <w:szCs w:val="23"/>
        </w:rPr>
        <w:t xml:space="preserve">Chaque scénario indique les profils qui exécutent ses étapes. Avant la campagne, attribuez chaque profil à une personne réelle, de préférence celle qui occupera cette fonction : la recette sert aussi de première formation.</w:t>
      </w:r>
    </w:p>
    <w:p>
      <w:pPr>
        <w:pStyle w:val="Legende"/>
        <w:keepNext/>
        <w:spacing w:after="60" w:before="120"/>
      </w:pPr>
      <w:r>
        <w:rPr>
          <w:b/>
          <w:bCs/>
          <w:color w:val="17418A"/>
        </w:rPr>
        <w:t xml:space="preserve">Tableau 1 </w:t>
      </w:r>
      <w:r>
        <w:t xml:space="preserve">Profils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2"/>
        <w:gridCol w:w="1871"/>
        <w:gridCol w:w="2994"/>
        <w:gridCol w:w="2059"/>
        <w:gridCol w:w="1872"/>
      </w:tblGrid>
      <w:tr>
        <w:trPr>
          <w:cantSplit/>
          <w:tblHeader/>
        </w:trPr>
        <w:tc>
          <w:tcPr>
            <w:tcW w:type="dxa" w:w="84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Code</w:t>
            </w:r>
          </w:p>
        </w:tc>
        <w:tc>
          <w:tcPr>
            <w:tcW w:type="dxa" w:w="187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Profil de test</w:t>
            </w:r>
          </w:p>
        </w:tc>
        <w:tc>
          <w:tcPr>
            <w:tcW w:type="dxa" w:w="2994"/>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Rôle</w:t>
            </w:r>
          </w:p>
        </w:tc>
        <w:tc>
          <w:tcPr>
            <w:tcW w:type="dxa" w:w="205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Profil dans l’application</w:t>
            </w:r>
          </w:p>
        </w:tc>
        <w:tc>
          <w:tcPr>
            <w:tcW w:type="dxa" w:w="18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Testeur (nom)</w:t>
            </w:r>
          </w:p>
        </w:tc>
      </w:tr>
      <w:tr>
        <w:trPr>
          <w:cantSplit/>
        </w:trPr>
        <w:tc>
          <w:tcPr>
            <w:tcW w:type="dxa" w:w="8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AF</w:t>
            </w:r>
          </w:p>
        </w:tc>
        <w:tc>
          <w:tcPr>
            <w:tcW w:type="dxa" w:w="187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Administration et Finance</w:t>
            </w:r>
          </w:p>
        </w:tc>
        <w:tc>
          <w:tcPr>
            <w:tcW w:type="dxa" w:w="299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Comptable ou vérificateur du service central</w:t>
            </w:r>
          </w:p>
        </w:tc>
        <w:tc>
          <w:tcPr>
            <w:tcW w:type="dxa" w:w="20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Administration et Finance</w:t>
            </w:r>
          </w:p>
        </w:tc>
        <w:tc>
          <w:tcPr>
            <w:tcW w:type="dxa" w:w="18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r>
      <w:tr>
        <w:trPr>
          <w:cantSplit/>
        </w:trPr>
        <w:tc>
          <w:tcPr>
            <w:tcW w:type="dxa" w:w="8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AGA</w:t>
            </w:r>
          </w:p>
        </w:tc>
        <w:tc>
          <w:tcPr>
            <w:tcW w:type="dxa" w:w="187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du service A</w:t>
            </w:r>
          </w:p>
        </w:tc>
        <w:tc>
          <w:tcPr>
            <w:tcW w:type="dxa" w:w="299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qui tient la caisse du service A (par exemple 8001)</w:t>
            </w:r>
          </w:p>
        </w:tc>
        <w:tc>
          <w:tcPr>
            <w:tcW w:type="dxa" w:w="20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(service)</w:t>
            </w:r>
          </w:p>
        </w:tc>
        <w:tc>
          <w:tcPr>
            <w:tcW w:type="dxa" w:w="18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r>
        <w:trPr>
          <w:cantSplit/>
        </w:trPr>
        <w:tc>
          <w:tcPr>
            <w:tcW w:type="dxa" w:w="8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RSA</w:t>
            </w:r>
          </w:p>
        </w:tc>
        <w:tc>
          <w:tcPr>
            <w:tcW w:type="dxa" w:w="187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Responsable du service A</w:t>
            </w:r>
          </w:p>
        </w:tc>
        <w:tc>
          <w:tcPr>
            <w:tcW w:type="dxa" w:w="299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Chef du service A</w:t>
            </w:r>
          </w:p>
        </w:tc>
        <w:tc>
          <w:tcPr>
            <w:tcW w:type="dxa" w:w="20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Responsable (service)</w:t>
            </w:r>
          </w:p>
        </w:tc>
        <w:tc>
          <w:tcPr>
            <w:tcW w:type="dxa" w:w="18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r>
      <w:tr>
        <w:trPr>
          <w:cantSplit/>
        </w:trPr>
        <w:tc>
          <w:tcPr>
            <w:tcW w:type="dxa" w:w="8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AGB</w:t>
            </w:r>
          </w:p>
        </w:tc>
        <w:tc>
          <w:tcPr>
            <w:tcW w:type="dxa" w:w="187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du service B</w:t>
            </w:r>
          </w:p>
        </w:tc>
        <w:tc>
          <w:tcPr>
            <w:tcW w:type="dxa" w:w="299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qui tient la caisse du service B (par exemple 8002)</w:t>
            </w:r>
          </w:p>
        </w:tc>
        <w:tc>
          <w:tcPr>
            <w:tcW w:type="dxa" w:w="20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(service)</w:t>
            </w:r>
          </w:p>
        </w:tc>
        <w:tc>
          <w:tcPr>
            <w:tcW w:type="dxa" w:w="18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r>
        <w:trPr>
          <w:cantSplit/>
        </w:trPr>
        <w:tc>
          <w:tcPr>
            <w:tcW w:type="dxa" w:w="8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RSB</w:t>
            </w:r>
          </w:p>
        </w:tc>
        <w:tc>
          <w:tcPr>
            <w:tcW w:type="dxa" w:w="187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Responsable du service B</w:t>
            </w:r>
          </w:p>
        </w:tc>
        <w:tc>
          <w:tcPr>
            <w:tcW w:type="dxa" w:w="299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Chef du service B</w:t>
            </w:r>
          </w:p>
        </w:tc>
        <w:tc>
          <w:tcPr>
            <w:tcW w:type="dxa" w:w="20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Responsable (service)</w:t>
            </w:r>
          </w:p>
        </w:tc>
        <w:tc>
          <w:tcPr>
            <w:tcW w:type="dxa" w:w="18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r>
      <w:tr>
        <w:trPr>
          <w:cantSplit/>
        </w:trPr>
        <w:tc>
          <w:tcPr>
            <w:tcW w:type="dxa" w:w="8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DIR</w:t>
            </w:r>
          </w:p>
        </w:tc>
        <w:tc>
          <w:tcPr>
            <w:tcW w:type="dxa" w:w="187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Direction</w:t>
            </w:r>
          </w:p>
        </w:tc>
        <w:tc>
          <w:tcPr>
            <w:tcW w:type="dxa" w:w="299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Inspecteur Général ou membre de son cabinet</w:t>
            </w:r>
          </w:p>
        </w:tc>
        <w:tc>
          <w:tcPr>
            <w:tcW w:type="dxa" w:w="20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Lecteur (Direction)</w:t>
            </w:r>
          </w:p>
        </w:tc>
        <w:tc>
          <w:tcPr>
            <w:tcW w:type="dxa" w:w="18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r>
        <w:trPr>
          <w:cantSplit/>
        </w:trPr>
        <w:tc>
          <w:tcPr>
            <w:tcW w:type="dxa" w:w="8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PUB</w:t>
            </w:r>
          </w:p>
        </w:tc>
        <w:tc>
          <w:tcPr>
            <w:tcW w:type="dxa" w:w="187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Personne sans compte</w:t>
            </w:r>
          </w:p>
        </w:tc>
        <w:tc>
          <w:tcPr>
            <w:tcW w:type="dxa" w:w="299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Tiers qui reçoit un document officiel</w:t>
            </w:r>
          </w:p>
        </w:tc>
        <w:tc>
          <w:tcPr>
            <w:tcW w:type="dxa" w:w="20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w:t>
            </w:r>
          </w:p>
        </w:tc>
        <w:tc>
          <w:tcPr>
            <w:tcW w:type="dxa" w:w="18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r>
    </w:tbl>
    <w:p>
      <w:pPr>
        <w:spacing w:after="100" w:before="0"/>
      </w:pPr>
    </w:p>
    <w:p>
      <w:r>
        <w:rPr>
          <w:rFonts w:ascii="EB Garamond" w:cs="EB Garamond" w:eastAsia="EB Garamond" w:hAnsi="EB Garamond"/>
          <w:color w:val="323230"/>
          <w:sz w:val="23"/>
          <w:szCs w:val="23"/>
        </w:rPr>
        <w:t xml:space="preserve">Deux autres rôles encadrent la recette :</w:t>
      </w:r>
    </w:p>
    <w:p>
      <w:pPr>
        <w:pStyle w:val="Liste"/>
        <w:numPr>
          <w:ilvl w:val="0"/>
          <w:numId w:val="2"/>
        </w:numPr>
      </w:pPr>
      <w:r>
        <w:rPr>
          <w:rFonts w:ascii="EB Garamond" w:cs="EB Garamond" w:eastAsia="EB Garamond" w:hAnsi="EB Garamond"/>
          <w:b/>
          <w:bCs/>
          <w:color w:val="323230"/>
          <w:sz w:val="23"/>
          <w:szCs w:val="23"/>
        </w:rPr>
        <w:t xml:space="preserve">Pilote de la recette</w:t>
      </w:r>
      <w:r>
        <w:rPr>
          <w:rFonts w:ascii="EB Garamond" w:cs="EB Garamond" w:eastAsia="EB Garamond" w:hAnsi="EB Garamond"/>
          <w:color w:val="323230"/>
          <w:sz w:val="23"/>
          <w:szCs w:val="23"/>
        </w:rPr>
        <w:t xml:space="preserve"> (Administration et Finance) : prépare l’environnement et les comptes, planifie les sessions, tient le classeur de suivi, qualifie les anomalies avec l’équipe technique et rédige le compte rendu.</w:t>
      </w:r>
    </w:p>
    <w:p>
      <w:pPr>
        <w:pStyle w:val="Liste"/>
        <w:numPr>
          <w:ilvl w:val="0"/>
          <w:numId w:val="2"/>
        </w:numPr>
      </w:pPr>
      <w:r>
        <w:rPr>
          <w:rFonts w:ascii="EB Garamond" w:cs="EB Garamond" w:eastAsia="EB Garamond" w:hAnsi="EB Garamond"/>
          <w:b/>
          <w:bCs/>
          <w:color w:val="323230"/>
          <w:sz w:val="23"/>
          <w:szCs w:val="23"/>
        </w:rPr>
        <w:t xml:space="preserve">Équipe technique</w:t>
      </w:r>
      <w:r>
        <w:rPr>
          <w:rFonts w:ascii="EB Garamond" w:cs="EB Garamond" w:eastAsia="EB Garamond" w:hAnsi="EB Garamond"/>
          <w:color w:val="323230"/>
          <w:sz w:val="23"/>
          <w:szCs w:val="23"/>
        </w:rPr>
        <w:t xml:space="preserve"> : corrige les anomalies, livre les versions correctives et confirme les corrections à retester.</w:t>
      </w:r>
    </w:p>
    <w:p>
      <w:pPr>
        <w:pStyle w:val="Heading2"/>
        <w:keepNext/>
      </w:pPr>
      <w:bookmarkStart w:name="h_2_2" w:id="7"/>
      <w:r>
        <w:rPr>
          <w:color w:val="17418A"/>
        </w:rPr>
        <w:t xml:space="preserve">2.2 </w:t>
      </w:r>
      <w:r>
        <w:t xml:space="preserve">Environnement de test</w:t>
      </w:r>
      <w:bookmarkEnd w:id="7"/>
    </w:p>
    <w:p>
      <w:pPr>
        <w:pStyle w:val="Liste"/>
        <w:numPr>
          <w:ilvl w:val="0"/>
          <w:numId w:val="2"/>
        </w:numPr>
      </w:pPr>
      <w:r>
        <w:rPr>
          <w:rFonts w:ascii="EB Garamond" w:cs="EB Garamond" w:eastAsia="EB Garamond" w:hAnsi="EB Garamond"/>
          <w:color w:val="323230"/>
          <w:sz w:val="23"/>
          <w:szCs w:val="23"/>
        </w:rPr>
        <w:t xml:space="preserve">Un </w:t>
      </w:r>
      <w:r>
        <w:rPr>
          <w:rFonts w:ascii="EB Garamond" w:cs="EB Garamond" w:eastAsia="EB Garamond" w:hAnsi="EB Garamond"/>
          <w:b/>
          <w:bCs/>
          <w:color w:val="323230"/>
          <w:sz w:val="23"/>
          <w:szCs w:val="23"/>
        </w:rPr>
        <w:t xml:space="preserve">site de recette</w:t>
      </w:r>
      <w:r>
        <w:rPr>
          <w:rFonts w:ascii="EB Garamond" w:cs="EB Garamond" w:eastAsia="EB Garamond" w:hAnsi="EB Garamond"/>
          <w:color w:val="323230"/>
          <w:sz w:val="23"/>
          <w:szCs w:val="23"/>
        </w:rPr>
        <w:t xml:space="preserve"> distinct du site de production (copie du site, même version de l’extension et du thème). Aucune donnée réelle n’y est saisie.</w:t>
      </w:r>
    </w:p>
    <w:p>
      <w:pPr>
        <w:pStyle w:val="Liste"/>
        <w:numPr>
          <w:ilvl w:val="0"/>
          <w:numId w:val="2"/>
        </w:numPr>
      </w:pPr>
      <w:r>
        <w:rPr>
          <w:rFonts w:ascii="EB Garamond" w:cs="EB Garamond" w:eastAsia="EB Garamond" w:hAnsi="EB Garamond"/>
          <w:color w:val="323230"/>
          <w:sz w:val="23"/>
          <w:szCs w:val="23"/>
        </w:rPr>
        <w:t xml:space="preserve">Une </w:t>
      </w:r>
      <w:r>
        <w:rPr>
          <w:rFonts w:ascii="EB Garamond" w:cs="EB Garamond" w:eastAsia="EB Garamond" w:hAnsi="EB Garamond"/>
          <w:b/>
          <w:bCs/>
          <w:color w:val="323230"/>
          <w:sz w:val="23"/>
          <w:szCs w:val="23"/>
        </w:rPr>
        <w:t xml:space="preserve">sauvegarde</w:t>
      </w:r>
      <w:r>
        <w:rPr>
          <w:rFonts w:ascii="EB Garamond" w:cs="EB Garamond" w:eastAsia="EB Garamond" w:hAnsi="EB Garamond"/>
          <w:color w:val="323230"/>
          <w:sz w:val="23"/>
          <w:szCs w:val="23"/>
        </w:rPr>
        <w:t xml:space="preserve"> du site de recette avant la campagne, pour pouvoir la rejouer depuis le même point de départ.</w:t>
      </w:r>
    </w:p>
    <w:p>
      <w:pPr>
        <w:pStyle w:val="Liste"/>
        <w:numPr>
          <w:ilvl w:val="0"/>
          <w:numId w:val="2"/>
        </w:numPr>
      </w:pPr>
      <w:r>
        <w:rPr>
          <w:rFonts w:ascii="EB Garamond" w:cs="EB Garamond" w:eastAsia="EB Garamond" w:hAnsi="EB Garamond"/>
          <w:color w:val="323230"/>
          <w:sz w:val="23"/>
          <w:szCs w:val="23"/>
        </w:rPr>
        <w:t xml:space="preserve">La </w:t>
      </w:r>
      <w:r>
        <w:rPr>
          <w:rFonts w:ascii="EB Garamond" w:cs="EB Garamond" w:eastAsia="EB Garamond" w:hAnsi="EB Garamond"/>
          <w:b/>
          <w:bCs/>
          <w:color w:val="323230"/>
          <w:sz w:val="23"/>
          <w:szCs w:val="23"/>
        </w:rPr>
        <w:t xml:space="preserve">messagerie</w:t>
      </w:r>
      <w:r>
        <w:rPr>
          <w:rFonts w:ascii="EB Garamond" w:cs="EB Garamond" w:eastAsia="EB Garamond" w:hAnsi="EB Garamond"/>
          <w:color w:val="323230"/>
          <w:sz w:val="23"/>
          <w:szCs w:val="23"/>
        </w:rPr>
        <w:t xml:space="preserve"> de la plateforme configurée et des adresses e-mail réelles pour les testeurs (codes, invitations, avis).</w:t>
      </w:r>
    </w:p>
    <w:p>
      <w:pPr>
        <w:pStyle w:val="Liste"/>
        <w:numPr>
          <w:ilvl w:val="0"/>
          <w:numId w:val="2"/>
        </w:numPr>
      </w:pPr>
      <w:r>
        <w:rPr>
          <w:rFonts w:ascii="EB Garamond" w:cs="EB Garamond" w:eastAsia="EB Garamond" w:hAnsi="EB Garamond"/>
          <w:color w:val="323230"/>
          <w:sz w:val="23"/>
          <w:szCs w:val="23"/>
        </w:rPr>
        <w:t xml:space="preserve">Pour chaque testeur, un ordinateur avec un navigateur récent ; au moins un </w:t>
      </w:r>
      <w:r>
        <w:rPr>
          <w:rFonts w:ascii="EB Garamond" w:cs="EB Garamond" w:eastAsia="EB Garamond" w:hAnsi="EB Garamond"/>
          <w:b/>
          <w:bCs/>
          <w:color w:val="323230"/>
          <w:sz w:val="23"/>
          <w:szCs w:val="23"/>
        </w:rPr>
        <w:t xml:space="preserve">téléphone Android</w:t>
      </w:r>
      <w:r>
        <w:rPr>
          <w:rFonts w:ascii="EB Garamond" w:cs="EB Garamond" w:eastAsia="EB Garamond" w:hAnsi="EB Garamond"/>
          <w:color w:val="323230"/>
          <w:sz w:val="23"/>
          <w:szCs w:val="23"/>
        </w:rPr>
        <w:t xml:space="preserve"> et un </w:t>
      </w:r>
      <w:r>
        <w:rPr>
          <w:rFonts w:ascii="EB Garamond" w:cs="EB Garamond" w:eastAsia="EB Garamond" w:hAnsi="EB Garamond"/>
          <w:b/>
          <w:bCs/>
          <w:color w:val="323230"/>
          <w:sz w:val="23"/>
          <w:szCs w:val="23"/>
        </w:rPr>
        <w:t xml:space="preserve">iPhone</w:t>
      </w:r>
      <w:r>
        <w:rPr>
          <w:rFonts w:ascii="EB Garamond" w:cs="EB Garamond" w:eastAsia="EB Garamond" w:hAnsi="EB Garamond"/>
          <w:color w:val="323230"/>
          <w:sz w:val="23"/>
          <w:szCs w:val="23"/>
        </w:rPr>
        <w:t xml:space="preserve"> pour les scénarios mobiles et hors connexion.</w:t>
      </w:r>
    </w:p>
    <w:p>
      <w:pPr>
        <w:pStyle w:val="Liste"/>
        <w:numPr>
          <w:ilvl w:val="0"/>
          <w:numId w:val="2"/>
        </w:numPr>
      </w:pPr>
      <w:r>
        <w:rPr>
          <w:rFonts w:ascii="EB Garamond" w:cs="EB Garamond" w:eastAsia="EB Garamond" w:hAnsi="EB Garamond"/>
          <w:color w:val="323230"/>
          <w:sz w:val="23"/>
          <w:szCs w:val="23"/>
        </w:rPr>
        <w:t xml:space="preserve">Une imprimante pour les contrôles d’impression des rapports et procès-verbaux.</w:t>
      </w:r>
    </w:p>
    <w:p>
      <w:pPr>
        <w:pStyle w:val="Heading2"/>
        <w:keepNext/>
      </w:pPr>
      <w:bookmarkStart w:name="h_2_3" w:id="8"/>
      <w:r>
        <w:rPr>
          <w:color w:val="17418A"/>
        </w:rPr>
        <w:t xml:space="preserve">2.3 </w:t>
      </w:r>
      <w:r>
        <w:t xml:space="preserve">Jeu de données à préparer</w:t>
      </w:r>
      <w:bookmarkEnd w:id="8"/>
    </w:p>
    <w:p>
      <w:pPr>
        <w:pStyle w:val="Legende"/>
        <w:keepNext/>
        <w:spacing w:after="60" w:before="120"/>
      </w:pPr>
      <w:r>
        <w:rPr>
          <w:b/>
          <w:bCs/>
          <w:color w:val="17418A"/>
        </w:rPr>
        <w:t xml:space="preserve">Tableau 2 </w:t>
      </w:r>
      <w:r>
        <w:t xml:space="preserve">Données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542"/>
        <w:gridCol w:w="5976"/>
      </w:tblGrid>
      <w:tr>
        <w:trPr>
          <w:cantSplit/>
          <w:tblHeader/>
        </w:trPr>
        <w:tc>
          <w:tcPr>
            <w:tcW w:type="dxa" w:w="212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Élément</w:t>
            </w:r>
          </w:p>
        </w:tc>
        <w:tc>
          <w:tcPr>
            <w:tcW w:type="dxa" w:w="154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Utilisé par</w:t>
            </w:r>
          </w:p>
        </w:tc>
        <w:tc>
          <w:tcPr>
            <w:tcW w:type="dxa" w:w="5976"/>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Contenu</w:t>
            </w:r>
          </w:p>
        </w:tc>
      </w:tr>
      <w:tr>
        <w:trPr>
          <w:cantSplit/>
        </w:trPr>
        <w:tc>
          <w:tcPr>
            <w:tcW w:type="dxa" w:w="212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Services A et B</w:t>
            </w:r>
          </w:p>
        </w:tc>
        <w:tc>
          <w:tcPr>
            <w:tcW w:type="dxa" w:w="15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Tous</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Deux services réels de la liste, par exemple 8001 et 8002.</w:t>
            </w:r>
          </w:p>
        </w:tc>
      </w:tr>
      <w:tr>
        <w:trPr>
          <w:cantSplit/>
        </w:trPr>
        <w:tc>
          <w:tcPr>
            <w:tcW w:type="dxa" w:w="212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Factures de test</w:t>
            </w:r>
          </w:p>
        </w:tc>
        <w:tc>
          <w:tcPr>
            <w:tcW w:type="dxa" w:w="15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UAT-15 à 18</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Trois factures PDF factices et deux photos de reçus prises au téléphone.</w:t>
            </w:r>
          </w:p>
        </w:tc>
      </w:tr>
      <w:tr>
        <w:trPr>
          <w:cantSplit/>
        </w:trPr>
        <w:tc>
          <w:tcPr>
            <w:tcW w:type="dxa" w:w="212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Fichiers invalides</w:t>
            </w:r>
          </w:p>
        </w:tc>
        <w:tc>
          <w:tcPr>
            <w:tcW w:type="dxa" w:w="15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UAT-17</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Un document .docx et une photo de plus de 5 Mo.</w:t>
            </w:r>
          </w:p>
        </w:tc>
      </w:tr>
      <w:tr>
        <w:trPr>
          <w:cantSplit/>
        </w:trPr>
        <w:tc>
          <w:tcPr>
            <w:tcW w:type="dxa" w:w="212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Budgets</w:t>
            </w:r>
          </w:p>
        </w:tc>
        <w:tc>
          <w:tcPr>
            <w:tcW w:type="dxa" w:w="15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UAT-11</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Service A : R01 2 000 000 ; R03 3 000 000 ; R06 500 000 ; R07 4 000 000 ; solde initial 1 000 000. Service B : R01 1 500 000 ; R03 2 000 000 ; R07 3 000 000 ; solde initial 500 000.</w:t>
            </w:r>
          </w:p>
        </w:tc>
      </w:tr>
      <w:tr>
        <w:trPr>
          <w:cantSplit/>
        </w:trPr>
        <w:tc>
          <w:tcPr>
            <w:tcW w:type="dxa" w:w="212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Relevé bancaire</w:t>
            </w:r>
          </w:p>
        </w:tc>
        <w:tc>
          <w:tcPr>
            <w:tcW w:type="dxa" w:w="15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UAT-35</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Fichier CSV ou Excel (date, libellé, référence, débit, crédit) reprenant les chèques émis pendant la recette et des frais bancaires.</w:t>
            </w:r>
          </w:p>
        </w:tc>
      </w:tr>
      <w:tr>
        <w:trPr>
          <w:cantSplit/>
        </w:trPr>
        <w:tc>
          <w:tcPr>
            <w:tcW w:type="dxa" w:w="212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Classeurs Excel</w:t>
            </w:r>
          </w:p>
        </w:tc>
        <w:tc>
          <w:tcPr>
            <w:tcW w:type="dxa" w:w="15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UAT-49</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Copie du classeur central IGE_FF_CENTRAL et d’un classeur de service.</w:t>
            </w:r>
          </w:p>
        </w:tc>
      </w:tr>
      <w:tr>
        <w:trPr>
          <w:cantSplit/>
        </w:trPr>
        <w:tc>
          <w:tcPr>
            <w:tcW w:type="dxa" w:w="212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Véhicules et chauffeurs</w:t>
            </w:r>
          </w:p>
        </w:tc>
        <w:tc>
          <w:tcPr>
            <w:tcW w:type="dxa" w:w="15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UAT-36</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V1 : 4x4, 7 places, 90 L, 12 L/100 km, compteur 50 000. V2 : pick-up, 2 places. C1 : permis valide. C2 : permis expiré.</w:t>
            </w:r>
          </w:p>
        </w:tc>
      </w:tr>
      <w:tr>
        <w:trPr>
          <w:cantSplit/>
        </w:trPr>
        <w:tc>
          <w:tcPr>
            <w:tcW w:type="dxa" w:w="212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Carnet de bons</w:t>
            </w:r>
          </w:p>
        </w:tc>
        <w:tc>
          <w:tcPr>
            <w:tcW w:type="dxa" w:w="15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UAT-38</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Préfixe RC-, numéros 1201 à 1220, valeur 30 000 CDF le bon.</w:t>
            </w:r>
          </w:p>
        </w:tc>
      </w:tr>
      <w:tr>
        <w:trPr>
          <w:cantSplit/>
        </w:trPr>
        <w:tc>
          <w:tcPr>
            <w:tcW w:type="dxa" w:w="212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Articles</w:t>
            </w:r>
          </w:p>
        </w:tc>
        <w:tc>
          <w:tcPr>
            <w:tcW w:type="dxa" w:w="15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UAT-40</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PAP-A4 (rame, seuil 20) et TON-85A (unité, seuil 2).</w:t>
            </w:r>
          </w:p>
        </w:tc>
      </w:tr>
    </w:tbl>
    <w:p>
      <w:pPr>
        <w:spacing w:after="100" w:before="0"/>
      </w:pPr>
    </w:p>
    <w:p>
      <w:pPr>
        <w:pStyle w:val="Heading2"/>
        <w:keepNext/>
      </w:pPr>
      <w:bookmarkStart w:name="h_2_4" w:id="9"/>
      <w:r>
        <w:rPr>
          <w:color w:val="17418A"/>
        </w:rPr>
        <w:t xml:space="preserve">2.4 </w:t>
      </w:r>
      <w:r>
        <w:t xml:space="preserve">Calendrier indicatif</w:t>
      </w:r>
      <w:bookmarkEnd w:id="9"/>
    </w:p>
    <w:p>
      <w:r>
        <w:rPr>
          <w:rFonts w:ascii="EB Garamond" w:cs="EB Garamond" w:eastAsia="EB Garamond" w:hAnsi="EB Garamond"/>
          <w:color w:val="323230"/>
          <w:sz w:val="23"/>
          <w:szCs w:val="23"/>
        </w:rPr>
        <w:t xml:space="preserve">Les phases dépendent les unes des autres et s’exécutent dans l’ordre. Une campagne complète tient en cinq demi-journées à une journée chacune, suivies d’une session de retest des corrections.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5205"/>
        <w:gridCol w:w="3180"/>
      </w:tblGrid>
      <w:tr>
        <w:trPr>
          <w:cantSplit/>
          <w:tblHeader/>
        </w:trPr>
        <w:tc>
          <w:tcPr>
            <w:tcW w:type="dxa" w:w="125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Session</w:t>
            </w:r>
          </w:p>
        </w:tc>
        <w:tc>
          <w:tcPr>
            <w:tcW w:type="dxa" w:w="5205"/>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Phases</w:t>
            </w:r>
          </w:p>
        </w:tc>
        <w:tc>
          <w:tcPr>
            <w:tcW w:type="dxa" w:w="318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Participants</w:t>
            </w:r>
          </w:p>
        </w:tc>
      </w:tr>
      <w:tr>
        <w:trPr>
          <w:cantSplit/>
        </w:trPr>
        <w:tc>
          <w:tcPr>
            <w:tcW w:type="dxa" w:w="125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Jour 1</w:t>
            </w:r>
          </w:p>
        </w:tc>
        <w:tc>
          <w:tcPr>
            <w:tcW w:type="dxa" w:w="520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P1 Préparation · P2 Accès et sécurité</w:t>
            </w:r>
          </w:p>
        </w:tc>
        <w:tc>
          <w:tcPr>
            <w:tcW w:type="dxa" w:w="318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AF, tous les testeurs pour leur première connexion</w:t>
            </w:r>
          </w:p>
        </w:tc>
      </w:tr>
      <w:tr>
        <w:trPr>
          <w:cantSplit/>
        </w:trPr>
        <w:tc>
          <w:tcPr>
            <w:tcW w:type="dxa" w:w="125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Jour 2</w:t>
            </w:r>
          </w:p>
        </w:tc>
        <w:tc>
          <w:tcPr>
            <w:tcW w:type="dxa" w:w="520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P3 Budget et fonds · P4 Saisie et contrôles</w:t>
            </w:r>
          </w:p>
        </w:tc>
        <w:tc>
          <w:tcPr>
            <w:tcW w:type="dxa" w:w="318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AF, AGA, RSA, AGB, RSB, DIR</w:t>
            </w:r>
          </w:p>
        </w:tc>
      </w:tr>
      <w:tr>
        <w:trPr>
          <w:cantSplit/>
        </w:trPr>
        <w:tc>
          <w:tcPr>
            <w:tcW w:type="dxa" w:w="125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Jour 3</w:t>
            </w:r>
          </w:p>
        </w:tc>
        <w:tc>
          <w:tcPr>
            <w:tcW w:type="dxa" w:w="520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P5 Transmission et vérification · P6 Missions · P7 Caisse</w:t>
            </w:r>
          </w:p>
        </w:tc>
        <w:tc>
          <w:tcPr>
            <w:tcW w:type="dxa" w:w="318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AF, AGA, RSA, AGB, RSB, DIR</w:t>
            </w:r>
          </w:p>
        </w:tc>
      </w:tr>
      <w:tr>
        <w:trPr>
          <w:cantSplit/>
        </w:trPr>
        <w:tc>
          <w:tcPr>
            <w:tcW w:type="dxa" w:w="125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Jour 4</w:t>
            </w:r>
          </w:p>
        </w:tc>
        <w:tc>
          <w:tcPr>
            <w:tcW w:type="dxa" w:w="520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P8 Trésorerie et banque · P9 Parc automobile · P10 Stocks</w:t>
            </w:r>
          </w:p>
        </w:tc>
        <w:tc>
          <w:tcPr>
            <w:tcW w:type="dxa" w:w="318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AF, AGA</w:t>
            </w:r>
          </w:p>
        </w:tc>
      </w:tr>
      <w:tr>
        <w:trPr>
          <w:cantSplit/>
        </w:trPr>
        <w:tc>
          <w:tcPr>
            <w:tcW w:type="dxa" w:w="125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Jour 5</w:t>
            </w:r>
          </w:p>
        </w:tc>
        <w:tc>
          <w:tcPr>
            <w:tcW w:type="dxa" w:w="520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P11 Pilotage et rapports · P12 Direction · P13 Administration · P14 Transverse et clôture</w:t>
            </w:r>
          </w:p>
        </w:tc>
        <w:tc>
          <w:tcPr>
            <w:tcW w:type="dxa" w:w="318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AF, DIR, personne sans compte, tous pour UAT-50</w:t>
            </w:r>
          </w:p>
        </w:tc>
      </w:tr>
      <w:tr>
        <w:trPr>
          <w:cantSplit/>
        </w:trPr>
        <w:tc>
          <w:tcPr>
            <w:tcW w:type="dxa" w:w="125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Retest</w:t>
            </w:r>
          </w:p>
        </w:tc>
        <w:tc>
          <w:tcPr>
            <w:tcW w:type="dxa" w:w="520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Scénarios touchés par les corrections, puis non-régression des scénarios critiques</w:t>
            </w:r>
          </w:p>
        </w:tc>
        <w:tc>
          <w:tcPr>
            <w:tcW w:type="dxa" w:w="318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Selon les anomalies</w:t>
            </w:r>
          </w:p>
        </w:tc>
      </w:tr>
    </w:tbl>
    <w:p>
      <w:pPr>
        <w:spacing w:after="100" w:before="0"/>
      </w:pPr>
    </w:p>
    <w:p>
      <w:pPr>
        <w:pStyle w:val="Heading1"/>
        <w:keepNext/>
      </w:pPr>
      <w:bookmarkStart w:name="h_3" w:id="10"/>
      <w:r>
        <w:rPr>
          <w:color w:val="0095C9"/>
        </w:rPr>
        <w:t xml:space="preserve">3 </w:t>
      </w:r>
      <w:r>
        <w:t xml:space="preserve">Démarche de test</w:t>
      </w:r>
      <w:bookmarkEnd w:id="10"/>
    </w:p>
    <w:p>
      <w:pPr>
        <w:pStyle w:val="Heading2"/>
        <w:keepNext/>
      </w:pPr>
      <w:bookmarkStart w:name="h_3_1" w:id="11"/>
      <w:r>
        <w:rPr>
          <w:color w:val="17418A"/>
        </w:rPr>
        <w:t xml:space="preserve">3.1 </w:t>
      </w:r>
      <w:r>
        <w:t xml:space="preserve">Exécuter un scénario</w:t>
      </w:r>
      <w:bookmarkEnd w:id="11"/>
    </w:p>
    <w:p>
      <w:pPr>
        <w:pStyle w:val="Etape"/>
        <w:keepNext w:val="false"/>
        <w:numPr>
          <w:ilvl w:val="0"/>
          <w:numId w:val="3"/>
        </w:numPr>
      </w:pPr>
      <w:r>
        <w:rPr>
          <w:rFonts w:ascii="EB Garamond" w:cs="EB Garamond" w:eastAsia="EB Garamond" w:hAnsi="EB Garamond"/>
          <w:color w:val="323230"/>
          <w:sz w:val="23"/>
          <w:szCs w:val="23"/>
        </w:rPr>
        <w:t xml:space="preserve">Vérifiez que les prérequis du scénario sont remplis (scénarios précédents réussis, données disponibles).</w:t>
      </w:r>
    </w:p>
    <w:p>
      <w:pPr>
        <w:pStyle w:val="Etape"/>
        <w:keepNext w:val="false"/>
        <w:numPr>
          <w:ilvl w:val="0"/>
          <w:numId w:val="3"/>
        </w:numPr>
      </w:pPr>
      <w:r>
        <w:rPr>
          <w:rFonts w:ascii="EB Garamond" w:cs="EB Garamond" w:eastAsia="EB Garamond" w:hAnsi="EB Garamond"/>
          <w:color w:val="323230"/>
          <w:sz w:val="23"/>
          <w:szCs w:val="23"/>
        </w:rPr>
        <w:t xml:space="preserve">Connectez-vous avec le compte du profil indiqué pour l’étape ; changez de compte quand le profil change (un navigateur privé ou un second navigateur facilite les changements).</w:t>
      </w:r>
    </w:p>
    <w:p>
      <w:pPr>
        <w:pStyle w:val="Etape"/>
        <w:keepNext w:val="false"/>
        <w:numPr>
          <w:ilvl w:val="0"/>
          <w:numId w:val="3"/>
        </w:numPr>
      </w:pPr>
      <w:r>
        <w:rPr>
          <w:rFonts w:ascii="EB Garamond" w:cs="EB Garamond" w:eastAsia="EB Garamond" w:hAnsi="EB Garamond"/>
          <w:color w:val="323230"/>
          <w:sz w:val="23"/>
          <w:szCs w:val="23"/>
        </w:rPr>
        <w:t xml:space="preserve">Exécutez l’action telle qu’elle est décrite, avec les valeurs indiquées.</w:t>
      </w:r>
    </w:p>
    <w:p>
      <w:pPr>
        <w:pStyle w:val="Etape"/>
        <w:keepNext w:val="false"/>
        <w:numPr>
          <w:ilvl w:val="0"/>
          <w:numId w:val="3"/>
        </w:numPr>
      </w:pPr>
      <w:r>
        <w:rPr>
          <w:rFonts w:ascii="EB Garamond" w:cs="EB Garamond" w:eastAsia="EB Garamond" w:hAnsi="EB Garamond"/>
          <w:color w:val="323230"/>
          <w:sz w:val="23"/>
          <w:szCs w:val="23"/>
        </w:rPr>
        <w:t xml:space="preserve">Comparez ce que montre l’application au résultat attendu.</w:t>
      </w:r>
    </w:p>
    <w:p>
      <w:pPr>
        <w:pStyle w:val="Etape"/>
        <w:keepNext w:val="false"/>
        <w:numPr>
          <w:ilvl w:val="0"/>
          <w:numId w:val="3"/>
        </w:numPr>
      </w:pPr>
      <w:r>
        <w:rPr>
          <w:rFonts w:ascii="EB Garamond" w:cs="EB Garamond" w:eastAsia="EB Garamond" w:hAnsi="EB Garamond"/>
          <w:color w:val="323230"/>
          <w:sz w:val="23"/>
          <w:szCs w:val="23"/>
        </w:rPr>
        <w:t xml:space="preserve">Notez le résultat de l’étape dans le classeur : </w:t>
      </w:r>
      <w:r>
        <w:rPr>
          <w:rFonts w:ascii="EB Garamond" w:cs="EB Garamond" w:eastAsia="EB Garamond" w:hAnsi="EB Garamond"/>
          <w:b/>
          <w:bCs/>
          <w:color w:val="323230"/>
          <w:sz w:val="23"/>
          <w:szCs w:val="23"/>
        </w:rPr>
        <w:t xml:space="preserve">OK</w:t>
      </w:r>
      <w:r>
        <w:rPr>
          <w:rFonts w:ascii="EB Garamond" w:cs="EB Garamond" w:eastAsia="EB Garamond" w:hAnsi="EB Garamond"/>
          <w:color w:val="323230"/>
          <w:sz w:val="23"/>
          <w:szCs w:val="23"/>
        </w:rPr>
        <w:t xml:space="preserve"> si le résultat est conforme, </w:t>
      </w:r>
      <w:r>
        <w:rPr>
          <w:rFonts w:ascii="EB Garamond" w:cs="EB Garamond" w:eastAsia="EB Garamond" w:hAnsi="EB Garamond"/>
          <w:b/>
          <w:bCs/>
          <w:color w:val="323230"/>
          <w:sz w:val="23"/>
          <w:szCs w:val="23"/>
        </w:rPr>
        <w:t xml:space="preserve">KO</w:t>
      </w:r>
      <w:r>
        <w:rPr>
          <w:rFonts w:ascii="EB Garamond" w:cs="EB Garamond" w:eastAsia="EB Garamond" w:hAnsi="EB Garamond"/>
          <w:color w:val="323230"/>
          <w:sz w:val="23"/>
          <w:szCs w:val="23"/>
        </w:rPr>
        <w:t xml:space="preserve"> s’il diffère, </w:t>
      </w:r>
      <w:r>
        <w:rPr>
          <w:rFonts w:ascii="EB Garamond" w:cs="EB Garamond" w:eastAsia="EB Garamond" w:hAnsi="EB Garamond"/>
          <w:b/>
          <w:bCs/>
          <w:color w:val="323230"/>
          <w:sz w:val="23"/>
          <w:szCs w:val="23"/>
        </w:rPr>
        <w:t xml:space="preserve">Bloqué</w:t>
      </w:r>
      <w:r>
        <w:rPr>
          <w:rFonts w:ascii="EB Garamond" w:cs="EB Garamond" w:eastAsia="EB Garamond" w:hAnsi="EB Garamond"/>
          <w:color w:val="323230"/>
          <w:sz w:val="23"/>
          <w:szCs w:val="23"/>
        </w:rPr>
        <w:t xml:space="preserve"> si l’étape ne peut pas être exécutée, </w:t>
      </w:r>
      <w:r>
        <w:rPr>
          <w:rFonts w:ascii="EB Garamond" w:cs="EB Garamond" w:eastAsia="EB Garamond" w:hAnsi="EB Garamond"/>
          <w:b/>
          <w:bCs/>
          <w:color w:val="323230"/>
          <w:sz w:val="23"/>
          <w:szCs w:val="23"/>
        </w:rPr>
        <w:t xml:space="preserve">Non testé</w:t>
      </w:r>
      <w:r>
        <w:rPr>
          <w:rFonts w:ascii="EB Garamond" w:cs="EB Garamond" w:eastAsia="EB Garamond" w:hAnsi="EB Garamond"/>
          <w:color w:val="323230"/>
          <w:sz w:val="23"/>
          <w:szCs w:val="23"/>
        </w:rPr>
        <w:t xml:space="preserve"> sinon.</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Pour un KO, prenez une capture d’écran, notez le message exact et ouvrez une fiche d’anomalie.</w:t>
      </w:r>
    </w:p>
    <w:p>
      <w:pPr>
        <w:pStyle w:val="Etape"/>
        <w:keepNext w:val="false"/>
        <w:numPr>
          <w:ilvl w:val="0"/>
          <w:numId w:val="3"/>
        </w:numPr>
      </w:pPr>
      <w:r>
        <w:rPr>
          <w:rFonts w:ascii="EB Garamond" w:cs="EB Garamond" w:eastAsia="EB Garamond" w:hAnsi="EB Garamond"/>
          <w:color w:val="323230"/>
          <w:sz w:val="23"/>
          <w:szCs w:val="23"/>
        </w:rPr>
        <w:t xml:space="preserve">Poursuivez le scénario si l’anomalie ne bloque pas les étapes suivantes ; sinon, marquez les étapes restantes « Bloqué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14D08" w:sz="24"/>
              <w:bottom w:val="none" w:color="FFFFFF" w:sz="0"/>
              <w:right w:val="none" w:color="FFFFFF" w:sz="0"/>
            </w:tcBorders>
            <w:shd w:fill="FDEEE2"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14D08"/>
                <w:sz w:val="19"/>
                <w:szCs w:val="19"/>
              </w:rPr>
              <w:t xml:space="preserve">Important</w:t>
            </w:r>
          </w:p>
          <w:p>
            <w:pPr>
              <w:spacing w:after="0"/>
            </w:pPr>
            <w:r>
              <w:rPr>
                <w:rFonts w:ascii="EB Garamond" w:cs="EB Garamond" w:eastAsia="EB Garamond" w:hAnsi="EB Garamond"/>
                <w:color w:val="323230"/>
                <w:sz w:val="21"/>
                <w:szCs w:val="21"/>
              </w:rPr>
              <w:t xml:space="preserve">Un résultat qui « ressemble » au résultat attendu n’est pas OK : vérifiez les montants, les états, les messages et les e-mails reçus. En cas de doute, notez KO avec un commentaire ; le pilote tranchera.</w:t>
            </w:r>
          </w:p>
        </w:tc>
      </w:tr>
    </w:tbl>
    <w:p>
      <w:pPr>
        <w:spacing w:after="80" w:before="0"/>
      </w:pPr>
    </w:p>
    <w:p>
      <w:pPr>
        <w:pStyle w:val="Heading2"/>
        <w:keepNext/>
      </w:pPr>
      <w:bookmarkStart w:name="h_3_2" w:id="12"/>
      <w:r>
        <w:rPr>
          <w:color w:val="17418A"/>
        </w:rPr>
        <w:t xml:space="preserve">3.2 </w:t>
      </w:r>
      <w:r>
        <w:t xml:space="preserve">Gravité des anomalies</w:t>
      </w:r>
      <w:bookmarkEnd w:id="12"/>
    </w:p>
    <w:p>
      <w:pPr>
        <w:pStyle w:val="Legende"/>
        <w:keepNext/>
        <w:spacing w:after="60" w:before="120"/>
      </w:pPr>
      <w:r>
        <w:rPr>
          <w:b/>
          <w:bCs/>
          <w:color w:val="17418A"/>
        </w:rPr>
        <w:t xml:space="preserve">Tableau 3 </w:t>
      </w:r>
      <w:r>
        <w:t xml:space="preserve">Classification des anomalies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5"/>
        <w:gridCol w:w="3091"/>
        <w:gridCol w:w="2910"/>
        <w:gridCol w:w="2182"/>
      </w:tblGrid>
      <w:tr>
        <w:trPr>
          <w:cantSplit/>
          <w:tblHeader/>
        </w:trPr>
        <w:tc>
          <w:tcPr>
            <w:tcW w:type="dxa" w:w="1455"/>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Gravité</w:t>
            </w:r>
          </w:p>
        </w:tc>
        <w:tc>
          <w:tcPr>
            <w:tcW w:type="dxa" w:w="309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Définition</w:t>
            </w:r>
          </w:p>
        </w:tc>
        <w:tc>
          <w:tcPr>
            <w:tcW w:type="dxa" w:w="291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Exemple</w:t>
            </w:r>
          </w:p>
        </w:tc>
        <w:tc>
          <w:tcPr>
            <w:tcW w:type="dxa" w:w="218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Traitement</w:t>
            </w:r>
          </w:p>
        </w:tc>
      </w:tr>
      <w:tr>
        <w:trPr>
          <w:cantSplit/>
        </w:trPr>
        <w:tc>
          <w:tcPr>
            <w:tcW w:type="dxa" w:w="145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Bloquante</w:t>
            </w:r>
          </w:p>
        </w:tc>
        <w:tc>
          <w:tcPr>
            <w:tcW w:type="dxa" w:w="30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Empêche une fonction essentielle ou fausse les comptes, sans contournement.</w:t>
            </w:r>
          </w:p>
        </w:tc>
        <w:tc>
          <w:tcPr>
            <w:tcW w:type="dxa" w:w="29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Une écriture validée n’apparaît pas dans la consolidation.</w:t>
            </w:r>
          </w:p>
        </w:tc>
        <w:tc>
          <w:tcPr>
            <w:tcW w:type="dxa" w:w="218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Correction immédiate ; recette suspendue sur la fonction</w:t>
            </w:r>
          </w:p>
        </w:tc>
      </w:tr>
      <w:tr>
        <w:trPr>
          <w:cantSplit/>
        </w:trPr>
        <w:tc>
          <w:tcPr>
            <w:tcW w:type="dxa" w:w="145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Majeure</w:t>
            </w:r>
          </w:p>
        </w:tc>
        <w:tc>
          <w:tcPr>
            <w:tcW w:type="dxa" w:w="30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Fonction importante incorrecte, avec un contournement pénible ou risqué.</w:t>
            </w:r>
          </w:p>
        </w:tc>
        <w:tc>
          <w:tcPr>
            <w:tcW w:type="dxa" w:w="291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Le contrôle du plafond des espèces ne s’applique pas aux missions.</w:t>
            </w:r>
          </w:p>
        </w:tc>
        <w:tc>
          <w:tcPr>
            <w:tcW w:type="dxa" w:w="218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Correction avant la mise en service</w:t>
            </w:r>
          </w:p>
        </w:tc>
      </w:tr>
      <w:tr>
        <w:trPr>
          <w:cantSplit/>
        </w:trPr>
        <w:tc>
          <w:tcPr>
            <w:tcW w:type="dxa" w:w="145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Mineure</w:t>
            </w:r>
          </w:p>
        </w:tc>
        <w:tc>
          <w:tcPr>
            <w:tcW w:type="dxa" w:w="30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Défaut sans impact sur les comptes ni sur la sécurité.</w:t>
            </w:r>
          </w:p>
        </w:tc>
        <w:tc>
          <w:tcPr>
            <w:tcW w:type="dxa" w:w="29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Libellé erroné, alignement, faute de frappe.</w:t>
            </w:r>
          </w:p>
        </w:tc>
        <w:tc>
          <w:tcPr>
            <w:tcW w:type="dxa" w:w="218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Correction planifiée</w:t>
            </w:r>
          </w:p>
        </w:tc>
      </w:tr>
      <w:tr>
        <w:trPr>
          <w:cantSplit/>
        </w:trPr>
        <w:tc>
          <w:tcPr>
            <w:tcW w:type="dxa" w:w="145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Évolution</w:t>
            </w:r>
          </w:p>
        </w:tc>
        <w:tc>
          <w:tcPr>
            <w:tcW w:type="dxa" w:w="30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Besoin nouveau, non prévu dans l’expression des besoins.</w:t>
            </w:r>
          </w:p>
        </w:tc>
        <w:tc>
          <w:tcPr>
            <w:tcW w:type="dxa" w:w="291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Ajouter une colonne à un export.</w:t>
            </w:r>
          </w:p>
        </w:tc>
        <w:tc>
          <w:tcPr>
            <w:tcW w:type="dxa" w:w="218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Arbitrage par le pilote et la Direction</w:t>
            </w:r>
          </w:p>
        </w:tc>
      </w:tr>
    </w:tbl>
    <w:p>
      <w:pPr>
        <w:spacing w:after="100" w:before="0"/>
      </w:pPr>
    </w:p>
    <w:p>
      <w:pPr>
        <w:pStyle w:val="Heading2"/>
        <w:keepNext/>
      </w:pPr>
      <w:bookmarkStart w:name="h_3_3" w:id="13"/>
      <w:r>
        <w:rPr>
          <w:color w:val="17418A"/>
        </w:rPr>
        <w:t xml:space="preserve">3.3 </w:t>
      </w:r>
      <w:r>
        <w:t xml:space="preserve">Cycle de vie d’une anomalie</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1</w:t>
            </w:r>
          </w:p>
          <w:p>
            <w:pPr>
              <w:spacing w:after="20" w:line="240" w:lineRule="auto"/>
              <w:jc w:val="center"/>
            </w:pPr>
            <w:r>
              <w:rPr>
                <w:rFonts w:ascii="Cooper Hewitt" w:cs="Cooper Hewitt" w:eastAsia="Cooper Hewitt" w:hAnsi="Cooper Hewitt"/>
                <w:b/>
                <w:bCs/>
                <w:color w:val="17418A"/>
                <w:sz w:val="17"/>
                <w:szCs w:val="17"/>
              </w:rPr>
              <w:t xml:space="preserve">Ouverte</w:t>
            </w:r>
          </w:p>
          <w:p>
            <w:pPr>
              <w:spacing w:after="0" w:line="230" w:lineRule="auto"/>
              <w:jc w:val="center"/>
            </w:pPr>
            <w:r>
              <w:rPr>
                <w:rFonts w:ascii="Cooper Hewitt" w:cs="Cooper Hewitt" w:eastAsia="Cooper Hewitt" w:hAnsi="Cooper Hewitt"/>
                <w:color w:val="5D6670"/>
                <w:sz w:val="14"/>
                <w:szCs w:val="14"/>
              </w:rPr>
              <w:t xml:space="preserve">par le testeur</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2</w:t>
            </w:r>
          </w:p>
          <w:p>
            <w:pPr>
              <w:spacing w:after="20" w:line="240" w:lineRule="auto"/>
              <w:jc w:val="center"/>
            </w:pPr>
            <w:r>
              <w:rPr>
                <w:rFonts w:ascii="Cooper Hewitt" w:cs="Cooper Hewitt" w:eastAsia="Cooper Hewitt" w:hAnsi="Cooper Hewitt"/>
                <w:b/>
                <w:bCs/>
                <w:color w:val="17418A"/>
                <w:sz w:val="17"/>
                <w:szCs w:val="17"/>
              </w:rPr>
              <w:t xml:space="preserve">Qualifiée</w:t>
            </w:r>
          </w:p>
          <w:p>
            <w:pPr>
              <w:spacing w:after="0" w:line="230" w:lineRule="auto"/>
              <w:jc w:val="center"/>
            </w:pPr>
            <w:r>
              <w:rPr>
                <w:rFonts w:ascii="Cooper Hewitt" w:cs="Cooper Hewitt" w:eastAsia="Cooper Hewitt" w:hAnsi="Cooper Hewitt"/>
                <w:color w:val="5D6670"/>
                <w:sz w:val="14"/>
                <w:szCs w:val="14"/>
              </w:rPr>
              <w:t xml:space="preserve">gravité, pilote</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3</w:t>
            </w:r>
          </w:p>
          <w:p>
            <w:pPr>
              <w:spacing w:after="20" w:line="240" w:lineRule="auto"/>
              <w:jc w:val="center"/>
            </w:pPr>
            <w:r>
              <w:rPr>
                <w:rFonts w:ascii="Cooper Hewitt" w:cs="Cooper Hewitt" w:eastAsia="Cooper Hewitt" w:hAnsi="Cooper Hewitt"/>
                <w:b/>
                <w:bCs/>
                <w:color w:val="17418A"/>
                <w:sz w:val="17"/>
                <w:szCs w:val="17"/>
              </w:rPr>
              <w:t xml:space="preserve">En correction</w:t>
            </w:r>
          </w:p>
          <w:p>
            <w:pPr>
              <w:spacing w:after="0" w:line="230" w:lineRule="auto"/>
              <w:jc w:val="center"/>
            </w:pPr>
            <w:r>
              <w:rPr>
                <w:rFonts w:ascii="Cooper Hewitt" w:cs="Cooper Hewitt" w:eastAsia="Cooper Hewitt" w:hAnsi="Cooper Hewitt"/>
                <w:color w:val="5D6670"/>
                <w:sz w:val="14"/>
                <w:szCs w:val="14"/>
              </w:rPr>
              <w:t xml:space="preserve">équipe technique</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4</w:t>
            </w:r>
          </w:p>
          <w:p>
            <w:pPr>
              <w:spacing w:after="20" w:line="240" w:lineRule="auto"/>
              <w:jc w:val="center"/>
            </w:pPr>
            <w:r>
              <w:rPr>
                <w:rFonts w:ascii="Cooper Hewitt" w:cs="Cooper Hewitt" w:eastAsia="Cooper Hewitt" w:hAnsi="Cooper Hewitt"/>
                <w:b/>
                <w:bCs/>
                <w:color w:val="17418A"/>
                <w:sz w:val="17"/>
                <w:szCs w:val="17"/>
              </w:rPr>
              <w:t xml:space="preserve">Corrigée</w:t>
            </w:r>
          </w:p>
          <w:p>
            <w:pPr>
              <w:spacing w:after="0" w:line="230" w:lineRule="auto"/>
              <w:jc w:val="center"/>
            </w:pPr>
            <w:r>
              <w:rPr>
                <w:rFonts w:ascii="Cooper Hewitt" w:cs="Cooper Hewitt" w:eastAsia="Cooper Hewitt" w:hAnsi="Cooper Hewitt"/>
                <w:color w:val="5D6670"/>
                <w:sz w:val="14"/>
                <w:szCs w:val="14"/>
              </w:rPr>
              <w:t xml:space="preserve">version livrée</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65B32E" w:sz="12"/>
              <w:left w:val="none" w:color="FFFFFF" w:sz="0"/>
              <w:bottom w:val="none" w:color="FFFFFF" w:sz="0"/>
              <w:right w:val="none" w:color="FFFFFF" w:sz="0"/>
            </w:tcBorders>
            <w:shd w:fill="ECF6E6"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5</w:t>
            </w:r>
          </w:p>
          <w:p>
            <w:pPr>
              <w:spacing w:after="20" w:line="240" w:lineRule="auto"/>
              <w:jc w:val="center"/>
            </w:pPr>
            <w:r>
              <w:rPr>
                <w:rFonts w:ascii="Cooper Hewitt" w:cs="Cooper Hewitt" w:eastAsia="Cooper Hewitt" w:hAnsi="Cooper Hewitt"/>
                <w:b/>
                <w:bCs/>
                <w:color w:val="17418A"/>
                <w:sz w:val="17"/>
                <w:szCs w:val="17"/>
              </w:rPr>
              <w:t xml:space="preserve">Fermée</w:t>
            </w:r>
          </w:p>
          <w:p>
            <w:pPr>
              <w:spacing w:after="0" w:line="230" w:lineRule="auto"/>
              <w:jc w:val="center"/>
            </w:pPr>
            <w:r>
              <w:rPr>
                <w:rFonts w:ascii="Cooper Hewitt" w:cs="Cooper Hewitt" w:eastAsia="Cooper Hewitt" w:hAnsi="Cooper Hewitt"/>
                <w:color w:val="5D6670"/>
                <w:sz w:val="14"/>
                <w:szCs w:val="14"/>
              </w:rPr>
              <w:t xml:space="preserve">retest OK</w:t>
            </w:r>
          </w:p>
        </w:tc>
      </w:tr>
    </w:tbl>
    <w:p>
      <w:pPr>
        <w:spacing w:after="140" w:before="0"/>
      </w:pPr>
    </w:p>
    <w:p>
      <w:r>
        <w:rPr>
          <w:rFonts w:ascii="EB Garamond" w:cs="EB Garamond" w:eastAsia="EB Garamond" w:hAnsi="EB Garamond"/>
          <w:color w:val="323230"/>
          <w:sz w:val="23"/>
          <w:szCs w:val="23"/>
        </w:rPr>
        <w:t xml:space="preserve">Une anomalie peut aussi être </w:t>
      </w:r>
      <w:r>
        <w:rPr>
          <w:rFonts w:ascii="EB Garamond" w:cs="EB Garamond" w:eastAsia="EB Garamond" w:hAnsi="EB Garamond"/>
          <w:b/>
          <w:bCs/>
          <w:color w:val="323230"/>
          <w:sz w:val="23"/>
          <w:szCs w:val="23"/>
        </w:rPr>
        <w:t xml:space="preserve">rejetée</w:t>
      </w:r>
      <w:r>
        <w:rPr>
          <w:rFonts w:ascii="EB Garamond" w:cs="EB Garamond" w:eastAsia="EB Garamond" w:hAnsi="EB Garamond"/>
          <w:color w:val="323230"/>
          <w:sz w:val="23"/>
          <w:szCs w:val="23"/>
        </w:rPr>
        <w:t xml:space="preserve"> (comportement conforme à la règle de gestion, ou doublon) avec une justification écrite, ou </w:t>
      </w:r>
      <w:r>
        <w:rPr>
          <w:rFonts w:ascii="EB Garamond" w:cs="EB Garamond" w:eastAsia="EB Garamond" w:hAnsi="EB Garamond"/>
          <w:b/>
          <w:bCs/>
          <w:color w:val="323230"/>
          <w:sz w:val="23"/>
          <w:szCs w:val="23"/>
        </w:rPr>
        <w:t xml:space="preserve">requalifiée</w:t>
      </w:r>
      <w:r>
        <w:rPr>
          <w:rFonts w:ascii="EB Garamond" w:cs="EB Garamond" w:eastAsia="EB Garamond" w:hAnsi="EB Garamond"/>
          <w:color w:val="323230"/>
          <w:sz w:val="23"/>
          <w:szCs w:val="23"/>
        </w:rPr>
        <w:t xml:space="preserve"> en évolution. Une anomalie corrigée dont le retest échoue est </w:t>
      </w:r>
      <w:r>
        <w:rPr>
          <w:rFonts w:ascii="EB Garamond" w:cs="EB Garamond" w:eastAsia="EB Garamond" w:hAnsi="EB Garamond"/>
          <w:b/>
          <w:bCs/>
          <w:color w:val="323230"/>
          <w:sz w:val="23"/>
          <w:szCs w:val="23"/>
        </w:rPr>
        <w:t xml:space="preserve">rouverte</w:t>
      </w:r>
      <w:r>
        <w:rPr>
          <w:rFonts w:ascii="EB Garamond" w:cs="EB Garamond" w:eastAsia="EB Garamond" w:hAnsi="EB Garamond"/>
          <w:color w:val="323230"/>
          <w:sz w:val="23"/>
          <w:szCs w:val="23"/>
        </w:rPr>
        <w:t xml:space="preserve">.</w:t>
      </w:r>
    </w:p>
    <w:p>
      <w:pPr>
        <w:pStyle w:val="Heading2"/>
        <w:keepNext/>
      </w:pPr>
      <w:bookmarkStart w:name="h_3_4" w:id="14"/>
      <w:r>
        <w:rPr>
          <w:color w:val="17418A"/>
        </w:rPr>
        <w:t xml:space="preserve">3.4 </w:t>
      </w:r>
      <w:r>
        <w:t xml:space="preserve">Critères d’entrée et de sortie</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Critères d’entrée (avant la campagne)</w:t>
            </w:r>
          </w:p>
        </w:tc>
        <w:tc>
          <w:tcPr>
            <w:tcW w:type="dxa" w:w="481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Critères de sortie (pour prononcer la recette)</w:t>
            </w:r>
          </w:p>
        </w:tc>
      </w:tr>
      <w:tr>
        <w:trPr>
          <w:cantSplit/>
        </w:trPr>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Site de recette installé à la version 2.2.1 et sauvegardé.</w:t>
            </w:r>
          </w:p>
          <w:p>
            <w:pPr>
              <w:spacing w:after="0" w:line="252" w:lineRule="auto"/>
            </w:pPr>
            <w:r>
              <w:rPr>
                <w:rFonts w:ascii="Cooper Hewitt" w:cs="Cooper Hewitt" w:eastAsia="Cooper Hewitt" w:hAnsi="Cooper Hewitt"/>
                <w:color w:val="323230"/>
                <w:sz w:val="18"/>
                <w:szCs w:val="18"/>
              </w:rPr>
              <w:t xml:space="preserve">Messagerie de la plateforme configurée.</w:t>
            </w:r>
          </w:p>
          <w:p>
            <w:pPr>
              <w:spacing w:after="0" w:line="252" w:lineRule="auto"/>
            </w:pPr>
            <w:r>
              <w:rPr>
                <w:rFonts w:ascii="Cooper Hewitt" w:cs="Cooper Hewitt" w:eastAsia="Cooper Hewitt" w:hAnsi="Cooper Hewitt"/>
                <w:color w:val="323230"/>
                <w:sz w:val="18"/>
                <w:szCs w:val="18"/>
              </w:rPr>
              <w:t xml:space="preserve">Testeurs désignés, disponibles et ayant lu le chapitre de leur profil dans le guide.</w:t>
            </w:r>
          </w:p>
          <w:p>
            <w:pPr>
              <w:spacing w:after="0" w:line="252" w:lineRule="auto"/>
            </w:pPr>
            <w:r>
              <w:rPr>
                <w:rFonts w:ascii="Cooper Hewitt" w:cs="Cooper Hewitt" w:eastAsia="Cooper Hewitt" w:hAnsi="Cooper Hewitt"/>
                <w:color w:val="323230"/>
                <w:sz w:val="18"/>
                <w:szCs w:val="18"/>
              </w:rPr>
              <w:t xml:space="preserve">Jeu de données préparé.</w:t>
            </w:r>
          </w:p>
          <w:p>
            <w:pPr>
              <w:spacing w:after="0" w:line="252" w:lineRule="auto"/>
            </w:pPr>
            <w:r>
              <w:rPr>
                <w:rFonts w:ascii="Cooper Hewitt" w:cs="Cooper Hewitt" w:eastAsia="Cooper Hewitt" w:hAnsi="Cooper Hewitt"/>
                <w:color w:val="323230"/>
                <w:sz w:val="18"/>
                <w:szCs w:val="18"/>
              </w:rPr>
              <w:t xml:space="preserve">Classeur de suivi prêt.</w:t>
            </w:r>
          </w:p>
        </w:tc>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Tous les scénarios exécutés.</w:t>
            </w:r>
          </w:p>
          <w:p>
            <w:pPr>
              <w:spacing w:after="0" w:line="252" w:lineRule="auto"/>
            </w:pPr>
            <w:r>
              <w:rPr>
                <w:rFonts w:ascii="Cooper Hewitt" w:cs="Cooper Hewitt" w:eastAsia="Cooper Hewitt" w:hAnsi="Cooper Hewitt"/>
                <w:color w:val="323230"/>
                <w:sz w:val="18"/>
                <w:szCs w:val="18"/>
              </w:rPr>
              <w:t xml:space="preserve">100 % des scénarios de priorité Critique (16) entièrement OK.</w:t>
            </w:r>
          </w:p>
          <w:p>
            <w:pPr>
              <w:spacing w:after="0" w:line="252" w:lineRule="auto"/>
            </w:pPr>
            <w:r>
              <w:rPr>
                <w:rFonts w:ascii="Cooper Hewitt" w:cs="Cooper Hewitt" w:eastAsia="Cooper Hewitt" w:hAnsi="Cooper Hewitt"/>
                <w:color w:val="323230"/>
                <w:sz w:val="18"/>
                <w:szCs w:val="18"/>
              </w:rPr>
              <w:t xml:space="preserve">Aucune anomalie bloquante ou majeure ouverte.</w:t>
            </w:r>
          </w:p>
          <w:p>
            <w:pPr>
              <w:spacing w:after="0" w:line="252" w:lineRule="auto"/>
            </w:pPr>
            <w:r>
              <w:rPr>
                <w:rFonts w:ascii="Cooper Hewitt" w:cs="Cooper Hewitt" w:eastAsia="Cooper Hewitt" w:hAnsi="Cooper Hewitt"/>
                <w:color w:val="323230"/>
                <w:sz w:val="18"/>
                <w:szCs w:val="18"/>
              </w:rPr>
              <w:t xml:space="preserve">Au moins 95 % des étapes OK.</w:t>
            </w:r>
          </w:p>
          <w:p>
            <w:pPr>
              <w:spacing w:after="0" w:line="252" w:lineRule="auto"/>
            </w:pPr>
            <w:r>
              <w:rPr>
                <w:rFonts w:ascii="Cooper Hewitt" w:cs="Cooper Hewitt" w:eastAsia="Cooper Hewitt" w:hAnsi="Cooper Hewitt"/>
                <w:color w:val="323230"/>
                <w:sz w:val="18"/>
                <w:szCs w:val="18"/>
              </w:rPr>
              <w:t xml:space="preserve">Anomalies mineures listées avec une date de correction.</w:t>
            </w:r>
          </w:p>
          <w:p>
            <w:pPr>
              <w:spacing w:after="0" w:line="252" w:lineRule="auto"/>
            </w:pPr>
            <w:r>
              <w:rPr>
                <w:rFonts w:ascii="Cooper Hewitt" w:cs="Cooper Hewitt" w:eastAsia="Cooper Hewitt" w:hAnsi="Cooper Hewitt"/>
                <w:color w:val="323230"/>
                <w:sz w:val="18"/>
                <w:szCs w:val="18"/>
              </w:rPr>
              <w:t xml:space="preserve">Procès-verbal signé.</w:t>
            </w:r>
          </w:p>
        </w:tc>
      </w:tr>
    </w:tbl>
    <w:p>
      <w:pPr>
        <w:spacing w:after="100" w:before="0"/>
      </w:pPr>
    </w:p>
    <w:p>
      <w:pPr>
        <w:pStyle w:val="Heading1"/>
        <w:keepNext/>
      </w:pPr>
      <w:bookmarkStart w:name="h_4" w:id="15"/>
      <w:r>
        <w:rPr>
          <w:color w:val="0095C9"/>
        </w:rPr>
        <w:t xml:space="preserve">4 </w:t>
      </w:r>
      <w:r>
        <w:t xml:space="preserve">Liste des scénarios</w:t>
      </w:r>
      <w:bookmarkEnd w:id="15"/>
    </w:p>
    <w:p>
      <w:r>
        <w:rPr>
          <w:rFonts w:ascii="EB Garamond" w:cs="EB Garamond" w:eastAsia="EB Garamond" w:hAnsi="EB Garamond"/>
          <w:color w:val="323230"/>
          <w:sz w:val="23"/>
          <w:szCs w:val="23"/>
        </w:rPr>
        <w:t xml:space="preserve">Les 51 scénarios se répartissent en 14 phases. Priorité : </w:t>
      </w:r>
      <w:r>
        <w:rPr>
          <w:rFonts w:ascii="EB Garamond" w:cs="EB Garamond" w:eastAsia="EB Garamond" w:hAnsi="EB Garamond"/>
          <w:b/>
          <w:bCs/>
          <w:color w:val="323230"/>
          <w:sz w:val="23"/>
          <w:szCs w:val="23"/>
        </w:rPr>
        <w:t xml:space="preserve">Critique</w:t>
      </w:r>
      <w:r>
        <w:rPr>
          <w:rFonts w:ascii="EB Garamond" w:cs="EB Garamond" w:eastAsia="EB Garamond" w:hAnsi="EB Garamond"/>
          <w:color w:val="323230"/>
          <w:sz w:val="23"/>
          <w:szCs w:val="23"/>
        </w:rPr>
        <w:t xml:space="preserve"> (16) — indispensable à la mise en service ; </w:t>
      </w:r>
      <w:r>
        <w:rPr>
          <w:rFonts w:ascii="EB Garamond" w:cs="EB Garamond" w:eastAsia="EB Garamond" w:hAnsi="EB Garamond"/>
          <w:b/>
          <w:bCs/>
          <w:color w:val="323230"/>
          <w:sz w:val="23"/>
          <w:szCs w:val="23"/>
        </w:rPr>
        <w:t xml:space="preserve">Haute</w:t>
      </w:r>
      <w:r>
        <w:rPr>
          <w:rFonts w:ascii="EB Garamond" w:cs="EB Garamond" w:eastAsia="EB Garamond" w:hAnsi="EB Garamond"/>
          <w:color w:val="323230"/>
          <w:sz w:val="23"/>
          <w:szCs w:val="23"/>
        </w:rPr>
        <w:t xml:space="preserve"> (22) — fonction importante ; </w:t>
      </w:r>
      <w:r>
        <w:rPr>
          <w:rFonts w:ascii="EB Garamond" w:cs="EB Garamond" w:eastAsia="EB Garamond" w:hAnsi="EB Garamond"/>
          <w:b/>
          <w:bCs/>
          <w:color w:val="323230"/>
          <w:sz w:val="23"/>
          <w:szCs w:val="23"/>
        </w:rPr>
        <w:t xml:space="preserve">Moyenne</w:t>
      </w:r>
      <w:r>
        <w:rPr>
          <w:rFonts w:ascii="EB Garamond" w:cs="EB Garamond" w:eastAsia="EB Garamond" w:hAnsi="EB Garamond"/>
          <w:color w:val="323230"/>
          <w:sz w:val="23"/>
          <w:szCs w:val="23"/>
        </w:rPr>
        <w:t xml:space="preserve"> (13) — fonction complémentaire.</w:t>
      </w:r>
    </w:p>
    <w:p>
      <w:pPr>
        <w:pStyle w:val="Legende"/>
        <w:keepNext/>
        <w:spacing w:after="60" w:before="120"/>
      </w:pPr>
      <w:r>
        <w:rPr>
          <w:b/>
          <w:bCs/>
          <w:color w:val="17418A"/>
        </w:rPr>
        <w:t xml:space="preserve">Tableau 4 </w:t>
      </w:r>
      <w:r>
        <w:t xml:space="preserve">Scénarios de recette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4433"/>
        <w:gridCol w:w="1928"/>
        <w:gridCol w:w="1157"/>
        <w:gridCol w:w="1060"/>
      </w:tblGrid>
      <w:tr>
        <w:trPr>
          <w:cantSplit/>
          <w:tblHeader/>
        </w:trPr>
        <w:tc>
          <w:tcPr>
            <w:tcW w:type="dxa" w:w="106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6"/>
                <w:szCs w:val="16"/>
              </w:rPr>
              <w:t xml:space="preserve">ID</w:t>
            </w:r>
          </w:p>
        </w:tc>
        <w:tc>
          <w:tcPr>
            <w:tcW w:type="dxa" w:w="443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6"/>
                <w:szCs w:val="16"/>
              </w:rPr>
              <w:t xml:space="preserve">Scénario</w:t>
            </w:r>
          </w:p>
        </w:tc>
        <w:tc>
          <w:tcPr>
            <w:tcW w:type="dxa" w:w="1928"/>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6"/>
                <w:szCs w:val="16"/>
              </w:rPr>
              <w:t xml:space="preserve">Profils</w:t>
            </w:r>
          </w:p>
        </w:tc>
        <w:tc>
          <w:tcPr>
            <w:tcW w:type="dxa" w:w="115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6"/>
                <w:szCs w:val="16"/>
              </w:rPr>
              <w:t xml:space="preserve">Priorité</w:t>
            </w:r>
          </w:p>
        </w:tc>
        <w:tc>
          <w:tcPr>
            <w:tcW w:type="dxa" w:w="106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6"/>
                <w:szCs w:val="16"/>
              </w:rPr>
              <w:t xml:space="preserve">Guide</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UAT-01</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Connexion d’Administration et Finance et double authentification</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3.2, 3.4</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UAT-02</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Messagerie de la plateforme</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6.13.3</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UAT-03</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Référentiels : services, rubriques, nomenclature, fournisseurs</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6.13.2</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UAT-04</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Création des comptes des testeurs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6.13.1</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UAT-05</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Règles de contrôle et barème des missions</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6.13.3, annexe B</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UAT-06</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Première connexion et choix du mot de passe</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3.3</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UAT-07</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Activation par invitation e-mail</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RSA, AF, AGB, RSB</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6.13.1</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UAT-08</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Verrouillage, inactivité et mot de passe oublié</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AGB, AGA, RSB, 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2.6, 3.7</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UAT-09</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Double authentification par e-mail pour un compte de service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RSA, 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3.4</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UAT-10</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Cloisonnement des données entre services et profils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AGB, DIR</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1.3, annexe A</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UAT-11</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Budget et solde initial du service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RSA, RSB</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5.2</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UAT-12</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Remise d’une avance de fonds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AGA</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6.3, 2.3</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UAT-13</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Demande de fonds sous le seuil de la Direction</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AGB, AF, RSB</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4.10, 5.3, 6.4</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UAT-14</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Demande de fonds au-delà du seuil : visa et refus de l’Inspecteur Général</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RSA, AF, DIR</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7.2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UAT-15</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Saisie d’une dépense sur ordinateur</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4.2</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UAT-16</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Saisie sur téléphone avec photo et nouveau fournisseur</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3.6, 4.2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UAT-17</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Contrôles bloquants à la saisie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2.5, 9.1</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UAT-18</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Détection des anomalies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2.5, 6.2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UAT-19</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Engagement puis paiement (sous le seuil de la chaîne)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4.3</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UAT-20</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Chaîne complète de la dépense (1 000 000 CDF et plus)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RSA, 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4.3, 6.2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UAT-21</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Saisie d’une dépense en dollars</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4.4, 6.7</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UAT-22</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Saisie hors connexion</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4.5</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UAT-23</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Contrepassation d’une écriture erronée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4.7</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UAT-24</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Livre de caisse : filtres et exports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4.6</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UAT-25</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Transmission d’un lot au central</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AGB, 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4.8</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UAT-26</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Vérification : valider à l’unité et en masse</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UAT-27</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Question au service et réponse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AGA</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4.9, 6.2</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UAT-28</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Rejet, correction et retransmission</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AGA</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4.9, 6.2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UAT-29</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Justification de l’avance et nouvelle avance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2.3, 6.3</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UAT-30</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Ordre de mission de bout en bout</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RSA, 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4.11, 6.5</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UAT-31</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Arrêté de caisse mensuel sans écart</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RSA, 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4.13, 5.4</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UAT-32</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Arrêté avec écart et séparation des tâches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AGB, RSB, RSA</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4.13, 5.4</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UAT-33</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Comptage inopiné</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AGB</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6.6</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UAT-34</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Plan de trésorerie</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6.7</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UAT-35</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Rapprochement bancaire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6.8</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UAT-36</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Véhicules, documents de bord et chauffeurs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6.11.1, 6.11.2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UAT-37</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Demande de véhicule, attribution, départ et retour</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AGA, 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4.12, 6.11.3</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UAT-38</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Carburant, dotations et bons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AGA</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6.11.4, 4.12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UAT-39</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Entretien, sinistre, immobilisation et coûts</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6.11.5, 6.11.6</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UAT-40</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Stocks de fournitures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6.12</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UAT-41</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Tableau de bord et alertes</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UAT-42</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Consolidation, nomenclature, risques et comparaison</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6.9</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UAT-43</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Rapports officiels et vérification d’authenticité</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PUB</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6.10, 8</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UAT-44</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Rapport hebdomadaire et notifications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6.13.5</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UAT-45</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Synthèse et consultation par la Direction</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DIR</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7.1, 7.3</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UAT-46</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Fonctions du site</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AGA</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6.13.4</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UAT-47</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Journal d’audit et intégrité</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Critique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6.13.6</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UAT-48</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Revue et désactivation des comptes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AGB</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Haute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6.13.1</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UAT-49</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Déploiement et reprise des fichiers Excel</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6.13.7</w:t>
            </w:r>
          </w:p>
        </w:tc>
      </w:tr>
      <w:tr>
        <w:trPr>
          <w:cantSplit/>
        </w:trPr>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UAT-50</w:t>
            </w:r>
          </w:p>
        </w:tc>
        <w:tc>
          <w:tcPr>
            <w:tcW w:type="dxa" w:w="443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Compatibilité des navigateurs et appareils</w:t>
            </w: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Tous</w:t>
            </w:r>
          </w:p>
        </w:tc>
        <w:tc>
          <w:tcPr>
            <w:tcW w:type="dxa" w:w="115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3.1</w:t>
            </w:r>
          </w:p>
        </w:tc>
      </w:tr>
      <w:tr>
        <w:trPr>
          <w:cantSplit/>
        </w:trPr>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UAT-51</w:t>
            </w:r>
          </w:p>
        </w:tc>
        <w:tc>
          <w:tcPr>
            <w:tcW w:type="dxa" w:w="443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Préparation de l’exercice suivant et conditions de clôture</w:t>
            </w: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AF, RSA</w:t>
            </w:r>
          </w:p>
        </w:tc>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Moyenne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6"/>
                <w:szCs w:val="16"/>
              </w:rPr>
              <w:t xml:space="preserve">6.13.3</w:t>
            </w:r>
          </w:p>
        </w:tc>
      </w:tr>
    </w:tbl>
    <w:p>
      <w:pPr>
        <w:spacing w:after="100" w:before="0"/>
      </w:pPr>
    </w:p>
    <w:p>
      <w:pPr>
        <w:pStyle w:val="Heading1"/>
        <w:keepNext/>
      </w:pPr>
      <w:bookmarkStart w:name="h_5" w:id="16"/>
      <w:r>
        <w:rPr>
          <w:color w:val="0095C9"/>
        </w:rPr>
        <w:t xml:space="preserve">5 </w:t>
      </w:r>
      <w:r>
        <w:t xml:space="preserve">Scénarios détaillés</w:t>
      </w:r>
      <w:bookmarkEnd w:id="16"/>
    </w:p>
    <w:p>
      <w:pPr>
        <w:pStyle w:val="Chapeau"/>
      </w:pPr>
      <w:r>
        <w:rPr>
          <w:rFonts w:ascii="EB Garamond" w:cs="EB Garamond" w:eastAsia="EB Garamond" w:hAnsi="EB Garamond"/>
          <w:color w:val="323230"/>
          <w:sz w:val="23"/>
          <w:szCs w:val="23"/>
        </w:rPr>
        <w:t xml:space="preserve">Chaque scénario précise son objectif, ses prérequis et ses étapes. La colonne « Résultat » se reporte dans le classeur de suivi.</w:t>
      </w:r>
    </w:p>
    <w:p>
      <w:pPr>
        <w:pStyle w:val="Heading2"/>
        <w:keepNext/>
      </w:pPr>
      <w:bookmarkStart w:name="h_5_1" w:id="17"/>
      <w:r>
        <w:rPr>
          <w:color w:val="17418A"/>
        </w:rPr>
        <w:t xml:space="preserve">5.1 </w:t>
      </w:r>
      <w:r>
        <w:t xml:space="preserve">Phase 1 — Préparation de l’environnement</w:t>
      </w:r>
      <w:bookmarkEnd w:id="17"/>
    </w:p>
    <w:p>
      <w:pPr>
        <w:pStyle w:val="Heading3"/>
        <w:keepNext/>
      </w:pPr>
      <w:bookmarkStart w:name="h_UAT_01" w:id="18"/>
      <w:r>
        <w:rPr>
          <w:color w:val="17418A"/>
        </w:rPr>
        <w:t xml:space="preserve">UAT-01 </w:t>
      </w:r>
      <w:r>
        <w:t xml:space="preserve">Connexion d’Administration et Finance et double authentification</w:t>
      </w:r>
      <w:bookmarkEnd w:id="18"/>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que le compte A&amp;F se connecte et que la double authentification est imposée.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3.2, 3.4</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Compte AF créé par l’administrateur du site, adresse e-mail valide.</w:t>
      </w:r>
    </w:p>
    <w:p>
      <w:pPr>
        <w:pStyle w:val="Liste"/>
        <w:numPr>
          <w:ilvl w:val="0"/>
          <w:numId w:val="2"/>
        </w:numPr>
      </w:pPr>
      <w:r>
        <w:rPr>
          <w:rFonts w:ascii="EB Garamond" w:cs="EB Garamond" w:eastAsia="EB Garamond" w:hAnsi="EB Garamond"/>
          <w:color w:val="323230"/>
          <w:sz w:val="23"/>
          <w:szCs w:val="23"/>
        </w:rPr>
        <w:t xml:space="preserve">Téléphone avec une application d’authentification.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l’adresse du site de recette, saisir l’identifiant et le mot de passe, cliquer sur « Se connecter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L’application demande d’activer la double authentification (obligatoire pour A&amp;F).</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Choisir « Utiliser plutôt une application d’authentification », scanner le code QR, saisir le code affiché, cliquer sur « Activer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Message « Double authentification activée » ; dix codes de secours affichés.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Imprimer ou noter les codes de secours, se déconnecter puis se reconnecter.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Après le mot de passe, l’écran du code s’affiche ; le code de l’application ouvre le tableau de bord.</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Se reconnecter en utilisant un code de secours à la place du code de l’application.</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Connexion acceptée ; le même code de secours est refusé à la connexion suivante.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02" w:id="19"/>
      <w:r>
        <w:rPr>
          <w:color w:val="17418A"/>
        </w:rPr>
        <w:t xml:space="preserve">UAT-02 </w:t>
      </w:r>
      <w:r>
        <w:t xml:space="preserve">Messagerie de la plateforme</w:t>
      </w:r>
      <w:bookmarkEnd w:id="19"/>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que les e-mails (invitations, codes, avis) partent de la boîte de la plateforme.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6.13.3</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Boîte e-mail de la plateforme créée chez l’hébergeur ; son mot de passe est saisi par A&amp;F lui-même.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Administration › Exercice et règles de contrôle › Messagerie de la plateforme ; saisir l’adresse de la boîte, son mot de passe, le serveur et le port ; cliquer sur « Enregistrer la messagerie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Message de confirmation ; le bandeau « Messagerie non configurée » disparaît.</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Envoyer un e-mail de test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L’e-mail de test arrive dans la boîte de AF (vérifier aussi les indésirables) avec le nom d’expéditeur paramétré.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le Journal d’audit.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modification de la messagerie est tracée ; le mot de passe n’y apparaît pas en clair.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03" w:id="20"/>
      <w:r>
        <w:rPr>
          <w:color w:val="17418A"/>
        </w:rPr>
        <w:t xml:space="preserve">UAT-03 </w:t>
      </w:r>
      <w:r>
        <w:t xml:space="preserve">Référentiels : services, rubriques, nomenclature, fournisseurs</w:t>
      </w:r>
      <w:bookmarkEnd w:id="20"/>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tenue des listes de référence et leur effet sur la saisie.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Services A et B choisis pour la recette (par exemple 8001 et 8002).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Dans Référentiels › Services, renseigner le libellé et l’effectif des services A et B, puis enregistrer.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modifications apparaissent dans la liste ; « Modification enregistrée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Dans l’onglet Nomenclature de l’État, ajouter la ligne </w:t>
            </w:r>
            <w:r>
              <w:rPr>
                <w:rFonts w:ascii="Cooper Hewitt" w:cs="Cooper Hewitt" w:eastAsia="Cooper Hewitt" w:hAnsi="Cooper Hewitt"/>
                <w:color w:val="323230"/>
                <w:sz w:val="17"/>
                <w:szCs w:val="17"/>
                <w:shd w:fill="F3F5F8" w:color="auto" w:val="clear"/>
              </w:rPr>
              <w:t xml:space="preserve">6.1.1</w:t>
            </w:r>
            <w:r>
              <w:rPr>
                <w:rFonts w:ascii="Cooper Hewitt" w:cs="Cooper Hewitt" w:eastAsia="Cooper Hewitt" w:hAnsi="Cooper Hewitt"/>
                <w:color w:val="323230"/>
                <w:sz w:val="17"/>
                <w:szCs w:val="17"/>
              </w:rPr>
              <w:t xml:space="preserve"> « Fournitures et petits matériels de bureau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ligne apparaît avec 0 rubrique rattachée.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Dans l’onglet Rubriques, modifier R01 : rattacher la ligne 6.1.1 et cocher les pièces exigées « Facture » et « Bon de réception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R01 affiche la ligne de nomenclature et les pièces exigées.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 rattacher R02 à une ligne de nomenclature inexistante.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Enregistrement refusé avec un message explicite.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Ajouter une rubrique de test </w:t>
            </w:r>
            <w:r>
              <w:rPr>
                <w:rFonts w:ascii="Cooper Hewitt" w:cs="Cooper Hewitt" w:eastAsia="Cooper Hewitt" w:hAnsi="Cooper Hewitt"/>
                <w:color w:val="323230"/>
                <w:sz w:val="17"/>
                <w:szCs w:val="17"/>
                <w:shd w:fill="F3F5F8" w:color="auto" w:val="clear"/>
              </w:rPr>
              <w:t xml:space="preserve">R99</w:t>
            </w:r>
            <w:r>
              <w:rPr>
                <w:rFonts w:ascii="Cooper Hewitt" w:cs="Cooper Hewitt" w:eastAsia="Cooper Hewitt" w:hAnsi="Cooper Hewitt"/>
                <w:color w:val="323230"/>
                <w:sz w:val="17"/>
                <w:szCs w:val="17"/>
              </w:rPr>
              <w:t xml:space="preserve">, puis la désactiver.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Aucun bouton de suppression ; R99 désactivée n’est plus proposée à la saisie (à vérifier en UAT-15).</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Dans Fournisseurs, créer « Papeterie Recette SARL » (NIF, RCCM, téléphone), puis tenter de le recréer avec le même NIF.</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doublon est signalé.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04" w:id="21"/>
      <w:r>
        <w:rPr>
          <w:color w:val="17418A"/>
        </w:rPr>
        <w:t xml:space="preserve">UAT-04 </w:t>
      </w:r>
      <w:r>
        <w:t xml:space="preserve">Création des comptes des testeurs</w:t>
      </w:r>
      <w:bookmarkEnd w:id="21"/>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Créer les comptes de la recette et vérifier les deux modes de remise des accès.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6.13.1</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UAT-02 réussi (messagerie).</w:t>
      </w:r>
    </w:p>
    <w:p>
      <w:pPr>
        <w:pStyle w:val="Liste"/>
        <w:numPr>
          <w:ilvl w:val="0"/>
          <w:numId w:val="2"/>
        </w:numPr>
      </w:pPr>
      <w:r>
        <w:rPr>
          <w:rFonts w:ascii="EB Garamond" w:cs="EB Garamond" w:eastAsia="EB Garamond" w:hAnsi="EB Garamond"/>
          <w:color w:val="323230"/>
          <w:sz w:val="23"/>
          <w:szCs w:val="23"/>
        </w:rPr>
        <w:t xml:space="preserve">Liste des testeurs avec leurs adresses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Comptes utilisateurs › « + Nouveau compte » : créer AGA (Agent, service A) sans cocher l’invitation ; cliquer sur « Créer le compte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 mot de passe provisoire s’affiche une seule fois ; le compte apparaît « Actif », dernière connexion « Jamais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Créer RSA (Responsable, service A), AGB (Agent, service B), RSB (Responsable, service B) avec « Inviter par e-mail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Message « Invitation envoyée » ; chaque testeur reçoit un e-mail avec un lien personnel.</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Créer DIR (Lecteur (Direction)) sans service.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Compte créé ; le champ Service est ignoré pour ce profil.</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 créer un Agent sans service, puis un compte avec un identifiant déjà utilisé.</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deux créations sont refusées avec un message clair.</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Rafraîchir la page.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mot de passe provisoire n’est plus visible nulle part.</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05" w:id="22"/>
      <w:r>
        <w:rPr>
          <w:color w:val="17418A"/>
        </w:rPr>
        <w:t xml:space="preserve">UAT-05 </w:t>
      </w:r>
      <w:r>
        <w:t xml:space="preserve">Règles de contrôle et barème des missions</w:t>
      </w:r>
      <w:bookmarkEnd w:id="22"/>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les paramètres de gestion avant les tests métier.</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6.13.3, annexe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Exercice et règles de contrôle ; comparer les valeurs affichées à l’annexe B du guide.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Valeurs conformes (plafond espèces 2 000 000, seuil de justification 80 %, chaîne 1 000 000, visa IG 5 000 000…).</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Décocher « Les services saisissent eux-mêmes leurs approvisionnements » et cliquer sur « Enregistrer les règles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Règles enregistrées ; le changement figure au journal d’audit (avant/après).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Dans « Barème des frais de mission », saisir le barème officiel et cliquer sur « Enregistrer le barème officiel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bandeau « Barème d’exemple » disparaît de l’écran Missions.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Dans « Jours fériés », vérifier la liste et ajouter un jour exceptionnel de test.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jour est enregistré ; le prochain jour férié s’affiche.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2" w:id="23"/>
      <w:r>
        <w:rPr>
          <w:color w:val="17418A"/>
        </w:rPr>
        <w:t xml:space="preserve">5.2 </w:t>
      </w:r>
      <w:r>
        <w:t xml:space="preserve">Phase 2 — Accès et sécurité</w:t>
      </w:r>
      <w:bookmarkEnd w:id="23"/>
    </w:p>
    <w:p>
      <w:pPr>
        <w:pStyle w:val="Heading3"/>
        <w:keepNext/>
      </w:pPr>
      <w:bookmarkStart w:name="h_UAT_06" w:id="24"/>
      <w:r>
        <w:rPr>
          <w:color w:val="17418A"/>
        </w:rPr>
        <w:t xml:space="preserve">UAT-06 </w:t>
      </w:r>
      <w:r>
        <w:t xml:space="preserve">Première connexion et choix du mot de passe</w:t>
      </w:r>
      <w:bookmarkEnd w:id="24"/>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remplacement obligatoire du mot de passe provisoire et les règles de complexité.</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3.3</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UAT-04 : AGA a reçu son mot de passe provisoire.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Se connecter avec l’identifiant et le mot de passe provisoire.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L’écran « Choisissez votre mot de passe » s’affiche ; aucun autre écran n’est accessible.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 mot de passe de 8 caractères, puis un mot de passe sans chiffre, puis le mot de passe provisoire.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Chaque proposition est refusée avec la règle non respectée.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 mot de passe conforme (10 caractères, majuscule, minuscule, chiffre), le confirmer, cliquer sur « Enregistrer et continuer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L’accueil du service A s’ouvre.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Se déconnecter puis tenter de se connecter avec l’ancien mot de passe provisoire.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Connexion refusée.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07" w:id="25"/>
      <w:r>
        <w:rPr>
          <w:color w:val="17418A"/>
        </w:rPr>
        <w:t xml:space="preserve">UAT-07 </w:t>
      </w:r>
      <w:r>
        <w:t xml:space="preserve">Activation par invitation e-mail</w:t>
      </w:r>
      <w:bookmarkEnd w:id="25"/>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lien d’invitation et sa durée de validité.</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6.13.1</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UAT-04 : invitations envoyées à RSA, AGB, RSB.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le lien de l’e-mail d’invitation, choisir un mot de passe conforme.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compte est activé ; l’accueil du service A s’ouvre.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Réutiliser le même lien.</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lien est refusé (déjà utilisé).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Pour AGB, cliquer sur « Renvoyer l’invitation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 nouvel e-mail est envoyé à AGB.</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 RSB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Activer leur compte par le lien reçu.</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Comptes activés ; la colonne « Dernière connexion » se met à jour chez AF.</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08" w:id="26"/>
      <w:r>
        <w:rPr>
          <w:color w:val="17418A"/>
        </w:rPr>
        <w:t xml:space="preserve">UAT-08 </w:t>
      </w:r>
      <w:r>
        <w:t xml:space="preserve">Verrouillage, inactivité et mot de passe oublié</w:t>
      </w:r>
      <w:bookmarkEnd w:id="26"/>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les protections de connexion.</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2.6, 3.7</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Comptes actifs.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5 fois un mauvais mot de passe.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Message « Compte verrouillé après plusieurs essais. Réessayez dans 15 minutes » ; même le bon mot de passe est refusé pendant ce délai.</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Après 15 minutes, se connecter avec le bon mot de passe.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Connexion acceptée.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Rester connecté sans activité au-delà du délai d’inactivité (30 minutes par défaut ; A&amp;F peut le réduire temporairement pour le test).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À la reprise, la session est fermée et la page de connexion s’affiche.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Mot de passe oublié ? », saisir son identifiant ou son e-mail.</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 e-mail de réinitialisation arrive ; le nouveau mot de passe doit respecter les règles.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Consulter le Journal d’audit, filtrer sur les actions de connexion.</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Verrouillage, déconnexion pour inactivité et changement de mot de passe sont tracés.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09" w:id="27"/>
      <w:r>
        <w:rPr>
          <w:color w:val="17418A"/>
        </w:rPr>
        <w:t xml:space="preserve">UAT-09 </w:t>
      </w:r>
      <w:r>
        <w:t xml:space="preserve">Double authentification par e-mail pour un compte de service</w:t>
      </w:r>
      <w:bookmarkEnd w:id="27"/>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l’activation facultative par e-mail et les codes de secours.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3.4</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UAT-02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Sécurité », puis « Recevoir le code d’activation » ; saisir le code reçu ; cliquer sur « Activer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Double authentification activée ; codes de secours affichés.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Se reconnecter.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 code à 6 chiffres est envoyé par e-mail ; il est valable 10 minutes.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 code expiré (attendre plus de 10 minutes) ou erroné.</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Code refusé.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Dans Comptes utilisateurs, cliquer sur « Réinit. double auth. » pour RSA.</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À sa prochaine connexion, RSA doit réactiver la double authentification.</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10" w:id="28"/>
      <w:r>
        <w:rPr>
          <w:color w:val="17418A"/>
        </w:rPr>
        <w:t xml:space="preserve">UAT-10 </w:t>
      </w:r>
      <w:r>
        <w:t xml:space="preserve">Cloisonnement des données entre services et profils</w:t>
      </w:r>
      <w:bookmarkEnd w:id="28"/>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qu’un utilisateur ne voit et ne modifie que ce que son profil autorise.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1.3, annexe A</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Au moins une écriture saisie dans chaque service (après UAT-15).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Noter l’adresse (URL) d’une écriture du service A ouverte depuis le livre de caisse.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Coller cette adresse dans le navigateur.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L’écriture du service A n’est pas affichée (message d’accès refusé ou introuvable).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directement l’adresse des écrans Vérification, Avances, Comptes utilisateurs et Paramètres.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Accès refusé pour chacun.</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DIR</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Parcourir les menus de la Direction ; tenter d’ouvrir Nouvelle écriture.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Consultation possible ; aucune saisie ni validation n’est proposée.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Vérifier les menus affichés.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Accueil, Nouvelle écriture, Livre de caisse, Budget, Demandes de fonds, Missions, Arrêté de caisse, Véhicules, Transmission.</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3" w:id="29"/>
      <w:r>
        <w:rPr>
          <w:color w:val="17418A"/>
        </w:rPr>
        <w:t xml:space="preserve">5.3 </w:t>
      </w:r>
      <w:r>
        <w:t xml:space="preserve">Phase 3 — Budget et fonds</w:t>
      </w:r>
      <w:bookmarkEnd w:id="29"/>
    </w:p>
    <w:p>
      <w:pPr>
        <w:pStyle w:val="Heading3"/>
        <w:keepNext/>
      </w:pPr>
      <w:bookmarkStart w:name="h_UAT_11" w:id="30"/>
      <w:r>
        <w:rPr>
          <w:color w:val="17418A"/>
        </w:rPr>
        <w:t xml:space="preserve">UAT-11 </w:t>
      </w:r>
      <w:r>
        <w:t xml:space="preserve">Budget et solde initial du service</w:t>
      </w:r>
      <w:bookmarkEnd w:id="30"/>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saisie du budget par le Responsable, son verrouillage et sa révision.</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5.2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Aucune écriture encore saisie dans le service A pour l’exercice.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Budget.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budget est consultable mais l’agent ne peut pas le saisir.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Budget › « Saisir le budget » : R01 = 2 000 000 ; R03 = 3 000 000 ; R06 = 500 000 ; R07 = 4 000 000 ; solde initial = 1 000 000 ; enregistrer.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Budget annuel 9 500 000 ; disponible égal au budget ; solde de caisse 1 000 000 sur l’accueil.</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Après la première écriture de UAT-15, revenir sur le budget et tenter de modifier le solde initial.</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Solde initial « Verrouillé (écritures saisies)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Réviser le budget » : R06 passe à 300 000 sans motif, puis avec le motif « Ajustement de recette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sans motif ; avec motif, la révision apparaît dans « Solde initial et révisions » (auteur, date, motif).</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le budget du service B (R01 = 1 500 000 ; R03 = 2 000 000 ; R07 = 3 000 000) et un solde initial de 500 000.</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Budget du service B enregistré.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12" w:id="31"/>
      <w:r>
        <w:rPr>
          <w:color w:val="17418A"/>
        </w:rPr>
        <w:t xml:space="preserve">UAT-12 </w:t>
      </w:r>
      <w:r>
        <w:t xml:space="preserve">Remise d’une avance de fonds</w:t>
      </w:r>
      <w:bookmarkEnd w:id="31"/>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l’approvisionnement d’une caisse par avance de fonds.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6.3, 2.3</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UAT-11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Fonds › Avances › Nouvelle avance : service A, 3 000 000 CDF, date du jour, mode Chèque, objet « Fonctionnement du mois » ; cliquer sur « Enregistrer l’avance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Avance numérotée AV-…; elle apparaît dans la liste du service A (remis 3 000 000).</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l’accueil et le livre de caisse.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Une entrée « Avance de fonds AV-… » déjà validée est inscrite ; le solde de caisse passe à 4 000 000 ; un e-mail d’avis est reçu.</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d’enregistrer soi-même une entrée de caisse.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L’option « Entrée » n’est pas proposée (approvisionnements réservés à A&amp;F).</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une deuxième avance au service A le même jour.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la dernière avance n’est justifiée qu’à 0 % ; un motif de dérogation est demandé.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Remettre une avance de 2 000 000 au service B.</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Avance enregistrée ; caisse du service B à 2 500 000.</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13" w:id="32"/>
      <w:r>
        <w:rPr>
          <w:color w:val="17418A"/>
        </w:rPr>
        <w:t xml:space="preserve">UAT-13 </w:t>
      </w:r>
      <w:r>
        <w:t xml:space="preserve">Demande de fonds sous le seuil de la Direction</w:t>
      </w:r>
      <w:bookmarkEnd w:id="32"/>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Parcourir le circuit complet d’une demande de fonds : visa, accord réduit, décaissement.</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4.10, 5.3, 6.4</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UAT-12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Demandes de fonds › Nouvelle demande : objet « Fonctionnement du mois prochain », rubriques R01 et R03, 1 800 000, date de besoin dans 10 jours, justification ; cliquer sur « Soumettre au chef de service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Demande DF-… « Visas en cours » ; RSB reçoit un e-mail.</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Demandes de fonds.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demande est dans « Chez le chef de service » ; A&amp;F ne peut pas encore l’accorder.</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Visas › Examiner › « Viser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demande passe « À mon visa » chez A&amp;F.</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 montant accordé de 1 500 000 sans avis.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un avis est obligatoire pour réduire le montant.</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1 500 000 avec l’avis « Carburant ramené à la dotation » et accorder.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demande passe « À décaisser » (montant inférieur à 5 000 000, pas de visa IG).</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Décaisser : date du jour, mode Chèque (ajouter un motif de dérogation si demandé).</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Une avance AV-… de 1 500 000 est créée dans la caisse du service B ; la demande passe « Décaissées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7</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Demandes de fonds et le livre de caisse.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Montant accordé, avis et avance visibles ; l’entrée figure au livre.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14" w:id="33"/>
      <w:r>
        <w:rPr>
          <w:color w:val="17418A"/>
        </w:rPr>
        <w:t xml:space="preserve">UAT-14 </w:t>
      </w:r>
      <w:r>
        <w:t xml:space="preserve">Demande de fonds au-delà du seuil : visa et refus de l’Inspecteur Général</w:t>
      </w:r>
      <w:bookmarkEnd w:id="33"/>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visa de la Direction au-delà de 5 000 000 CDF.</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7.2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UAT-13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Créer une demande de 6 000 000 (R03, R07) « Campagne d’inspection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Demande créée.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 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 vise ; AF accorde 6 000 000.</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demande passe « Chez l’Inspecteur Général » ; DIR reçoit un e-mail.</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DIR</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Visas › Examiner ; cliquer sur « Refuser » sans avis.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impossible sans avis.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DIR</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l’avis « Reporter au mois prochain » et « Refuser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demande passe « Refusées » ; AGA voit l’avis de l’IG.</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 RSA, AF, DIR</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Créer une deuxième demande de 5 500 000 et la faire viser par RSA, AF puis DIR.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Après le visa IG, la demande est « À décaisser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Décaisser la demande (motif de dérogation si l’application le demande).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Avance de 5 500 000 inscrite dans la caisse du service A.</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4" w:id="34"/>
      <w:r>
        <w:rPr>
          <w:color w:val="17418A"/>
        </w:rPr>
        <w:t xml:space="preserve">5.4 </w:t>
      </w:r>
      <w:r>
        <w:t xml:space="preserve">Phase 4 — Saisie et contrôles</w:t>
      </w:r>
      <w:bookmarkEnd w:id="34"/>
    </w:p>
    <w:p>
      <w:pPr>
        <w:pStyle w:val="Heading3"/>
        <w:keepNext/>
      </w:pPr>
      <w:bookmarkStart w:name="h_UAT_15" w:id="35"/>
      <w:r>
        <w:rPr>
          <w:color w:val="17418A"/>
        </w:rPr>
        <w:t xml:space="preserve">UAT-15 </w:t>
      </w:r>
      <w:r>
        <w:t xml:space="preserve">Saisie d’une dépense sur ordinateur</w:t>
      </w:r>
      <w:bookmarkEnd w:id="35"/>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saisie standard d’une sortie avec pièce justificative.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UAT-12 réussi ; une facture PDF et une photo de bon de réception disponibles.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Nouvelle écriture : date du jour (jour ouvré), 250 000, rubrique R01, description « Rames de papier A4 », fournisseur « Papeterie Recette SARL », pièce </w:t>
            </w:r>
            <w:r>
              <w:rPr>
                <w:rFonts w:ascii="Cooper Hewitt" w:cs="Cooper Hewitt" w:eastAsia="Cooper Hewitt" w:hAnsi="Cooper Hewitt"/>
                <w:color w:val="323230"/>
                <w:sz w:val="17"/>
                <w:szCs w:val="17"/>
                <w:shd w:fill="F3F5F8" w:color="auto" w:val="clear"/>
              </w:rPr>
              <w:t xml:space="preserve">FAC-REC-001</w:t>
            </w:r>
            <w:r>
              <w:rPr>
                <w:rFonts w:ascii="Cooper Hewitt" w:cs="Cooper Hewitt" w:eastAsia="Cooper Hewitt" w:hAnsi="Cooper Hewitt"/>
                <w:color w:val="323230"/>
                <w:sz w:val="17"/>
                <w:szCs w:val="17"/>
              </w:rPr>
              <w:t xml:space="preserve">, mode Espèces, statut Payée, joindre la facture PDF.</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L’encadré « Contrôles en direct » affiche la caisse après l’opération et le disponible de R01.</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Enregistrer l’écriture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Message de confirmation avec le numéro (SERVICE-2026-00000x) ; état « Non transmise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Vérifier l’accueil et le budget.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Caisse diminuée de 250 000 ; consommé R01 augmenté de 250 000.</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l’écriture depuis le livre de caisse et ajouter le bon de réception (« Ajouter une pièce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Deux pièces jointes ; l’écriture elle-même n’est pas modifiable (aucun champ éditable).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Vérifier que la rubrique désactivée R99 (UAT-03) n’est pas proposée.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R99 absente de la liste.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16" w:id="36"/>
      <w:r>
        <w:rPr>
          <w:color w:val="17418A"/>
        </w:rPr>
        <w:t xml:space="preserve">UAT-16 </w:t>
      </w:r>
      <w:r>
        <w:t xml:space="preserve">Saisie sur téléphone avec photo et nouveau fournisseur</w:t>
      </w:r>
      <w:bookmarkEnd w:id="36"/>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l’usage mobile.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3.6, 4.2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Téléphone Android ou iPhone connecté à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le site sur le téléphone, se connecter, ouvrir le menu.</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menu se replie derrière « Menu » ; l’écran ne déborde pas horizontalement.</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Nouvelle écriture : R06, 50 000, « Recharge internet », fournisseur « + Nouveau fournisseur… » (raison sociale et téléphone), pièce REC-REC-002, photographier le reçu avec l’appareil photo.</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photo est acceptée et réduite automatiquement.</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Écriture enregistrée ; le fournisseur est créé et proposé dans les saisies suivantes.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Fournisseurs.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nouveau fournisseur figure dans la liste.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17" w:id="37"/>
      <w:r>
        <w:rPr>
          <w:color w:val="17418A"/>
        </w:rPr>
        <w:t xml:space="preserve">UAT-17 </w:t>
      </w:r>
      <w:r>
        <w:t xml:space="preserve">Contrôles bloquants à la saisie</w:t>
      </w:r>
      <w:bookmarkEnd w:id="37"/>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que chaque contrôle bloquant refuse l’enregistrement avec un message clair et conserve la saisie.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2.5, 9.1</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Caisse du service A connue (noter le solde).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sortie R07 d’un montant supérieur au solde de caisse.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Caisse insuffisante… » ; les champs saisis sont conservés.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sortie R06 supérieure au disponible de R06.</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Dépassement du budget… Une révision budgétaire est nécessaire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sortie de 2 100 000 en Espèces (caisse alimentée par le décaissement de UAT-14).</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Paiement en espèces limité à 2 000 000 CDF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sortie sans numéro de pièce, puis sans fichier joint.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Deux refus successifs : numéro de pièce obligatoire ; pièce justificative obligatoire.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Joindre un fichier .docx, puis une photo de plus de 5 Mo (depuis un ordinateur).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Format refusé… » puis « La pièce dépasse 5 Mo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date dans le futur.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de la date.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7</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sortie sur une rubrique sans budget (par exemple R05).</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Budget facultatif : l’écriture passe ; si A&amp;F a rendu le budget obligatoire, refus « Aucun budget n’est défini pour cette rubrique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18" w:id="38"/>
      <w:r>
        <w:rPr>
          <w:color w:val="17418A"/>
        </w:rPr>
        <w:t xml:space="preserve">UAT-18 </w:t>
      </w:r>
      <w:r>
        <w:t xml:space="preserve">Détection des anomalies</w:t>
      </w:r>
      <w:bookmarkEnd w:id="38"/>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que les situations à risque sont signalées au vérificateur sans bloquer la saisie.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2.5, 6.2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UAT-15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de nouveau la facture FAC-REC-001 du même fournisseur (doublon).</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Enregistrement accepté.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deux achats de 1 100 000 et 1 000 000 au même bénéficiaire, en espèces, à 2 jours d’intervalle (fractionnement).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Enregistrements acceptés.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dépense datée du dernier dimanche.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Enregistrement accepté.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dépense dont le bénéficiaire est « Autre bénéficiaire » avec le nom de l’agent AGA.</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Enregistrement accepté.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dépense datée de 12 jours avant aujourd’hui (saisie tardive) ; une dépense R01 avec la seule facture (dossier incomplet).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Enregistrements acceptés.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 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 transmet (UAT-24) ; AF ouvre Vérification › « Avec anomalie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Chaque écriture porte l’anomalie attendue : doublon, fractionnement, jour non ouvré, bénéficiaire = agent, saisie tardive, dossier incomplet.</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19" w:id="39"/>
      <w:r>
        <w:rPr>
          <w:color w:val="17418A"/>
        </w:rPr>
        <w:t xml:space="preserve">UAT-19 </w:t>
      </w:r>
      <w:r>
        <w:t xml:space="preserve">Engagement puis paiement (sous le seuil de la chaîne)</w:t>
      </w:r>
      <w:bookmarkEnd w:id="39"/>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qu’un engagement réserve le budget sans toucher la caisse.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sortie R03 de 400 000 au statut « Engagée », pièce « Bon de commande BC-REC-01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Caisse inchangée ; carte « Engagements en cours » = 400 000 ; disponible R03 diminué.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l’écriture et utiliser « Payer l’engagement » (date du jour, Espèces).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Statut « Payée » ; la caisse diminue de 400 000 ; engagements en cours = 0.</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0" w:id="40"/>
      <w:r>
        <w:rPr>
          <w:color w:val="17418A"/>
        </w:rPr>
        <w:t xml:space="preserve">UAT-20 </w:t>
      </w:r>
      <w:r>
        <w:t xml:space="preserve">Chaîne complète de la dépense (1 000 000 CDF et plus)</w:t>
      </w:r>
      <w:bookmarkEnd w:id="40"/>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liquidation, ordonnancement visé et paiement.</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4.3, 6.2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Disponible R07 et caisse du service A suffisants (après décaissement de UAT-14 si besoin).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 engagement R07 de 1 200 000, pièce BC-REC-02.</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Engagement enregistré ; la frise indique « Liquidation : à faire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 Payer l’engagement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 Dépense de 1 000 000 CDF ou plus : constatez le service fait (liquidation) puis obtenez l’ordonnancement avant de payer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Renseigner « Service fait le » et « Facture reçue n° » FAC-REC-010 ; valider la liquidation.</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Étape « Ordonnancement en cours » ; RSA est prévenu.</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Visas › Examiner l’ordonnancement › « Viser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Visa chef de service enregistré ; A&amp;F est prévenu.</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le dossier de dépense par le lien de l’avis ; « Viser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Étape « Ordonnancée, à payer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Payer l’engagement (mode Chèque).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Paiement accepté ; la frise affiche les 4 étapes franchies avec leurs dates.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1" w:id="41"/>
      <w:r>
        <w:rPr>
          <w:color w:val="17418A"/>
        </w:rPr>
        <w:t xml:space="preserve">UAT-21 </w:t>
      </w:r>
      <w:r>
        <w:t xml:space="preserve">Saisie d’une dépense en dollars</w:t>
      </w:r>
      <w:bookmarkEnd w:id="41"/>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conversion au taux du jour.</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4.4, 6.7</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Module Devise USD actif.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dépense en dollars alors qu’aucun taux n’est fixé.</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Aucun taux du jour n’est fixé à cette date…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Trésorerie › Taux du jour : date du jour, 2 850 ; « Fixer le taux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taux apparaît dans la liste.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dépense de 100 USD (R01).</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Contrôle et enregistrement sur 285 000 CDF ; l’écriture mentionne « 100,00 USD × 2 850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Fonctions du site : désactiver « Devise USD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devise disparaît du formulaire de saisie et du billetage ; l’écriture déjà saisie garde sa mention. Réactiver ensuite.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2" w:id="42"/>
      <w:r>
        <w:rPr>
          <w:color w:val="17418A"/>
        </w:rPr>
        <w:t xml:space="preserve">UAT-22 </w:t>
      </w:r>
      <w:r>
        <w:t xml:space="preserve">Saisie hors connexion</w:t>
      </w:r>
      <w:bookmarkEnd w:id="42"/>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saisie sans réseau et l’envoi au retour de la connexion, sans doublon.</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4.5</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Téléphone ; application ajoutée à l’écran d’accueil ; page Nouvelle écriture ouverte une fois avec réseau.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Couper les données mobiles et le Wi-Fi ; saisir une dépense de 30 000 (R06) avec photo ; enregistrer.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L’écriture est rangée sur le téléphone ; un bandeau indique 1 écriture en attente.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deuxième écriture volontairement invalide (montant supérieur au disponible R06).</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Elle est aussi rangée en attente.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Rétablir le réseau ; ouvrir Saisie hors connexion.</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première écriture est envoyée et apparaît au livre de caisse ; la seconde reste dans la liste avec le motif du refus.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de nouveau sur « Envoyer maintenant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Aucun doublon n’est créé.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3" w:id="43"/>
      <w:r>
        <w:rPr>
          <w:color w:val="17418A"/>
        </w:rPr>
        <w:t xml:space="preserve">UAT-23 </w:t>
      </w:r>
      <w:r>
        <w:t xml:space="preserve">Contrepassation d’une écriture erronée</w:t>
      </w:r>
      <w:bookmarkEnd w:id="43"/>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qu’une erreur se corrige sans suppression et de façon tracée.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4.7</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Une écriture « Non transmise » saisie avec un montant erroné (par exemple 54 000 au lieu de 45 000).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l’écriture ; dans « Contrepasser (annuler) », cliquer sur « Contrepasser » sans motif.</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motif obligatoire.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le motif « Montant erroné » et confirmer.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Une écriture de -54 000 apparaît ; caisse et budget sont rétablis ; l’originale reste visible.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 contrepasser la contrepassation, puis l’originale une seconde fois.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Deux refus explicites.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 contrepasser l’entrée d’avance de fonds.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seule A&amp;F peut annuler une avance.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Journal d’audit.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contrepassation est tracée avec son motif et son auteur.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4" w:id="44"/>
      <w:r>
        <w:rPr>
          <w:color w:val="17418A"/>
        </w:rPr>
        <w:t xml:space="preserve">UAT-24 </w:t>
      </w:r>
      <w:r>
        <w:t xml:space="preserve">Livre de caisse : filtres et exports</w:t>
      </w:r>
      <w:bookmarkEnd w:id="44"/>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consultation et les exports du livre.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4.6</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Plusieurs écritures saisies.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Filtrer par mois, rubrique, statut et état ; cliquer sur « Filtrer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Seules les écritures correspondantes s’affichent ; le solde au début de la période est cohérent.</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Excel » puis sur « PDF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fichiers s’ouvrent ; les totaux et soldes correspondent à l’écran.</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5" w:id="45"/>
      <w:r>
        <w:rPr>
          <w:color w:val="17418A"/>
        </w:rPr>
        <w:t xml:space="preserve">5.5 </w:t>
      </w:r>
      <w:r>
        <w:t xml:space="preserve">Phase 5 — Transmission et vérification</w:t>
      </w:r>
      <w:bookmarkEnd w:id="45"/>
    </w:p>
    <w:p>
      <w:pPr>
        <w:pStyle w:val="Heading3"/>
        <w:keepNext/>
      </w:pPr>
      <w:bookmarkStart w:name="h_UAT_25" w:id="46"/>
      <w:r>
        <w:rPr>
          <w:color w:val="17418A"/>
        </w:rPr>
        <w:t xml:space="preserve">UAT-25 </w:t>
      </w:r>
      <w:r>
        <w:t xml:space="preserve">Transmission d’un lot au central</w:t>
      </w:r>
      <w:bookmarkEnd w:id="46"/>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l’envoi des écritures en vérification.</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4.8</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Écritures « Non transmise » dans les services A et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Transmission ; contrôler le récapitulatif (lignes, totaux, pièces, anomalies).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chiffres correspondent aux écritures non transmises.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Transmettre le lot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Lot TR-… créé ; les écritures passent « À vérifier » ; elles ne sont plus modifiables ni contrepassables sans suite.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Transmettre les écritures du service B.</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Lot créé.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Vérification › Lots reçus.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deux lots apparaissent avec leur nombre de lignes ; AF a reçu un avis.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6" w:id="47"/>
      <w:r>
        <w:rPr>
          <w:color w:val="17418A"/>
        </w:rPr>
        <w:t xml:space="preserve">UAT-26 </w:t>
      </w:r>
      <w:r>
        <w:t xml:space="preserve">Vérification : valider à l’unité et en masse</w:t>
      </w:r>
      <w:bookmarkEnd w:id="47"/>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l’examen et la validation des écritures.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UAT-25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l’identifiant d’une écriture sans anomalie.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panneau de détail montre les pièces (ouvrables), les pièces exigées, le disponible et l’auteur de la saisie.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Valider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État « Validée » ; l’écriture compte dans la consolidation et la justification de l’avance.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Valider les N sans anomalie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Toutes les écritures sans anomalie sont validées ; celles avec anomalie restent à vérifier.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Cocher deux écritures avec anomalie examinées et justifiées ; « Valider la sélection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deux écritures sont validées.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7" w:id="48"/>
      <w:r>
        <w:rPr>
          <w:color w:val="17418A"/>
        </w:rPr>
        <w:t xml:space="preserve">UAT-27 </w:t>
      </w:r>
      <w:r>
        <w:t xml:space="preserve">Question au service et réponse</w:t>
      </w:r>
      <w:bookmarkEnd w:id="48"/>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l’échange sans rejet.</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4.9, 6.2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Écriture « dossier incomplet » de UAT-18 à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Dans le détail, saisir « Joignez le bon de réception signé » et cliquer sur « Envoyer la question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L’écriture apparaît dans « Échanges en cours » avec « Question posée » ; AGA reçoit un e-mail.</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Accueil : bandeau « 1 question d’Administration et Finance » ; cliquer sur « Répondre » ; saisir la réponse, joindre le bon de réception (nature « Bon de réception ») ; « Répondre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Message « Réponse envoyée à Administration et Finance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Rouvrir l’écriture.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réponse et la pièce sont visibles ; le dossier passe « complet » ; AF peut valider.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8" w:id="49"/>
      <w:r>
        <w:rPr>
          <w:color w:val="17418A"/>
        </w:rPr>
        <w:t xml:space="preserve">UAT-28 </w:t>
      </w:r>
      <w:r>
        <w:t xml:space="preserve">Rejet, correction et retransmission</w:t>
      </w:r>
      <w:bookmarkEnd w:id="49"/>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cycle complet d’un rejet.</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4.9, 6.2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Écriture doublon de UAT-18 à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Sélectionner l’écriture doublon, cliquer sur « Rejeter » sans motif.</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motif obligatoire.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 Facture déjà saisie (doublon) » et rejeter.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État « Rejetée » ; le service reçoit un e-mail avec le motif.</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Transmission › Rejets à corriger › « Corriger » ; contrepasser l’écriture avec un motif.</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contrepassation est créée ; le rejet disparaît de la liste.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Transmettre.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contrepassation part dans le lot ; caisse et budget rétablis après validation.</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Valider la contrepassation.</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L’écriture rejetée n’est pas comptée dans la consolidation.</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29" w:id="50"/>
      <w:r>
        <w:rPr>
          <w:color w:val="17418A"/>
        </w:rPr>
        <w:t xml:space="preserve">UAT-29 </w:t>
      </w:r>
      <w:r>
        <w:t xml:space="preserve">Justification de l’avance et nouvelle avance</w:t>
      </w:r>
      <w:bookmarkEnd w:id="50"/>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règle de justification à 80 % et la dérogation.</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2.3, 6.3</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Dépenses validées du service A totalisant au moins 80 % de l’avance (compléter si besoin).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Avances : contrôler le taux de justification de la dernière avance du service A.</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taux correspond aux dépenses validées (règle premier entré, premier sorti).</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Si le taux est inférieur à 80 %, remettre une avance sans motif puis avec un motif de dérogation.</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sans motif ; acceptation avec motif ; la dérogation est tracée.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Lorsque le taux atteint 80 %, remettre une nouvelle avance.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Avance acceptée sans dérogation.</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Annuler une avance enregistrée par erreur, avec motif.</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Une contrepassation retire le montant de la caisse du service ; l’annulation est tracée.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6" w:id="51"/>
      <w:r>
        <w:rPr>
          <w:color w:val="17418A"/>
        </w:rPr>
        <w:t xml:space="preserve">5.6 </w:t>
      </w:r>
      <w:r>
        <w:t xml:space="preserve">Phase 6 — Missions d’inspection</w:t>
      </w:r>
      <w:bookmarkEnd w:id="51"/>
    </w:p>
    <w:p>
      <w:pPr>
        <w:pStyle w:val="Heading3"/>
        <w:keepNext/>
      </w:pPr>
      <w:bookmarkStart w:name="h_UAT_30" w:id="52"/>
      <w:r>
        <w:rPr>
          <w:color w:val="17418A"/>
        </w:rPr>
        <w:t xml:space="preserve">UAT-30 </w:t>
      </w:r>
      <w:r>
        <w:t xml:space="preserve">Ordre de mission de bout en bout</w:t>
      </w:r>
      <w:bookmarkEnd w:id="52"/>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création, visas, paiement, rapport et liquidation d’une mission.</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4.11, 6.5</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UAT-05 (barème officiel) ; budget R07 et caisse du service A suffisants.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Missions › Nouvel ordre de mission : objet, destination, zone Province, départ demain, retour dans 3 jours, 2 inspecteurs et 1 chauffeur ; « Soumettre aux visas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OM-… créé ; frais calculés selon le barème (indemnités × jours, hébergement × nuits, transport, frais divers).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Vérifier le calcul d’un membre à la main avec le barème.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Montant identique.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 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Viser l’ordre de mission (et DIR si le total dépasse 5 000 000).</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État « Approuvée, à payer » ; l’ordre de mission officiel est disponible en PDF avec code QR.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 payer la mission depuis le compte A&amp;F.</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le paiement est enregistré par le service qui organise la mission.</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Payer les frais » en Espèces pour un total supérieur à 2 000 000, puis en Chèque.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Espèces refusées (plafond) ; Chèque accepté : sortie R07 au livre avec l’OM en pièce jointe.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Après la date de retour, tenter « Liquider la mission » sans rapport.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Déposez d’abord le rapport de mission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7</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Déposer le rapport de mission et l’état de paiement émargé ; liquider avec un coût réel inférieur de 100 000 et un motif.</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Mission « Liquidée » ; une entrée de reversement de 100 000 est inscrite au livre.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7" w:id="53"/>
      <w:r>
        <w:rPr>
          <w:color w:val="17418A"/>
        </w:rPr>
        <w:t xml:space="preserve">5.7 </w:t>
      </w:r>
      <w:r>
        <w:t xml:space="preserve">Phase 7 — Caisse et arrêtés</w:t>
      </w:r>
      <w:bookmarkEnd w:id="53"/>
    </w:p>
    <w:p>
      <w:pPr>
        <w:pStyle w:val="Heading3"/>
        <w:keepNext/>
      </w:pPr>
      <w:bookmarkStart w:name="h_UAT_31" w:id="54"/>
      <w:r>
        <w:rPr>
          <w:color w:val="17418A"/>
        </w:rPr>
        <w:t xml:space="preserve">UAT-31 </w:t>
      </w:r>
      <w:r>
        <w:t xml:space="preserve">Arrêté de caisse mensuel sans écart</w:t>
      </w:r>
      <w:bookmarkEnd w:id="54"/>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comptage, la double signature et la clôture du mois.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4.13, 5.4</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Fin de mois (ou mois précédent ouvert) ; toutes les écritures du mois transmises.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Arrêté de caisse : choisir le mois ; s’il reste des écritures non transmises, lire le bandeau.</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Bandeau orange listant les écritures à transmettre avant la clôture.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le billetage correspondant exactement au solde du livre ; « Enregistrer le comptage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Écart = 0.</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 signer comme Responsable.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seul le Responsable du service signe l’arrêté.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Signer comme agent qui a compté la caisse.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 est prévenu.</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l’arrêté et signer comme Responsable.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Mois clôturé ; procès-verbal PV-… disponible en PDF avec code QR.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 saisir une dépense datée du mois clôturé.</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Ce mois est déjà clôturé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7</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Caisses.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service A apparaît « Signé le … » pour ce mois.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32" w:id="55"/>
      <w:r>
        <w:rPr>
          <w:color w:val="17418A"/>
        </w:rPr>
        <w:t xml:space="preserve">UAT-32 </w:t>
      </w:r>
      <w:r>
        <w:t xml:space="preserve">Arrêté avec écart et séparation des tâches</w:t>
      </w:r>
      <w:bookmarkEnd w:id="55"/>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l’explication obligatoire d’un écart et l’interdiction de cumuler les deux signatures.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4.13, 5.4</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Service B ; mois ouvert.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Compter la caisse du mois en déclarant 5 000 de moins que le solde du livre ; « Enregistrer le comptage » sans explication, puis signer.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Écart de -5 000 affiché ; signature refusée tant que l’écart n’est pas expliqué.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explication de l’écart, enregistrer de nouveau et signer comme agent.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Signature de l’agent acceptée ; RSB est prévenu.</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Avant la contresignature, saisir une nouvelle dépense datée du mois (mois encore ouvert).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Écriture acceptée.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Tenter de contresigner.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le solde du livre a changé depuis le comptage ; l’agent doit recompter.</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 RSB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 recompte et signe ; RSB contresigne.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Mois clôturé ; le procès-verbal mentionne l’écart et son explication ; la colonne « Écart » de l’écran Caisses chez A&amp;F le signale.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 fin de campagne, sur un mois ouvert du service A : compter la caisse soi-même, signer comme agent, puis tenter de signer comme Responsable.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le Responsable qui contresigne doit être une autre personne que celle qui a compté.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33" w:id="56"/>
      <w:r>
        <w:rPr>
          <w:color w:val="17418A"/>
        </w:rPr>
        <w:t xml:space="preserve">UAT-33 </w:t>
      </w:r>
      <w:r>
        <w:t xml:space="preserve">Comptage inopiné</w:t>
      </w:r>
      <w:bookmarkEnd w:id="56"/>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contrôle de caisse sans préavis.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6.6</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AF présent physiquement auprès de la caisse du service B avec AGB.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Caisses › « Déclencher un comptage inopiné » ; service B ; « Commencer le comptage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Formulaire de billetage avec le solde du livre.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Indiquer comme agent présent un agent d’un autre service.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le billetage, l’agent AGB, les constatations ; « Enregistrer le procès-verbal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PV CI-… créé ; AGB est prévenu.</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Contresigner le procès-verbal depuis son compte.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PV contresigné ; la colonne « Dernier comptage inopiné » est à jour.</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8" w:id="57"/>
      <w:r>
        <w:rPr>
          <w:color w:val="17418A"/>
        </w:rPr>
        <w:t xml:space="preserve">5.8 </w:t>
      </w:r>
      <w:r>
        <w:t xml:space="preserve">Phase 8 — Trésorerie et banque</w:t>
      </w:r>
      <w:bookmarkEnd w:id="57"/>
    </w:p>
    <w:p>
      <w:pPr>
        <w:pStyle w:val="Heading3"/>
        <w:keepNext/>
      </w:pPr>
      <w:bookmarkStart w:name="h_UAT_34" w:id="58"/>
      <w:r>
        <w:rPr>
          <w:color w:val="17418A"/>
        </w:rPr>
        <w:t xml:space="preserve">UAT-34 </w:t>
      </w:r>
      <w:r>
        <w:t xml:space="preserve">Plan de trésorerie</w:t>
      </w:r>
      <w:bookmarkEnd w:id="58"/>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calcul des ressources et des besoins.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6.7</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Demandes de fonds et missions en cours (phases 3 et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Trésorerie : ajouter des fonds attendus le mois prochain (« Dotation de test », 50 000 000) ; « Ajouter au plan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solde de fin du mois concerné augmente de 50 000 000.</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Contrôler les lignes « Demandes de fonds en cours » et « Missions à payer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montants correspondent aux dossiers non décaissés et non payés.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Retirer les fonds attendus de test.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plan revient à sa valeur précédente.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35" w:id="59"/>
      <w:r>
        <w:rPr>
          <w:color w:val="17418A"/>
        </w:rPr>
        <w:t xml:space="preserve">UAT-35 </w:t>
      </w:r>
      <w:r>
        <w:t xml:space="preserve">Rapprochement bancaire</w:t>
      </w:r>
      <w:bookmarkEnd w:id="59"/>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l’import d’un relevé, le rapprochement automatique et l’explication des suspens.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6.8</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Relevé bancaire réel ou de test en CSV/Excel couvrant des chèques émis pendant la recette.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Déclarer le compte bancaire principal (banque, intitulé, numéro, solde de départ).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numéro est affiché masqué (4 derniers chiffres).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Importer le relevé avec son solde final ; « Importer et rapprocher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opérations de même montant et de date proche sont rapprochées.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Importer une seconde fois le même relevé.</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Aucune ligne n’est ajoutée deux fois.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les frais bancaires du relevé comme « Mouvement bancaire » ; expliquer un chèque non encaissé.</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L’écart inexpliqué devient nul.</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État de rapprochement (PDF)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PDF reprend soldes, suspens et explications.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9" w:id="60"/>
      <w:r>
        <w:rPr>
          <w:color w:val="17418A"/>
        </w:rPr>
        <w:t xml:space="preserve">5.9 </w:t>
      </w:r>
      <w:r>
        <w:t xml:space="preserve">Phase 9 — Parc automobile</w:t>
      </w:r>
      <w:bookmarkEnd w:id="60"/>
    </w:p>
    <w:p>
      <w:pPr>
        <w:pStyle w:val="Heading3"/>
        <w:keepNext/>
      </w:pPr>
      <w:bookmarkStart w:name="h_UAT_36" w:id="61"/>
      <w:r>
        <w:rPr>
          <w:color w:val="17418A"/>
        </w:rPr>
        <w:t xml:space="preserve">UAT-36 </w:t>
      </w:r>
      <w:r>
        <w:t xml:space="preserve">Véhicules, documents de bord et chauffeurs</w:t>
      </w:r>
      <w:bookmarkEnd w:id="61"/>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l’inventaire du parc et les contrôles de conformité.</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6.11.1, 6.11.2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Ajouter le véhicule V1 (4x4, 7 places, réservoir 90 L, référence 12 L/100, compteur 50 000, affecté au service A) et V2 (pick-up, 2 places, pool central).</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deux véhicules sont listés.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Ajouter un véhicule avec une immatriculation déjà utilisée.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Un véhicule porte déjà cette immatriculation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Fiche V1 : enregistrer assurance, contrôle technique et vignette valides, avec pièce. Fiche V2 : assurance expirée.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V1 « À jour » ; V2 « À renouveler » et signalé dans « À suivre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Chauffeurs : ajouter C1 (permis valide) et C2 (permis expiré).</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C2 est signalé ; l’échéance d’un permis à moins de 30 jours est aussi signalée.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37" w:id="62"/>
      <w:r>
        <w:rPr>
          <w:color w:val="17418A"/>
        </w:rPr>
        <w:t xml:space="preserve">UAT-37 </w:t>
      </w:r>
      <w:r>
        <w:t xml:space="preserve">Demande de véhicule, attribution, départ et retour</w:t>
      </w:r>
      <w:bookmarkEnd w:id="62"/>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circuit des déplacements et les contrôles d’attribution.</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4.12, 6.11.3</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UAT-36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Véhicules › Demander un véhicule : demain 8 h–17 h, 4 passagers ; « Demander un véhicule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Demande OR-… « Demande à traiter » ; A&amp;F prévenu.</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Attribuer V2 (2 places, assurance expirée) puis V1 avec C2.</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pour capacité/assurance puis pour permis expiré.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Attribuer V1 avec C1.</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Véhicule attribué » ; AGA reçoit un e-mail.</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Créer un autre ordre de route sur V1 à la même période.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 véhicule déjà retenu.</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le déplacement ; départ avec un compteur inférieur au dernier relevé, puis 50 120.</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puis « Départ enregistré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Retour avec 50 100, puis 50 265 et l’observation « Rétroviseur cassé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puis « Retour enregistré » : 145 km ; A&amp;F reçoit l’observation.</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38" w:id="63"/>
      <w:r>
        <w:rPr>
          <w:color w:val="17418A"/>
        </w:rPr>
        <w:t xml:space="preserve">UAT-38 </w:t>
      </w:r>
      <w:r>
        <w:t xml:space="preserve">Carburant, dotations et bons</w:t>
      </w:r>
      <w:bookmarkEnd w:id="63"/>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contrôle du carburant de bout en bout.</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6.11.4, 4.12</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UAT-37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Dotations et bons : dotation V1 = 150 litres par mois ; dotation service A = 2 000 000 CDF.</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Dotations listées avec 0 % utilisé.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Recevoir un carnet : préfixe </w:t>
            </w:r>
            <w:r>
              <w:rPr>
                <w:rFonts w:ascii="Cooper Hewitt" w:cs="Cooper Hewitt" w:eastAsia="Cooper Hewitt" w:hAnsi="Cooper Hewitt"/>
                <w:color w:val="323230"/>
                <w:sz w:val="17"/>
                <w:szCs w:val="17"/>
                <w:shd w:fill="F3F5F8" w:color="auto" w:val="clear"/>
              </w:rPr>
              <w:t xml:space="preserve">RC-</w:t>
            </w:r>
            <w:r>
              <w:rPr>
                <w:rFonts w:ascii="Cooper Hewitt" w:cs="Cooper Hewitt" w:eastAsia="Cooper Hewitt" w:hAnsi="Cooper Hewitt"/>
                <w:color w:val="323230"/>
                <w:sz w:val="17"/>
                <w:szCs w:val="17"/>
              </w:rPr>
              <w:t xml:space="preserve">, du 1201 au 1220, valeur 30 000 CDF, station de test.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Carnet enregistré » ; 20 bons « En réserve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Remettre les bons « RC-1201 à RC-1210 » à V1 et C1.</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10 bons remis (la plage écrite avec « à » est comprise).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un plein V1 : 20 L, 60 000, compteur 50 300, bons RC-1201, RC-1202, plein complet.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Plein « Normal » ; les deux bons passent « Utilisé ».</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un plein avec le bon RC-1201 déjà utilisé, puis avec RC-1215 (non remis).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ou anomalie : bon déjà utilisé ; bon non remis au véhicule.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des pleins jusqu’à dépasser 150 L dans le mois.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Alerte à 80 % ; au-delà, refus pour l’agent.</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7</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le plein dépassant la dotation avec une dérogation de moins de 10 caractères, puis motivée.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puis acceptation ; la dérogation est tracée.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8</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Annuler le bon RC-1220 (motif « perdu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Bon « Annulé » ; il est refusé à l’usage.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9</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Carburant › filtre « Anomalies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pleins signalés (consommation excessive, bons non conformes) apparaissent.</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39" w:id="64"/>
      <w:r>
        <w:rPr>
          <w:color w:val="17418A"/>
        </w:rPr>
        <w:t xml:space="preserve">UAT-39 </w:t>
      </w:r>
      <w:r>
        <w:t xml:space="preserve">Entretien, sinistre, immobilisation et coûts</w:t>
      </w:r>
      <w:bookmarkEnd w:id="64"/>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 suivi technique et le calcul des coûts.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6.11.5, 6.11.6</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UAT-38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Fiche V1 : planifier une vidange (date prévue dans 7 jours).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L’intervention apparaît « Planifié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Clore la vidange (date du jour, 250 000, prochaine échéance 55 000 km).</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Réalisé » ; le coût d’entretien de V1 augmente de 250 000.</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un sinistre avec une description de 5 mots, puis complète.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 puis acceptation.</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Passer V2 « Immobilisé » avec motif ; tenter de l’attribuer.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Attribution refusée tant que le véhicule est immobilisé.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Onglet Coûts ; bouton « Excel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Carburant, entretien, sinistres et documents par véhicule ; coût/km calculé ; l’export contient les feuilles Véhicules et coûts, Carburant, Carnet de bord, Entretien, Dotations, Bons.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10" w:id="65"/>
      <w:r>
        <w:rPr>
          <w:color w:val="17418A"/>
        </w:rPr>
        <w:t xml:space="preserve">5.10 </w:t>
      </w:r>
      <w:r>
        <w:t xml:space="preserve">Phase 10 — Stocks de fournitures</w:t>
      </w:r>
      <w:bookmarkEnd w:id="65"/>
    </w:p>
    <w:p>
      <w:pPr>
        <w:pStyle w:val="Heading3"/>
        <w:keepNext/>
      </w:pPr>
      <w:bookmarkStart w:name="h_UAT_40" w:id="66"/>
      <w:r>
        <w:rPr>
          <w:color w:val="17418A"/>
        </w:rPr>
        <w:t xml:space="preserve">UAT-40 </w:t>
      </w:r>
      <w:r>
        <w:t xml:space="preserve">Stocks de fournitures</w:t>
      </w:r>
      <w:bookmarkEnd w:id="66"/>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entrées, sorties, coût moyen pondéré et inventaire.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Articles : créer PAP-A4 (rame, seuil 20) et TON-85A (unité, seuil 2) ; tenter de recréer PAP-A4.</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Articles créés ; doublon refusé.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Entrée : 50 PAP-A4 à 10 000 et 5 TON-85A à 95 000 ; puis 50 PAP-A4 à 12 000.</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Stock PAP-A4 = 100 ; coût moyen = 11 000 ; valeur du stock cohérente.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Sortie vers le service A : 30 PAP-A4 et 9 TON-85A.</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Bon entier refusé (stock de toner insuffisant) ; aucun article n’est sorti.</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Sortie vers le service A : 30 PAP-A4 et 4 TON-85A.</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Sortie acceptée ; TON-85A passe « À commander » (sous le seuil).</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Inventaire : saisir 68 PAP-A4 comptés et un motif ; « Valider l’inventaire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Ajustement de -2 ; mouvement d’inventaire visible.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Consommation par bureau ; « Excel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service A figure avec la valeur consommée ; l’export est conforme.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11" w:id="67"/>
      <w:r>
        <w:rPr>
          <w:color w:val="17418A"/>
        </w:rPr>
        <w:t xml:space="preserve">5.11 </w:t>
      </w:r>
      <w:r>
        <w:t xml:space="preserve">Phase 11 — Pilotage et rapports</w:t>
      </w:r>
      <w:bookmarkEnd w:id="67"/>
    </w:p>
    <w:p>
      <w:pPr>
        <w:pStyle w:val="Heading3"/>
        <w:keepNext/>
      </w:pPr>
      <w:bookmarkStart w:name="h_UAT_41" w:id="68"/>
      <w:r>
        <w:rPr>
          <w:color w:val="17418A"/>
        </w:rPr>
        <w:t xml:space="preserve">UAT-41 </w:t>
      </w:r>
      <w:r>
        <w:t xml:space="preserve">Tableau de bord et alertes</w:t>
      </w:r>
      <w:bookmarkEnd w:id="68"/>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cohérence des indicateurs avec les opérations de la recette.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Phases 3 à 10 exécutées.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Comparer « Budget consommé », « Solde de caisse consolidé » et « Avances à justifier » avec les totaux des services A et B.</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Chiffres identiques (seules les écritures validées sont prises en compte).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Lire les alertes prioritaires et cliquer sur chaque lien « Voir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Chaque alerte mène à l’écran concerné (transmission en retard, anomalies, parc, stocks).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Exporter (Excel) » et « PDF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Fichiers conformes à l’écran.</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42" w:id="69"/>
      <w:r>
        <w:rPr>
          <w:color w:val="17418A"/>
        </w:rPr>
        <w:t xml:space="preserve">UAT-42 </w:t>
      </w:r>
      <w:r>
        <w:t xml:space="preserve">Consolidation, nomenclature, risques et comparaison</w:t>
      </w:r>
      <w:bookmarkEnd w:id="69"/>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les états d’analyse.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6.9</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UAT-03 et UAT-41.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Consolidation : parcourir les vues par service, catégorie, rubrique, mois et ligne de la nomenclature.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totaux sont identiques d’une vue à l’autre ; la ligne 6.1.1 regroupe R01.</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Exporter en Excel et en PDF.</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Exports conformes.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Risques : vérifier le score du service A (rejet, anomalies, arrêté) et le détail des facteurs.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score reflète les événements de la recette ; la méthode de calcul est affichée.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Comparaison des services : contrôler la dépense par agent avec les effectifs saisis en UAT-03.</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Calcul exact.</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43" w:id="70"/>
      <w:r>
        <w:rPr>
          <w:color w:val="17418A"/>
        </w:rPr>
        <w:t xml:space="preserve">UAT-43 </w:t>
      </w:r>
      <w:r>
        <w:t xml:space="preserve">Rapports officiels et vérification d’authenticité</w:t>
      </w:r>
      <w:bookmarkEnd w:id="70"/>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l’émission des documents officiels et leur contrôle par code QR.</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6.10, 8</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Écritures validées sur le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Rapports : émettre la situation mensuelle d’exécution du mois, l’état consolidé et l’état des avances non justifiées.</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Chaque document reçoit une référence IGE-… ; il figure au registre « Documents émis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le PDF de la situation mensuelle ; comparer aux chiffres de la consolidation.</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Chiffres identiques ; armoiries, référence, signataire et code QR présents.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PUB</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Sans être connecté, scanner le code QR avec un téléphone.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Page « Document authentique » : type, date, émetteur ; aucun montant affiché.</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PUB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référence inventée dans « Vérifier un document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Document signalé comme inconnu.</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Revenir au registre.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nombre de vérifications QR du document a augmenté ; le registre n’est pas modifiable.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44" w:id="71"/>
      <w:r>
        <w:rPr>
          <w:color w:val="17418A"/>
        </w:rPr>
        <w:t xml:space="preserve">UAT-44 </w:t>
      </w:r>
      <w:r>
        <w:t xml:space="preserve">Rapport hebdomadaire et notifications</w:t>
      </w:r>
      <w:bookmarkEnd w:id="71"/>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les e-mails automatiques.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6.13.5</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UAT-02 réussi.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Notifications : activer le rapport, choisir jour et heure, ajouter une adresse en copie ; « Enregistrer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L’aperçu du rapport affiche écritures à vérifier, alertes et fonds à décaisser.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M’envoyer le rapport maintenant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L’e-mail reçu correspond à l’aperçu ; les liens ouvrent les bons écrans.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Indiquer une adresse en copie invalide.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12" w:id="72"/>
      <w:r>
        <w:rPr>
          <w:color w:val="17418A"/>
        </w:rPr>
        <w:t xml:space="preserve">5.12 </w:t>
      </w:r>
      <w:r>
        <w:t xml:space="preserve">Phase 12 — Direction</w:t>
      </w:r>
      <w:bookmarkEnd w:id="72"/>
    </w:p>
    <w:p>
      <w:pPr>
        <w:pStyle w:val="Heading3"/>
        <w:keepNext/>
      </w:pPr>
      <w:bookmarkStart w:name="h_UAT_45" w:id="73"/>
      <w:r>
        <w:rPr>
          <w:color w:val="17418A"/>
        </w:rPr>
        <w:t xml:space="preserve">UAT-45 </w:t>
      </w:r>
      <w:r>
        <w:t xml:space="preserve">Synthèse et consultation par la Direction</w:t>
      </w:r>
      <w:bookmarkEnd w:id="73"/>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vue de l’Inspecteur Général, sur ordinateur et téléphone.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7.1, 7.3</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Phases précédentes exécutées.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DIR</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la Synthèse sur téléphone puis sur ordinateur.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Budget consommé, caisse consolidée, avances à justifier, points d’attention et derniers rapports, lisibles sur les deux.</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DIR</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Consolidation, Rapports, Risques et Parc automobile.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Données identiques à celles d’A&amp;F ; aucune action de gestion proposée.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DIR</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Ouvrir un rapport officiel émis en UAT-43.</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PDF s’ouvre.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13" w:id="74"/>
      <w:r>
        <w:rPr>
          <w:color w:val="17418A"/>
        </w:rPr>
        <w:t xml:space="preserve">5.13 </w:t>
      </w:r>
      <w:r>
        <w:t xml:space="preserve">Phase 13 — Administration et traçabilité</w:t>
      </w:r>
      <w:bookmarkEnd w:id="74"/>
    </w:p>
    <w:p>
      <w:pPr>
        <w:pStyle w:val="Heading3"/>
        <w:keepNext/>
      </w:pPr>
      <w:bookmarkStart w:name="h_UAT_46" w:id="75"/>
      <w:r>
        <w:rPr>
          <w:color w:val="17418A"/>
        </w:rPr>
        <w:t xml:space="preserve">UAT-46 </w:t>
      </w:r>
      <w:r>
        <w:t xml:space="preserve">Fonctions du site</w:t>
      </w:r>
      <w:bookmarkEnd w:id="75"/>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l’activation et la désactivation des modules sans perte de données.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6.13.4</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Parc automobile utilisé (phase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Fonctions du site : décocher « Parc automobile » ; « Enregistrer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menu Parc automobile disparaît pour A&amp;F et la Direction, Véhicules pour les services ; les alertes du parc disparaissent du tableau de bord.</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AGA</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directement l’adresse de la page Véhicules.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Message indiquant que la fonction est désactivée.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Recocher le module et enregistrer.</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Menus et données du parc réapparaissent intacts.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Journal d’audit.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deux changements sont tracés.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47" w:id="76"/>
      <w:r>
        <w:rPr>
          <w:color w:val="17418A"/>
        </w:rPr>
        <w:t xml:space="preserve">UAT-47 </w:t>
      </w:r>
      <w:r>
        <w:t xml:space="preserve">Journal d’audit et intégrité</w:t>
      </w:r>
      <w:bookmarkEnd w:id="76"/>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traçabilité complète et infalsifiable.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Critique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6.13.6</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Phases précédentes exécutées.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Filtrer le journal sur la période de recette, l’utilisateur AGA, puis l’action « Saisie d’écriture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Toutes les saisies de AGA apparaissent avec date, heure, valeurs et adresse IP.</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Contrôler la présence des actions sensibles : avances, validations, rejets, contrepassations, changements de règles, émissions de documents.</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Chaque action est présente avec l’avant/après.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Vérifier l’intégrité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chaîne d’empreintes est déclarée intègre.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Exporter (Excel)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Export complet et lisible.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48" w:id="77"/>
      <w:r>
        <w:rPr>
          <w:color w:val="17418A"/>
        </w:rPr>
        <w:t xml:space="preserve">UAT-48 </w:t>
      </w:r>
      <w:r>
        <w:t xml:space="preserve">Revue et désactivation des comptes</w:t>
      </w:r>
      <w:bookmarkEnd w:id="77"/>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gestion du cycle de vie des comptes.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Haute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6.13.1</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AGB connecté sur un autre appareil.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Désactiver le compte AGB.</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Message « Compte désactivé » ; ses sessions ouvertes sont fermées.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AGB</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Rafraîchir la page, puis tenter de se reconnecter.</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Session fermée ; connexion refusée.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Réactiver AGB ; « Réinitialiser » son mot de passe.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 nouveau mot de passe provisoire est affiché ; AGB doit le changer à la connexion.</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Cliquer sur « Confirmer la revue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Revue enregistrée ; prochaine revue dans trois mois.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49" w:id="78"/>
      <w:r>
        <w:rPr>
          <w:color w:val="17418A"/>
        </w:rPr>
        <w:t xml:space="preserve">UAT-49 </w:t>
      </w:r>
      <w:r>
        <w:t xml:space="preserve">Déploiement et reprise des fichiers Excel</w:t>
      </w:r>
      <w:bookmarkEnd w:id="78"/>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 reprise des données historiques d’un service.</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6.13.7</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Classeur central IGE_FF_CENTRAL et classeur d’un service de test (copie, jamais l’original).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Déploiement : « Charger le classeur central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Classeur central chargé ».</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Charger le classeur du service de test ; « Analyser le fichier ».</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erreurs et avertissements sont listés avec leurs lignes ; rien n’est encore importé.</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Corriger le fichier si nécessaire, analyser de nouveau ; « Importer dans l’application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Solde initial, budget et écritures repris ; le solde de caisse après reprise est égal à celui du classeur.</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Contrôler le livre de caisse du service.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écritures reprises sont identifiées comme telles.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2"/>
        <w:keepNext/>
      </w:pPr>
      <w:bookmarkStart w:name="h_5_14" w:id="79"/>
      <w:r>
        <w:rPr>
          <w:color w:val="17418A"/>
        </w:rPr>
        <w:t xml:space="preserve">5.14 </w:t>
      </w:r>
      <w:r>
        <w:t xml:space="preserve">Phase 14 — Transverse et clôture</w:t>
      </w:r>
      <w:bookmarkEnd w:id="79"/>
    </w:p>
    <w:p>
      <w:pPr>
        <w:pStyle w:val="Heading3"/>
        <w:keepNext/>
      </w:pPr>
      <w:bookmarkStart w:name="h_UAT_50" w:id="80"/>
      <w:r>
        <w:rPr>
          <w:color w:val="17418A"/>
        </w:rPr>
        <w:t xml:space="preserve">UAT-50 </w:t>
      </w:r>
      <w:r>
        <w:t xml:space="preserve">Compatibilité des navigateurs et appareils</w:t>
      </w:r>
      <w:bookmarkEnd w:id="80"/>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l’affichage et le fonctionnement sur les équipements des utilisateurs.</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Tous</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Rejouer UAT-15 (saisie) et UAT-25 (transmission) sur Chrome, Edge, Firefox et Safari (iPhone).</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Même résultat sur chaque navigateur ; aucune zone tronquée.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Tous</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Rejouer l’accueil et la saisie sur un téléphone d’entrée de gamme avec une connexion lente.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Pages utilisables ; temps d’affichage acceptable (à chronométrer et noter).</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Tous</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Imprimer un rapport officiel et un procès-verbal.</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Impression lisible sur A4, code QR lisible.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3"/>
        <w:keepNext/>
      </w:pPr>
      <w:bookmarkStart w:name="h_UAT_51" w:id="81"/>
      <w:r>
        <w:rPr>
          <w:color w:val="17418A"/>
        </w:rPr>
        <w:t xml:space="preserve">UAT-51 </w:t>
      </w:r>
      <w:r>
        <w:t xml:space="preserve">Préparation de l’exercice suivant et conditions de clôture</w:t>
      </w:r>
      <w:bookmarkEnd w:id="81"/>
    </w:p>
    <w:p>
      <w:pPr>
        <w:keepNext/>
      </w:pPr>
      <w:r>
        <w:rPr>
          <w:rFonts w:ascii="EB Garamond" w:cs="EB Garamond" w:eastAsia="EB Garamond" w:hAnsi="EB Garamond"/>
          <w:b/>
          <w:bCs/>
          <w:color w:val="323230"/>
          <w:sz w:val="23"/>
          <w:szCs w:val="23"/>
        </w:rPr>
        <w:t xml:space="preserve">Objectif.</w:t>
      </w:r>
      <w:r>
        <w:rPr>
          <w:rFonts w:ascii="EB Garamond" w:cs="EB Garamond" w:eastAsia="EB Garamond" w:hAnsi="EB Garamond"/>
          <w:color w:val="323230"/>
          <w:sz w:val="23"/>
          <w:szCs w:val="23"/>
        </w:rPr>
        <w:t xml:space="preserve"> Vérifier les contrôles de clôture d’exercice, sans clôturer l’exercice réel.</w:t>
      </w:r>
    </w:p>
    <w:p>
      <w:pPr>
        <w:keepNext/>
      </w:pPr>
      <w:r>
        <w:rPr>
          <w:rFonts w:ascii="EB Garamond" w:cs="EB Garamond" w:eastAsia="EB Garamond" w:hAnsi="EB Garamond"/>
          <w:b/>
          <w:bCs/>
          <w:color w:val="323230"/>
          <w:sz w:val="23"/>
          <w:szCs w:val="23"/>
        </w:rPr>
        <w:t xml:space="preserve">Priorité :</w:t>
      </w:r>
      <w:r>
        <w:rPr>
          <w:rFonts w:ascii="EB Garamond" w:cs="EB Garamond" w:eastAsia="EB Garamond" w:hAnsi="EB Garamond"/>
          <w:color w:val="323230"/>
          <w:sz w:val="23"/>
          <w:szCs w:val="23"/>
        </w:rPr>
        <w:t xml:space="preserve"> Moyenne · </w:t>
      </w:r>
      <w:r>
        <w:rPr>
          <w:rFonts w:ascii="EB Garamond" w:cs="EB Garamond" w:eastAsia="EB Garamond" w:hAnsi="EB Garamond"/>
          <w:b/>
          <w:bCs/>
          <w:color w:val="323230"/>
          <w:sz w:val="23"/>
          <w:szCs w:val="23"/>
        </w:rPr>
        <w:t xml:space="preserve">Référence du guide :</w:t>
      </w:r>
      <w:r>
        <w:rPr>
          <w:rFonts w:ascii="EB Garamond" w:cs="EB Garamond" w:eastAsia="EB Garamond" w:hAnsi="EB Garamond"/>
          <w:color w:val="323230"/>
          <w:sz w:val="23"/>
          <w:szCs w:val="23"/>
        </w:rPr>
        <w:t xml:space="preserve"> 6.13.3</w:t>
      </w:r>
    </w:p>
    <w:p>
      <w:pPr>
        <w:keepNext/>
        <w:spacing w:after="40"/>
      </w:pPr>
      <w:r>
        <w:rPr>
          <w:rFonts w:ascii="EB Garamond" w:cs="EB Garamond" w:eastAsia="EB Garamond" w:hAnsi="EB Garamond"/>
          <w:b/>
          <w:bCs/>
          <w:color w:val="323230"/>
          <w:sz w:val="23"/>
          <w:szCs w:val="23"/>
        </w:rPr>
        <w:t xml:space="preserve">Prérequis :</w:t>
      </w:r>
    </w:p>
    <w:p>
      <w:pPr>
        <w:pStyle w:val="Liste"/>
        <w:numPr>
          <w:ilvl w:val="0"/>
          <w:numId w:val="2"/>
        </w:numPr>
      </w:pPr>
      <w:r>
        <w:rPr>
          <w:rFonts w:ascii="EB Garamond" w:cs="EB Garamond" w:eastAsia="EB Garamond" w:hAnsi="EB Garamond"/>
          <w:color w:val="323230"/>
          <w:sz w:val="23"/>
          <w:szCs w:val="23"/>
        </w:rPr>
        <w:t xml:space="preserve">À exécuter sur le site de recette uniquement, en fin de campagne.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
        <w:gridCol w:w="850"/>
        <w:gridCol w:w="4063"/>
        <w:gridCol w:w="3402"/>
        <w:gridCol w:w="851"/>
      </w:tblGrid>
      <w:tr>
        <w:trPr>
          <w:cantSplit/>
          <w:tblHeader/>
        </w:trPr>
        <w:tc>
          <w:tcPr>
            <w:tcW w:type="dxa" w:w="47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N°</w:t>
            </w:r>
          </w:p>
        </w:tc>
        <w:tc>
          <w:tcPr>
            <w:tcW w:type="dxa" w:w="85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Profil</w:t>
            </w:r>
          </w:p>
        </w:tc>
        <w:tc>
          <w:tcPr>
            <w:tcW w:type="dxa" w:w="406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340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Résultat attendu</w:t>
            </w:r>
          </w:p>
        </w:tc>
        <w:tc>
          <w:tcPr>
            <w:tcW w:type="dxa" w:w="85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Exercice et règles : lire la liste « Clôture de l’exercice ».</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services A et B apparaissent tant qu’il reste des écritures non transmises, à vérifier ou des engagements non soldés.</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 Préparer l’exercice » suivant.</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L’exercice suivant est « préparé » : il reçoit des budgets mais aucune écriture.</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w:t>
            </w:r>
          </w:p>
        </w:tc>
        <w:tc>
          <w:tcPr>
            <w:tcW w:type="dxa" w:w="85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RSA</w:t>
            </w:r>
          </w:p>
        </w:tc>
        <w:tc>
          <w:tcPr>
            <w:tcW w:type="dxa" w:w="406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le budget de l’exercice suivant.</w:t>
            </w:r>
          </w:p>
        </w:tc>
        <w:tc>
          <w:tcPr>
            <w:tcW w:type="dxa" w:w="340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Budget enregistré à l’avance.</w:t>
            </w:r>
          </w:p>
        </w:tc>
        <w:tc>
          <w:tcPr>
            <w:tcW w:type="dxa" w:w="85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r>
        <w:trPr>
          <w:cantSplit/>
        </w:trPr>
        <w:tc>
          <w:tcPr>
            <w:tcW w:type="dxa" w:w="47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w:t>
            </w:r>
          </w:p>
        </w:tc>
        <w:tc>
          <w:tcPr>
            <w:tcW w:type="dxa" w:w="85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AF</w:t>
            </w:r>
          </w:p>
        </w:tc>
        <w:tc>
          <w:tcPr>
            <w:tcW w:type="dxa" w:w="406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Sur le site de recette seulement : régulariser les services, clôturer l’exercice.</w:t>
            </w:r>
          </w:p>
        </w:tc>
        <w:tc>
          <w:tcPr>
            <w:tcW w:type="dxa" w:w="340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solde de caisse de chaque service devient son solde initial de l’exercice suivant ; plus aucune écriture n’est possible sur l’exercice clos.</w:t>
            </w:r>
          </w:p>
        </w:tc>
        <w:tc>
          <w:tcPr>
            <w:tcW w:type="dxa" w:w="85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OK · KO</w:t>
            </w:r>
          </w:p>
        </w:tc>
      </w:tr>
    </w:tbl>
    <w:p>
      <w:pPr>
        <w:spacing w:after="100" w:before="0"/>
      </w:pPr>
    </w:p>
    <w:p>
      <w:pPr>
        <w:pStyle w:val="Heading1"/>
        <w:keepNext/>
      </w:pPr>
      <w:bookmarkStart w:name="h_6" w:id="82"/>
      <w:r>
        <w:rPr>
          <w:color w:val="0095C9"/>
        </w:rPr>
        <w:t xml:space="preserve">6 </w:t>
      </w:r>
      <w:r>
        <w:t xml:space="preserve">Procès-verbal de recette</w:t>
      </w:r>
      <w:bookmarkEnd w:id="82"/>
    </w:p>
    <w:p>
      <w:r>
        <w:rPr>
          <w:rFonts w:ascii="EB Garamond" w:cs="EB Garamond" w:eastAsia="EB Garamond" w:hAnsi="EB Garamond"/>
          <w:color w:val="323230"/>
          <w:sz w:val="23"/>
          <w:szCs w:val="23"/>
        </w:rPr>
        <w:t xml:space="preserve">Le procès-verbal clôt la campagne. Il est établi par le pilote de la recette à partir de la synthèse du classeur de suivi, puis signé par les responsables désignés.</w:t>
      </w:r>
    </w:p>
    <w:p>
      <w:pPr>
        <w:pStyle w:val="Heading2"/>
        <w:keepNext/>
      </w:pPr>
      <w:bookmarkStart w:name="h_6_1" w:id="83"/>
      <w:r>
        <w:rPr>
          <w:color w:val="17418A"/>
        </w:rPr>
        <w:t xml:space="preserve">6.1 </w:t>
      </w:r>
      <w:r>
        <w:t xml:space="preserve">Synthèse des résultats</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Indicateur</w:t>
            </w:r>
          </w:p>
        </w:tc>
        <w:tc>
          <w:tcPr>
            <w:tcW w:type="dxa" w:w="481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Valeur</w:t>
            </w:r>
          </w:p>
        </w:tc>
      </w:tr>
      <w:tr>
        <w:trPr>
          <w:cantSplit/>
        </w:trPr>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Période de la campagne</w:t>
            </w:r>
          </w:p>
        </w:tc>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du ……………… au ………………</w:t>
            </w:r>
          </w:p>
        </w:tc>
      </w:tr>
      <w:tr>
        <w:trPr>
          <w:cantSplit/>
        </w:trPr>
        <w:tc>
          <w:tcPr>
            <w:tcW w:type="dxa" w:w="481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Version testée</w:t>
            </w:r>
          </w:p>
        </w:tc>
        <w:tc>
          <w:tcPr>
            <w:tcW w:type="dxa" w:w="481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Extension 2.2.1 · thème 1.0.2</w:t>
            </w:r>
          </w:p>
        </w:tc>
      </w:tr>
      <w:tr>
        <w:trPr>
          <w:cantSplit/>
        </w:trPr>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Scénarios exécutés / prévus</w:t>
            </w:r>
          </w:p>
        </w:tc>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 / 51</w:t>
            </w:r>
          </w:p>
        </w:tc>
      </w:tr>
      <w:tr>
        <w:trPr>
          <w:cantSplit/>
        </w:trPr>
        <w:tc>
          <w:tcPr>
            <w:tcW w:type="dxa" w:w="481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Étapes OK / KO / bloquées / non testées</w:t>
            </w:r>
          </w:p>
        </w:tc>
        <w:tc>
          <w:tcPr>
            <w:tcW w:type="dxa" w:w="481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 / ……… / ……… / ……… (sur 235)</w:t>
            </w:r>
          </w:p>
        </w:tc>
      </w:tr>
      <w:tr>
        <w:trPr>
          <w:cantSplit/>
        </w:trPr>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Scénarios critiques entièrement OK</w:t>
            </w:r>
          </w:p>
        </w:tc>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 / 16</w:t>
            </w:r>
          </w:p>
        </w:tc>
      </w:tr>
      <w:tr>
        <w:trPr>
          <w:cantSplit/>
        </w:trPr>
        <w:tc>
          <w:tcPr>
            <w:tcW w:type="dxa" w:w="481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Anomalies bloquantes ouvertes / fermées</w:t>
            </w:r>
          </w:p>
        </w:tc>
        <w:tc>
          <w:tcPr>
            <w:tcW w:type="dxa" w:w="481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 / ………</w:t>
            </w:r>
          </w:p>
        </w:tc>
      </w:tr>
      <w:tr>
        <w:trPr>
          <w:cantSplit/>
        </w:trPr>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Anomalies majeures ouvertes / fermées</w:t>
            </w:r>
          </w:p>
        </w:tc>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 / ………</w:t>
            </w:r>
          </w:p>
        </w:tc>
      </w:tr>
      <w:tr>
        <w:trPr>
          <w:cantSplit/>
        </w:trPr>
        <w:tc>
          <w:tcPr>
            <w:tcW w:type="dxa" w:w="481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Anomalies mineures ouvertes / fermées</w:t>
            </w:r>
          </w:p>
        </w:tc>
        <w:tc>
          <w:tcPr>
            <w:tcW w:type="dxa" w:w="481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 / ………</w:t>
            </w:r>
          </w:p>
        </w:tc>
      </w:tr>
      <w:tr>
        <w:trPr>
          <w:cantSplit/>
        </w:trPr>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Évolutions demandées</w:t>
            </w:r>
          </w:p>
        </w:tc>
        <w:tc>
          <w:tcPr>
            <w:tcW w:type="dxa" w:w="481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w:t>
            </w:r>
          </w:p>
        </w:tc>
      </w:tr>
    </w:tbl>
    <w:p>
      <w:pPr>
        <w:spacing w:after="100" w:before="0"/>
      </w:pPr>
    </w:p>
    <w:p>
      <w:pPr>
        <w:pStyle w:val="Heading2"/>
        <w:keepNext/>
      </w:pPr>
      <w:bookmarkStart w:name="h_6_2" w:id="84"/>
      <w:r>
        <w:rPr>
          <w:color w:val="17418A"/>
        </w:rPr>
        <w:t xml:space="preserve">6.2 </w:t>
      </w:r>
      <w:r>
        <w:t xml:space="preserve">Décision</w:t>
      </w:r>
      <w:bookmarkEnd w:id="84"/>
    </w:p>
    <w:p>
      <w:pPr>
        <w:pStyle w:val="Liste"/>
        <w:numPr>
          <w:ilvl w:val="0"/>
          <w:numId w:val="2"/>
        </w:numPr>
      </w:pPr>
      <w:r>
        <w:rPr>
          <w:rFonts w:ascii="EB Garamond" w:cs="EB Garamond" w:eastAsia="EB Garamond" w:hAnsi="EB Garamond"/>
          <w:b/>
          <w:bCs/>
          <w:color w:val="323230"/>
          <w:sz w:val="23"/>
          <w:szCs w:val="23"/>
        </w:rPr>
        <w:t xml:space="preserve">Recette prononcée sans réserve</w:t>
      </w:r>
      <w:r>
        <w:rPr>
          <w:rFonts w:ascii="EB Garamond" w:cs="EB Garamond" w:eastAsia="EB Garamond" w:hAnsi="EB Garamond"/>
          <w:color w:val="323230"/>
          <w:sz w:val="23"/>
          <w:szCs w:val="23"/>
        </w:rPr>
        <w:t xml:space="preserve"> : l’application peut être mise en service.</w:t>
      </w:r>
    </w:p>
    <w:p>
      <w:pPr>
        <w:pStyle w:val="Liste"/>
        <w:numPr>
          <w:ilvl w:val="0"/>
          <w:numId w:val="2"/>
        </w:numPr>
      </w:pPr>
      <w:r>
        <w:rPr>
          <w:rFonts w:ascii="EB Garamond" w:cs="EB Garamond" w:eastAsia="EB Garamond" w:hAnsi="EB Garamond"/>
          <w:b/>
          <w:bCs/>
          <w:color w:val="323230"/>
          <w:sz w:val="23"/>
          <w:szCs w:val="23"/>
        </w:rPr>
        <w:t xml:space="preserve">Recette prononcée avec réserves</w:t>
      </w:r>
      <w:r>
        <w:rPr>
          <w:rFonts w:ascii="EB Garamond" w:cs="EB Garamond" w:eastAsia="EB Garamond" w:hAnsi="EB Garamond"/>
          <w:color w:val="323230"/>
          <w:sz w:val="23"/>
          <w:szCs w:val="23"/>
        </w:rPr>
        <w:t xml:space="preserve"> : mise en service possible ; les réserves ci-dessous sont levées aux dates indiquées.</w:t>
      </w:r>
    </w:p>
    <w:p>
      <w:pPr>
        <w:pStyle w:val="Liste"/>
        <w:numPr>
          <w:ilvl w:val="0"/>
          <w:numId w:val="2"/>
        </w:numPr>
      </w:pPr>
      <w:r>
        <w:rPr>
          <w:rFonts w:ascii="EB Garamond" w:cs="EB Garamond" w:eastAsia="EB Garamond" w:hAnsi="EB Garamond"/>
          <w:b/>
          <w:bCs/>
          <w:color w:val="323230"/>
          <w:sz w:val="23"/>
          <w:szCs w:val="23"/>
        </w:rPr>
        <w:t xml:space="preserve">Recette refusée</w:t>
      </w:r>
      <w:r>
        <w:rPr>
          <w:rFonts w:ascii="EB Garamond" w:cs="EB Garamond" w:eastAsia="EB Garamond" w:hAnsi="EB Garamond"/>
          <w:color w:val="323230"/>
          <w:sz w:val="23"/>
          <w:szCs w:val="23"/>
        </w:rPr>
        <w:t xml:space="preserve"> : une nouvelle campagne est nécessaire après correction.</w:t>
      </w:r>
    </w:p>
    <w:p>
      <w:r>
        <w:rPr>
          <w:rFonts w:ascii="EB Garamond" w:cs="EB Garamond" w:eastAsia="EB Garamond" w:hAnsi="EB Garamond"/>
          <w:color w:val="323230"/>
          <w:sz w:val="23"/>
          <w:szCs w:val="23"/>
        </w:rPr>
        <w:t xml:space="preserve">Décision retenue (rayer les mentions inutiles) : sans réserve / avec réserves / refusée.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397"/>
        <w:gridCol w:w="1928"/>
        <w:gridCol w:w="1735"/>
      </w:tblGrid>
      <w:tr>
        <w:trPr>
          <w:cantSplit/>
          <w:tblHeader/>
        </w:trPr>
        <w:tc>
          <w:tcPr>
            <w:tcW w:type="dxa" w:w="578"/>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N°</w:t>
            </w:r>
          </w:p>
        </w:tc>
        <w:tc>
          <w:tcPr>
            <w:tcW w:type="dxa" w:w="539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Réserve (anomalie ou point à lever)</w:t>
            </w:r>
          </w:p>
        </w:tc>
        <w:tc>
          <w:tcPr>
            <w:tcW w:type="dxa" w:w="1928"/>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Responsable</w:t>
            </w:r>
          </w:p>
        </w:tc>
        <w:tc>
          <w:tcPr>
            <w:tcW w:type="dxa" w:w="1735"/>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Échéance</w:t>
            </w:r>
          </w:p>
        </w:tc>
      </w:tr>
      <w:tr>
        <w:trPr>
          <w:cantSplit/>
        </w:trPr>
        <w:tc>
          <w:tcPr>
            <w:tcW w:type="dxa" w:w="57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1</w:t>
            </w:r>
          </w:p>
        </w:tc>
        <w:tc>
          <w:tcPr>
            <w:tcW w:type="dxa" w:w="53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173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r>
      <w:tr>
        <w:trPr>
          <w:cantSplit/>
        </w:trPr>
        <w:tc>
          <w:tcPr>
            <w:tcW w:type="dxa" w:w="57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2</w:t>
            </w:r>
          </w:p>
        </w:tc>
        <w:tc>
          <w:tcPr>
            <w:tcW w:type="dxa" w:w="53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173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r>
        <w:trPr>
          <w:cantSplit/>
        </w:trPr>
        <w:tc>
          <w:tcPr>
            <w:tcW w:type="dxa" w:w="57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3</w:t>
            </w:r>
          </w:p>
        </w:tc>
        <w:tc>
          <w:tcPr>
            <w:tcW w:type="dxa" w:w="53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173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r>
      <w:tr>
        <w:trPr>
          <w:cantSplit/>
        </w:trPr>
        <w:tc>
          <w:tcPr>
            <w:tcW w:type="dxa" w:w="57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4</w:t>
            </w:r>
          </w:p>
        </w:tc>
        <w:tc>
          <w:tcPr>
            <w:tcW w:type="dxa" w:w="53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173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bl>
    <w:p>
      <w:pPr>
        <w:spacing w:after="100" w:before="0"/>
      </w:pPr>
    </w:p>
    <w:p>
      <w:r>
        <w:br w:type="page"/>
      </w:r>
    </w:p>
    <w:p>
      <w:pPr>
        <w:pStyle w:val="Heading2"/>
        <w:keepNext/>
      </w:pPr>
      <w:bookmarkStart w:name="h_6_3" w:id="85"/>
      <w:r>
        <w:rPr>
          <w:color w:val="17418A"/>
        </w:rPr>
        <w:t xml:space="preserve">6.3 </w:t>
      </w:r>
      <w:r>
        <w:t xml:space="preserve">Signatures</w:t>
      </w:r>
      <w:bookmarkEnd w:id="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506"/>
        <w:gridCol w:w="1542"/>
        <w:gridCol w:w="2313"/>
      </w:tblGrid>
      <w:tr>
        <w:trPr>
          <w:cantSplit/>
          <w:tblHeader/>
        </w:trPr>
        <w:tc>
          <w:tcPr>
            <w:tcW w:type="dxa" w:w="327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Fonction</w:t>
            </w:r>
          </w:p>
        </w:tc>
        <w:tc>
          <w:tcPr>
            <w:tcW w:type="dxa" w:w="2506"/>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Nom</w:t>
            </w:r>
          </w:p>
        </w:tc>
        <w:tc>
          <w:tcPr>
            <w:tcW w:type="dxa" w:w="154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Date</w:t>
            </w:r>
          </w:p>
        </w:tc>
        <w:tc>
          <w:tcPr>
            <w:tcW w:type="dxa" w:w="231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Signature</w:t>
            </w: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Inspecteur Général (Direction)</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15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p>
            <w:pPr>
              <w:spacing w:after="0" w:line="252" w:lineRule="auto"/>
            </w:pPr>
          </w:p>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Chef de service Administration et Finance</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15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p>
            <w:pPr>
              <w:spacing w:after="0" w:line="252" w:lineRule="auto"/>
            </w:pPr>
          </w:p>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Pilote de la recette</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15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p>
            <w:pPr>
              <w:spacing w:after="0" w:line="252" w:lineRule="auto"/>
            </w:pPr>
          </w:p>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Responsable du service A</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15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p>
            <w:pPr>
              <w:spacing w:after="0" w:line="252" w:lineRule="auto"/>
            </w:pPr>
          </w:p>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Responsable du service B</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154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tc>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p>
            <w:pPr>
              <w:spacing w:after="0" w:line="252" w:lineRule="auto"/>
            </w:pPr>
          </w:p>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Équipe technique</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154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p>
            <w:pPr>
              <w:spacing w:after="0" w:line="252" w:lineRule="auto"/>
            </w:pPr>
          </w:p>
          <w:p>
            <w:pPr>
              <w:spacing w:after="0" w:line="252" w:lineRule="auto"/>
            </w:pPr>
          </w:p>
        </w:tc>
      </w:tr>
    </w:tbl>
    <w:p>
      <w:pPr>
        <w:spacing w:after="100" w:before="0"/>
      </w:pPr>
    </w:p>
    <w:p>
      <w:pPr>
        <w:pStyle w:val="Heading1"/>
        <w:keepNext/>
      </w:pPr>
      <w:bookmarkStart w:name="h_Annexe_A___Fiche_d_anomalie" w:id="86"/>
      <w:r>
        <w:t xml:space="preserve">Annexe A — Fiche d’anomalie</w:t>
      </w:r>
      <w:bookmarkEnd w:id="86"/>
    </w:p>
    <w:p>
      <w:r>
        <w:rPr>
          <w:rFonts w:ascii="EB Garamond" w:cs="EB Garamond" w:eastAsia="EB Garamond" w:hAnsi="EB Garamond"/>
          <w:color w:val="323230"/>
          <w:sz w:val="23"/>
          <w:szCs w:val="23"/>
        </w:rPr>
        <w:t xml:space="preserve">Une fiche par anomalie, reportée dans l’onglet « Anomalies » du classeur de suivi.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Rubrique</w:t>
            </w:r>
          </w:p>
        </w:tc>
        <w:tc>
          <w:tcPr>
            <w:tcW w:type="dxa" w:w="636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À renseigner</w:t>
            </w: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Référence</w:t>
            </w:r>
          </w:p>
        </w:tc>
        <w:tc>
          <w:tcPr>
            <w:tcW w:type="dxa" w:w="636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ANO-……</w:t>
            </w: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Date et testeur</w:t>
            </w:r>
          </w:p>
        </w:tc>
        <w:tc>
          <w:tcPr>
            <w:tcW w:type="dxa" w:w="636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Scénario et étape</w:t>
            </w:r>
          </w:p>
        </w:tc>
        <w:tc>
          <w:tcPr>
            <w:tcW w:type="dxa" w:w="636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 · étape ……</w:t>
            </w: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Profil et navigateur / appareil</w:t>
            </w:r>
          </w:p>
        </w:tc>
        <w:tc>
          <w:tcPr>
            <w:tcW w:type="dxa" w:w="636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Action réalisée</w:t>
            </w:r>
          </w:p>
        </w:tc>
        <w:tc>
          <w:tcPr>
            <w:tcW w:type="dxa" w:w="636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Résultat attendu</w:t>
            </w:r>
          </w:p>
        </w:tc>
        <w:tc>
          <w:tcPr>
            <w:tcW w:type="dxa" w:w="636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Résultat obtenu (message exact)</w:t>
            </w:r>
          </w:p>
        </w:tc>
        <w:tc>
          <w:tcPr>
            <w:tcW w:type="dxa" w:w="636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p>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Capture d’écran jointe</w:t>
            </w:r>
          </w:p>
        </w:tc>
        <w:tc>
          <w:tcPr>
            <w:tcW w:type="dxa" w:w="636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Oui / Non</w:t>
            </w: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Gravité proposée</w:t>
            </w:r>
          </w:p>
        </w:tc>
        <w:tc>
          <w:tcPr>
            <w:tcW w:type="dxa" w:w="636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Bloquante / Majeure / Mineure / Évolution</w:t>
            </w: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Gravité retenue par le pilote</w:t>
            </w:r>
          </w:p>
        </w:tc>
        <w:tc>
          <w:tcPr>
            <w:tcW w:type="dxa" w:w="636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r>
        <w:trPr>
          <w:cantSplit/>
        </w:trPr>
        <w:tc>
          <w:tcPr>
            <w:tcW w:type="dxa" w:w="327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Statut</w:t>
            </w:r>
          </w:p>
        </w:tc>
        <w:tc>
          <w:tcPr>
            <w:tcW w:type="dxa" w:w="636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Ouverte / Qualifiée / En correction / Corrigée / Fermée / Rejetée</w:t>
            </w:r>
          </w:p>
        </w:tc>
      </w:tr>
      <w:tr>
        <w:trPr>
          <w:cantSplit/>
        </w:trPr>
        <w:tc>
          <w:tcPr>
            <w:tcW w:type="dxa" w:w="327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Version corrective et date du retest</w:t>
            </w:r>
          </w:p>
        </w:tc>
        <w:tc>
          <w:tcPr>
            <w:tcW w:type="dxa" w:w="636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p>
        </w:tc>
      </w:tr>
    </w:tbl>
    <w:p>
      <w:pPr>
        <w:spacing w:after="100" w:before="0"/>
      </w:pPr>
    </w:p>
    <w:p>
      <w:pPr>
        <w:pStyle w:val="Heading1"/>
        <w:keepNext/>
      </w:pPr>
      <w:bookmarkStart w:name="h_Annexe_B___Couverture_fonctionnelle" w:id="87"/>
      <w:r>
        <w:t xml:space="preserve">Annexe B — Couverture fonctionnelle</w:t>
      </w:r>
      <w:bookmarkEnd w:id="8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rPr>
          <w:cantSplit/>
          <w:tblHeader/>
        </w:trPr>
        <w:tc>
          <w:tcPr>
            <w:tcW w:type="dxa" w:w="674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Fonction</w:t>
            </w:r>
          </w:p>
        </w:tc>
        <w:tc>
          <w:tcPr>
            <w:tcW w:type="dxa" w:w="289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Scénarios</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Connexion, mots de passe, double authentification, inactivité</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UAT-01, 06, 07, 08, 09</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Comptes, profils et cloisonnement</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UAT-04, 10, 48</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Référentiels, règles, barème, jours fériés</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UAT-03, 05</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Messagerie et notifications</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UAT-02, 44</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Budget, solde initial, révision</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UAT-11</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Avances de fonds et justification</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UAT-12, 29</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Demandes de fonds et visas</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UAT-13, 14</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Saisie, pièces, contrôles bloquants, anomalies</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UAT-15 à 18</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Engagements et chaîne de la dépense</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UAT-19, 20</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Devise USD et taux du jour</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UAT-21</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Saisie hors connexion</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UAT-22</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Contrepassation et livre de caisse</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UAT-23, 24</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Transmission, vérification, questions, rejets</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UAT-25 à 28</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Missions d’inspection</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UAT-30</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Arrêtés de caisse et comptages inopinés</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UAT-31 à 33</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Trésorerie et rapprochement bancaire</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UAT-34, 35</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Parc automobile, dotations et bons carburant</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UAT-36 à 39</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Stocks de fournitures</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UAT-40</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Tableau de bord, consolidation, nomenclature, risques</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UAT-41, 42</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Rapports officiels et vérification QR</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UAT-43</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Direction</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UAT-14, 45</w:t>
            </w:r>
          </w:p>
        </w:tc>
      </w:tr>
      <w:tr>
        <w:trPr>
          <w:cantSplit/>
        </w:trPr>
        <w:tc>
          <w:tcPr>
            <w:tcW w:type="dxa" w:w="674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Fonctions du site, journal d’audit, déploiement</w:t>
            </w:r>
          </w:p>
        </w:tc>
        <w:tc>
          <w:tcPr>
            <w:tcW w:type="dxa" w:w="28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UAT-46, 47, 49</w:t>
            </w:r>
          </w:p>
        </w:tc>
      </w:tr>
      <w:tr>
        <w:trPr>
          <w:cantSplit/>
        </w:trPr>
        <w:tc>
          <w:tcPr>
            <w:tcW w:type="dxa" w:w="674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Navigateurs, appareils, impression ; clôture d’exercice</w:t>
            </w:r>
          </w:p>
        </w:tc>
        <w:tc>
          <w:tcPr>
            <w:tcW w:type="dxa" w:w="28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UAT-50, 51</w:t>
            </w:r>
          </w:p>
        </w:tc>
      </w:tr>
    </w:tbl>
    <w:p>
      <w:pPr>
        <w:spacing w:after="100" w:before="0"/>
      </w:pPr>
    </w:p>
    <w:sectPr>
      <w:headerReference w:type="default" r:id="rId8"/>
      <w:footerReference w:type="default" r:id="rId9"/>
      <w:pgSz w:w="11906" w:h="16838" w:orient="portrait"/>
      <w:pgMar w:top="1300" w:right="1134" w:bottom="1150" w:left="1134"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oper Hewitt">
    <w:charset w:val="00"/>
    <w:family w:val="auto"/>
    <w:pitch w:val="variable"/>
    <w:embedRegular r:id="rIdF1" w:fontKey="{48731909-49A3-4AB0-9B27-0656E89019D0}"/>
    <w:embedBold r:id="rIdF2" w:fontKey="{B6C91051-7AF8-4104-8EA5-F715BF48C3EB}"/>
  </w:font>
  <w:font w:name="EB Garamond">
    <w:charset w:val="00"/>
    <w:family w:val="auto"/>
    <w:pitch w:val="variable"/>
    <w:embedRegular r:id="rIdF3" w:fontKey="{569729E6-1127-4C71-880D-08D88566EE56}"/>
    <w:embedBold r:id="rIdF4" w:fontKey="{734E69E9-4353-4324-9D66-38A6ECD2711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0"/>
    </w:pPr>
    <w:r>
      <w:drawing>
        <wp:inline distT="0" distB="0" distL="0" distR="0">
          <wp:extent cx="6115050" cy="28575"/>
          <wp:effectExtent t="0" r="0" b="0" l="0"/>
          <wp:docPr id="5" name="bande" descr="Bande tricolore bleu, jaune, rouge" title="Bande trico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15050" cy="28575"/>
                  </a:xfrm>
                  <a:prstGeom prst="rect">
                    <a:avLst/>
                  </a:prstGeom>
                </pic:spPr>
              </pic:pic>
            </a:graphicData>
          </a:graphic>
        </wp:inline>
      </w:drawing>
    </w:r>
  </w:p>
  <w:p>
    <w:pPr>
      <w:tabs>
        <w:tab w:val="right" w:pos="9638"/>
      </w:tabs>
    </w:pPr>
    <w:r>
      <w:rPr>
        <w:rFonts w:ascii="Cooper Hewitt" w:cs="Cooper Hewitt" w:eastAsia="Cooper Hewitt" w:hAnsi="Cooper Hewitt"/>
        <w:color w:val="5D6670"/>
        <w:sz w:val="15"/>
        <w:szCs w:val="15"/>
      </w:rPr>
      <w:t xml:space="preserve">Inspection Générale de l’Enseignement · Administration et Finance</w:t>
    </w:r>
    <w:r>
      <w:rPr>
        <w:rFonts w:ascii="Cooper Hewitt" w:cs="Cooper Hewitt" w:eastAsia="Cooper Hewitt" w:hAnsi="Cooper Hewitt"/>
        <w:b/>
        <w:bCs/>
        <w:color w:val="17418A"/>
        <w:sz w:val="15"/>
        <w:szCs w:val="15"/>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418A" w:sz="6" w:space="4"/>
      </w:pBdr>
      <w:tabs>
        <w:tab w:val="right" w:pos="9638"/>
      </w:tabs>
    </w:pPr>
    <w:r>
      <w:rPr>
        <w:rFonts w:ascii="Cooper Hewitt" w:cs="Cooper Hewitt" w:eastAsia="Cooper Hewitt" w:hAnsi="Cooper Hewitt"/>
        <w:color w:val="5D6670"/>
        <w:sz w:val="15"/>
        <w:szCs w:val="15"/>
      </w:rPr>
      <w:t xml:space="preserve">Cahier de recette (UAT) · Gestion des frais de fonctionnement</w:t>
    </w:r>
    <w:r>
      <w:rPr>
        <w:rFonts w:ascii="Cooper Hewitt" w:cs="Cooper Hewitt" w:eastAsia="Cooper Hewitt" w:hAnsi="Cooper Hewitt"/>
        <w:color w:val="5D6670"/>
        <w:sz w:val="15"/>
        <w:szCs w:val="15"/>
      </w:rPr>
      <w:t xml:space="preserve">	IGE · version 1.0 ·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rFonts w:ascii="Cooper Hewitt" w:cs="Cooper Hewitt" w:eastAsia="Cooper Hewitt" w:hAnsi="Cooper Hewitt"/>
        <w:color w:val="0095C9"/>
      </w:rPr>
    </w:lvl>
  </w:abstractNum>
  <w:abstractNum w:abstractNumId="3" w15:restartNumberingAfterBreak="0">
    <w:multiLevelType w:val="hybridMultilevel"/>
    <w:lvl w:ilvl="0" w:tentative="1">
      <w:start w:val="1"/>
      <w:numFmt w:val="bullet"/>
      <w:lvlText w:val="•"/>
      <w:lvlJc w:val="left"/>
      <w:pPr>
        <w:ind w:left="300" w:hanging="220"/>
      </w:pPr>
      <w:rPr>
        <w:color w:val="17418A"/>
      </w:rPr>
    </w:lvl>
  </w:abstractNum>
  <w:abstractNum w:abstractNumId="4" w15:restartNumberingAfterBreak="0">
    <w:multiLevelType w:val="hybridMultilevel"/>
    <w:lvl w:ilvl="0" w:tentative="1">
      <w:start w:val="1"/>
      <w:numFmt w:val="decimal"/>
      <w:lvlText w:val="%1."/>
      <w:lvlJc w:val="left"/>
      <w:pPr>
        <w:ind w:left="567" w:hanging="400"/>
      </w:pPr>
      <w:rPr>
        <w:rFonts w:ascii="Cooper Hewitt" w:cs="Cooper Hewitt" w:eastAsia="Cooper Hewitt" w:hAnsi="Cooper Hewitt"/>
        <w:b/>
        <w:bCs/>
        <w:color w:val="0095C9"/>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323230"/>
        <w:sz w:val="23"/>
        <w:szCs w:val="23"/>
        <w:lang w:val="fr-FR"/>
      </w:rPr>
    </w:rPrDefault>
    <w:pPrDefault>
      <w:pPr>
        <w:spacing w:after="12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FFF24B" w:sz="6" w:space="6"/>
      </w:pBdr>
      <w:spacing w:after="160" w:before="0" w:line="260" w:lineRule="auto"/>
      <w:outlineLvl w:val="0"/>
    </w:pPr>
    <w:rPr>
      <w:rFonts w:ascii="Cooper Hewitt" w:cs="Cooper Hewitt" w:eastAsia="Cooper Hewitt" w:hAnsi="Cooper Hewitt"/>
      <w:b/>
      <w:bCs/>
      <w:color w:val="17418A"/>
      <w:sz w:val="38"/>
      <w:szCs w:val="38"/>
    </w:rPr>
  </w:style>
  <w:style w:type="paragraph" w:styleId="Heading2">
    <w:name w:val="Heading 2"/>
    <w:basedOn w:val="Normal"/>
    <w:next w:val="Normal"/>
    <w:qFormat/>
    <w:pPr>
      <w:keepNext/>
      <w:keepLines/>
      <w:spacing w:after="120" w:before="340" w:line="260" w:lineRule="auto"/>
      <w:outlineLvl w:val="1"/>
    </w:pPr>
    <w:rPr>
      <w:rFonts w:ascii="Cooper Hewitt" w:cs="Cooper Hewitt" w:eastAsia="Cooper Hewitt" w:hAnsi="Cooper Hewitt"/>
      <w:b/>
      <w:bCs/>
      <w:color w:val="17418A"/>
      <w:sz w:val="28"/>
      <w:szCs w:val="28"/>
    </w:rPr>
  </w:style>
  <w:style w:type="paragraph" w:styleId="Heading3">
    <w:name w:val="Heading 3"/>
    <w:basedOn w:val="Normal"/>
    <w:next w:val="Normal"/>
    <w:qFormat/>
    <w:pPr>
      <w:keepNext/>
      <w:keepLines/>
      <w:spacing w:after="80" w:before="240" w:line="260" w:lineRule="auto"/>
      <w:outlineLvl w:val="2"/>
    </w:pPr>
    <w:rPr>
      <w:rFonts w:ascii="Cooper Hewitt" w:cs="Cooper Hewitt" w:eastAsia="Cooper Hewitt" w:hAnsi="Cooper Hewitt"/>
      <w:b/>
      <w:bCs/>
      <w:color w:val="323230"/>
      <w:sz w:val="23"/>
      <w:szCs w:val="23"/>
    </w:rPr>
  </w:style>
  <w:style w:type="paragraph" w:styleId="Chapeau">
    <w:name w:val="Chapeau"/>
    <w:basedOn w:val="Normal"/>
    <w:pPr>
      <w:spacing w:after="200" w:line="290" w:lineRule="auto"/>
    </w:pPr>
    <w:rPr>
      <w:color w:val="5D6670"/>
      <w:sz w:val="25"/>
      <w:szCs w:val="25"/>
    </w:rPr>
  </w:style>
  <w:style w:type="paragraph" w:styleId="Liste">
    <w:name w:val="Liste"/>
    <w:basedOn w:val="Normal"/>
    <w:pPr>
      <w:spacing w:after="70" w:line="264" w:lineRule="auto"/>
    </w:pPr>
  </w:style>
  <w:style w:type="paragraph" w:styleId="Etape">
    <w:name w:val="Étape"/>
    <w:basedOn w:val="Normal"/>
    <w:pPr>
      <w:spacing w:after="80" w:line="264" w:lineRule="auto"/>
    </w:pPr>
  </w:style>
  <w:style w:type="paragraph" w:styleId="Resultat">
    <w:name w:val="Résultat"/>
    <w:basedOn w:val="Normal"/>
    <w:pPr>
      <w:spacing w:after="80" w:line="252" w:lineRule="auto"/>
      <w:ind w:left="567"/>
    </w:pPr>
  </w:style>
  <w:style w:type="paragraph" w:styleId="Legende">
    <w:name w:val="Légende"/>
    <w:basedOn w:val="Normal"/>
    <w:pPr>
      <w:spacing w:after="220" w:before="0"/>
      <w:jc w:val="center"/>
    </w:pPr>
    <w:rPr>
      <w:rFonts w:ascii="Cooper Hewitt" w:cs="Cooper Hewitt" w:eastAsia="Cooper Hewitt" w:hAnsi="Cooper Hewitt"/>
      <w:color w:val="5D6670"/>
      <w:sz w:val="16"/>
      <w:szCs w:val="16"/>
    </w:rPr>
  </w:style>
  <w:style w:type="paragraph" w:styleId="Question">
    <w:name w:val="Question"/>
    <w:basedOn w:val="Normal"/>
    <w:pPr>
      <w:spacing w:after="60" w:before="160"/>
    </w:pPr>
    <w:rPr>
      <w:rFonts w:ascii="Cooper Hewitt" w:cs="Cooper Hewitt" w:eastAsia="Cooper Hewitt" w:hAnsi="Cooper Hewitt"/>
      <w:b/>
      <w:bCs/>
      <w:color w:val="17418A"/>
      <w:sz w:val="20"/>
      <w:szCs w:val="20"/>
    </w:rPr>
  </w:style>
  <w:style w:type="paragraph" w:styleId="TitreSection">
    <w:name w:val="Titre de section"/>
    <w:basedOn w:val="Normal"/>
    <w:pPr>
      <w:pBdr>
        <w:bottom w:val="single" w:color="FFF24B" w:sz="6" w:space="6"/>
      </w:pBdr>
      <w:spacing w:after="240" w:before="0"/>
    </w:pPr>
    <w:rPr>
      <w:rFonts w:ascii="Cooper Hewitt" w:cs="Cooper Hewitt" w:eastAsia="Cooper Hewitt" w:hAnsi="Cooper Hewitt"/>
      <w:b/>
      <w:bCs/>
      <w:color w:val="17418A"/>
      <w:sz w:val="34"/>
      <w:szCs w:val="34"/>
    </w:rPr>
  </w:style>
  <w:style w:type="paragraph" w:styleId="SousTitreSection">
    <w:name w:val="Sous-titre de section"/>
    <w:basedOn w:val="Normal"/>
    <w:pPr>
      <w:spacing w:after="100" w:before="280"/>
    </w:pPr>
    <w:rPr>
      <w:rFonts w:ascii="Cooper Hewitt" w:cs="Cooper Hewitt" w:eastAsia="Cooper Hewitt" w:hAnsi="Cooper Hewitt"/>
      <w:b/>
      <w:bCs/>
      <w:color w:val="17418A"/>
      <w:sz w:val="24"/>
      <w:szCs w:val="24"/>
    </w:rPr>
  </w:style>
  <w:style w:type="paragraph" w:styleId="TOC1">
    <w:name w:val="toc 1"/>
    <w:basedOn w:val="Normal"/>
    <w:next w:val="Normal"/>
    <w:pPr>
      <w:spacing w:after="30" w:before="140"/>
    </w:pPr>
    <w:rPr>
      <w:rFonts w:ascii="Cooper Hewitt" w:cs="Cooper Hewitt" w:eastAsia="Cooper Hewitt" w:hAnsi="Cooper Hewitt"/>
      <w:b/>
      <w:bCs/>
      <w:color w:val="17418A"/>
      <w:sz w:val="20"/>
      <w:szCs w:val="20"/>
    </w:rPr>
  </w:style>
  <w:style w:type="paragraph" w:styleId="TOC2">
    <w:name w:val="toc 2"/>
    <w:basedOn w:val="Normal"/>
    <w:next w:val="Normal"/>
    <w:pPr>
      <w:spacing w:after="20" w:before="0"/>
      <w:ind w:left="440"/>
    </w:pPr>
    <w:rPr>
      <w:rFonts w:ascii="Cooper Hewitt" w:cs="Cooper Hewitt" w:eastAsia="Cooper Hewitt" w:hAnsi="Cooper Hewitt"/>
      <w:color w:val="323230"/>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fa7fdc51d3d876e6bd36ff5456eb5674638fed9.png"/><Relationship Id="rId12" Type="http://schemas.openxmlformats.org/officeDocument/2006/relationships/image" Target="media/6412ab8e1ee562ef343b4b0b55db1b9b94e46e6e.png"/><Relationship Id="rId13" Type="http://schemas.openxmlformats.org/officeDocument/2006/relationships/image" Target="media/2553e50d0161af8e0f9071287081520479e3906e.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6412ab8e1ee562ef343b4b0b55db1b9b94e46e6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(UAT) — Gestion des frais de fonctionnement</dc:title>
  <dc:subject>Tests d’acceptation utilisateur de l’application de gestion des frais de fonctionnement</dc:subject>
  <dc:creator>Inspection Générale de l’Enseignement — Administration et Finance</dc:creator>
  <cp:keywords>IGE, frais de fonctionnement, guide, caisse, budget, avances, parc automobile</cp:keywords>
  <dc:description>Version 1.0 du 24 octobre 2026</dc:description>
  <cp:lastModifiedBy>Un-named</cp:lastModifiedBy>
  <cp:revision>1</cp:revision>
  <dcterms:created xsi:type="dcterms:W3CDTF">2026-10-24T10:52:58.163Z</dcterms:created>
  <dcterms:modified xsi:type="dcterms:W3CDTF">2026-10-24T10:52:58.164Z</dcterms:modified>
</cp:coreProperties>
</file>

<file path=docProps/custom.xml><?xml version="1.0" encoding="utf-8"?>
<Properties xmlns="http://schemas.openxmlformats.org/officeDocument/2006/custom-properties" xmlns:vt="http://schemas.openxmlformats.org/officeDocument/2006/docPropsVTypes"/>
</file>