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E3EA" w14:textId="4A1F5CCB" w:rsidR="005E405C" w:rsidRPr="00427489" w:rsidRDefault="005E405C" w:rsidP="00870532">
      <w:pPr>
        <w:rPr>
          <w:lang w:val="en"/>
        </w:rPr>
      </w:pPr>
      <w:r w:rsidRPr="00427489">
        <w:t>ABFE Technical</w:t>
      </w:r>
      <w:r w:rsidRPr="00427489">
        <w:rPr>
          <w:lang w:val="en"/>
        </w:rPr>
        <w:t xml:space="preserve"> documentation</w:t>
      </w:r>
      <w:r w:rsidR="00496B29" w:rsidRPr="00427489">
        <w:rPr>
          <w:lang w:val="en"/>
        </w:rPr>
        <w:t xml:space="preserve"> /report</w:t>
      </w:r>
    </w:p>
    <w:p w14:paraId="61E9ED14" w14:textId="0B67AA75" w:rsidR="00387F9D" w:rsidRPr="00427489" w:rsidRDefault="00387F9D" w:rsidP="00870532">
      <w:r w:rsidRPr="00427489">
        <w:br w:type="page"/>
      </w:r>
    </w:p>
    <w:p w14:paraId="05251EE8" w14:textId="7C1F65B2" w:rsidR="00387F9D" w:rsidRPr="00427489" w:rsidRDefault="00387F9D" w:rsidP="00870532">
      <w:r w:rsidRPr="00427489">
        <w:lastRenderedPageBreak/>
        <w:t>1</w:t>
      </w:r>
    </w:p>
    <w:p w14:paraId="5DB5C12B" w14:textId="696BBEC8" w:rsidR="00387F9D" w:rsidRPr="00427489" w:rsidRDefault="00387F9D" w:rsidP="00870532">
      <w:pPr>
        <w:pStyle w:val="a9"/>
        <w:numPr>
          <w:ilvl w:val="1"/>
          <w:numId w:val="2"/>
        </w:numPr>
      </w:pPr>
      <w:r>
        <w:t>Current Progress &amp; Accomplishments</w:t>
      </w:r>
    </w:p>
    <w:p w14:paraId="37D109A5" w14:textId="77777777" w:rsidR="00427489" w:rsidRPr="00427489" w:rsidRDefault="00427489" w:rsidP="00870532"/>
    <w:p w14:paraId="0353EEE9" w14:textId="5FEA6961" w:rsidR="00427489" w:rsidRDefault="00427489" w:rsidP="00870532">
      <w:r w:rsidRPr="00427489">
        <w:t xml:space="preserve">The project now has an executable absolute binding free-energy stack covering input preparation, complex and solvent thermodynamic legs, PME </w:t>
      </w:r>
      <w:proofErr w:type="spellStart"/>
      <w:r w:rsidRPr="00427489">
        <w:t>decharging</w:t>
      </w:r>
      <w:proofErr w:type="spellEnd"/>
      <w:r w:rsidRPr="00427489">
        <w:t xml:space="preserve">, ACE softcore vanishing, a dual-λ path, IBS expanded-ensemble sampling, frozen-weight production, local TMBAR, long-range correction, </w:t>
      </w:r>
      <w:proofErr w:type="spellStart"/>
      <w:r w:rsidRPr="00427489">
        <w:t>Boresch</w:t>
      </w:r>
      <w:proofErr w:type="spellEnd"/>
      <w:r w:rsidRPr="00427489">
        <w:t xml:space="preserve"> restraint correction, checkpoint/resume, and structured provenance. In parallel, the project has established layered tests and experimental protocols that distinguish mathematical correctness, software correctness, short-run stability, real GPU cost, and final ESS-per-GPU-hour utility.</w:t>
      </w:r>
    </w:p>
    <w:p w14:paraId="62630536" w14:textId="77777777" w:rsidR="00427489" w:rsidRPr="00427489" w:rsidRDefault="00427489" w:rsidP="00870532"/>
    <w:p w14:paraId="20C07DD1" w14:textId="3CF59349" w:rsidR="00387F9D" w:rsidRPr="00427489" w:rsidRDefault="00387F9D" w:rsidP="00870532">
      <w:r w:rsidRPr="00427489">
        <w:t xml:space="preserve">The ABFE-IBS framework has matured into </w:t>
      </w:r>
      <w:r w:rsidRPr="00427489">
        <w:t>comprehensive</w:t>
      </w:r>
      <w:r w:rsidRPr="00427489">
        <w:t xml:space="preserve"> software and methodological architecture:</w:t>
      </w:r>
    </w:p>
    <w:p w14:paraId="1C73925D" w14:textId="77777777" w:rsidR="00387F9D" w:rsidRPr="00427489" w:rsidRDefault="00387F9D" w:rsidP="00870532">
      <w:r w:rsidRPr="00427489">
        <w:t xml:space="preserve">Reads </w:t>
      </w:r>
      <w:proofErr w:type="gramStart"/>
      <w:r w:rsidRPr="00427489">
        <w:t>GROMACS .</w:t>
      </w:r>
      <w:proofErr w:type="spellStart"/>
      <w:r w:rsidRPr="00427489">
        <w:t>gro</w:t>
      </w:r>
      <w:proofErr w:type="spellEnd"/>
      <w:proofErr w:type="gramEnd"/>
      <w:r w:rsidRPr="00427489">
        <w:t xml:space="preserve">/.top files to construct </w:t>
      </w:r>
      <w:proofErr w:type="spellStart"/>
      <w:r w:rsidRPr="00427489">
        <w:t>OpenMM</w:t>
      </w:r>
      <w:proofErr w:type="spellEnd"/>
      <w:r w:rsidRPr="00427489">
        <w:t xml:space="preserve"> System objects.</w:t>
      </w:r>
    </w:p>
    <w:p w14:paraId="0240D534" w14:textId="0234CF70" w:rsidR="00387F9D" w:rsidRPr="00427489" w:rsidRDefault="00387F9D" w:rsidP="00870532">
      <w:r w:rsidRPr="00427489">
        <w:t>Automatically sets up both complex and solvent legs.</w:t>
      </w:r>
    </w:p>
    <w:p w14:paraId="06E507CC" w14:textId="77777777" w:rsidR="00387F9D" w:rsidRPr="00427489" w:rsidRDefault="00387F9D" w:rsidP="00870532">
      <w:r w:rsidRPr="00427489">
        <w:t xml:space="preserve">Handles relative ligand posture and standard-state corrections via </w:t>
      </w:r>
      <w:proofErr w:type="spellStart"/>
      <w:r w:rsidRPr="00427489">
        <w:t>Boresch</w:t>
      </w:r>
      <w:proofErr w:type="spellEnd"/>
      <w:r w:rsidRPr="00427489">
        <w:t xml:space="preserve"> restraints.</w:t>
      </w:r>
    </w:p>
    <w:p w14:paraId="3F71F14C" w14:textId="77777777" w:rsidR="00387F9D" w:rsidRPr="00427489" w:rsidRDefault="00387F9D" w:rsidP="00870532"/>
    <w:p w14:paraId="1D13F755" w14:textId="0097179F" w:rsidR="00387F9D" w:rsidRPr="00427489" w:rsidRDefault="00387F9D" w:rsidP="00870532">
      <w:r w:rsidRPr="00427489">
        <w:t>Decouples the process into Stage 1 (</w:t>
      </w:r>
      <w:proofErr w:type="spellStart"/>
      <w:r w:rsidRPr="00427489">
        <w:t>decharging</w:t>
      </w:r>
      <w:proofErr w:type="spellEnd"/>
      <w:r w:rsidRPr="00427489">
        <w:t>) and Stage 2 (van der Waals vanishing).</w:t>
      </w:r>
    </w:p>
    <w:p w14:paraId="38D08DBD" w14:textId="77777777" w:rsidR="00387F9D" w:rsidRPr="00427489" w:rsidRDefault="00387F9D" w:rsidP="00870532"/>
    <w:p w14:paraId="170B3C32" w14:textId="112E5070" w:rsidR="00387F9D" w:rsidRPr="00427489" w:rsidRDefault="00387F9D" w:rsidP="00870532">
      <w:r w:rsidRPr="00427489">
        <w:t>Employs dual-lambda schedules, ACE softcore potentials, IBS extended ensemble sampling, and TMBAR analysis for Stage 2.</w:t>
      </w:r>
    </w:p>
    <w:p w14:paraId="5A2A4B8E" w14:textId="77777777" w:rsidR="00387F9D" w:rsidRPr="00427489" w:rsidRDefault="00387F9D" w:rsidP="00870532"/>
    <w:p w14:paraId="1A633149" w14:textId="728CC041" w:rsidR="00387F9D" w:rsidRPr="00427489" w:rsidRDefault="00387F9D" w:rsidP="00870532">
      <w:r>
        <w:t>Supports: λ-path pre-optimization, LJ long-range corrections (LRC), checkpoint/resume mechanisms, non-mutating rescue protocols, and execution provenance tracking.</w:t>
      </w:r>
    </w:p>
    <w:p w14:paraId="2611D019" w14:textId="1469033C" w:rsidR="00427489" w:rsidRPr="00427489" w:rsidRDefault="00387F9D" w:rsidP="00870532">
      <w:pPr>
        <w:rPr>
          <w:rFonts w:hint="eastAsia"/>
        </w:rPr>
      </w:pPr>
      <w:r w:rsidRPr="00427489">
        <w:t>Retains extensible interfaces and experimental implementations for charged ligands, membrane systems, APBS corrections, and neural residual potentials.</w:t>
      </w:r>
    </w:p>
    <w:p w14:paraId="4DD88DAF" w14:textId="7887A759" w:rsidR="009D2B07" w:rsidRPr="00427489" w:rsidRDefault="009D2B07" w:rsidP="00870532">
      <w:r w:rsidRPr="00427489">
        <w:br w:type="page"/>
      </w:r>
    </w:p>
    <w:p>
      <w:pPr/>
    </w:p>
    <w:p>
      <w:pPr/>
      <w:r>
        <w:t>1.2 Current Scientific Conclusions</w:t>
      </w:r>
    </w:p>
    <w:p>
      <w:pPr/>
    </w:p>
    <w:p>
      <w:pPr/>
      <w:r>
        <w:t>The strongest repeatability evidence currently comes from the two current-protocol-family complex legs. Seed 20260906 and Seed 20260907 give 48.437 ± 0.436 and 48.075 ± 0.302 kcal/mol, respectively. Their absolute difference is 0.362 kcal/mol, approximately 0.68 combined standard errors. This is a strong positive signal for repeatability of the total complex leg under the repaired current protocol family.</w:t>
      </w:r>
    </w:p>
    <w:p>
      <w:pPr/>
      <w:r>
        <w:t>This conclusion is deliberately restricted to the total complex leg. The decharging, vdW, and net Boresch components move by larger amounts and partially compensate. Seed 20260906 also lacks a completed solvent leg, so the present evidence does not establish equally strong repeatability of the full binding cycle.</w:t>
      </w:r>
    </w:p>
    <w:p>
      <w:pPr/>
      <w:r>
        <w:t>The historical output_lrc_fix binding artifact (−5.536 ± 0.601 kcal/mol) and Seed 20260907 (−11.927 ± 0.415 kcal/mol) belong to different protocol/provenance identities. Their 6.391 kcal/mol separation is therefore a cross-identity discrepancy, not a seed-only variance estimate. No final publication-ready Atenolol scalar is selected from these two artifacts.</w:t>
      </w:r>
    </w:p>
    <w:p>
      <w:pPr/>
    </w:p>
    <w:p>
      <w:pPr/>
      <w:r>
        <w:t>1.3 Current Route and Stage Decisions</w:t>
      </w:r>
    </w:p>
    <w:p>
      <w:pP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Route / item</w:t>
            </w:r>
          </w:p>
        </w:tc>
        <w:tc>
          <w:tcPr>
            <w:tcW w:type="dxa" w:w="2769"/>
            <w:vAlign w:val="center"/>
          </w:tcPr>
          <w:p>
            <w:pPr/>
            <w:r>
              <w:rPr>
                <w:b/>
              </w:rPr>
              <w:t>Current evidence</w:t>
            </w:r>
          </w:p>
        </w:tc>
        <w:tc>
          <w:tcPr>
            <w:tcW w:type="dxa" w:w="2769"/>
            <w:vAlign w:val="center"/>
          </w:tcPr>
          <w:p>
            <w:pPr/>
            <w:r>
              <w:rPr>
                <w:b/>
              </w:rPr>
              <w:t>Stage decision</w:t>
            </w:r>
          </w:p>
        </w:tc>
      </w:tr>
      <w:tr>
        <w:tc>
          <w:tcPr>
            <w:tcW w:type="dxa" w:w="2769"/>
            <w:vAlign w:val="center"/>
          </w:tcPr>
          <w:p>
            <w:pPr/>
            <w:r>
              <w:t>Soluble production baseline</w:t>
            </w:r>
          </w:p>
        </w:tc>
        <w:tc>
          <w:tcPr>
            <w:tcW w:type="dxa" w:w="2769"/>
            <w:vAlign w:val="center"/>
          </w:tcPr>
          <w:p>
            <w:pPr/>
            <w:r>
              <w:t>dual-λ + PME + ACE softcore + IBS v29/TMBAR + Boresch + soluble LRC</w:t>
            </w:r>
          </w:p>
        </w:tc>
        <w:tc>
          <w:tcPr>
            <w:tcW w:type="dxa" w:w="2769"/>
            <w:vAlign w:val="center"/>
          </w:tcPr>
          <w:p>
            <w:pPr/>
            <w:r>
              <w:t>Retain as mainline; prioritize same-protocol independent repeats</w:t>
            </w:r>
          </w:p>
        </w:tc>
      </w:tr>
      <w:tr>
        <w:tc>
          <w:tcPr>
            <w:tcW w:type="dxa" w:w="2769"/>
            <w:vAlign w:val="center"/>
          </w:tcPr>
          <w:p>
            <w:pPr/>
            <w:r>
              <w:t>Current complex-leg repeatability</w:t>
            </w:r>
          </w:p>
        </w:tc>
        <w:tc>
          <w:tcPr>
            <w:tcW w:type="dxa" w:w="2769"/>
            <w:vAlign w:val="center"/>
          </w:tcPr>
          <w:p>
            <w:pPr/>
            <w:r>
              <w:t>48.437 ± 0.436 vs 48.075 ± 0.302 kcal/mol</w:t>
            </w:r>
          </w:p>
        </w:tc>
        <w:tc>
          <w:tcPr>
            <w:tcW w:type="dxa" w:w="2769"/>
            <w:vAlign w:val="center"/>
          </w:tcPr>
          <w:p>
            <w:pPr/>
            <w:r>
              <w:t>Strong positive stability signal; do not equate with full-cycle qualification</w:t>
            </w:r>
          </w:p>
        </w:tc>
      </w:tr>
      <w:tr>
        <w:tc>
          <w:tcPr>
            <w:tcW w:type="dxa" w:w="2769"/>
            <w:vAlign w:val="center"/>
          </w:tcPr>
          <w:p>
            <w:pPr/>
            <w:r>
              <w:t>Charged-ligand extension</w:t>
            </w:r>
          </w:p>
        </w:tc>
        <w:tc>
          <w:tcPr>
            <w:tcW w:type="dxa" w:w="2769"/>
            <w:vAlign w:val="center"/>
          </w:tcPr>
          <w:p>
            <w:pPr/>
            <w:r>
              <w:t>C1/C2/C3 seam and real endpoint validation passed</w:t>
            </w:r>
          </w:p>
        </w:tc>
        <w:tc>
          <w:tcPr>
            <w:tcW w:type="dxa" w:w="2769"/>
            <w:vAlign w:val="center"/>
          </w:tcPr>
          <w:p>
            <w:pPr/>
            <w:r>
              <w:t>Engineering qualification advanced; full charged ABFE cycle still open</w:t>
            </w:r>
          </w:p>
        </w:tc>
      </w:tr>
      <w:tr>
        <w:tc>
          <w:tcPr>
            <w:tcW w:type="dxa" w:w="2769"/>
            <w:vAlign w:val="center"/>
          </w:tcPr>
          <w:p>
            <w:pPr/>
            <w:r>
              <w:t>Membrane extension</w:t>
            </w:r>
          </w:p>
        </w:tc>
        <w:tc>
          <w:tcPr>
            <w:tcW w:type="dxa" w:w="2769"/>
            <w:vAlign w:val="center"/>
          </w:tcPr>
          <w:p>
            <w:pPr/>
            <w:r>
              <w:t>Neutral 5 ns smoke completed; historical long path invalidated by topology loss</w:t>
            </w:r>
          </w:p>
        </w:tc>
        <w:tc>
          <w:tcPr>
            <w:tcW w:type="dxa" w:w="2769"/>
            <w:vAlign w:val="center"/>
          </w:tcPr>
          <w:p>
            <w:pPr/>
            <w:r>
              <w:t>Do not promote; rerun production-length path after repair</w:t>
            </w:r>
          </w:p>
        </w:tc>
      </w:tr>
      <w:tr>
        <w:tc>
          <w:tcPr>
            <w:tcW w:type="dxa" w:w="2769"/>
            <w:vAlign w:val="center"/>
          </w:tcPr>
          <w:p>
            <w:pPr/>
            <w:r>
              <w:t>MACE-informed DEXP</w:t>
            </w:r>
          </w:p>
        </w:tc>
        <w:tc>
          <w:tcPr>
            <w:tcW w:type="dxa" w:w="2769"/>
            <w:vAlign w:val="center"/>
          </w:tcPr>
          <w:p>
            <w:pPr/>
            <w:r>
              <w:t>Single-system local projection/force/Hessian signal positive</w:t>
            </w:r>
          </w:p>
        </w:tc>
        <w:tc>
          <w:tcPr>
            <w:tcW w:type="dxa" w:w="2769"/>
            <w:vAlign w:val="center"/>
          </w:tcPr>
          <w:p>
            <w:pPr/>
            <w:r>
              <w:t>Independent potential-family study; not production ABFE</w:t>
            </w:r>
          </w:p>
        </w:tc>
      </w:tr>
      <w:tr>
        <w:tc>
          <w:tcPr>
            <w:tcW w:type="dxa" w:w="2769"/>
            <w:vAlign w:val="center"/>
          </w:tcPr>
          <w:p>
            <w:pPr/>
            <w:r>
              <w:t>Route 2 fixed-target residual</w:t>
            </w:r>
          </w:p>
        </w:tc>
        <w:tc>
          <w:tcPr>
            <w:tcW w:type="dxa" w:w="2769"/>
            <w:vAlign w:val="center"/>
          </w:tcPr>
          <w:p>
            <w:pPr/>
            <w:r>
              <w:t>Offline representation + dedicated CUDA correctness/cost evidence</w:t>
            </w:r>
          </w:p>
        </w:tc>
        <w:tc>
          <w:tcPr>
            <w:tcW w:type="dxa" w:w="2769"/>
            <w:vAlign w:val="center"/>
          </w:tcPr>
          <w:p>
            <w:pPr/>
            <w:r>
              <w:t>EXP-029 is the decisive next experiment; production entry not wired</w:t>
            </w:r>
          </w:p>
        </w:tc>
      </w:tr>
      <w:tr>
        <w:tc>
          <w:tcPr>
            <w:tcW w:type="dxa" w:w="2769"/>
            <w:vAlign w:val="center"/>
          </w:tcPr>
          <w:p>
            <w:pPr/>
            <w:r>
              <w:t>Route 1 / EDS / λ-EDS</w:t>
            </w:r>
          </w:p>
        </w:tc>
        <w:tc>
          <w:tcPr>
            <w:tcW w:type="dxa" w:w="2769"/>
            <w:vAlign w:val="center"/>
          </w:tcPr>
          <w:p>
            <w:pPr/>
            <w:r>
              <w:t>Endpoint-constrained path design remains a separate research space</w:t>
            </w:r>
          </w:p>
        </w:tc>
        <w:tc>
          <w:tcPr>
            <w:tcW w:type="dxa" w:w="2769"/>
            <w:vAlign w:val="center"/>
          </w:tcPr>
          <w:p>
            <w:pPr/>
            <w:r>
              <w:t>Keep separate from Route 2 and current target identity</w:t>
            </w:r>
          </w:p>
        </w:tc>
      </w:tr>
    </w:tbl>
    <w:p>
      <w:pPr/>
    </w:p>
    <w:p w14:paraId="66EB4BC8" w14:textId="0D65F40A" w:rsidR="00427489" w:rsidRDefault="002439C2" w:rsidP="00870532">
      <w:r>
        <w:rPr>
          <w:rFonts w:hint="eastAsia"/>
        </w:rPr>
        <w:lastRenderedPageBreak/>
        <w:t xml:space="preserve">2 </w:t>
      </w:r>
      <w:r w:rsidR="00427489" w:rsidRPr="00427489">
        <w:t>Scientific Question and Thermodynamic Cycle</w:t>
      </w:r>
    </w:p>
    <w:p w14:paraId="51B7471F" w14:textId="6541AAEA" w:rsidR="00427489" w:rsidRDefault="00427489" w:rsidP="00870532">
      <w:r w:rsidRPr="00427489">
        <w:t xml:space="preserve">The </w:t>
      </w:r>
      <w:r>
        <w:rPr>
          <w:rFonts w:hint="eastAsia"/>
        </w:rPr>
        <w:t xml:space="preserve">rest of this report </w:t>
      </w:r>
      <w:r w:rsidRPr="00427489">
        <w:t>follows the actual pipeline in order. Machine-learning software, the MACE/</w:t>
      </w:r>
      <w:proofErr w:type="spellStart"/>
      <w:r w:rsidRPr="00427489">
        <w:t>TorchForce</w:t>
      </w:r>
      <w:proofErr w:type="spellEnd"/>
      <w:r w:rsidRPr="00427489">
        <w:t xml:space="preserve"> history, the dedicated CUDA backend, and the local many-body residual are no longer interleaved with the main workflow; they are consolidated in the final chapter.</w:t>
      </w:r>
    </w:p>
    <w:p w14:paraId="219F6B5A" w14:textId="5998E220" w:rsidR="002439C2" w:rsidRDefault="002439C2" w:rsidP="00870532">
      <w:pPr>
        <w:rPr>
          <w:rFonts w:hint="eastAsia"/>
        </w:rPr>
      </w:pPr>
      <w:r>
        <w:t>I</w:t>
      </w:r>
      <w:r>
        <w:rPr>
          <w:rFonts w:hint="eastAsia"/>
        </w:rPr>
        <w:t>n our research t</w:t>
      </w:r>
      <w:r w:rsidRPr="002439C2">
        <w:t xml:space="preserve">he main challenges are short-range endpoint singularities, overlap between neighboring states, slow ion/water/side-chain reorganization, </w:t>
      </w:r>
      <w:proofErr w:type="spellStart"/>
      <w:r w:rsidRPr="002439C2">
        <w:t>Boresch</w:t>
      </w:r>
      <w:proofErr w:type="spellEnd"/>
      <w:r w:rsidRPr="002439C2">
        <w:t xml:space="preserve"> attachment and release, PME charge treatment, LJ long-range corrections, distribution identity after resume, and underestimation of between-run variance by single-run covariance.</w:t>
      </w:r>
    </w:p>
    <w:p w14:paraId="78237460" w14:textId="53D8BD51" w:rsidR="005875BB" w:rsidRPr="005875BB" w:rsidRDefault="005875BB" w:rsidP="00870532">
      <w:pPr>
        <w:rPr>
          <w:rFonts w:ascii="Cambria Math" w:hAnsi="Cambria Math"/>
          <w:i/>
          <w:color w:val="666666"/>
        </w:rPr>
      </w:pPr>
      <m:oMathPara>
        <m:oMath>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complex</m:t>
              </m:r>
            </m:sub>
          </m:sSub>
          <m:r>
            <w:rPr>
              <w:rFonts w:ascii="Cambria Math" w:hAnsi="Cambria Math"/>
              <w:color w:val="666666"/>
            </w:rPr>
            <m:t>=</m:t>
          </m:r>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attach</m:t>
              </m:r>
            </m:sub>
          </m:sSub>
          <m:r>
            <w:rPr>
              <w:rFonts w:ascii="Cambria Math" w:hAnsi="Cambria Math"/>
              <w:color w:val="666666"/>
            </w:rPr>
            <m:t>+</m:t>
          </m:r>
          <m:r>
            <m:rPr>
              <m:sty m:val="p"/>
            </m:rPr>
            <w:rPr>
              <w:rFonts w:ascii="Cambria Math" w:hAnsi="Cambria Math"/>
              <w:color w:val="666666"/>
            </w:rPr>
            <m:t>Δ</m:t>
          </m:r>
          <m:sSubSup>
            <m:sSubSupPr>
              <m:ctrlPr>
                <w:rPr>
                  <w:rFonts w:ascii="Cambria Math" w:hAnsi="Cambria Math"/>
                  <w:color w:val="666666"/>
                </w:rPr>
              </m:ctrlPr>
            </m:sSubSupPr>
            <m:e>
              <m:r>
                <w:rPr>
                  <w:rFonts w:ascii="Cambria Math" w:hAnsi="Cambria Math"/>
                  <w:color w:val="666666"/>
                </w:rPr>
                <m:t>G</m:t>
              </m:r>
            </m:e>
            <m:sub>
              <m:r>
                <m:rPr>
                  <m:sty m:val="p"/>
                </m:rPr>
                <w:rPr>
                  <w:rFonts w:ascii="Cambria Math" w:hAnsi="Cambria Math"/>
                  <w:color w:val="666666"/>
                </w:rPr>
                <m:t>decharge</m:t>
              </m:r>
            </m:sub>
            <m:sup>
              <m:r>
                <m:rPr>
                  <m:sty m:val="p"/>
                </m:rPr>
                <w:rPr>
                  <w:rFonts w:ascii="Cambria Math" w:hAnsi="Cambria Math"/>
                  <w:color w:val="666666"/>
                </w:rPr>
                <m:t>complex</m:t>
              </m:r>
            </m:sup>
          </m:sSubSup>
          <m:r>
            <w:rPr>
              <w:rFonts w:ascii="Cambria Math" w:hAnsi="Cambria Math"/>
              <w:color w:val="666666"/>
            </w:rPr>
            <m:t>+</m:t>
          </m:r>
          <m:r>
            <m:rPr>
              <m:sty m:val="p"/>
            </m:rPr>
            <w:rPr>
              <w:rFonts w:ascii="Cambria Math" w:hAnsi="Cambria Math"/>
              <w:color w:val="666666"/>
            </w:rPr>
            <m:t>Δ</m:t>
          </m:r>
          <m:sSubSup>
            <m:sSubSupPr>
              <m:ctrlPr>
                <w:rPr>
                  <w:rFonts w:ascii="Cambria Math" w:hAnsi="Cambria Math"/>
                  <w:color w:val="666666"/>
                </w:rPr>
              </m:ctrlPr>
            </m:sSubSupPr>
            <m:e>
              <m:r>
                <w:rPr>
                  <w:rFonts w:ascii="Cambria Math" w:hAnsi="Cambria Math"/>
                  <w:color w:val="666666"/>
                </w:rPr>
                <m:t>G</m:t>
              </m:r>
            </m:e>
            <m:sub>
              <m:r>
                <m:rPr>
                  <m:sty m:val="p"/>
                </m:rPr>
                <w:rPr>
                  <w:rFonts w:ascii="Cambria Math" w:hAnsi="Cambria Math"/>
                  <w:color w:val="666666"/>
                </w:rPr>
                <m:t>vdW</m:t>
              </m:r>
            </m:sub>
            <m:sup>
              <m:r>
                <m:rPr>
                  <m:sty m:val="p"/>
                </m:rPr>
                <w:rPr>
                  <w:rFonts w:ascii="Cambria Math" w:hAnsi="Cambria Math"/>
                  <w:color w:val="666666"/>
                </w:rPr>
                <m:t>complex</m:t>
              </m:r>
            </m:sup>
          </m:sSubSup>
          <m:r>
            <w:rPr>
              <w:rFonts w:ascii="Cambria Math" w:hAnsi="Cambria Math"/>
              <w:color w:val="666666"/>
            </w:rPr>
            <m:t>+</m:t>
          </m:r>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release</m:t>
              </m:r>
            </m:sub>
          </m:sSub>
          <m:r>
            <w:rPr>
              <w:rFonts w:ascii="Cambria Math" w:hAnsi="Cambria Math"/>
              <w:color w:val="666666"/>
            </w:rPr>
            <m:t>+</m:t>
          </m:r>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constraint</m:t>
              </m:r>
            </m:sub>
          </m:sSub>
        </m:oMath>
      </m:oMathPara>
    </w:p>
    <w:p w14:paraId="2CC07A67" w14:textId="17B92425" w:rsidR="00870532" w:rsidRPr="00870532" w:rsidRDefault="00870532" w:rsidP="00870532">
      <w:pPr>
        <w:rPr>
          <w:i/>
        </w:rPr>
      </w:pPr>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solvent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APBS</m:t>
              </m:r>
            </m:sub>
          </m:sSub>
        </m:oMath>
      </m:oMathPara>
    </w:p>
    <w:p w14:paraId="049BC52F" w14:textId="1BB5FE4E" w:rsidR="00870532" w:rsidRDefault="002439C2" w:rsidP="00870532">
      <w:r>
        <w:rPr>
          <w:rFonts w:hint="eastAsia"/>
        </w:rPr>
        <w:t xml:space="preserve">2.1 </w:t>
      </w:r>
      <w:r w:rsidRPr="002439C2">
        <w:t>Complex leg</w:t>
      </w:r>
    </w:p>
    <w:p w14:paraId="607C9565" w14:textId="77777777" w:rsidR="00104C64" w:rsidRDefault="002439C2" w:rsidP="00870532">
      <w:r w:rsidRPr="002439C2">
        <w:t xml:space="preserve">The complex leg contains sampled </w:t>
      </w:r>
      <w:proofErr w:type="spellStart"/>
      <w:r w:rsidRPr="002439C2">
        <w:t>Boresch</w:t>
      </w:r>
      <w:proofErr w:type="spellEnd"/>
      <w:r w:rsidRPr="002439C2">
        <w:t xml:space="preserve"> attachment, Stage 1 PME </w:t>
      </w:r>
      <w:proofErr w:type="spellStart"/>
      <w:r w:rsidRPr="002439C2">
        <w:t>decharging</w:t>
      </w:r>
      <w:proofErr w:type="spellEnd"/>
      <w:r w:rsidRPr="002439C2">
        <w:t>, Stage 2 van der Waals vanishing, and analytical standard-state release. Attachment and release are distinct physical operations and must not be merged or counted twice.</w:t>
      </w:r>
    </w:p>
    <w:p w14:paraId="2F8BF90B" w14:textId="057A89AE" w:rsidR="002439C2" w:rsidRDefault="002439C2" w:rsidP="00870532">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complex</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attach</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decharge</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vdW</m:t>
              </m:r>
            </m:sub>
            <m:sup>
              <m:r>
                <m:rPr>
                  <m:sty m:val="p"/>
                </m:rPr>
                <w:rPr>
                  <w:rFonts w:ascii="Cambria Math" w:hAnsi="Cambria Math"/>
                </w:rPr>
                <m:t>complex</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release</m:t>
              </m:r>
            </m:sub>
          </m:sSub>
          <m:r>
            <w:rPr>
              <w:rFonts w:ascii="Cambria Math" w:hAnsi="Cambria Math"/>
              <w:i/>
              <w:color w:val="666666"/>
            </w:rPr>
            <w:br/>
          </m:r>
        </m:oMath>
      </m:oMathPara>
      <w:r w:rsidR="00104C64">
        <w:rPr>
          <w:rFonts w:hint="eastAsia"/>
        </w:rPr>
        <w:t xml:space="preserve">2.2 </w:t>
      </w:r>
      <w:r w:rsidR="00104C64" w:rsidRPr="00104C64">
        <w:t>Solvent leg</w:t>
      </w:r>
    </w:p>
    <w:p w14:paraId="32CE09B3" w14:textId="5E0B32D5" w:rsidR="00104C64" w:rsidRDefault="00104C64" w:rsidP="00870532">
      <w:r w:rsidRPr="00104C64">
        <w:t xml:space="preserve">The solvent leg contains ligand </w:t>
      </w:r>
      <w:proofErr w:type="spellStart"/>
      <w:r w:rsidRPr="00104C64">
        <w:t>decharging</w:t>
      </w:r>
      <w:proofErr w:type="spellEnd"/>
      <w:r w:rsidRPr="00104C64">
        <w:t xml:space="preserve"> and vanishing in water without a </w:t>
      </w:r>
      <w:proofErr w:type="spellStart"/>
      <w:r w:rsidRPr="00104C64">
        <w:t>Boresch</w:t>
      </w:r>
      <w:proofErr w:type="spellEnd"/>
      <w:r w:rsidRPr="00104C64">
        <w:t xml:space="preserve"> restraint. Its topology, box, energy matrix, and provenance must remain independent from the complex leg.</w:t>
      </w:r>
    </w:p>
    <w:p w14:paraId="090E803A" w14:textId="244D082B" w:rsidR="00104C64" w:rsidRDefault="005875BB" w:rsidP="00870532">
      <w:r w:rsidRPr="005875BB">
        <w:rPr>
          <w:rFonts w:ascii="Cambria Math" w:hAnsi="Cambria Math"/>
          <w:i/>
          <w:color w:val="666666"/>
        </w:rPr>
        <w:br/>
      </w:r>
      <m:oMathPara>
        <m:oMath>
          <m:r>
            <m:rPr>
              <m:sty m:val="p"/>
            </m:rPr>
            <w:rPr>
              <w:rFonts w:ascii="Cambria Math" w:hAnsi="Cambria Math"/>
              <w:color w:val="666666"/>
            </w:rPr>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solvent</m:t>
              </m:r>
            </m:sub>
          </m:sSub>
          <m:r>
            <w:rPr>
              <w:rFonts w:ascii="Cambria Math" w:hAnsi="Cambria Math"/>
              <w:color w:val="666666"/>
            </w:rPr>
            <m:t>=</m:t>
          </m:r>
          <m:r>
            <m:rPr>
              <m:sty m:val="p"/>
            </m:rPr>
            <w:rPr>
              <w:rFonts w:ascii="Cambria Math" w:hAnsi="Cambria Math"/>
              <w:color w:val="666666"/>
            </w:rPr>
            <m:t>Δ</m:t>
          </m:r>
          <m:sSubSup>
            <m:sSubSupPr>
              <m:ctrlPr>
                <w:rPr>
                  <w:rFonts w:ascii="Cambria Math" w:hAnsi="Cambria Math"/>
                  <w:color w:val="666666"/>
                </w:rPr>
              </m:ctrlPr>
            </m:sSubSupPr>
            <m:e>
              <m:r>
                <w:rPr>
                  <w:rFonts w:ascii="Cambria Math" w:hAnsi="Cambria Math"/>
                  <w:color w:val="666666"/>
                </w:rPr>
                <m:t>G</m:t>
              </m:r>
            </m:e>
            <m:sub>
              <m:r>
                <m:rPr>
                  <m:sty m:val="p"/>
                </m:rPr>
                <w:rPr>
                  <w:rFonts w:ascii="Cambria Math" w:hAnsi="Cambria Math"/>
                  <w:color w:val="666666"/>
                </w:rPr>
                <m:t>decharge</m:t>
              </m:r>
            </m:sub>
            <m:sup>
              <m:r>
                <m:rPr>
                  <m:sty m:val="p"/>
                </m:rPr>
                <w:rPr>
                  <w:rFonts w:ascii="Cambria Math" w:hAnsi="Cambria Math"/>
                  <w:color w:val="666666"/>
                </w:rPr>
                <m:t>solvent</m:t>
              </m:r>
            </m:sup>
          </m:sSubSup>
          <m:r>
            <w:rPr>
              <w:rFonts w:ascii="Cambria Math" w:hAnsi="Cambria Math"/>
              <w:color w:val="666666"/>
            </w:rPr>
            <m:t>+</m:t>
          </m:r>
          <m:r>
            <m:rPr>
              <m:sty m:val="p"/>
            </m:rPr>
            <w:rPr>
              <w:rFonts w:ascii="Cambria Math" w:hAnsi="Cambria Math"/>
              <w:color w:val="666666"/>
            </w:rPr>
            <m:t>Δ</m:t>
          </m:r>
          <m:sSubSup>
            <m:sSubSupPr>
              <m:ctrlPr>
                <w:rPr>
                  <w:rFonts w:ascii="Cambria Math" w:hAnsi="Cambria Math"/>
                  <w:color w:val="666666"/>
                </w:rPr>
              </m:ctrlPr>
            </m:sSubSupPr>
            <m:e>
              <m:r>
                <w:rPr>
                  <w:rFonts w:ascii="Cambria Math" w:hAnsi="Cambria Math"/>
                  <w:color w:val="666666"/>
                </w:rPr>
                <m:t>G</m:t>
              </m:r>
            </m:e>
            <m:sub>
              <m:r>
                <m:rPr>
                  <m:sty m:val="p"/>
                </m:rPr>
                <w:rPr>
                  <w:rFonts w:ascii="Cambria Math" w:hAnsi="Cambria Math"/>
                  <w:color w:val="666666"/>
                </w:rPr>
                <m:t>vdW</m:t>
              </m:r>
            </m:sub>
            <m:sup>
              <m:r>
                <m:rPr>
                  <m:sty m:val="p"/>
                </m:rPr>
                <w:rPr>
                  <w:rFonts w:ascii="Cambria Math" w:hAnsi="Cambria Math"/>
                  <w:color w:val="666666"/>
                </w:rPr>
                <m:t>solvent</m:t>
              </m:r>
            </m:sup>
          </m:sSubSup>
          <m:r>
            <w:rPr>
              <w:rFonts w:ascii="Cambria Math" w:hAnsi="Cambria Math"/>
              <w:color w:val="666666"/>
            </w:rPr>
            <m:t>.</m:t>
          </m:r>
          <m:r>
            <w:rPr>
              <w:rFonts w:ascii="Cambria Math" w:hAnsi="Cambria Math"/>
              <w:i/>
              <w:color w:val="666666"/>
            </w:rPr>
            <w:br/>
          </m:r>
        </m:oMath>
      </m:oMathPara>
      <w:r w:rsidRPr="005875BB">
        <w:t xml:space="preserve">The solvent leg contains ligand </w:t>
      </w:r>
      <w:proofErr w:type="spellStart"/>
      <w:r w:rsidRPr="005875BB">
        <w:t>decharging</w:t>
      </w:r>
      <w:proofErr w:type="spellEnd"/>
      <w:r w:rsidRPr="005875BB">
        <w:t xml:space="preserve"> and vanishing in water without a </w:t>
      </w:r>
      <w:proofErr w:type="spellStart"/>
      <w:r w:rsidRPr="005875BB">
        <w:t>Boresch</w:t>
      </w:r>
      <w:proofErr w:type="spellEnd"/>
      <w:r w:rsidRPr="005875BB">
        <w:t xml:space="preserve"> restraint. Its topology, box, energy matrix, and provenance must remain independent from the complex leg.</w:t>
      </w:r>
    </w:p>
    <w:p w14:paraId="2578099C" w14:textId="0A628D61" w:rsidR="005875BB" w:rsidRDefault="005875BB" w:rsidP="00870532">
      <w:pPr>
        <w:rPr>
          <w:rFonts w:hint="eastAsia"/>
        </w:rPr>
      </w:pPr>
      <w:r>
        <w:rPr>
          <w:rFonts w:hint="eastAsia"/>
        </w:rPr>
        <w:t>2.3</w:t>
      </w:r>
    </w:p>
    <w:p w14:paraId="37371625" w14:textId="2AF813F4" w:rsidR="005875BB" w:rsidRDefault="005875BB" w:rsidP="00870532">
      <w:r w:rsidRPr="005875BB">
        <w:t>Computational Pipeline, Data Flow, and Immutable Interfaces</w:t>
      </w:r>
    </w:p>
    <w:p w14:paraId="1AE976D7" w14:textId="3C8910E4" w:rsidR="005875BB" w:rsidRDefault="005875BB" w:rsidP="00870532"/>
    <w:p w14:paraId="5CBCA0C5" w14:textId="77777777" w:rsidR="005875BB" w:rsidRDefault="005875BB" w:rsidP="005875BB">
      <w:proofErr w:type="gramStart"/>
      <w:r>
        <w:t>GROMACS .</w:t>
      </w:r>
      <w:proofErr w:type="spellStart"/>
      <w:r>
        <w:t>gro</w:t>
      </w:r>
      <w:proofErr w:type="spellEnd"/>
      <w:r>
        <w:t>/.top</w:t>
      </w:r>
      <w:proofErr w:type="gramEnd"/>
      <w:r>
        <w:t xml:space="preserve"> + ligand identity</w:t>
      </w:r>
    </w:p>
    <w:p w14:paraId="4B707F68" w14:textId="77777777" w:rsidR="005875BB" w:rsidRDefault="005875BB" w:rsidP="005875BB">
      <w:r>
        <w:lastRenderedPageBreak/>
        <w:t xml:space="preserve">  -&gt; include/topology parsing and </w:t>
      </w:r>
      <w:proofErr w:type="spellStart"/>
      <w:r>
        <w:t>OpenMM</w:t>
      </w:r>
      <w:proofErr w:type="spellEnd"/>
      <w:r>
        <w:t xml:space="preserve"> System cache</w:t>
      </w:r>
    </w:p>
    <w:p w14:paraId="35D48A74" w14:textId="77777777" w:rsidR="005875BB" w:rsidRDefault="005875BB" w:rsidP="005875BB">
      <w:r>
        <w:t xml:space="preserve">  -&gt; complex and solvent construction</w:t>
      </w:r>
    </w:p>
    <w:p w14:paraId="35D05D88" w14:textId="77777777" w:rsidR="005875BB" w:rsidRDefault="005875BB" w:rsidP="005875BB">
      <w:r>
        <w:t xml:space="preserve">  -&gt; </w:t>
      </w:r>
      <w:proofErr w:type="spellStart"/>
      <w:r>
        <w:t>Boresch</w:t>
      </w:r>
      <w:proofErr w:type="spellEnd"/>
      <w:r>
        <w:t xml:space="preserve"> setup for complex</w:t>
      </w:r>
    </w:p>
    <w:p w14:paraId="15A0F8A2" w14:textId="77777777" w:rsidR="005875BB" w:rsidRDefault="005875BB" w:rsidP="005875BB">
      <w:r>
        <w:t xml:space="preserve">  -&gt; Stage 1 PME </w:t>
      </w:r>
      <w:proofErr w:type="spellStart"/>
      <w:r>
        <w:t>decharging</w:t>
      </w:r>
      <w:proofErr w:type="spellEnd"/>
    </w:p>
    <w:p w14:paraId="5B6F2A9A" w14:textId="77777777" w:rsidR="005875BB" w:rsidRDefault="005875BB" w:rsidP="005875BB">
      <w:r>
        <w:t xml:space="preserve">  -&gt; static-neutral handoff</w:t>
      </w:r>
    </w:p>
    <w:p w14:paraId="52C24849" w14:textId="77777777" w:rsidR="005875BB" w:rsidRDefault="005875BB" w:rsidP="005875BB">
      <w:r>
        <w:t xml:space="preserve">  -&gt; Stage 2 ACE-softcore + IBS</w:t>
      </w:r>
    </w:p>
    <w:p w14:paraId="025BF968" w14:textId="77777777" w:rsidR="005875BB" w:rsidRDefault="005875BB" w:rsidP="005875BB">
      <w:r>
        <w:t xml:space="preserve">  -&gt; local TMBAR/MBAR + LRC</w:t>
      </w:r>
    </w:p>
    <w:p w14:paraId="1D7BB8F1" w14:textId="77777777" w:rsidR="005875BB" w:rsidRDefault="005875BB" w:rsidP="005875BB">
      <w:r>
        <w:t xml:space="preserve">  -&gt; </w:t>
      </w:r>
      <w:proofErr w:type="spellStart"/>
      <w:r>
        <w:t>Boresch</w:t>
      </w:r>
      <w:proofErr w:type="spellEnd"/>
      <w:r>
        <w:t xml:space="preserve"> release + optional APBS</w:t>
      </w:r>
    </w:p>
    <w:p w14:paraId="2E72A4D6" w14:textId="77777777" w:rsidR="005875BB" w:rsidRDefault="005875BB" w:rsidP="005875BB">
      <w:r>
        <w:t xml:space="preserve">  -&gt; </w:t>
      </w:r>
      <w:proofErr w:type="spellStart"/>
      <w:r>
        <w:t>final_binding_</w:t>
      </w:r>
      <w:proofErr w:type="gramStart"/>
      <w:r>
        <w:t>results.json</w:t>
      </w:r>
      <w:proofErr w:type="spellEnd"/>
      <w:proofErr w:type="gramEnd"/>
      <w:r>
        <w:t xml:space="preserve"> + provenance</w:t>
      </w:r>
    </w:p>
    <w:p w14:paraId="55E067A2" w14:textId="77777777" w:rsidR="00F169A1" w:rsidRDefault="00F169A1" w:rsidP="005875BB"/>
    <w:p w14:paraId="77B8130F" w14:textId="3BFF4C5F" w:rsidR="00F169A1" w:rsidRDefault="00F169A1" w:rsidP="00F169A1">
      <w:pPr>
        <w:rPr>
          <w:rFonts w:hint="eastAsia"/>
        </w:rPr>
      </w:pPr>
      <w:r>
        <w:rPr>
          <w:rFonts w:hint="eastAsia"/>
        </w:rPr>
        <w:t xml:space="preserve">| </w:t>
      </w:r>
      <w:r>
        <w:rPr>
          <w:rFonts w:hint="eastAsia"/>
        </w:rPr>
        <w:t>stage</w:t>
      </w:r>
      <w:r>
        <w:rPr>
          <w:rFonts w:hint="eastAsia"/>
        </w:rPr>
        <w:t xml:space="preserve"> / Step | Complex leg | Solvent leg </w:t>
      </w:r>
      <w:proofErr w:type="gramStart"/>
      <w:r>
        <w:rPr>
          <w:rFonts w:hint="eastAsia"/>
        </w:rPr>
        <w:t xml:space="preserve">| </w:t>
      </w:r>
      <w:r>
        <w:rPr>
          <w:rFonts w:hint="eastAsia"/>
        </w:rPr>
        <w:t>关键输入</w:t>
      </w:r>
      <w:r>
        <w:rPr>
          <w:rFonts w:hint="eastAsia"/>
        </w:rPr>
        <w:t xml:space="preserve"> / </w:t>
      </w:r>
      <w:proofErr w:type="gramEnd"/>
      <w:r>
        <w:rPr>
          <w:rFonts w:hint="eastAsia"/>
        </w:rPr>
        <w:t xml:space="preserve">Key input </w:t>
      </w:r>
      <w:proofErr w:type="gramStart"/>
      <w:r>
        <w:rPr>
          <w:rFonts w:hint="eastAsia"/>
        </w:rPr>
        <w:t xml:space="preserve">| </w:t>
      </w:r>
      <w:r>
        <w:rPr>
          <w:rFonts w:hint="eastAsia"/>
        </w:rPr>
        <w:t>关键输出</w:t>
      </w:r>
      <w:r>
        <w:rPr>
          <w:rFonts w:hint="eastAsia"/>
        </w:rPr>
        <w:t xml:space="preserve"> / </w:t>
      </w:r>
      <w:proofErr w:type="gramEnd"/>
      <w:r>
        <w:rPr>
          <w:rFonts w:hint="eastAsia"/>
        </w:rPr>
        <w:t>Key output |</w:t>
      </w:r>
    </w:p>
    <w:p w14:paraId="472A144F" w14:textId="77777777" w:rsidR="00F169A1" w:rsidRDefault="00F169A1" w:rsidP="00F169A1">
      <w:r>
        <w:t xml:space="preserve">| Stage 0 | </w:t>
      </w:r>
      <w:proofErr w:type="spellStart"/>
      <w:r>
        <w:t>Boresch</w:t>
      </w:r>
      <w:proofErr w:type="spellEnd"/>
      <w:r>
        <w:t xml:space="preserve"> attachment | not used | pose, anchors, equilibrium geometry | restrained complex and attachment work |</w:t>
      </w:r>
    </w:p>
    <w:p w14:paraId="3459F9A2" w14:textId="77777777" w:rsidR="00F169A1" w:rsidRDefault="00F169A1" w:rsidP="00F169A1">
      <w:r>
        <w:t xml:space="preserve">| Stage 1 | PME </w:t>
      </w:r>
      <w:proofErr w:type="spellStart"/>
      <w:r>
        <w:t>decharging</w:t>
      </w:r>
      <w:proofErr w:type="spellEnd"/>
      <w:r>
        <w:t xml:space="preserve"> | PME </w:t>
      </w:r>
      <w:proofErr w:type="spellStart"/>
      <w:r>
        <w:t>decharging</w:t>
      </w:r>
      <w:proofErr w:type="spellEnd"/>
      <w:r>
        <w:t xml:space="preserve"> | charged ligand with full </w:t>
      </w:r>
      <w:proofErr w:type="spellStart"/>
      <w:r>
        <w:t>vdW</w:t>
      </w:r>
      <w:proofErr w:type="spellEnd"/>
      <w:r>
        <w:t xml:space="preserve"> | static-neutral handoff |</w:t>
      </w:r>
    </w:p>
    <w:p w14:paraId="7ACA9B02" w14:textId="77777777" w:rsidR="00F169A1" w:rsidRDefault="00F169A1" w:rsidP="00F169A1">
      <w:r>
        <w:t xml:space="preserve">| Stage 2 | ACE-softcore vanishing + IBS | ACE-softcore vanishing + IBS | neutral ligand with excluded volume | mixture-aware </w:t>
      </w:r>
      <w:proofErr w:type="spellStart"/>
      <w:r>
        <w:t>vdW</w:t>
      </w:r>
      <w:proofErr w:type="spellEnd"/>
      <w:r>
        <w:t xml:space="preserve"> free energy |</w:t>
      </w:r>
    </w:p>
    <w:p w14:paraId="6F0F9AE8" w14:textId="49A98FCA" w:rsidR="00F169A1" w:rsidRDefault="00F169A1" w:rsidP="00F169A1">
      <w:r>
        <w:t>| Final analysis | release + LRC + optional APBS | LRC + optional APBS | both leg ledgers | binding free energy and uncertainty package |</w:t>
      </w:r>
    </w:p>
    <w:p w14:paraId="454AE6C7" w14:textId="77777777" w:rsidR="00F169A1" w:rsidRDefault="00F169A1" w:rsidP="00F169A1"/>
    <w:p w14:paraId="1EE4A2F0" w14:textId="24973B72" w:rsidR="00F169A1" w:rsidRDefault="00936CCC" w:rsidP="00F169A1">
      <w:r>
        <w:t>3 Physical Validation and Engineering of Core Operators</w:t>
      </w:r>
    </w:p>
    <w:p w14:paraId="2107B59A" w14:textId="44FFCE39" w:rsidR="00F169A1" w:rsidRDefault="00936CCC" w:rsidP="00F169A1">
      <w:r w:rsidRPr="00936CCC">
        <w:t xml:space="preserve">Before restraint attachment, the physical input passes PBC-integrity repair, minimization, and Langevin equilibration. The general equilibration setting is `5,000,000` steps at `2 </w:t>
      </w:r>
      <w:proofErr w:type="spellStart"/>
      <w:r w:rsidRPr="00936CCC">
        <w:t>fs`</w:t>
      </w:r>
      <w:proofErr w:type="spellEnd"/>
      <w:r w:rsidRPr="00936CCC">
        <w:t xml:space="preserve"> (approximately `10 ns`). In the completed `100 ns` membrane equilibration record, the system remained stable and changed little after approximately the first `5 ns`; accordingly, `10 ns` is used here as a practical equilibration length. A completed equilibration artifact is still evaluated together with the downstream quality and production evidence.</w:t>
      </w:r>
    </w:p>
    <w:p w14:paraId="4C8BD77C" w14:textId="77777777" w:rsidR="00936CCC" w:rsidRDefault="00936CCC" w:rsidP="00F169A1"/>
    <w:p w14:paraId="5F63876C" w14:textId="1AD6EAC4" w:rsidR="00936CCC" w:rsidRDefault="00936CCC" w:rsidP="00F169A1">
      <w:r w:rsidRPr="00936CCC">
        <w:lastRenderedPageBreak/>
        <w:t>3.1 Stage 0</w:t>
      </w:r>
      <w:r w:rsidRPr="00936CCC">
        <w:t>：</w:t>
      </w:r>
      <w:proofErr w:type="spellStart"/>
      <w:r w:rsidRPr="00936CCC">
        <w:t>Boresch</w:t>
      </w:r>
      <w:proofErr w:type="spellEnd"/>
      <w:r w:rsidRPr="00936CCC">
        <w:t xml:space="preserve"> restraint attachment / Stage 0: </w:t>
      </w:r>
      <w:proofErr w:type="spellStart"/>
      <w:r w:rsidRPr="00936CCC">
        <w:t>Boresch</w:t>
      </w:r>
      <w:proofErr w:type="spellEnd"/>
      <w:r w:rsidRPr="00936CCC">
        <w:t xml:space="preserve"> Restraint Attachment</w:t>
      </w:r>
    </w:p>
    <w:p w14:paraId="6478568E" w14:textId="53245A8D" w:rsidR="009A0402" w:rsidRDefault="009A0402" w:rsidP="00F169A1">
      <w:r w:rsidRPr="009A0402">
        <w:t xml:space="preserve">Stage 0 belongs only to the complex leg and gradually attaches the </w:t>
      </w:r>
      <w:proofErr w:type="spellStart"/>
      <w:r w:rsidRPr="009A0402">
        <w:t>Boresch</w:t>
      </w:r>
      <w:proofErr w:type="spellEnd"/>
      <w:r w:rsidRPr="009A0402">
        <w:t xml:space="preserve"> restraint. It must </w:t>
      </w:r>
      <w:proofErr w:type="gramStart"/>
      <w:r w:rsidRPr="009A0402">
        <w:t>run</w:t>
      </w:r>
      <w:proofErr w:type="gramEnd"/>
      <w:r w:rsidRPr="009A0402">
        <w:t xml:space="preserve"> only after pose consistency, PBC repair, and anchor geometry pass. Stale restraint geometry must not be reused after a structural or anchor-identity change.</w:t>
      </w:r>
    </w:p>
    <w:tbl>
      <w:tblPr>
        <w:tblStyle w:val="af"/>
        <w:tblW w:w="0" w:type="auto"/>
        <w:tblLook w:val="04A0" w:firstRow="1" w:lastRow="0" w:firstColumn="1" w:lastColumn="0" w:noHBand="0" w:noVBand="1"/>
      </w:tblPr>
      <w:tblGrid>
        <w:gridCol w:w="1416"/>
        <w:gridCol w:w="6880"/>
      </w:tblGrid>
      <w:tr w:rsidR="007D6837" w:rsidRPr="007D6837" w14:paraId="54985025" w14:textId="77777777" w:rsidTr="007D6837">
        <w:trPr>
          <w:trHeight w:val="280"/>
        </w:trPr>
        <w:tc>
          <w:tcPr>
            <w:tcW w:w="1280" w:type="dxa"/>
            <w:hideMark/>
          </w:tcPr>
          <w:p w14:paraId="7CFFB32C" w14:textId="77777777" w:rsidR="007D6837" w:rsidRPr="007D6837" w:rsidRDefault="007D6837" w:rsidP="007D6837">
            <w:r w:rsidRPr="007D6837">
              <w:t>Objective</w:t>
            </w:r>
          </w:p>
        </w:tc>
        <w:tc>
          <w:tcPr>
            <w:tcW w:w="7220" w:type="dxa"/>
            <w:hideMark/>
          </w:tcPr>
          <w:p w14:paraId="7889ABFF" w14:textId="77777777" w:rsidR="007D6837" w:rsidRPr="007D6837" w:rsidRDefault="007D6837" w:rsidP="007D6837">
            <w:r w:rsidRPr="007D6837">
              <w:t>Gently restrain 6 rigid-body DOFs without altering binding pose</w:t>
            </w:r>
          </w:p>
        </w:tc>
      </w:tr>
      <w:tr w:rsidR="007D6837" w:rsidRPr="007D6837" w14:paraId="480A7B6E" w14:textId="77777777" w:rsidTr="007D6837">
        <w:trPr>
          <w:trHeight w:val="280"/>
        </w:trPr>
        <w:tc>
          <w:tcPr>
            <w:tcW w:w="1280" w:type="dxa"/>
            <w:hideMark/>
          </w:tcPr>
          <w:p w14:paraId="724774AE" w14:textId="77777777" w:rsidR="007D6837" w:rsidRPr="007D6837" w:rsidRDefault="007D6837">
            <w:r w:rsidRPr="007D6837">
              <w:t>Input</w:t>
            </w:r>
          </w:p>
        </w:tc>
        <w:tc>
          <w:tcPr>
            <w:tcW w:w="7220" w:type="dxa"/>
            <w:hideMark/>
          </w:tcPr>
          <w:p w14:paraId="3A541DDD" w14:textId="77777777" w:rsidR="007D6837" w:rsidRPr="007D6837" w:rsidRDefault="007D6837" w:rsidP="007D6837">
            <w:r w:rsidRPr="007D6837">
              <w:t>PBC-repaired complex, explicit anchors, current equilibrium geometry</w:t>
            </w:r>
          </w:p>
        </w:tc>
      </w:tr>
      <w:tr w:rsidR="007D6837" w:rsidRPr="007D6837" w14:paraId="65FAF1D0" w14:textId="77777777" w:rsidTr="007D6837">
        <w:trPr>
          <w:trHeight w:val="280"/>
        </w:trPr>
        <w:tc>
          <w:tcPr>
            <w:tcW w:w="1280" w:type="dxa"/>
            <w:hideMark/>
          </w:tcPr>
          <w:p w14:paraId="552E0420" w14:textId="77777777" w:rsidR="007D6837" w:rsidRPr="007D6837" w:rsidRDefault="007D6837">
            <w:r w:rsidRPr="007D6837">
              <w:t>Hamiltonian</w:t>
            </w:r>
          </w:p>
        </w:tc>
        <w:tc>
          <w:tcPr>
            <w:tcW w:w="7220" w:type="dxa"/>
            <w:hideMark/>
          </w:tcPr>
          <w:p w14:paraId="61611F4F" w14:textId="77777777" w:rsidR="007D6837" w:rsidRPr="007D6837" w:rsidRDefault="007D6837" w:rsidP="007D6837">
            <w:r w:rsidRPr="007D6837">
              <w:t>Apply 1 distance + 2 angles + 3 dihedrals (complex leg only)</w:t>
            </w:r>
          </w:p>
        </w:tc>
      </w:tr>
      <w:tr w:rsidR="007D6837" w:rsidRPr="007D6837" w14:paraId="493A98A2" w14:textId="77777777" w:rsidTr="007D6837">
        <w:trPr>
          <w:trHeight w:val="560"/>
        </w:trPr>
        <w:tc>
          <w:tcPr>
            <w:tcW w:w="1280" w:type="dxa"/>
            <w:hideMark/>
          </w:tcPr>
          <w:p w14:paraId="671BA9C7" w14:textId="77777777" w:rsidR="007D6837" w:rsidRPr="007D6837" w:rsidRDefault="007D6837">
            <w:r w:rsidRPr="007D6837">
              <w:t>Sampling &amp; Free Energy</w:t>
            </w:r>
          </w:p>
        </w:tc>
        <w:tc>
          <w:tcPr>
            <w:tcW w:w="7220" w:type="dxa"/>
            <w:hideMark/>
          </w:tcPr>
          <w:p w14:paraId="2B4D22BE" w14:textId="77777777" w:rsidR="007D6837" w:rsidRPr="007D6837" w:rsidRDefault="007D6837" w:rsidP="007D6837">
            <w:r w:rsidRPr="007D6837">
              <w:t>Sample attachment work (</w:t>
            </w:r>
            <w:proofErr w:type="spellStart"/>
            <w:r w:rsidRPr="007D6837">
              <w:t>ΔG_attach</w:t>
            </w:r>
            <w:proofErr w:type="spellEnd"/>
            <w:r w:rsidRPr="007D6837">
              <w:t>); calculate release analytically</w:t>
            </w:r>
          </w:p>
        </w:tc>
      </w:tr>
      <w:tr w:rsidR="007D6837" w:rsidRPr="007D6837" w14:paraId="7709AD2B" w14:textId="77777777" w:rsidTr="007D6837">
        <w:trPr>
          <w:trHeight w:val="280"/>
        </w:trPr>
        <w:tc>
          <w:tcPr>
            <w:tcW w:w="1280" w:type="dxa"/>
            <w:hideMark/>
          </w:tcPr>
          <w:p w14:paraId="67FE4EDF" w14:textId="77777777" w:rsidR="007D6837" w:rsidRPr="007D6837" w:rsidRDefault="007D6837">
            <w:r w:rsidRPr="007D6837">
              <w:t>Output</w:t>
            </w:r>
          </w:p>
        </w:tc>
        <w:tc>
          <w:tcPr>
            <w:tcW w:w="7220" w:type="dxa"/>
            <w:hideMark/>
          </w:tcPr>
          <w:p w14:paraId="2224C0EB" w14:textId="77777777" w:rsidR="007D6837" w:rsidRPr="007D6837" w:rsidRDefault="007D6837" w:rsidP="007D6837">
            <w:r w:rsidRPr="007D6837">
              <w:t>Restrained complex, attachment ledger, anchor/force-constant records</w:t>
            </w:r>
          </w:p>
        </w:tc>
      </w:tr>
      <w:tr w:rsidR="007D6837" w:rsidRPr="007D6837" w14:paraId="19F2AFFF" w14:textId="77777777" w:rsidTr="007D6837">
        <w:trPr>
          <w:trHeight w:val="280"/>
        </w:trPr>
        <w:tc>
          <w:tcPr>
            <w:tcW w:w="1280" w:type="dxa"/>
            <w:hideMark/>
          </w:tcPr>
          <w:p w14:paraId="4945347F" w14:textId="77777777" w:rsidR="007D6837" w:rsidRPr="007D6837" w:rsidRDefault="007D6837">
            <w:r w:rsidRPr="007D6837">
              <w:t>Risks</w:t>
            </w:r>
          </w:p>
        </w:tc>
        <w:tc>
          <w:tcPr>
            <w:tcW w:w="7220" w:type="dxa"/>
            <w:hideMark/>
          </w:tcPr>
          <w:p w14:paraId="7EFBB8EF" w14:textId="77777777" w:rsidR="007D6837" w:rsidRPr="007D6837" w:rsidRDefault="007D6837" w:rsidP="007D6837">
            <w:r w:rsidRPr="007D6837">
              <w:t>Stale geometry, improper angle mapping, harsh force constants, pose shift</w:t>
            </w:r>
          </w:p>
        </w:tc>
      </w:tr>
      <w:tr w:rsidR="007D6837" w:rsidRPr="007D6837" w14:paraId="43762398" w14:textId="77777777" w:rsidTr="007D6837">
        <w:trPr>
          <w:trHeight w:val="280"/>
        </w:trPr>
        <w:tc>
          <w:tcPr>
            <w:tcW w:w="1280" w:type="dxa"/>
            <w:hideMark/>
          </w:tcPr>
          <w:p w14:paraId="0E569731" w14:textId="77777777" w:rsidR="007D6837" w:rsidRPr="007D6837" w:rsidRDefault="007D6837">
            <w:r w:rsidRPr="007D6837">
              <w:t>Status</w:t>
            </w:r>
          </w:p>
        </w:tc>
        <w:tc>
          <w:tcPr>
            <w:tcW w:w="7220" w:type="dxa"/>
            <w:hideMark/>
          </w:tcPr>
          <w:p w14:paraId="2AF2E634" w14:textId="77777777" w:rsidR="007D6837" w:rsidRPr="007D6837" w:rsidRDefault="007D6837" w:rsidP="007D6837">
            <w:r w:rsidRPr="007D6837">
              <w:t>Pipeline operational; sensitivity analysis ongoing</w:t>
            </w:r>
          </w:p>
        </w:tc>
      </w:tr>
    </w:tbl>
    <w:p w14:paraId="6BDE44B5" w14:textId="77777777" w:rsidR="009A0402" w:rsidRPr="007D6837" w:rsidRDefault="009A0402" w:rsidP="00F169A1"/>
    <w:p w14:paraId="47359E82" w14:textId="21D29AB0" w:rsidR="009A0402" w:rsidRDefault="009A0402" w:rsidP="00F169A1">
      <w:r w:rsidRPr="009A0402">
        <w:t xml:space="preserve">Its default λ schedule is </w:t>
      </w:r>
      <w:proofErr w:type="gramStart"/>
      <w:r w:rsidRPr="009A0402">
        <w:t>`[</w:t>
      </w:r>
      <w:proofErr w:type="gramEnd"/>
      <w:r w:rsidRPr="009A0402">
        <w:t xml:space="preserve">0, 0.1, 0.35, </w:t>
      </w:r>
      <w:proofErr w:type="gramStart"/>
      <w:r w:rsidRPr="009A0402">
        <w:t>1.0]`</w:t>
      </w:r>
      <w:proofErr w:type="gramEnd"/>
      <w:r w:rsidRPr="009A0402">
        <w:t>, with `250,000` steps per state, `50,000` equilibration steps, stride `1,000`, and default seed `20260728`. The direction is A′→</w:t>
      </w:r>
      <w:proofErr w:type="gramStart"/>
      <w:r w:rsidRPr="009A0402">
        <w:t>A</w:t>
      </w:r>
      <w:proofErr w:type="gramEnd"/>
      <w:r w:rsidRPr="009A0402">
        <w:t xml:space="preserve"> and the physical restraint potential is non-negative, so `</w:t>
      </w:r>
      <w:proofErr w:type="spellStart"/>
      <w:r w:rsidRPr="009A0402">
        <w:t>ΔG_attach</w:t>
      </w:r>
      <w:proofErr w:type="spellEnd"/>
      <w:r w:rsidRPr="009A0402">
        <w:t>&lt;0` is rejected. BAR/TI disagreement must be no greater than `1.0 kJ/mol`, and the split-half difference no greater than `0.5 kJ/mol`.</w:t>
      </w:r>
    </w:p>
    <w:p w14:paraId="07EDACB9" w14:textId="74BB3A29" w:rsidR="001C1244" w:rsidRPr="00A40586" w:rsidRDefault="00A40586" w:rsidP="00F169A1">
      <w:r w:rsidRPr="00A40586">
        <w:t>The receptor anchors are denoted by</w:t>
      </w:r>
      <m:oMath>
        <m:r>
          <m:rPr>
            <m:lit/>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r>
              <m:rPr>
                <m:sty m:val="p"/>
              </m:rPr>
              <w:rPr>
                <w:rFonts w:ascii="Cambria Math" w:hAnsi="Cambria Math"/>
              </w:rPr>
              <m:t xml:space="preserve"> </m:t>
            </m:r>
          </m:sub>
        </m:sSub>
        <m:r>
          <w:rPr>
            <w:rFonts w:ascii="Cambria Math" w:hAnsi="Cambria Math"/>
          </w:rPr>
          <m:t>)</m:t>
        </m:r>
      </m:oMath>
      <w:r w:rsidRPr="00A40586">
        <w:t>, and the ligand anchors by</w:t>
      </w:r>
      <w:r>
        <w:rPr>
          <w:rFonts w:hint="eastAsia"/>
        </w:rPr>
        <w:t xml:space="preserve"> </w:t>
      </w:r>
      <m:oMath>
        <m:r>
          <m:rPr>
            <m:lit/>
            <m:sty m:val="p"/>
          </m:rPr>
          <w:rPr>
            <w:rFonts w:ascii="Cambria Math" w:hAnsi="Cambria Math"/>
          </w:rPr>
          <m:t>(</m:t>
        </m:r>
        <m:r>
          <m:rPr>
            <m:sty m:val="p"/>
          </m:rPr>
          <w:rPr>
            <w:rFonts w:ascii="Cambria Math" w:hAnsi="Cambria Math"/>
          </w:rPr>
          <m:t>L_0,L_1,L_2</m:t>
        </m:r>
        <m:r>
          <m:rPr>
            <m:lit/>
            <m:sty m:val="p"/>
          </m:rPr>
          <w:rPr>
            <w:rFonts w:ascii="Cambria Math" w:hAnsi="Cambria Math" w:hint="eastAsia"/>
          </w:rPr>
          <m:t xml:space="preserve"> </m:t>
        </m:r>
        <m:r>
          <m:rPr>
            <m:sty m:val="p"/>
          </m:rPr>
          <w:rPr>
            <w:rFonts w:ascii="Cambria Math" w:hAnsi="Cambria Math"/>
          </w:rPr>
          <m:t>)</m:t>
        </m:r>
      </m:oMath>
      <w:r w:rsidRPr="00A40586">
        <w:t>, with the six coordinates defined above. The implemented attachment Hamiltonian uses a quadratic distance term and periodic cosine angle/dihedral terms. Its local small-displacement limit is</w:t>
      </w:r>
      <w:r>
        <w:rPr>
          <w:rFonts w:hint="eastAsia"/>
        </w:rPr>
        <w:t xml:space="preserve"> </w:t>
      </w:r>
      <m:oMath>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 δ</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δ</m:t>
            </m:r>
          </m:e>
          <m:sup>
            <m:r>
              <w:rPr>
                <w:rFonts w:ascii="Cambria Math" w:hAnsi="Cambria Math"/>
              </w:rPr>
              <m:t>2</m:t>
            </m:r>
          </m:sup>
        </m:sSup>
      </m:oMath>
      <w:r>
        <w:rPr>
          <w:rFonts w:hint="eastAsia"/>
        </w:rPr>
        <w:t xml:space="preserve"> </w:t>
      </w:r>
      <w:r w:rsidRPr="00A40586">
        <w:t>, but that local equivalence must not be misrepresented as a globally quadratic potential.</w:t>
      </w:r>
    </w:p>
    <w:p w14:paraId="02683DC7" w14:textId="6F4FCC16" w:rsidR="00A40586" w:rsidRDefault="00A40586" w:rsidP="00F169A1">
      <m:oMathPara>
        <m:oMath>
          <m:eqArr>
            <m:eqArrPr>
              <m:ctrlPr>
                <w:rPr>
                  <w:rFonts w:ascii="Cambria Math" w:hAnsi="Cambria Math"/>
                  <w:color w:val="666666"/>
                </w:rPr>
              </m:ctrlPr>
            </m:eqArrPr>
            <m:e>
              <m:r>
                <w:rPr>
                  <w:rFonts w:ascii="Cambria Math" w:hAnsi="Cambria Math"/>
                  <w:color w:val="666666"/>
                </w:rPr>
                <m:t>r=</m:t>
              </m:r>
              <m:d>
                <m:dPr>
                  <m:begChr m:val="|"/>
                  <m:endChr m:val="|"/>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m:t>
                  </m:r>
                </m:sub>
              </m:sSub>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e>
              </m:d>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2</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e>
                  </m:d>
                </m:e>
              </m:func>
              <m:r>
                <w:rPr>
                  <w:rFonts w:ascii="Cambria Math" w:hAnsi="Cambria Math"/>
                  <w:color w:val="666666"/>
                </w:rPr>
                <m:t>,  </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e>
                  </m:d>
                </m:e>
              </m:func>
              <m:r>
                <w:rPr>
                  <w:rFonts w:ascii="Cambria Math" w:hAnsi="Cambria Math"/>
                  <w:color w:val="666666"/>
                </w:rPr>
                <m:t>,</m:t>
              </m:r>
            </m:e>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dih</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0</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L</m:t>
                          </m:r>
                        </m:e>
                        <m:sub>
                          <m:r>
                            <w:rPr>
                              <w:rFonts w:ascii="Cambria Math" w:hAnsi="Cambria Math"/>
                              <w:color w:val="666666"/>
                            </w:rPr>
                            <m:t>2</m:t>
                          </m:r>
                        </m:sub>
                      </m:sSub>
                    </m:e>
                  </m:d>
                </m:e>
              </m:func>
              <m:r>
                <w:rPr>
                  <w:rFonts w:ascii="Cambria Math" w:hAnsi="Cambria Math"/>
                  <w:color w:val="666666"/>
                </w:rPr>
                <m:t>.</m:t>
              </m:r>
            </m:e>
          </m:eqArr>
          <m:r>
            <w:rPr>
              <w:rFonts w:ascii="Cambria Math" w:hAnsi="Cambria Math"/>
              <w:i/>
              <w:color w:val="666666"/>
            </w:rPr>
            <w:br/>
          </m:r>
        </m:oMath>
      </m:oMathPara>
    </w:p>
    <w:p w14:paraId="22337029" w14:textId="303B1DE9" w:rsidR="00A40586" w:rsidRDefault="00A40586" w:rsidP="00F169A1">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B</m:t>
                  </m:r>
                </m:sub>
              </m:sSub>
              <m:d>
                <m:dPr>
                  <m:ctrlPr>
                    <w:rPr>
                      <w:rFonts w:ascii="Cambria Math" w:hAnsi="Cambria Math"/>
                      <w:color w:val="666666"/>
                    </w:rPr>
                  </m:ctrlPr>
                </m:dPr>
                <m:e>
                  <m:r>
                    <w:rPr>
                      <w:rFonts w:ascii="Cambria Math" w:hAnsi="Cambria Math"/>
                      <w:color w:val="666666"/>
                    </w:rPr>
                    <m:t>x;</m:t>
                  </m:r>
                  <m:sSub>
                    <m:sSubPr>
                      <m:ctrlPr>
                        <w:rPr>
                          <w:rFonts w:ascii="Cambria Math" w:hAnsi="Cambria Math"/>
                          <w:color w:val="666666"/>
                        </w:rPr>
                      </m:ctrlPr>
                    </m:sSubPr>
                    <m:e>
                      <m:r>
                        <w:rPr>
                          <w:rFonts w:ascii="Cambria Math" w:hAnsi="Cambria Math"/>
                          <w:color w:val="666666"/>
                        </w:rPr>
                        <m:t>λ</m:t>
                      </m:r>
                    </m:e>
                    <m:sub>
                      <m:r>
                        <w:rPr>
                          <w:rFonts w:ascii="Cambria Math" w:hAnsi="Cambria Math"/>
                          <w:color w:val="666666"/>
                        </w:rPr>
                        <m:t>B</m:t>
                      </m:r>
                    </m:sub>
                  </m:sSub>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λ</m:t>
                  </m:r>
                </m:e>
                <m:sub>
                  <m:r>
                    <w:rPr>
                      <w:rFonts w:ascii="Cambria Math" w:hAnsi="Cambria Math"/>
                      <w:color w:val="666666"/>
                    </w:rPr>
                    <m:t>B</m:t>
                  </m:r>
                </m:sub>
              </m:sSub>
              <m:r>
                <w:rPr>
                  <w:rFonts w:ascii="Cambria Math" w:hAnsi="Cambria Math"/>
                  <w:color w:val="666666"/>
                </w:rPr>
                <m:t>[&amp;</m:t>
              </m:r>
              <m:sSub>
                <m:sSubPr>
                  <m:ctrlPr>
                    <w:rPr>
                      <w:rFonts w:ascii="Cambria Math" w:hAnsi="Cambria Math"/>
                      <w:color w:val="666666"/>
                    </w:rPr>
                  </m:ctrlPr>
                </m:sSubPr>
                <m:e>
                  <m:f>
                    <m:fPr>
                      <m:ctrlPr>
                        <w:rPr>
                          <w:rFonts w:ascii="Cambria Math" w:hAnsi="Cambria Math"/>
                          <w:color w:val="666666"/>
                        </w:rPr>
                      </m:ctrlPr>
                    </m:fPr>
                    <m:num>
                      <m:r>
                        <w:rPr>
                          <w:rFonts w:ascii="Cambria Math" w:hAnsi="Cambria Math"/>
                          <w:color w:val="666666"/>
                        </w:rPr>
                        <m:t>12</m:t>
                      </m:r>
                    </m:num>
                    <m:den>
                      <m:r>
                        <w:rPr>
                          <w:rFonts w:ascii="Cambria Math" w:hAnsi="Cambria Math"/>
                          <w:color w:val="666666"/>
                        </w:rPr>
                        <m:t>k</m:t>
                      </m:r>
                    </m:den>
                  </m:f>
                </m:e>
                <m:sub>
                  <m:r>
                    <w:rPr>
                      <w:rFonts w:ascii="Cambria Math" w:hAnsi="Cambria Math"/>
                      <w:color w:val="666666"/>
                    </w:rPr>
                    <m:t>r</m:t>
                  </m:r>
                </m:sub>
              </m:sSub>
              <m:sSup>
                <m:sSupPr>
                  <m:ctrlPr>
                    <w:rPr>
                      <w:rFonts w:ascii="Cambria Math" w:hAnsi="Cambria Math"/>
                      <w:color w:val="666666"/>
                    </w:rPr>
                  </m:ctrlPr>
                </m:sSupPr>
                <m:e>
                  <m:d>
                    <m:dPr>
                      <m:ctrlPr>
                        <w:rPr>
                          <w:rFonts w:ascii="Cambria Math" w:hAnsi="Cambria Math"/>
                          <w:color w:val="666666"/>
                        </w:rPr>
                      </m:ctrlPr>
                    </m:dPr>
                    <m:e>
                      <m:r>
                        <w:rPr>
                          <w:rFonts w:ascii="Cambria Math" w:hAnsi="Cambria Math"/>
                          <w:color w:val="666666"/>
                        </w:rPr>
                        <m:t>r-</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0</m:t>
                          </m:r>
                        </m:sub>
                      </m:sSub>
                    </m:e>
                  </m:d>
                </m:e>
                <m:sup>
                  <m:r>
                    <w:rPr>
                      <w:rFonts w:ascii="Cambria Math" w:hAnsi="Cambria Math"/>
                      <w:color w:val="666666"/>
                    </w:rPr>
                    <m:t>2</m:t>
                  </m:r>
                </m:sup>
              </m:sSup>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θA</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A0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θB</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θ</m:t>
                              </m:r>
                            </m:e>
                            <m:sub>
                              <m:r>
                                <w:rPr>
                                  <w:rFonts w:ascii="Cambria Math" w:hAnsi="Cambria Math"/>
                                  <w:color w:val="666666"/>
                                </w:rPr>
                                <m:t>B0</m:t>
                              </m:r>
                            </m:sub>
                          </m:sSub>
                        </m:e>
                      </m:d>
                    </m:e>
                  </m:func>
                </m:e>
              </m:d>
            </m:e>
            <m:e>
              <m:r>
                <w:rPr>
                  <w:rFonts w:ascii="Cambria Math" w:hAnsi="Cambria Math"/>
                  <w:color w:val="666666"/>
                </w:rPr>
                <m:t>&amp;+</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ϕA</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A0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ϕB</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B0</m:t>
                              </m:r>
                            </m:sub>
                          </m:sSub>
                        </m:e>
                      </m:d>
                    </m:e>
                  </m:func>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ϕC</m:t>
                  </m:r>
                </m:sub>
              </m:sSub>
              <m:d>
                <m:dPr>
                  <m:begChr m:val="{"/>
                  <m:endChr m:val="}"/>
                  <m:ctrlPr>
                    <w:rPr>
                      <w:rFonts w:ascii="Cambria Math" w:hAnsi="Cambria Math"/>
                      <w:color w:val="666666"/>
                    </w:rPr>
                  </m:ctrlPr>
                </m:dPr>
                <m:e>
                  <m:r>
                    <w:rPr>
                      <w:rFonts w:ascii="Cambria Math" w:hAnsi="Cambria Math"/>
                      <w:color w:val="666666"/>
                    </w:rPr>
                    <m:t>1-</m:t>
                  </m:r>
                  <m:func>
                    <m:funcPr>
                      <m:ctrlPr>
                        <w:rPr>
                          <w:rFonts w:ascii="Cambria Math" w:hAnsi="Cambria Math"/>
                          <w:color w:val="666666"/>
                        </w:rPr>
                      </m:ctrlPr>
                    </m:funcPr>
                    <m:fName>
                      <m:r>
                        <m:rPr>
                          <m:sty m:val="p"/>
                        </m:rPr>
                        <w:rPr>
                          <w:rFonts w:ascii="Cambria Math" w:hAnsi="Cambria Math"/>
                          <w:color w:val="666666"/>
                        </w:rPr>
                        <m:t>cos</m:t>
                      </m:r>
                    </m:fName>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ϕ</m:t>
                              </m:r>
                            </m:e>
                            <m:sub>
                              <m:r>
                                <w:rPr>
                                  <w:rFonts w:ascii="Cambria Math" w:hAnsi="Cambria Math"/>
                                  <w:color w:val="666666"/>
                                </w:rPr>
                                <m:t>C0</m:t>
                              </m:r>
                            </m:sub>
                          </m:sSub>
                        </m:e>
                      </m:d>
                    </m:e>
                  </m:func>
                </m:e>
              </m:d>
              <m:r>
                <w:rPr>
                  <w:rFonts w:ascii="Cambria Math" w:hAnsi="Cambria Math"/>
                  <w:color w:val="666666"/>
                </w:rPr>
                <m:t>.</m:t>
              </m:r>
            </m:e>
          </m:eqArr>
          <m:r>
            <w:rPr>
              <w:rFonts w:ascii="Cambria Math" w:hAnsi="Cambria Math"/>
              <w:i/>
              <w:color w:val="666666"/>
            </w:rPr>
            <w:br/>
          </m:r>
          <m:r>
            <w:rPr>
              <w:rFonts w:ascii="Cambria Math" w:hAnsi="Cambria Math"/>
              <w:i/>
              <w:color w:val="666666"/>
            </w:rPr>
            <w:br/>
          </m:r>
        </m:oMath>
        <m:oMath>
          <m:r>
            <m:rPr>
              <m:sty m:val="p"/>
            </m:rPr>
            <w:rPr>
              <w:rFonts w:ascii="Cambria Math" w:hAnsi="Cambria Math"/>
              <w:color w:val="666666"/>
            </w:rPr>
            <w:lastRenderedPageBreak/>
            <m:t>Δ</m:t>
          </m:r>
          <m:sSub>
            <m:sSubPr>
              <m:ctrlPr>
                <w:rPr>
                  <w:rFonts w:ascii="Cambria Math" w:hAnsi="Cambria Math"/>
                  <w:color w:val="666666"/>
                </w:rPr>
              </m:ctrlPr>
            </m:sSubPr>
            <m:e>
              <m:r>
                <w:rPr>
                  <w:rFonts w:ascii="Cambria Math" w:hAnsi="Cambria Math"/>
                  <w:color w:val="666666"/>
                </w:rPr>
                <m:t>G</m:t>
              </m:r>
            </m:e>
            <m:sub>
              <m:r>
                <m:rPr>
                  <m:sty m:val="p"/>
                </m:rPr>
                <w:rPr>
                  <w:rFonts w:ascii="Cambria Math" w:hAnsi="Cambria Math"/>
                  <w:color w:val="666666"/>
                </w:rPr>
                <m:t>attach</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k</m:t>
              </m:r>
            </m:e>
            <m:sub>
              <m:r>
                <w:rPr>
                  <w:rFonts w:ascii="Cambria Math" w:hAnsi="Cambria Math"/>
                  <w:color w:val="666666"/>
                </w:rPr>
                <m:t>B</m:t>
              </m:r>
            </m:sub>
          </m:sSub>
          <m:r>
            <w:rPr>
              <w:rFonts w:ascii="Cambria Math" w:hAnsi="Cambria Math"/>
              <w:color w:val="666666"/>
            </w:rPr>
            <m:t>T</m:t>
          </m:r>
          <m:sSub>
            <m:sSubPr>
              <m:ctrlPr>
                <w:rPr>
                  <w:rFonts w:ascii="Cambria Math" w:hAnsi="Cambria Math"/>
                  <w:color w:val="666666"/>
                </w:rPr>
              </m:ctrlPr>
            </m:sSubPr>
            <m:e>
              <m:func>
                <m:funcPr>
                  <m:ctrlPr>
                    <w:rPr>
                      <w:rFonts w:ascii="Cambria Math" w:hAnsi="Cambria Math"/>
                      <w:color w:val="666666"/>
                    </w:rPr>
                  </m:ctrlPr>
                </m:funcPr>
                <m:fName>
                  <m:r>
                    <m:rPr>
                      <m:sty m:val="p"/>
                    </m:rPr>
                    <w:rPr>
                      <w:rFonts w:ascii="Cambria Math" w:hAnsi="Cambria Math"/>
                      <w:color w:val="666666"/>
                    </w:rPr>
                    <m:t>ln</m:t>
                  </m:r>
                </m:fName>
                <m:e>
                  <m:d>
                    <m:dPr>
                      <m:begChr m:val="⟨"/>
                      <m:endChr m:val="⟩"/>
                      <m:ctrlPr>
                        <w:rPr>
                          <w:rFonts w:ascii="Cambria Math" w:hAnsi="Cambria Math"/>
                          <w:color w:val="666666"/>
                        </w:rPr>
                      </m:ctrlPr>
                    </m:dPr>
                    <m:e>
                      <m:sSup>
                        <m:sSupPr>
                          <m:ctrlPr>
                            <w:rPr>
                              <w:rFonts w:ascii="Cambria Math" w:hAnsi="Cambria Math"/>
                              <w:color w:val="666666"/>
                            </w:rPr>
                          </m:ctrlPr>
                        </m:sSupPr>
                        <m:e>
                          <m:r>
                            <w:rPr>
                              <w:rFonts w:ascii="Cambria Math" w:hAnsi="Cambria Math"/>
                              <w:color w:val="666666"/>
                            </w:rPr>
                            <m:t>e</m:t>
                          </m:r>
                        </m:e>
                        <m:sup>
                          <m:r>
                            <w:rPr>
                              <w:rFonts w:ascii="Cambria Math" w:hAnsi="Cambria Math"/>
                              <w:color w:val="666666"/>
                            </w:rPr>
                            <m:t>-β</m:t>
                          </m:r>
                          <m:sSub>
                            <m:sSubPr>
                              <m:ctrlPr>
                                <w:rPr>
                                  <w:rFonts w:ascii="Cambria Math" w:hAnsi="Cambria Math"/>
                                  <w:color w:val="666666"/>
                                </w:rPr>
                              </m:ctrlPr>
                            </m:sSubPr>
                            <m:e>
                              <m:r>
                                <w:rPr>
                                  <w:rFonts w:ascii="Cambria Math" w:hAnsi="Cambria Math"/>
                                  <w:color w:val="666666"/>
                                </w:rPr>
                                <m:t>U</m:t>
                              </m:r>
                            </m:e>
                            <m:sub>
                              <m:r>
                                <w:rPr>
                                  <w:rFonts w:ascii="Cambria Math" w:hAnsi="Cambria Math"/>
                                  <w:color w:val="666666"/>
                                </w:rPr>
                                <m:t>B</m:t>
                              </m:r>
                            </m:sub>
                          </m:sSub>
                        </m:sup>
                      </m:sSup>
                    </m:e>
                  </m:d>
                </m:e>
              </m:func>
            </m:e>
            <m:sub>
              <m:r>
                <w:rPr>
                  <w:rFonts w:ascii="Cambria Math" w:hAnsi="Cambria Math"/>
                  <w:color w:val="666666"/>
                </w:rPr>
                <m:t>A'</m:t>
              </m:r>
            </m:sub>
          </m:sSub>
          <m:r>
            <w:rPr>
              <w:rFonts w:ascii="Cambria Math" w:hAnsi="Cambria Math"/>
              <w:color w:val="666666"/>
            </w:rPr>
            <m:t>≥0.</m:t>
          </m:r>
          <m:r>
            <w:rPr>
              <w:rFonts w:ascii="Cambria Math" w:hAnsi="Cambria Math"/>
              <w:i/>
              <w:color w:val="666666"/>
            </w:rPr>
            <w:br/>
          </m:r>
        </m:oMath>
        <m:oMath>
          <m:box>
            <m:boxPr>
              <m:ctrlPr>
                <w:rPr>
                  <w:rFonts w:ascii="Cambria Math" w:hAnsi="Cambria Math"/>
                </w:rPr>
              </m:ctrlPr>
            </m:boxPr>
            <m:e>
              <m:r>
                <m:rPr>
                  <m:sty m:val="p"/>
                </m:rPr>
                <w:rPr>
                  <w:rFonts w:ascii="Cambria Math" w:hAnsi="Cambria Math"/>
                </w:rPr>
                <m:t>Δ</m:t>
              </m:r>
            </m:e>
          </m:box>
          <m:sSub>
            <m:sSubPr>
              <m:ctrlPr>
                <w:rPr>
                  <w:rFonts w:ascii="Cambria Math" w:hAnsi="Cambria Math"/>
                </w:rPr>
              </m:ctrlPr>
            </m:sSubPr>
            <m:e>
              <m:r>
                <w:rPr>
                  <w:rFonts w:ascii="Cambria Math" w:hAnsi="Cambria Math"/>
                </w:rPr>
                <m:t>G</m:t>
              </m:r>
            </m:e>
            <m:sub>
              <m:box>
                <m:boxPr>
                  <m:ctrlPr>
                    <w:rPr>
                      <w:rFonts w:ascii="Cambria Math" w:hAnsi="Cambria Math"/>
                    </w:rPr>
                  </m:ctrlPr>
                </m:boxPr>
                <m:e>
                  <m:r>
                    <m:rPr>
                      <m:sty m:val="p"/>
                    </m:rPr>
                    <w:rPr>
                      <w:rFonts w:ascii="Cambria Math" w:hAnsi="Cambria Math"/>
                    </w:rPr>
                    <m:t>TI</m:t>
                  </m:r>
                </m:e>
              </m:box>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den>
                      </m:f>
                    </m:e>
                  </m:d>
                </m:e>
                <m:sub>
                  <m:sSub>
                    <m:sSubPr>
                      <m:ctrlPr>
                        <w:rPr>
                          <w:rFonts w:ascii="Cambria Math" w:hAnsi="Cambria Math"/>
                        </w:rPr>
                      </m:ctrlPr>
                    </m:sSubPr>
                    <m:e>
                      <m:r>
                        <w:rPr>
                          <w:rFonts w:ascii="Cambria Math" w:hAnsi="Cambria Math"/>
                        </w:rPr>
                        <m:t>λ</m:t>
                      </m:r>
                    </m:e>
                    <m:sub>
                      <m:r>
                        <w:rPr>
                          <w:rFonts w:ascii="Cambria Math" w:hAnsi="Cambria Math"/>
                        </w:rPr>
                        <m:t>B</m:t>
                      </m:r>
                    </m:sub>
                  </m:sSub>
                </m:sub>
              </m:sSub>
            </m:e>
          </m:nary>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sSub>
                    <m:sSubPr>
                      <m:ctrlPr>
                        <w:rPr>
                          <w:rFonts w:ascii="Cambria Math" w:hAnsi="Cambria Math"/>
                        </w:rPr>
                      </m:ctrlPr>
                    </m:sSubPr>
                    <m:e>
                      <m:r>
                        <w:rPr>
                          <w:rFonts w:ascii="Cambria Math" w:hAnsi="Cambria Math"/>
                        </w:rPr>
                        <m:t>λ</m:t>
                      </m:r>
                    </m:e>
                    <m:sub>
                      <m:r>
                        <w:rPr>
                          <w:rFonts w:ascii="Cambria Math" w:hAnsi="Cambria Math"/>
                        </w:rPr>
                        <m:t>B</m:t>
                      </m:r>
                    </m:sub>
                  </m:sSub>
                </m:sub>
              </m:sSub>
              <m:r>
                <w:rPr>
                  <w:rFonts w:ascii="Cambria Math" w:hAnsi="Cambria Math"/>
                </w:rPr>
                <m:t>d</m:t>
              </m:r>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m:t>
              </m:r>
            </m:e>
          </m:d>
        </m:oMath>
      </m:oMathPara>
    </w:p>
    <w:p w14:paraId="3BBBEBBB" w14:textId="77777777" w:rsidR="00A40586" w:rsidRDefault="00A40586" w:rsidP="00F169A1"/>
    <w:p w14:paraId="2425E168" w14:textId="6C10B48E" w:rsidR="00A40586" w:rsidRPr="00A40586" w:rsidRDefault="00A40586" w:rsidP="00A40586">
      <w:r w:rsidRPr="00A40586">
        <w:t xml:space="preserve">The endpoints are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=0</m:t>
        </m:r>
      </m:oMath>
      <w:r w:rsidRPr="00A40586">
        <w:t xml:space="preserve">, the unrestrained physical bound state </w:t>
      </w:r>
      <m:oMath>
        <m:r>
          <w:rPr>
            <w:rFonts w:ascii="Cambria Math" w:hAnsi="Cambria Math"/>
          </w:rPr>
          <m:t>A'</m:t>
        </m:r>
      </m:oMath>
      <w:r w:rsidRPr="00A40586">
        <w:t xml:space="preserve">, and </w:t>
      </w:r>
      <m:oMath>
        <m:sSub>
          <m:sSubPr>
            <m:ctrlPr>
              <w:rPr>
                <w:rFonts w:ascii="Cambria Math" w:hAnsi="Cambria Math"/>
              </w:rPr>
            </m:ctrlPr>
          </m:sSubPr>
          <m:e>
            <m:r>
              <w:rPr>
                <w:rFonts w:ascii="Cambria Math" w:hAnsi="Cambria Math"/>
              </w:rPr>
              <m:t>λ</m:t>
            </m:r>
          </m:e>
          <m:sub>
            <m:r>
              <w:rPr>
                <w:rFonts w:ascii="Cambria Math" w:hAnsi="Cambria Math"/>
              </w:rPr>
              <m:t>B</m:t>
            </m:r>
          </m:sub>
        </m:sSub>
        <m:r>
          <w:rPr>
            <w:rFonts w:ascii="Cambria Math" w:hAnsi="Cambria Math"/>
          </w:rPr>
          <m:t>=1</m:t>
        </m:r>
      </m:oMath>
      <w:r w:rsidRPr="00A40586">
        <w:t xml:space="preserve">, the fully restrained state </w:t>
      </w:r>
      <m:oMath>
        <m:r>
          <w:rPr>
            <w:rFonts w:ascii="Cambria Math" w:hAnsi="Cambria Math"/>
          </w:rPr>
          <m:t>A</m:t>
        </m:r>
      </m:oMath>
      <w:r w:rsidRPr="00A40586">
        <w:t>. Adjacent-window BAR is the production estimator, while the TI integral above is a consistency check rather than a replacement primary value.</w:t>
      </w:r>
    </w:p>
    <w:p w14:paraId="2A8EA4B5" w14:textId="424001DC" w:rsidR="00A40586" w:rsidRPr="00A40586" w:rsidRDefault="00A40586" w:rsidP="00F169A1">
      <m:oMathPara>
        <m:oMath>
          <m:box>
            <m:boxPr>
              <m:ctrlPr>
                <w:rPr>
                  <w:rFonts w:ascii="Cambria Math" w:hAnsi="Cambria Math"/>
                </w:rPr>
              </m:ctrlPr>
            </m:boxPr>
            <m:e>
              <m:r>
                <m:rPr>
                  <m:sty m:val="p"/>
                </m:rPr>
                <w:rPr>
                  <w:rFonts w:ascii="Cambria Math" w:hAnsi="Cambria Math"/>
                </w:rPr>
                <m:t>Δ</m:t>
              </m:r>
            </m:e>
          </m:box>
          <m:sSub>
            <m:sSubPr>
              <m:ctrlPr>
                <w:rPr>
                  <w:rFonts w:ascii="Cambria Math" w:hAnsi="Cambria Math"/>
                </w:rPr>
              </m:ctrlPr>
            </m:sSubPr>
            <m:e>
              <m:r>
                <w:rPr>
                  <w:rFonts w:ascii="Cambria Math" w:hAnsi="Cambria Math"/>
                </w:rPr>
                <m:t>G</m:t>
              </m:r>
            </m:e>
            <m:sub>
              <m:box>
                <m:boxPr>
                  <m:ctrlPr>
                    <w:rPr>
                      <w:rFonts w:ascii="Cambria Math" w:hAnsi="Cambria Math"/>
                    </w:rPr>
                  </m:ctrlPr>
                </m:boxPr>
                <m:e>
                  <m:r>
                    <m:rPr>
                      <m:sty m:val="p"/>
                    </m:rPr>
                    <w:rPr>
                      <w:rFonts w:ascii="Cambria Math" w:hAnsi="Cambria Math"/>
                    </w:rPr>
                    <m:t>release</m:t>
                  </m:r>
                </m:e>
              </m:box>
            </m:sub>
          </m:sSub>
          <m:r>
            <w:rPr>
              <w:rFonts w:ascii="Cambria Math" w:hAnsi="Cambria Math"/>
            </w:rPr>
            <m:t>=-RT </m:t>
          </m:r>
          <m:r>
            <m:rPr>
              <m:sty m:val="p"/>
            </m:rPr>
            <w:rPr>
              <w:rFonts w:ascii="Cambria Math" w:hAnsi="Cambria Math"/>
            </w:rPr>
            <m:t>ln</m:t>
          </m:r>
          <m:d>
            <m:dPr>
              <m:begChr m:val="["/>
              <m:endChr m:val="]"/>
              <m:ctrlPr>
                <w:rPr>
                  <w:rFonts w:ascii="Cambria Math" w:hAnsi="Cambria Math"/>
                </w:rPr>
              </m:ctrlPr>
            </m:dPr>
            <m:e>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V</m:t>
                      </m:r>
                    </m:e>
                    <m:sup>
                      <m:r>
                        <w:rPr>
                          <w:rFonts w:ascii="Cambria Math" w:hAnsi="Cambria Math"/>
                        </w:rPr>
                        <m:t>∘</m:t>
                      </m:r>
                    </m:sup>
                  </m:sSup>
                </m:num>
                <m:den>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m:rPr>
                      <m:sty m:val="p"/>
                    </m:rPr>
                    <w:rPr>
                      <w:rFonts w:ascii="Cambria Math" w:hAnsi="Cambria Math"/>
                    </w:rPr>
                    <m:t>sin</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A0</m:t>
                      </m:r>
                    </m:sub>
                  </m:sSub>
                  <m:r>
                    <m:rPr>
                      <m:sty m:val="p"/>
                    </m:rPr>
                    <w:rPr>
                      <w:rFonts w:ascii="Cambria Math" w:hAnsi="Cambria Math"/>
                    </w:rPr>
                    <m:t>sin</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B0</m:t>
                      </m:r>
                    </m:sub>
                  </m:sSub>
                </m:den>
              </m:f>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k</m:t>
                          </m:r>
                        </m:e>
                        <m:sub>
                          <m:r>
                            <w:rPr>
                              <w:rFonts w:ascii="Cambria Math" w:hAnsi="Cambria Math"/>
                            </w:rPr>
                            <m:t>θA</m:t>
                          </m:r>
                        </m:sub>
                      </m:sSub>
                      <m:sSub>
                        <m:sSubPr>
                          <m:ctrlPr>
                            <w:rPr>
                              <w:rFonts w:ascii="Cambria Math" w:hAnsi="Cambria Math"/>
                            </w:rPr>
                          </m:ctrlPr>
                        </m:sSubPr>
                        <m:e>
                          <m:r>
                            <w:rPr>
                              <w:rFonts w:ascii="Cambria Math" w:hAnsi="Cambria Math"/>
                            </w:rPr>
                            <m:t>k</m:t>
                          </m:r>
                        </m:e>
                        <m:sub>
                          <m:r>
                            <w:rPr>
                              <w:rFonts w:ascii="Cambria Math" w:hAnsi="Cambria Math"/>
                            </w:rPr>
                            <m:t>θB</m:t>
                          </m:r>
                        </m:sub>
                      </m:sSub>
                      <m:sSub>
                        <m:sSubPr>
                          <m:ctrlPr>
                            <w:rPr>
                              <w:rFonts w:ascii="Cambria Math" w:hAnsi="Cambria Math"/>
                            </w:rPr>
                          </m:ctrlPr>
                        </m:sSubPr>
                        <m:e>
                          <m:r>
                            <w:rPr>
                              <w:rFonts w:ascii="Cambria Math" w:hAnsi="Cambria Math"/>
                            </w:rPr>
                            <m:t>k</m:t>
                          </m:r>
                        </m:e>
                        <m:sub>
                          <m:r>
                            <w:rPr>
                              <w:rFonts w:ascii="Cambria Math" w:hAnsi="Cambria Math"/>
                            </w:rPr>
                            <m:t>ϕA</m:t>
                          </m:r>
                        </m:sub>
                      </m:sSub>
                      <m:sSub>
                        <m:sSubPr>
                          <m:ctrlPr>
                            <w:rPr>
                              <w:rFonts w:ascii="Cambria Math" w:hAnsi="Cambria Math"/>
                            </w:rPr>
                          </m:ctrlPr>
                        </m:sSubPr>
                        <m:e>
                          <m:r>
                            <w:rPr>
                              <w:rFonts w:ascii="Cambria Math" w:hAnsi="Cambria Math"/>
                            </w:rPr>
                            <m:t>k</m:t>
                          </m:r>
                        </m:e>
                        <m:sub>
                          <m:r>
                            <w:rPr>
                              <w:rFonts w:ascii="Cambria Math" w:hAnsi="Cambria Math"/>
                            </w:rPr>
                            <m:t>ϕB</m:t>
                          </m:r>
                        </m:sub>
                      </m:sSub>
                      <m:sSub>
                        <m:sSubPr>
                          <m:ctrlPr>
                            <w:rPr>
                              <w:rFonts w:ascii="Cambria Math" w:hAnsi="Cambria Math"/>
                            </w:rPr>
                          </m:ctrlPr>
                        </m:sSubPr>
                        <m:e>
                          <m:r>
                            <w:rPr>
                              <w:rFonts w:ascii="Cambria Math" w:hAnsi="Cambria Math"/>
                            </w:rPr>
                            <m:t>k</m:t>
                          </m:r>
                        </m:e>
                        <m:sub>
                          <m:r>
                            <w:rPr>
                              <w:rFonts w:ascii="Cambria Math" w:hAnsi="Cambria Math"/>
                            </w:rPr>
                            <m:t>ϕC</m:t>
                          </m:r>
                        </m:sub>
                      </m:sSub>
                    </m:e>
                  </m:rad>
                </m:num>
                <m:den>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m:t>
                      </m:r>
                    </m:sup>
                  </m:sSup>
                </m:den>
              </m:f>
            </m:e>
          </m:d>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=1.6605</m:t>
          </m:r>
          <m:r>
            <m:rPr>
              <m:nor/>
            </m:rPr>
            <m:t> </m:t>
          </m:r>
          <m:box>
            <m:boxPr>
              <m:ctrlPr>
                <w:rPr>
                  <w:rFonts w:ascii="Cambria Math" w:hAnsi="Cambria Math"/>
                </w:rPr>
              </m:ctrlPr>
            </m:boxPr>
            <m:e>
              <m:r>
                <m:rPr>
                  <m:sty m:val="p"/>
                </m:rPr>
                <w:rPr>
                  <w:rFonts w:ascii="Cambria Math" w:hAnsi="Cambria Math"/>
                </w:rPr>
                <m:t>n</m:t>
              </m:r>
            </m:e>
          </m:box>
          <m:sSup>
            <m:sSupPr>
              <m:ctrlPr>
                <w:rPr>
                  <w:rFonts w:ascii="Cambria Math" w:hAnsi="Cambria Math"/>
                </w:rPr>
              </m:ctrlPr>
            </m:sSupPr>
            <m:e>
              <m:box>
                <m:boxPr>
                  <m:ctrlPr>
                    <w:rPr>
                      <w:rFonts w:ascii="Cambria Math" w:hAnsi="Cambria Math"/>
                    </w:rPr>
                  </m:ctrlPr>
                </m:boxPr>
                <m:e>
                  <m:r>
                    <m:rPr>
                      <m:sty m:val="p"/>
                    </m:rPr>
                    <w:rPr>
                      <w:rFonts w:ascii="Cambria Math" w:hAnsi="Cambria Math"/>
                    </w:rPr>
                    <m:t>m</m:t>
                  </m:r>
                </m:e>
              </m:box>
            </m:e>
            <m:sup>
              <m:r>
                <w:rPr>
                  <w:rFonts w:ascii="Cambria Math" w:hAnsi="Cambria Math"/>
                </w:rPr>
                <m:t>3</m:t>
              </m:r>
            </m:sup>
          </m:sSup>
          <m:r>
            <w:rPr>
              <w:rFonts w:ascii="Cambria Math" w:hAnsi="Cambria Math"/>
            </w:rPr>
            <m:t>.</m:t>
          </m:r>
        </m:oMath>
      </m:oMathPara>
    </w:p>
    <w:p w14:paraId="4C560BC7" w14:textId="5D7990BC" w:rsidR="00A40586" w:rsidRPr="00A40586" w:rsidRDefault="00A40586" w:rsidP="00A40586">
      <w:r w:rsidRPr="00A40586">
        <w:t xml:space="preserve">This release expression is a local, single-basin Gaussian approximation to the six restrained coordinates. It uses nm for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A40586">
        <w:t xml:space="preserve">, radians for angular coordinates, and consistent </w:t>
      </w:r>
      <m:oMath>
        <m:r>
          <m:rPr>
            <m:sty m:val="p"/>
          </m:rPr>
          <w:rPr>
            <w:rFonts w:ascii="Cambria Math" w:hAnsi="Cambria Math"/>
          </w:rPr>
          <m:t>kJ</m:t>
        </m:r>
        <m:r>
          <w:rPr>
            <w:rFonts w:ascii="Cambria Math" w:hAnsi="Cambria Math"/>
          </w:rPr>
          <m:t> </m:t>
        </m:r>
        <m:r>
          <m:rPr>
            <m:sty m:val="p"/>
          </m:rPr>
          <w:rPr>
            <w:rFonts w:ascii="Cambria Math" w:hAnsi="Cambria Math"/>
          </w:rPr>
          <m:t>mo</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oMath>
      <w:r w:rsidRPr="00A40586">
        <w:t xml:space="preserve"> force constants. The factor is </w:t>
      </w:r>
      <m:oMath>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m:t>
            </m:r>
          </m:sup>
        </m:sSup>
      </m:oMath>
      <w:r w:rsidRPr="00A40586">
        <w:t xml:space="preserve">, not </w:t>
      </w:r>
      <m:oMath>
        <m:sSup>
          <m:sSupPr>
            <m:ctrlPr>
              <w:rPr>
                <w:rFonts w:ascii="Cambria Math" w:hAnsi="Cambria Math"/>
              </w:rPr>
            </m:ctrlPr>
          </m:sSupPr>
          <m:e>
            <m:d>
              <m:dPr>
                <m:ctrlPr>
                  <w:rPr>
                    <w:rFonts w:ascii="Cambria Math" w:hAnsi="Cambria Math"/>
                  </w:rPr>
                </m:ctrlPr>
              </m:dPr>
              <m:e>
                <m:r>
                  <w:rPr>
                    <w:rFonts w:ascii="Cambria Math" w:hAnsi="Cambria Math"/>
                  </w:rPr>
                  <m:t>2πRT</m:t>
                </m:r>
              </m:e>
            </m:d>
          </m:e>
          <m:sup>
            <m:r>
              <w:rPr>
                <w:rFonts w:ascii="Cambria Math" w:hAnsi="Cambria Math"/>
              </w:rPr>
              <m:t>3/2</m:t>
            </m:r>
          </m:sup>
        </m:sSup>
      </m:oMath>
      <w:r w:rsidRPr="00A40586">
        <w:t>. Because the sampled angular/dihedral potential is periodic whereas the analytical release uses its local curvature, dihedral basin changes invalidate the approximation. Attachment and release have explicit directions and must each enter the cycle exactly once.</w:t>
      </w:r>
    </w:p>
    <w:p w14:paraId="4C513AD2" w14:textId="77777777" w:rsidR="00A40586" w:rsidRPr="00A40586" w:rsidRDefault="00A40586" w:rsidP="00F169A1">
      <w:pPr>
        <w:rPr>
          <w:rFonts w:hint="eastAsia"/>
        </w:rPr>
      </w:pPr>
    </w:p>
    <w:p w14:paraId="36247CF1" w14:textId="5B2F731A" w:rsidR="001C1244" w:rsidRDefault="00A6466E" w:rsidP="00F169A1">
      <w:proofErr w:type="spellStart"/>
      <w:r w:rsidRPr="00A6466E">
        <w:t>Boresch</w:t>
      </w:r>
      <w:proofErr w:type="spellEnd"/>
      <w:r w:rsidRPr="00A6466E">
        <w:t xml:space="preserve"> Parameter-Source Modules</w:t>
      </w:r>
    </w:p>
    <w:tbl>
      <w:tblPr>
        <w:tblStyle w:val="af"/>
        <w:tblW w:w="0" w:type="auto"/>
        <w:tblLook w:val="04A0" w:firstRow="1" w:lastRow="0" w:firstColumn="1" w:lastColumn="0" w:noHBand="0" w:noVBand="1"/>
      </w:tblPr>
      <w:tblGrid>
        <w:gridCol w:w="1413"/>
        <w:gridCol w:w="2989"/>
        <w:gridCol w:w="1579"/>
        <w:gridCol w:w="2315"/>
      </w:tblGrid>
      <w:tr w:rsidR="008C2CD1" w:rsidRPr="008C2CD1" w14:paraId="1486ADDC" w14:textId="77777777" w:rsidTr="008C2CD1">
        <w:trPr>
          <w:trHeight w:val="280"/>
        </w:trPr>
        <w:tc>
          <w:tcPr>
            <w:tcW w:w="1413" w:type="dxa"/>
            <w:noWrap/>
            <w:hideMark/>
          </w:tcPr>
          <w:p w14:paraId="736A1B95" w14:textId="77777777" w:rsidR="008C2CD1" w:rsidRPr="008C2CD1" w:rsidRDefault="008C2CD1" w:rsidP="008C2CD1">
            <w:r w:rsidRPr="008C2CD1">
              <w:t>Branch</w:t>
            </w:r>
          </w:p>
        </w:tc>
        <w:tc>
          <w:tcPr>
            <w:tcW w:w="2989" w:type="dxa"/>
            <w:noWrap/>
            <w:hideMark/>
          </w:tcPr>
          <w:p w14:paraId="48B105A9" w14:textId="77777777" w:rsidR="008C2CD1" w:rsidRPr="008C2CD1" w:rsidRDefault="008C2CD1">
            <w:r w:rsidRPr="008C2CD1">
              <w:t>Module Description</w:t>
            </w:r>
          </w:p>
        </w:tc>
        <w:tc>
          <w:tcPr>
            <w:tcW w:w="1579" w:type="dxa"/>
            <w:noWrap/>
            <w:hideMark/>
          </w:tcPr>
          <w:p w14:paraId="4A32F8D7" w14:textId="77777777" w:rsidR="008C2CD1" w:rsidRPr="008C2CD1" w:rsidRDefault="008C2CD1">
            <w:r w:rsidRPr="008C2CD1">
              <w:t>Input</w:t>
            </w:r>
          </w:p>
        </w:tc>
        <w:tc>
          <w:tcPr>
            <w:tcW w:w="2315" w:type="dxa"/>
            <w:noWrap/>
            <w:hideMark/>
          </w:tcPr>
          <w:p w14:paraId="20811EC8" w14:textId="77777777" w:rsidR="008C2CD1" w:rsidRPr="008C2CD1" w:rsidRDefault="008C2CD1">
            <w:r w:rsidRPr="008C2CD1">
              <w:t>Status &amp; Analysis</w:t>
            </w:r>
          </w:p>
        </w:tc>
      </w:tr>
      <w:tr w:rsidR="008C2CD1" w:rsidRPr="008C2CD1" w14:paraId="4A2AE9DD" w14:textId="77777777" w:rsidTr="008C2CD1">
        <w:trPr>
          <w:trHeight w:val="280"/>
        </w:trPr>
        <w:tc>
          <w:tcPr>
            <w:tcW w:w="1413" w:type="dxa"/>
            <w:noWrap/>
            <w:hideMark/>
          </w:tcPr>
          <w:p w14:paraId="0DC8842D" w14:textId="77777777" w:rsidR="008C2CD1" w:rsidRPr="008C2CD1" w:rsidRDefault="008C2CD1">
            <w:r w:rsidRPr="008C2CD1">
              <w:t>simple</w:t>
            </w:r>
          </w:p>
        </w:tc>
        <w:tc>
          <w:tcPr>
            <w:tcW w:w="2989" w:type="dxa"/>
            <w:noWrap/>
            <w:hideMark/>
          </w:tcPr>
          <w:p w14:paraId="60836F1D" w14:textId="77777777" w:rsidR="008C2CD1" w:rsidRPr="008C2CD1" w:rsidRDefault="008C2CD1">
            <w:r w:rsidRPr="008C2CD1">
              <w:t>Restraint parameters from geometry/fluctuations</w:t>
            </w:r>
          </w:p>
        </w:tc>
        <w:tc>
          <w:tcPr>
            <w:tcW w:w="1579" w:type="dxa"/>
            <w:noWrap/>
            <w:hideMark/>
          </w:tcPr>
          <w:p w14:paraId="2D4A914A" w14:textId="77777777" w:rsidR="008C2CD1" w:rsidRPr="008C2CD1" w:rsidRDefault="008C2CD1">
            <w:r w:rsidRPr="008C2CD1">
              <w:t xml:space="preserve">Equilibrated complex </w:t>
            </w:r>
          </w:p>
        </w:tc>
        <w:tc>
          <w:tcPr>
            <w:tcW w:w="2315" w:type="dxa"/>
            <w:noWrap/>
            <w:hideMark/>
          </w:tcPr>
          <w:p w14:paraId="20B490FC" w14:textId="77777777" w:rsidR="008C2CD1" w:rsidRPr="008C2CD1" w:rsidRDefault="008C2CD1">
            <w:r w:rsidRPr="008C2CD1">
              <w:t>Requires harmonicity/pose gates</w:t>
            </w:r>
          </w:p>
        </w:tc>
      </w:tr>
      <w:tr w:rsidR="008C2CD1" w:rsidRPr="008C2CD1" w14:paraId="1B7EF8D7" w14:textId="77777777" w:rsidTr="008C2CD1">
        <w:trPr>
          <w:trHeight w:val="280"/>
        </w:trPr>
        <w:tc>
          <w:tcPr>
            <w:tcW w:w="1413" w:type="dxa"/>
            <w:noWrap/>
            <w:hideMark/>
          </w:tcPr>
          <w:p w14:paraId="6B5AA6B6" w14:textId="77777777" w:rsidR="008C2CD1" w:rsidRPr="008C2CD1" w:rsidRDefault="008C2CD1">
            <w:r w:rsidRPr="008C2CD1">
              <w:t>fluctuation</w:t>
            </w:r>
          </w:p>
        </w:tc>
        <w:tc>
          <w:tcPr>
            <w:tcW w:w="2989" w:type="dxa"/>
            <w:noWrap/>
            <w:hideMark/>
          </w:tcPr>
          <w:p w14:paraId="0FBA95BF" w14:textId="77777777" w:rsidR="008C2CD1" w:rsidRPr="008C2CD1" w:rsidRDefault="008C2CD1">
            <w:r w:rsidRPr="008C2CD1">
              <w:t>Restraint parameters explicitly from trajectory stats</w:t>
            </w:r>
          </w:p>
        </w:tc>
        <w:tc>
          <w:tcPr>
            <w:tcW w:w="1579" w:type="dxa"/>
            <w:noWrap/>
            <w:hideMark/>
          </w:tcPr>
          <w:p w14:paraId="040F7D28" w14:textId="77777777" w:rsidR="008C2CD1" w:rsidRPr="008C2CD1" w:rsidRDefault="008C2CD1">
            <w:r w:rsidRPr="008C2CD1">
              <w:t xml:space="preserve">Trajectory stats </w:t>
            </w:r>
          </w:p>
        </w:tc>
        <w:tc>
          <w:tcPr>
            <w:tcW w:w="2315" w:type="dxa"/>
            <w:noWrap/>
            <w:hideMark/>
          </w:tcPr>
          <w:p w14:paraId="614126EB" w14:textId="77777777" w:rsidR="008C2CD1" w:rsidRPr="008C2CD1" w:rsidRDefault="008C2CD1">
            <w:r w:rsidRPr="008C2CD1">
              <w:t>Cannot substitute anchor sensitivity</w:t>
            </w:r>
          </w:p>
        </w:tc>
      </w:tr>
      <w:tr w:rsidR="008C2CD1" w:rsidRPr="008C2CD1" w14:paraId="1154195B" w14:textId="77777777" w:rsidTr="008C2CD1">
        <w:trPr>
          <w:trHeight w:val="280"/>
        </w:trPr>
        <w:tc>
          <w:tcPr>
            <w:tcW w:w="1413" w:type="dxa"/>
            <w:noWrap/>
            <w:hideMark/>
          </w:tcPr>
          <w:p w14:paraId="711D000F" w14:textId="77777777" w:rsidR="008C2CD1" w:rsidRPr="008C2CD1" w:rsidRDefault="008C2CD1">
            <w:r w:rsidRPr="008C2CD1">
              <w:t>traditional</w:t>
            </w:r>
          </w:p>
        </w:tc>
        <w:tc>
          <w:tcPr>
            <w:tcW w:w="2989" w:type="dxa"/>
            <w:noWrap/>
            <w:hideMark/>
          </w:tcPr>
          <w:p w14:paraId="009822E2" w14:textId="77777777" w:rsidR="008C2CD1" w:rsidRPr="008C2CD1" w:rsidRDefault="008C2CD1">
            <w:r w:rsidRPr="008C2CD1">
              <w:t>Reads user-supplied anchor/parameter files</w:t>
            </w:r>
          </w:p>
        </w:tc>
        <w:tc>
          <w:tcPr>
            <w:tcW w:w="1579" w:type="dxa"/>
            <w:noWrap/>
            <w:hideMark/>
          </w:tcPr>
          <w:p w14:paraId="677EED13" w14:textId="77777777" w:rsidR="008C2CD1" w:rsidRPr="008C2CD1" w:rsidRDefault="008C2CD1">
            <w:r w:rsidRPr="008C2CD1">
              <w:t>External file</w:t>
            </w:r>
          </w:p>
        </w:tc>
        <w:tc>
          <w:tcPr>
            <w:tcW w:w="2315" w:type="dxa"/>
            <w:noWrap/>
            <w:hideMark/>
          </w:tcPr>
          <w:p w14:paraId="0B59DBDB" w14:textId="77777777" w:rsidR="008C2CD1" w:rsidRPr="008C2CD1" w:rsidRDefault="008C2CD1"/>
        </w:tc>
      </w:tr>
      <w:tr w:rsidR="008C2CD1" w:rsidRPr="008C2CD1" w14:paraId="2263ABB2" w14:textId="77777777" w:rsidTr="008C2CD1">
        <w:trPr>
          <w:trHeight w:val="1120"/>
        </w:trPr>
        <w:tc>
          <w:tcPr>
            <w:tcW w:w="1413" w:type="dxa"/>
            <w:noWrap/>
            <w:hideMark/>
          </w:tcPr>
          <w:p w14:paraId="625D85C2" w14:textId="77777777" w:rsidR="008C2CD1" w:rsidRPr="008C2CD1" w:rsidRDefault="008C2CD1">
            <w:proofErr w:type="spellStart"/>
            <w:r w:rsidRPr="008C2CD1">
              <w:t>orb_ml</w:t>
            </w:r>
            <w:proofErr w:type="spellEnd"/>
          </w:p>
        </w:tc>
        <w:tc>
          <w:tcPr>
            <w:tcW w:w="2989" w:type="dxa"/>
            <w:noWrap/>
            <w:hideMark/>
          </w:tcPr>
          <w:p w14:paraId="38E14B2E" w14:textId="77777777" w:rsidR="008C2CD1" w:rsidRPr="008C2CD1" w:rsidRDefault="008C2CD1">
            <w:r w:rsidRPr="008C2CD1">
              <w:t>Reads external ORB/ML restraint proposals</w:t>
            </w:r>
          </w:p>
        </w:tc>
        <w:tc>
          <w:tcPr>
            <w:tcW w:w="1579" w:type="dxa"/>
            <w:noWrap/>
            <w:hideMark/>
          </w:tcPr>
          <w:p w14:paraId="360DE62C" w14:textId="77777777" w:rsidR="008C2CD1" w:rsidRPr="008C2CD1" w:rsidRDefault="008C2CD1">
            <w:r w:rsidRPr="008C2CD1">
              <w:t xml:space="preserve">External ML file </w:t>
            </w:r>
          </w:p>
        </w:tc>
        <w:tc>
          <w:tcPr>
            <w:tcW w:w="2315" w:type="dxa"/>
            <w:hideMark/>
          </w:tcPr>
          <w:p w14:paraId="4E44043E" w14:textId="77777777" w:rsidR="008C2CD1" w:rsidRPr="008C2CD1" w:rsidRDefault="008C2CD1">
            <w:r w:rsidRPr="008C2CD1">
              <w:t>Optional; ML physical curvature cannot qualify force constants alone</w:t>
            </w:r>
          </w:p>
        </w:tc>
      </w:tr>
      <w:tr w:rsidR="008C2CD1" w:rsidRPr="008C2CD1" w14:paraId="7ABF7CB4" w14:textId="77777777" w:rsidTr="008C2CD1">
        <w:trPr>
          <w:trHeight w:val="1120"/>
        </w:trPr>
        <w:tc>
          <w:tcPr>
            <w:tcW w:w="1413" w:type="dxa"/>
            <w:noWrap/>
            <w:hideMark/>
          </w:tcPr>
          <w:p w14:paraId="64BE9817" w14:textId="77777777" w:rsidR="008C2CD1" w:rsidRPr="008C2CD1" w:rsidRDefault="008C2CD1">
            <w:proofErr w:type="spellStart"/>
            <w:r w:rsidRPr="008C2CD1">
              <w:t>orb_simple</w:t>
            </w:r>
            <w:proofErr w:type="spellEnd"/>
          </w:p>
        </w:tc>
        <w:tc>
          <w:tcPr>
            <w:tcW w:w="2989" w:type="dxa"/>
            <w:hideMark/>
          </w:tcPr>
          <w:p w14:paraId="7EDD8EAE" w14:textId="77777777" w:rsidR="008C2CD1" w:rsidRPr="008C2CD1" w:rsidRDefault="008C2CD1">
            <w:r w:rsidRPr="008C2CD1">
              <w:t>Applies pocket-force projection to 1 ORB/MACE candidate</w:t>
            </w:r>
          </w:p>
        </w:tc>
        <w:tc>
          <w:tcPr>
            <w:tcW w:w="1579" w:type="dxa"/>
            <w:noWrap/>
            <w:hideMark/>
          </w:tcPr>
          <w:p w14:paraId="14B7B1BC" w14:textId="77777777" w:rsidR="008C2CD1" w:rsidRPr="008C2CD1" w:rsidRDefault="008C2CD1">
            <w:r w:rsidRPr="008C2CD1">
              <w:t xml:space="preserve">Model + structure </w:t>
            </w:r>
          </w:p>
        </w:tc>
        <w:tc>
          <w:tcPr>
            <w:tcW w:w="2315" w:type="dxa"/>
            <w:hideMark/>
          </w:tcPr>
          <w:p w14:paraId="662A2AF9" w14:textId="77777777" w:rsidR="008C2CD1" w:rsidRPr="008C2CD1" w:rsidRDefault="008C2CD1">
            <w:r w:rsidRPr="008C2CD1">
              <w:t>Experimental; best for anchor scoring/screening, not stiffness prediction</w:t>
            </w:r>
          </w:p>
        </w:tc>
      </w:tr>
    </w:tbl>
    <w:p w14:paraId="3428E2E0" w14:textId="77777777" w:rsidR="001C1244" w:rsidRDefault="001C1244" w:rsidP="00F169A1"/>
    <w:p w14:paraId="37114055" w14:textId="7BF48C2A" w:rsidR="008C2CD1" w:rsidRDefault="008C2CD1" w:rsidP="00F169A1">
      <w:r w:rsidRPr="008C2CD1">
        <w:lastRenderedPageBreak/>
        <w:t>ORB/ML Boundary: Select Anchors, Do Not Predict Artificial Restraint Stiffness</w:t>
      </w:r>
    </w:p>
    <w:p w14:paraId="745B9B91" w14:textId="77777777" w:rsidR="008C2CD1" w:rsidRDefault="008C2CD1" w:rsidP="00F169A1"/>
    <w:p w14:paraId="5DF42EDC" w14:textId="29197D45" w:rsidR="008C2CD1" w:rsidRPr="008C2CD1" w:rsidRDefault="008C2CD1" w:rsidP="008C2CD1">
      <w:r>
        <w:rPr>
          <w:rFonts w:hint="eastAsia"/>
          <w:b/>
          <w:bCs/>
        </w:rPr>
        <w:t>C</w:t>
      </w:r>
      <w:r w:rsidRPr="008C2CD1">
        <w:rPr>
          <w:b/>
          <w:bCs/>
        </w:rPr>
        <w:t>onclusion.</w:t>
      </w:r>
      <w:r w:rsidRPr="008C2CD1">
        <w:t xml:space="preserve"> The </w:t>
      </w:r>
      <w:proofErr w:type="spellStart"/>
      <w:r w:rsidRPr="008C2CD1">
        <w:t>Boresch</w:t>
      </w:r>
      <w:proofErr w:type="spellEnd"/>
      <w:r w:rsidRPr="008C2CD1">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restraint</m:t>
            </m:r>
          </m:sub>
        </m:sSub>
      </m:oMath>
      <w:r w:rsidRPr="008C2CD1">
        <w:t xml:space="preserve"> is not a true chemical-bond stiffness to be predicted by ORB/MACE. A </w:t>
      </w:r>
      <w:proofErr w:type="spellStart"/>
      <w:r w:rsidRPr="008C2CD1">
        <w:t>Boresch</w:t>
      </w:r>
      <w:proofErr w:type="spellEnd"/>
      <w:r w:rsidRPr="008C2CD1">
        <w:t xml:space="preserve"> Hamiltonian is an artificial orientational restraint introduced to prevent ligand drift or flipping during decoupling, preserve a selected relative orientation, support adequate restrained sampling, and permit analytical recovery of the imposed free energy under the declared single-basin approximation. ORB/MACE forces or Hessians instead describe the local unrestrained physical surface, </w:t>
      </w:r>
      <m:oMath>
        <m:sSub>
          <m:sSubPr>
            <m:ctrlPr>
              <w:rPr>
                <w:rFonts w:ascii="Cambria Math" w:hAnsi="Cambria Math"/>
              </w:rPr>
            </m:ctrlPr>
          </m:sSubPr>
          <m:e>
            <m:r>
              <w:rPr>
                <w:rFonts w:ascii="Cambria Math" w:hAnsi="Cambria Math"/>
              </w:rPr>
              <m:t>K</m:t>
            </m:r>
          </m:e>
          <m:sub>
            <m:r>
              <m:rPr>
                <m:sty m:val="p"/>
              </m:rPr>
              <w:rPr>
                <w:rFonts w:ascii="Cambria Math" w:hAnsi="Cambria Math"/>
              </w:rPr>
              <m:t>physical</m:t>
            </m:r>
          </m:sub>
        </m:sSub>
      </m:oMath>
      <w:r w:rsidRPr="008C2CD1">
        <w:t>. There is no general physical requirement that these two objects be equal.</w:t>
      </w:r>
    </w:p>
    <w:p w14:paraId="2113A671" w14:textId="77777777" w:rsidR="008C2CD1" w:rsidRDefault="008C2CD1" w:rsidP="00F169A1"/>
    <w:p w14:paraId="1D6D9A6F" w14:textId="29C9AA61" w:rsidR="008C2CD1" w:rsidRPr="008C2CD1" w:rsidRDefault="008C2CD1" w:rsidP="008C2CD1">
      <w:r w:rsidRPr="008C2CD1">
        <w:t xml:space="preserve">For example, a naturally soft torsion with </w:t>
      </w:r>
      <m:oMath>
        <m:sSub>
          <m:sSubPr>
            <m:ctrlPr>
              <w:rPr>
                <w:rFonts w:ascii="Cambria Math" w:hAnsi="Cambria Math"/>
              </w:rPr>
            </m:ctrlPr>
          </m:sSubPr>
          <m:e>
            <m:r>
              <w:rPr>
                <w:rFonts w:ascii="Cambria Math" w:hAnsi="Cambria Math"/>
              </w:rPr>
              <m:t>k</m:t>
            </m:r>
          </m:e>
          <m:sub>
            <m:r>
              <m:rPr>
                <m:sty m:val="p"/>
              </m:rPr>
              <w:rPr>
                <w:rFonts w:ascii="Cambria Math" w:hAnsi="Cambria Math"/>
              </w:rPr>
              <m:t>physical</m:t>
            </m:r>
          </m:sub>
        </m:sSub>
        <m:r>
          <w:rPr>
            <w:rFonts w:ascii="Cambria Math" w:hAnsi="Cambria Math"/>
          </w:rPr>
          <m:t>=3</m:t>
        </m:r>
      </m:oMath>
      <w:r w:rsidRPr="008C2CD1">
        <w:t xml:space="preserve"> may still require </w:t>
      </w:r>
      <m:oMath>
        <m:sSub>
          <m:sSubPr>
            <m:ctrlPr>
              <w:rPr>
                <w:rFonts w:ascii="Cambria Math" w:hAnsi="Cambria Math"/>
              </w:rPr>
            </m:ctrlPr>
          </m:sSubPr>
          <m:e>
            <m:r>
              <w:rPr>
                <w:rFonts w:ascii="Cambria Math" w:hAnsi="Cambria Math"/>
              </w:rPr>
              <m:t>k</m:t>
            </m:r>
          </m:e>
          <m:sub>
            <m:r>
              <m:rPr>
                <m:sty m:val="p"/>
              </m:rPr>
              <w:rPr>
                <w:rFonts w:ascii="Cambria Math" w:hAnsi="Cambria Math"/>
              </w:rPr>
              <m:t>restraint</m:t>
            </m:r>
          </m:sub>
        </m:sSub>
        <m:r>
          <w:rPr>
            <w:rFonts w:ascii="Cambria Math" w:hAnsi="Cambria Math"/>
          </w:rPr>
          <m:t>=40</m:t>
        </m:r>
      </m:oMath>
      <w:r w:rsidRPr="008C2CD1">
        <w:t xml:space="preserve"> to prevent a decoupled ligand from flipping. Conversely, a physically stiff direction does not justify an artificial restraint of 500. Production restraint strengths should be governed by sampling stability, single-basin behavior, overlap, the analytical-correction assumptions, and a preregistered sensitivity protocol—not by equating an ML curvature with a restraint constant.</w:t>
      </w:r>
    </w:p>
    <w:p w14:paraId="5A5EDAC0" w14:textId="77777777" w:rsidR="008C2CD1" w:rsidRPr="008C2CD1" w:rsidRDefault="008C2CD1" w:rsidP="00F169A1">
      <w:pPr>
        <w:rPr>
          <w:rFonts w:hint="eastAsia"/>
        </w:rPr>
      </w:pPr>
    </w:p>
    <w:p w14:paraId="645136EC" w14:textId="6A44D08A" w:rsidR="0038399A" w:rsidRPr="0038399A" w:rsidRDefault="0038399A" w:rsidP="0038399A">
      <w:r w:rsidRPr="0038399A">
        <w:rPr>
          <w:b/>
          <w:bCs/>
        </w:rPr>
        <w:t xml:space="preserve">Issue 1: the </w:t>
      </w:r>
      <w:proofErr w:type="gramStart"/>
      <w:r w:rsidRPr="0038399A">
        <w:rPr>
          <w:b/>
          <w:bCs/>
        </w:rPr>
        <w:t>physical local</w:t>
      </w:r>
      <w:proofErr w:type="gramEnd"/>
      <w:r w:rsidRPr="0038399A">
        <w:rPr>
          <w:b/>
          <w:bCs/>
        </w:rPr>
        <w:t xml:space="preserve"> stiffness is a coupled </w:t>
      </w:r>
      <m:oMath>
        <m:r>
          <w:rPr>
            <w:rFonts w:ascii="Cambria Math" w:hAnsi="Cambria Math"/>
          </w:rPr>
          <m:t>6×6</m:t>
        </m:r>
      </m:oMath>
      <w:r w:rsidRPr="0038399A">
        <w:rPr>
          <w:b/>
          <w:bCs/>
        </w:rPr>
        <w:t xml:space="preserve"> object.</w:t>
      </w:r>
      <w:r w:rsidRPr="0038399A">
        <w:t xml:space="preserve"> The six </w:t>
      </w:r>
      <w:proofErr w:type="spellStart"/>
      <w:r w:rsidRPr="0038399A">
        <w:t>Boresch</w:t>
      </w:r>
      <w:proofErr w:type="spellEnd"/>
      <w:r w:rsidRPr="0038399A">
        <w:t xml:space="preserve"> coordinates generally have nonzero cross-couplings. The present per-coordinate estimator performs six independent regressions and discards them. Even with a metric-correct generalized force, the coherent diagnostic would be a joint matrix fit of </w:t>
      </w:r>
      <m:oMath>
        <m:r>
          <m:rPr>
            <m:sty m:val="p"/>
          </m:rPr>
          <w:rPr>
            <w:rFonts w:ascii="Cambria Math" w:hAnsi="Cambria Math"/>
          </w:rPr>
          <m:t>Δ</m:t>
        </m:r>
        <m:r>
          <m:rPr>
            <m:sty m:val="b"/>
          </m:rPr>
          <w:rPr>
            <w:rFonts w:ascii="Cambria Math" w:hAnsi="Cambria Math"/>
          </w:rPr>
          <m:t>Q</m:t>
        </m:r>
        <m:r>
          <w:rPr>
            <w:rFonts w:ascii="Cambria Math" w:hAnsi="Cambria Math"/>
          </w:rPr>
          <m:t>=-</m:t>
        </m:r>
        <m:sSub>
          <m:sSubPr>
            <m:ctrlPr>
              <w:rPr>
                <w:rFonts w:ascii="Cambria Math" w:hAnsi="Cambria Math"/>
              </w:rPr>
            </m:ctrlPr>
          </m:sSubPr>
          <m:e>
            <m:r>
              <m:rPr>
                <m:sty m:val="b"/>
              </m:rPr>
              <w:rPr>
                <w:rFonts w:ascii="Cambria Math" w:hAnsi="Cambria Math"/>
              </w:rPr>
              <m:t>K</m:t>
            </m:r>
          </m:e>
          <m:sub>
            <m:r>
              <m:rPr>
                <m:sty m:val="p"/>
              </m:rPr>
              <w:rPr>
                <w:rFonts w:ascii="Cambria Math" w:hAnsi="Cambria Math"/>
              </w:rPr>
              <m:t>physical</m:t>
            </m:r>
          </m:sub>
        </m:sSub>
        <m:r>
          <m:rPr>
            <m:sty m:val="p"/>
          </m:rPr>
          <w:rPr>
            <w:rFonts w:ascii="Cambria Math" w:hAnsi="Cambria Math"/>
          </w:rPr>
          <m:t>Δ</m:t>
        </m:r>
        <m:r>
          <m:rPr>
            <m:sty m:val="b"/>
          </m:rPr>
          <w:rPr>
            <w:rFonts w:ascii="Cambria Math" w:hAnsi="Cambria Math"/>
          </w:rPr>
          <m:t>q</m:t>
        </m:r>
      </m:oMath>
      <w:r w:rsidRPr="0038399A">
        <w:t xml:space="preserve">. Production Boresch restraints may nevertheless remain diagonal because the implemented analytical correction is constructed from independent local terms. This reinforces the correct separation: use the full matrix or covariance to diagnose anchor quality, then choose a safe protocol-defined diagonal </w:t>
      </w:r>
      <m:oMath>
        <m:sSub>
          <m:sSubPr>
            <m:ctrlPr>
              <w:rPr>
                <w:rFonts w:ascii="Cambria Math" w:hAnsi="Cambria Math"/>
              </w:rPr>
            </m:ctrlPr>
          </m:sSubPr>
          <m:e>
            <m:r>
              <m:rPr>
                <m:sty m:val="b"/>
              </m:rPr>
              <w:rPr>
                <w:rFonts w:ascii="Cambria Math" w:hAnsi="Cambria Math"/>
              </w:rPr>
              <m:t>K</m:t>
            </m:r>
          </m:e>
          <m:sub>
            <m:r>
              <w:rPr>
                <w:rFonts w:ascii="Cambria Math" w:hAnsi="Cambria Math"/>
              </w:rPr>
              <m:t>R</m:t>
            </m:r>
          </m:sub>
        </m:sSub>
      </m:oMath>
      <w:r w:rsidRPr="0038399A">
        <w:t xml:space="preserve"> for the artificial restraint.</w:t>
      </w:r>
    </w:p>
    <w:p w14:paraId="3DBE9159" w14:textId="77777777" w:rsidR="008C2CD1" w:rsidRPr="0038399A" w:rsidRDefault="008C2CD1" w:rsidP="00F169A1"/>
    <w:p w14:paraId="01698593" w14:textId="575DC12D" w:rsidR="0038399A" w:rsidRPr="0038399A" w:rsidRDefault="0038399A" w:rsidP="0038399A">
      <w:r w:rsidRPr="0038399A">
        <w:rPr>
          <w:b/>
          <w:bCs/>
        </w:rPr>
        <w:t xml:space="preserve">Issue 2: an instantaneous </w:t>
      </w:r>
      <w:proofErr w:type="gramStart"/>
      <w:r w:rsidRPr="0038399A">
        <w:rPr>
          <w:b/>
          <w:bCs/>
        </w:rPr>
        <w:t>microscopic generalized</w:t>
      </w:r>
      <w:proofErr w:type="gramEnd"/>
      <w:r w:rsidRPr="0038399A">
        <w:rPr>
          <w:b/>
          <w:bCs/>
        </w:rPr>
        <w:t xml:space="preserve"> force is not the PMF gradient.</w:t>
      </w:r>
      <w:r w:rsidRPr="0038399A">
        <w:t xml:space="preserve"> Curvilinear distance, angle, and dihedral coordinates carry metric, Jacobian/</w:t>
      </w:r>
      <w:proofErr w:type="spellStart"/>
      <w:r w:rsidRPr="0038399A">
        <w:t>Fixman</w:t>
      </w:r>
      <w:proofErr w:type="spellEnd"/>
      <w:r w:rsidRPr="0038399A">
        <w:t xml:space="preserve">, and entropic contributions, while the environment is integrated out. The ensemble quantity of interest is the curvature of </w:t>
      </w:r>
      <m:oMath>
        <m:r>
          <w:rPr>
            <w:rFonts w:ascii="Cambria Math" w:hAnsi="Cambria Math"/>
          </w:rPr>
          <m:t>A</m:t>
        </m:r>
        <m:d>
          <m:dPr>
            <m:ctrlPr>
              <w:rPr>
                <w:rFonts w:ascii="Cambria Math" w:hAnsi="Cambria Math"/>
              </w:rPr>
            </m:ctrlPr>
          </m:dPr>
          <m:e>
            <m:r>
              <m:rPr>
                <m:sty m:val="b"/>
              </m:rPr>
              <w:rPr>
                <w:rFonts w:ascii="Cambria Math" w:hAnsi="Cambria Math"/>
              </w:rPr>
              <m:t>q</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m:rPr>
                <m:sty m:val="b"/>
              </m:rPr>
              <w:rPr>
                <w:rFonts w:ascii="Cambria Math" w:hAnsi="Cambria Math"/>
              </w:rPr>
              <m:t>q</m:t>
            </m:r>
          </m:e>
        </m:d>
      </m:oMath>
      <w:r w:rsidRPr="0038399A">
        <w:t xml:space="preserve">, not a simple projection of one snapshot's Cartesian potential Hessian. This is why the fluctuation estimate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fluc</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func>
      </m:oMath>
      <w:r w:rsidRPr="0038399A">
        <w:t xml:space="preserve"> is conceptually closer to an effective free-energy curvature. It still relies on harmonic, single-basin, and finite-sampling assumptions, but it asks how strongly the coordinate fluctuates in the thermal ensemble. The current _</w:t>
      </w:r>
      <w:proofErr w:type="spellStart"/>
      <w:r w:rsidRPr="0038399A">
        <w:t>apply_hybrid_</w:t>
      </w:r>
      <w:proofErr w:type="gramStart"/>
      <w:r w:rsidRPr="0038399A">
        <w:t>filter</w:t>
      </w:r>
      <w:proofErr w:type="spellEnd"/>
      <w:r w:rsidRPr="0038399A">
        <w:t>(</w:t>
      </w:r>
      <w:proofErr w:type="gramEnd"/>
      <w:r w:rsidRPr="0038399A">
        <w:t>) uses this expression when force regression is unreliable; that fallback is better aligned with the relevant question, but it still does not automatically qualify an unsensitivity-tested production constant.</w:t>
      </w:r>
    </w:p>
    <w:p w14:paraId="14064CA3" w14:textId="77777777" w:rsidR="0038399A" w:rsidRPr="0038399A" w:rsidRDefault="0038399A" w:rsidP="0038399A">
      <w:r w:rsidRPr="0038399A">
        <w:rPr>
          <w:b/>
          <w:bCs/>
        </w:rPr>
        <w:t>Issue 3: anchor screening and stiffness estimation currently double dip.</w:t>
      </w:r>
      <w:r w:rsidRPr="0038399A">
        <w:t xml:space="preserve"> The workflow first favors low-RMSF atoms and then converts small coordinate variance from the same trajectory into a large fluctuation stiffness. The same evidence is therefore reused for selection and validation, biasing inferred constants toward harder directions. Candidate scoring from that trajectory compounds the post-selection bias.</w:t>
      </w:r>
    </w:p>
    <w:p w14:paraId="32D3A21B" w14:textId="77777777" w:rsidR="008C2CD1" w:rsidRPr="0038399A" w:rsidRDefault="008C2CD1" w:rsidP="00F169A1"/>
    <w:p w14:paraId="715CC721" w14:textId="62840E58" w:rsidR="0038399A" w:rsidRPr="0038399A" w:rsidRDefault="0038399A" w:rsidP="0038399A">
      <w:r w:rsidRPr="0038399A">
        <w:rPr>
          <w:b/>
          <w:bCs/>
        </w:rPr>
        <w:t xml:space="preserve">Issue 4: the data sources for </w:t>
      </w:r>
      <m:oMath>
        <m:sSub>
          <m:sSubPr>
            <m:ctrlPr>
              <w:rPr>
                <w:rFonts w:ascii="Cambria Math" w:hAnsi="Cambria Math"/>
              </w:rPr>
            </m:ctrlPr>
          </m:sSubPr>
          <m:e>
            <m:r>
              <m:rPr>
                <m:sty m:val="b"/>
              </m:rPr>
              <w:rPr>
                <w:rFonts w:ascii="Cambria Math" w:hAnsi="Cambria Math"/>
              </w:rPr>
              <m:t>q</m:t>
            </m:r>
          </m:e>
          <m:sub>
            <m:r>
              <w:rPr>
                <w:rFonts w:ascii="Cambria Math" w:hAnsi="Cambria Math"/>
              </w:rPr>
              <m:t>0</m:t>
            </m:r>
          </m:sub>
        </m:sSub>
      </m:oMath>
      <w:r w:rsidRPr="0038399A">
        <w:rPr>
          <w:b/>
          <w:bCs/>
        </w:rPr>
        <w:t xml:space="preserve"> and </w:t>
      </w:r>
      <m:oMath>
        <m:r>
          <m:rPr>
            <m:sty m:val="b"/>
          </m:rPr>
          <w:rPr>
            <w:rFonts w:ascii="Cambria Math" w:hAnsi="Cambria Math"/>
          </w:rPr>
          <m:t>K</m:t>
        </m:r>
      </m:oMath>
      <w:r w:rsidRPr="0038399A">
        <w:rPr>
          <w:b/>
          <w:bCs/>
        </w:rPr>
        <w:t xml:space="preserve"> must be coherent.</w:t>
      </w:r>
      <w:r w:rsidRPr="0038399A">
        <w:t xml:space="preserve"> In the current auto/</w:t>
      </w:r>
      <w:proofErr w:type="spellStart"/>
      <w:r w:rsidRPr="0038399A">
        <w:t>orb_simple</w:t>
      </w:r>
      <w:proofErr w:type="spellEnd"/>
      <w:r w:rsidRPr="0038399A">
        <w:t xml:space="preserve"> route, stiffness may be estimated from many frames while </w:t>
      </w:r>
      <w:proofErr w:type="spellStart"/>
      <w:r w:rsidRPr="0038399A">
        <w:t>equilibrium_values</w:t>
      </w:r>
      <w:proofErr w:type="spellEnd"/>
      <w:r w:rsidRPr="0038399A">
        <w:t xml:space="preserve"> is subsequently replaced by the final-frame geometry; simple/fluctuation explicitly preserves the ensemble mean. The former combines </w:t>
      </w:r>
      <w:proofErr w:type="gramStart"/>
      <w:r w:rsidRPr="0038399A">
        <w:t>a multi</w:t>
      </w:r>
      <w:proofErr w:type="gramEnd"/>
      <w:r w:rsidRPr="0038399A">
        <w:t>-frame stiffness with a single-frame center and allows an arbitrary terminal snapshot to position the artificial well.</w:t>
      </w:r>
    </w:p>
    <w:p w14:paraId="0678E668" w14:textId="704805C8" w:rsidR="0038399A" w:rsidRPr="0038399A" w:rsidRDefault="0038399A" w:rsidP="0038399A">
      <w:r w:rsidRPr="0038399A">
        <w:t>A more natural center</w:t>
      </w:r>
    </w:p>
    <w:p w14:paraId="672BCE6A" w14:textId="7D2B3EC5" w:rsidR="0038399A" w:rsidRPr="0038399A" w:rsidRDefault="0038399A" w:rsidP="0038399A">
      <m:oMathPara>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A0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B0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B</m:t>
                  </m:r>
                </m:sub>
              </m:sSub>
            </m:e>
          </m:d>
          <m:r>
            <w:rPr>
              <w:rFonts w:ascii="Cambria Math" w:hAnsi="Cambria Math"/>
            </w:rPr>
            <m:t>,</m:t>
          </m:r>
        </m:oMath>
      </m:oMathPara>
    </w:p>
    <w:p w14:paraId="169A9FE9" w14:textId="1612C9C9" w:rsidR="0038399A" w:rsidRPr="0038399A" w:rsidRDefault="0038399A" w:rsidP="0038399A">
      <w:r w:rsidRPr="0038399A">
        <w:t xml:space="preserve">circular torsion </w:t>
      </w:r>
      <w:proofErr w:type="gramStart"/>
      <w:r w:rsidRPr="0038399A">
        <w:t>mean</w:t>
      </w:r>
      <w:proofErr w:type="gramEnd"/>
    </w:p>
    <w:p w14:paraId="186D07F7" w14:textId="54B48D93" w:rsidR="0038399A" w:rsidRPr="0038399A" w:rsidRDefault="0038399A" w:rsidP="0038399A">
      <m:oMathPara>
        <m:oMath>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func>
            <m:funcPr>
              <m:ctrlPr>
                <w:rPr>
                  <w:rFonts w:ascii="Cambria Math" w:hAnsi="Cambria Math"/>
                </w:rPr>
              </m:ctrlPr>
            </m:funcPr>
            <m:fName>
              <m:r>
                <m:rPr>
                  <m:sty m:val="p"/>
                </m:rPr>
                <w:rPr>
                  <w:rFonts w:ascii="Cambria Math" w:hAnsi="Cambria Math"/>
                </w:rPr>
                <m:t>atan</m:t>
              </m:r>
              <m:r>
                <w:rPr>
                  <w:rFonts w:ascii="Cambria Math" w:hAnsi="Cambria Math"/>
                </w:rPr>
                <m:t>2</m:t>
              </m:r>
            </m:fName>
            <m:e>
              <m:d>
                <m:dPr>
                  <m:ctrlPr>
                    <w:rPr>
                      <w:rFonts w:ascii="Cambria Math" w:hAnsi="Cambria Math"/>
                    </w:rPr>
                  </m:ctrlPr>
                </m:d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e>
                  </m:d>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e>
                  </m:d>
                </m:e>
              </m:d>
            </m:e>
          </m:func>
          <m:r>
            <w:rPr>
              <w:rFonts w:ascii="Cambria Math" w:hAnsi="Cambria Math"/>
            </w:rPr>
            <m:t>.</m:t>
          </m:r>
        </m:oMath>
      </m:oMathPara>
    </w:p>
    <w:p w14:paraId="0FBA1B78" w14:textId="77777777" w:rsidR="0038399A" w:rsidRPr="0038399A" w:rsidRDefault="0038399A" w:rsidP="0038399A">
      <w:r w:rsidRPr="0038399A">
        <w:t>A coherent center uses ensemble means for distance and angles and circular means for torsions. If an actual configuration must be committed, it should be the trajectory frame nearest the six-dimensional mean geometry, not simply the last frame. Once committed, the reference geometry is frozen with the Hamiltonian fingerprint and cannot be re-anchored on resume.</w:t>
      </w:r>
    </w:p>
    <w:p w14:paraId="72AA0769" w14:textId="77777777" w:rsidR="008C2CD1" w:rsidRDefault="008C2CD1" w:rsidP="00F169A1"/>
    <w:p w14:paraId="24B3F6D8" w14:textId="0CAC7383" w:rsidR="0038399A" w:rsidRPr="0038399A" w:rsidRDefault="0038399A" w:rsidP="0038399A">
      <w:r w:rsidRPr="0038399A">
        <w:t>Accordingly, the current force-to-</w:t>
      </w:r>
      <m:oMath>
        <m:sSub>
          <m:sSubPr>
            <m:ctrlPr>
              <w:rPr>
                <w:rFonts w:ascii="Cambria Math" w:hAnsi="Cambria Math"/>
              </w:rPr>
            </m:ctrlPr>
          </m:sSubPr>
          <m:e>
            <m:r>
              <w:rPr>
                <w:rFonts w:ascii="Cambria Math" w:hAnsi="Cambria Math"/>
              </w:rPr>
              <m:t>k</m:t>
            </m:r>
          </m:e>
          <m:sub>
            <m:r>
              <m:rPr>
                <m:sty m:val="p"/>
              </m:rPr>
              <w:rPr>
                <w:rFonts w:ascii="Cambria Math" w:hAnsi="Cambria Math"/>
              </w:rPr>
              <m:t>Boresch</m:t>
            </m:r>
          </m:sub>
        </m:sSub>
      </m:oMath>
      <w:r w:rsidRPr="0038399A">
        <w:t xml:space="preserve"> output of orb_simple/auto remains an experimental legacy branch and cannot serve as the physical basis for production constants. The defensible ORB/MACE role is </w:t>
      </w:r>
      <w:proofErr w:type="gramStart"/>
      <w:r w:rsidRPr="0038399A">
        <w:rPr>
          <w:b/>
          <w:bCs/>
        </w:rPr>
        <w:t>anchor</w:t>
      </w:r>
      <w:proofErr w:type="gramEnd"/>
      <w:r w:rsidRPr="0038399A">
        <w:rPr>
          <w:b/>
          <w:bCs/>
        </w:rPr>
        <w:t xml:space="preserve"> selector, geometry-quality estimator, and bad-anchor detector</w:t>
      </w:r>
      <w:r w:rsidRPr="0038399A">
        <w:t xml:space="preserve">; the artificial </w:t>
      </w:r>
      <w:proofErr w:type="spellStart"/>
      <w:r w:rsidRPr="0038399A">
        <w:t>Boresch</w:t>
      </w:r>
      <w:proofErr w:type="spellEnd"/>
      <w:r w:rsidRPr="0038399A">
        <w:t xml:space="preserve"> stiffness is determined by the equilibrated ensemble, sampling stability, analytical assumptions, and a sensitivity protocol.</w:t>
      </w:r>
    </w:p>
    <w:p/>
    <w:p>
      <w:pPr/>
      <w:r>
        <w:t>3.1.3 Boresch Execution and Analysis Submodules</w:t>
      </w:r>
    </w:p>
    <w:tbl>
      <w:tblPr>
        <w:tblStyle w:val="af"/>
        <w:tblW w:type="auto" w:w="0"/>
        <w:jc w:val="center"/>
        <w:tblLayout w:type="autofit"/>
        <w:tblLook w:firstColumn="1" w:firstRow="1" w:lastColumn="0" w:lastRow="0" w:noHBand="0" w:noVBand="1" w:val="04A0"/>
      </w:tblPr>
      <w:tblGrid>
        <w:gridCol w:w="2076"/>
        <w:gridCol w:w="2076"/>
        <w:gridCol w:w="2076"/>
        <w:gridCol w:w="2076"/>
      </w:tblGrid>
      <w:tr>
        <w:tc>
          <w:tcPr>
            <w:tcW w:type="dxa" w:w="2076"/>
            <w:vAlign w:val="center"/>
          </w:tcPr>
          <w:p>
            <w:pPr/>
            <w:r>
              <w:rPr>
                <w:b/>
              </w:rPr>
              <w:t>Submodule</w:t>
            </w:r>
          </w:p>
        </w:tc>
        <w:tc>
          <w:tcPr>
            <w:tcW w:type="dxa" w:w="2076"/>
            <w:vAlign w:val="center"/>
          </w:tcPr>
          <w:p>
            <w:pPr/>
            <w:r>
              <w:rPr>
                <w:b/>
              </w:rPr>
              <w:t>Function</w:t>
            </w:r>
          </w:p>
        </w:tc>
        <w:tc>
          <w:tcPr>
            <w:tcW w:type="dxa" w:w="2076"/>
            <w:vAlign w:val="center"/>
          </w:tcPr>
          <w:p>
            <w:pPr/>
            <w:r>
              <w:rPr>
                <w:b/>
              </w:rPr>
              <w:t>Primary output</w:t>
            </w:r>
          </w:p>
        </w:tc>
        <w:tc>
          <w:tcPr>
            <w:tcW w:type="dxa" w:w="2076"/>
            <w:vAlign w:val="center"/>
          </w:tcPr>
          <w:p>
            <w:pPr/>
            <w:r>
              <w:rPr>
                <w:b/>
              </w:rPr>
              <w:t>Qualification boundary</w:t>
            </w:r>
          </w:p>
        </w:tc>
      </w:tr>
      <w:tr>
        <w:tc>
          <w:tcPr>
            <w:tcW w:type="dxa" w:w="2076"/>
            <w:vAlign w:val="center"/>
          </w:tcPr>
          <w:p>
            <w:pPr/>
            <w:r>
              <w:t>anchor validation</w:t>
            </w:r>
          </w:p>
        </w:tc>
        <w:tc>
          <w:tcPr>
            <w:tcW w:type="dxa" w:w="2076"/>
            <w:vAlign w:val="center"/>
          </w:tcPr>
          <w:p>
            <w:pPr/>
            <w:r>
              <w:t>Check receptor/ligand atom identity, PBC geometry, and degenerate angles</w:t>
            </w:r>
          </w:p>
        </w:tc>
        <w:tc>
          <w:tcPr>
            <w:tcW w:type="dxa" w:w="2076"/>
            <w:vAlign w:val="center"/>
          </w:tcPr>
          <w:p>
            <w:pPr/>
            <w:r>
              <w:t>Validated six-coordinate definition</w:t>
            </w:r>
          </w:p>
        </w:tc>
        <w:tc>
          <w:tcPr>
            <w:tcW w:type="dxa" w:w="2076"/>
            <w:vAlign w:val="center"/>
          </w:tcPr>
          <w:p>
            <w:pPr/>
            <w:r>
              <w:t>Structural or atom-identity changes invalidate cache</w:t>
            </w:r>
          </w:p>
        </w:tc>
      </w:tr>
      <w:tr>
        <w:tc>
          <w:tcPr>
            <w:tcW w:type="dxa" w:w="2076"/>
            <w:vAlign w:val="center"/>
          </w:tcPr>
          <w:p>
            <w:pPr/>
            <w:r>
              <w:t>equilibrium submission</w:t>
            </w:r>
          </w:p>
        </w:tc>
        <w:tc>
          <w:tcPr>
            <w:tcW w:type="dxa" w:w="2076"/>
            <w:vAlign w:val="center"/>
          </w:tcPr>
          <w:p>
            <w:pPr/>
            <w:r>
              <w:t>Freeze committed reference geometry</w:t>
            </w:r>
          </w:p>
        </w:tc>
        <w:tc>
          <w:tcPr>
            <w:tcW w:type="dxa" w:w="2076"/>
            <w:vAlign w:val="center"/>
          </w:tcPr>
          <w:p>
            <w:pPr/>
            <w:r>
              <w:t>boresch_equilibrium_committed.json</w:t>
            </w:r>
          </w:p>
        </w:tc>
        <w:tc>
          <w:tcPr>
            <w:tcW w:type="dxa" w:w="2076"/>
            <w:vAlign w:val="center"/>
          </w:tcPr>
          <w:p>
            <w:pPr/>
            <w:r>
              <w:t>Resume must not re-anchor from the last frame</w:t>
            </w:r>
          </w:p>
        </w:tc>
      </w:tr>
      <w:tr>
        <w:tc>
          <w:tcPr>
            <w:tcW w:type="dxa" w:w="2076"/>
            <w:vAlign w:val="center"/>
          </w:tcPr>
          <w:p>
            <w:pPr/>
            <w:r>
              <w:t>sequential attachment</w:t>
            </w:r>
          </w:p>
        </w:tc>
        <w:tc>
          <w:tcPr>
            <w:tcW w:type="dxa" w:w="2076"/>
            <w:vAlign w:val="center"/>
          </w:tcPr>
          <w:p>
            <w:pPr/>
            <w:r>
              <w:t>Open restraint from A′→A</w:t>
            </w:r>
          </w:p>
        </w:tc>
        <w:tc>
          <w:tcPr>
            <w:tcW w:type="dxa" w:w="2076"/>
            <w:vAlign w:val="center"/>
          </w:tcPr>
          <w:p>
            <w:pPr/>
            <w:r>
              <w:t>Adjacent-BAR ΔG_attach</w:t>
            </w:r>
          </w:p>
        </w:tc>
        <w:tc>
          <w:tcPr>
            <w:tcW w:type="dxa" w:w="2076"/>
            <w:vAlign w:val="center"/>
          </w:tcPr>
          <w:p>
            <w:pPr/>
            <w:r>
              <w:t>Complex leg only; negative attachment rejected</w:t>
            </w:r>
          </w:p>
        </w:tc>
      </w:tr>
      <w:tr>
        <w:tc>
          <w:tcPr>
            <w:tcW w:type="dxa" w:w="2076"/>
            <w:vAlign w:val="center"/>
          </w:tcPr>
          <w:p>
            <w:pPr/>
            <w:r>
              <w:t>FD-TI crosscheck</w:t>
            </w:r>
          </w:p>
        </w:tc>
        <w:tc>
          <w:tcPr>
            <w:tcW w:type="dxa" w:w="2076"/>
            <w:vAlign w:val="center"/>
          </w:tcPr>
          <w:p>
            <w:pPr/>
            <w:r>
              <w:t>Check attachment derivative with reweighted finite differences</w:t>
            </w:r>
          </w:p>
        </w:tc>
        <w:tc>
          <w:tcPr>
            <w:tcW w:type="dxa" w:w="2076"/>
            <w:vAlign w:val="center"/>
          </w:tcPr>
          <w:p>
            <w:pPr/>
            <w:r>
              <w:t>TI consistency diagnostic</w:t>
            </w:r>
          </w:p>
        </w:tc>
        <w:tc>
          <w:tcPr>
            <w:tcW w:type="dxa" w:w="2076"/>
            <w:vAlign w:val="center"/>
          </w:tcPr>
          <w:p>
            <w:pPr/>
            <w:r>
              <w:t>Crosscheck only; does not replace BAR</w:t>
            </w:r>
          </w:p>
        </w:tc>
      </w:tr>
      <w:tr>
        <w:tc>
          <w:tcPr>
            <w:tcW w:type="dxa" w:w="2076"/>
            <w:vAlign w:val="center"/>
          </w:tcPr>
          <w:p>
            <w:pPr/>
            <w:r>
              <w:t>MBAR diagnostic</w:t>
            </w:r>
          </w:p>
        </w:tc>
        <w:tc>
          <w:tcPr>
            <w:tcW w:type="dxa" w:w="2076"/>
            <w:vAlign w:val="center"/>
          </w:tcPr>
          <w:p>
            <w:pPr/>
            <w:r>
              <w:t>Check multistate consistency and overlap</w:t>
            </w:r>
          </w:p>
        </w:tc>
        <w:tc>
          <w:tcPr>
            <w:tcW w:type="dxa" w:w="2076"/>
            <w:vAlign w:val="center"/>
          </w:tcPr>
          <w:p>
            <w:pPr/>
            <w:r>
              <w:t>Diagnostic free-energy matrix</w:t>
            </w:r>
          </w:p>
        </w:tc>
        <w:tc>
          <w:tcPr>
            <w:tcW w:type="dxa" w:w="2076"/>
            <w:vAlign w:val="center"/>
          </w:tcPr>
          <w:p>
            <w:pPr/>
            <w:r>
              <w:t>Not the Stage 0 primary estimator</w:t>
            </w:r>
          </w:p>
        </w:tc>
      </w:tr>
      <w:tr>
        <w:tc>
          <w:tcPr>
            <w:tcW w:type="dxa" w:w="2076"/>
            <w:vAlign w:val="center"/>
          </w:tcPr>
          <w:p>
            <w:pPr/>
            <w:r>
              <w:t>Boresch rebalance</w:t>
            </w:r>
          </w:p>
        </w:tc>
        <w:tc>
          <w:tcPr>
            <w:tcW w:type="dxa" w:w="2076"/>
            <w:vAlign w:val="center"/>
          </w:tcPr>
          <w:p>
            <w:pPr/>
            <w:r>
              <w:t>Re-equilibrate with restraint fixed</w:t>
            </w:r>
          </w:p>
        </w:tc>
        <w:tc>
          <w:tcPr>
            <w:tcW w:type="dxa" w:w="2076"/>
            <w:vAlign w:val="center"/>
          </w:tcPr>
          <w:p>
            <w:pPr/>
            <w:r>
              <w:t>Reusable starting state</w:t>
            </w:r>
          </w:p>
        </w:tc>
        <w:tc>
          <w:tcPr>
            <w:tcW w:type="dxa" w:w="2076"/>
            <w:vAlign w:val="center"/>
          </w:tcPr>
          <w:p>
            <w:pPr/>
            <w:r>
              <w:t>Default 50,000 steps; production skip discouraged</w:t>
            </w:r>
          </w:p>
        </w:tc>
      </w:tr>
      <w:tr>
        <w:tc>
          <w:tcPr>
            <w:tcW w:type="dxa" w:w="2076"/>
            <w:vAlign w:val="center"/>
          </w:tcPr>
          <w:p>
            <w:pPr/>
            <w:r>
              <w:t>analytic release</w:t>
            </w:r>
          </w:p>
        </w:tc>
        <w:tc>
          <w:tcPr>
            <w:tcW w:type="dxa" w:w="2076"/>
            <w:vAlign w:val="center"/>
          </w:tcPr>
          <w:p>
            <w:pPr/>
            <w:r>
              <w:t>Release restrained decoupled ligand to 1 M standard state</w:t>
            </w:r>
          </w:p>
        </w:tc>
        <w:tc>
          <w:tcPr>
            <w:tcW w:type="dxa" w:w="2076"/>
            <w:vAlign w:val="center"/>
          </w:tcPr>
          <w:p>
            <w:pPr/>
            <w:r>
              <w:t>ΔG_release</w:t>
            </w:r>
          </w:p>
        </w:tc>
        <w:tc>
          <w:tcPr>
            <w:tcW w:type="dxa" w:w="2076"/>
            <w:vAlign w:val="center"/>
          </w:tcPr>
          <w:p>
            <w:pPr/>
            <w:r>
              <w:t>Count exactly once in the final cycle</w:t>
            </w:r>
          </w:p>
        </w:tc>
      </w:tr>
      <w:tr>
        <w:tc>
          <w:tcPr>
            <w:tcW w:type="dxa" w:w="2076"/>
            <w:vAlign w:val="center"/>
          </w:tcPr>
          <w:p>
            <w:pPr/>
            <w:r>
              <w:t>harmonicity / sensitivity</w:t>
            </w:r>
          </w:p>
        </w:tc>
        <w:tc>
          <w:tcPr>
            <w:tcW w:type="dxa" w:w="2076"/>
            <w:vAlign w:val="center"/>
          </w:tcPr>
          <w:p>
            <w:pPr/>
            <w:r>
              <w:t>Check fluctuations, clipping, and alternative anchors</w:t>
            </w:r>
          </w:p>
        </w:tc>
        <w:tc>
          <w:tcPr>
            <w:tcW w:type="dxa" w:w="2076"/>
            <w:vAlign w:val="center"/>
          </w:tcPr>
          <w:p>
            <w:pPr/>
            <w:r>
              <w:t>Qualification report</w:t>
            </w:r>
          </w:p>
        </w:tc>
        <w:tc>
          <w:tcPr>
            <w:tcW w:type="dxa" w:w="2076"/>
            <w:vAlign w:val="center"/>
          </w:tcPr>
          <w:p>
            <w:pPr/>
            <w:r>
              <w:t>Harmonicity does not close sensitivity</w:t>
            </w:r>
          </w:p>
        </w:tc>
      </w:tr>
      <w:tr>
        <w:tc>
          <w:tcPr>
            <w:tcW w:type="dxa" w:w="2076"/>
            <w:vAlign w:val="center"/>
          </w:tcPr>
          <w:p>
            <w:pPr/>
            <w:r>
              <w:t>Stage 0 cache</w:t>
            </w:r>
          </w:p>
        </w:tc>
        <w:tc>
          <w:tcPr>
            <w:tcW w:type="dxa" w:w="2076"/>
            <w:vAlign w:val="center"/>
          </w:tcPr>
          <w:p>
            <w:pPr/>
            <w:r>
              <w:t>Reuse only under matching Boresch/Hamiltonian/topology/box/protocol key</w:t>
            </w:r>
          </w:p>
        </w:tc>
        <w:tc>
          <w:tcPr>
            <w:tcW w:type="dxa" w:w="2076"/>
            <w:vAlign w:val="center"/>
          </w:tcPr>
          <w:p>
            <w:pPr/>
            <w:r>
              <w:t>stage0_attachment.json</w:t>
            </w:r>
          </w:p>
        </w:tc>
        <w:tc>
          <w:tcPr>
            <w:tcW w:type="dxa" w:w="2076"/>
            <w:vAlign w:val="center"/>
          </w:tcPr>
          <w:p>
            <w:pPr/>
            <w:r>
              <w:t>Mismatch requires recomputation</w:t>
            </w:r>
          </w:p>
        </w:tc>
      </w:tr>
    </w:tbl>
    <w:p/>
    <w:p>
      <w:pPr/>
      <w:r>
        <w:t>3.1.4 500-Frame Geometry Diagnostic and Present Boundary</w:t>
      </w:r>
    </w:p>
    <w:tbl>
      <w:tblPr>
        <w:tblStyle w:val="af"/>
        <w:tblW w:type="auto" w:w="0"/>
        <w:jc w:val="center"/>
        <w:tblLayout w:type="autofit"/>
        <w:tblLook w:firstColumn="1" w:firstRow="1" w:lastColumn="0" w:lastRow="0" w:noHBand="0" w:noVBand="1" w:val="04A0"/>
      </w:tblPr>
      <w:tblGrid>
        <w:gridCol w:w="4153"/>
        <w:gridCol w:w="4153"/>
      </w:tblGrid>
      <w:tr>
        <w:tc>
          <w:tcPr>
            <w:tcW w:type="dxa" w:w="4153"/>
            <w:vAlign w:val="center"/>
          </w:tcPr>
          <w:p>
            <w:pPr/>
            <w:r>
              <w:rPr>
                <w:b/>
              </w:rPr>
              <w:t>Metric</w:t>
            </w:r>
          </w:p>
        </w:tc>
        <w:tc>
          <w:tcPr>
            <w:tcW w:type="dxa" w:w="4153"/>
            <w:vAlign w:val="center"/>
          </w:tcPr>
          <w:p>
            <w:pPr/>
            <w:r>
              <w:rPr>
                <w:b/>
              </w:rPr>
              <w:t>Value</w:t>
            </w:r>
          </w:p>
        </w:tc>
      </w:tr>
      <w:tr>
        <w:tc>
          <w:tcPr>
            <w:tcW w:type="dxa" w:w="4153"/>
            <w:vAlign w:val="center"/>
          </w:tcPr>
          <w:p>
            <w:pPr/>
            <w:r>
              <w:t>Analyzed frames</w:t>
            </w:r>
          </w:p>
        </w:tc>
        <w:tc>
          <w:tcPr>
            <w:tcW w:type="dxa" w:w="4153"/>
            <w:vAlign w:val="center"/>
          </w:tcPr>
          <w:p>
            <w:pPr/>
            <w:r>
              <w:t>500</w:t>
            </w:r>
          </w:p>
        </w:tc>
      </w:tr>
      <w:tr>
        <w:tc>
          <w:tcPr>
            <w:tcW w:type="dxa" w:w="4153"/>
            <w:vAlign w:val="center"/>
          </w:tcPr>
          <w:p>
            <w:pPr/>
            <w:r>
              <w:t>Anchor candidates</w:t>
            </w:r>
          </w:p>
        </w:tc>
        <w:tc>
          <w:tcPr>
            <w:tcW w:type="dxa" w:w="4153"/>
            <w:vAlign w:val="center"/>
          </w:tcPr>
          <w:p>
            <w:pPr/>
            <w:r>
              <w:t>562</w:t>
            </w:r>
          </w:p>
        </w:tc>
      </w:tr>
      <w:tr>
        <w:tc>
          <w:tcPr>
            <w:tcW w:type="dxa" w:w="4153"/>
            <w:vAlign w:val="center"/>
          </w:tcPr>
          <w:p>
            <w:pPr/>
            <w:r>
              <w:t>Harmonicity flag</w:t>
            </w:r>
          </w:p>
        </w:tc>
        <w:tc>
          <w:tcPr>
            <w:tcW w:type="dxa" w:w="4153"/>
            <w:vAlign w:val="center"/>
          </w:tcPr>
          <w:p>
            <w:pPr/>
            <w:r>
              <w:t>true</w:t>
            </w:r>
          </w:p>
        </w:tc>
      </w:tr>
      <w:tr>
        <w:tc>
          <w:tcPr>
            <w:tcW w:type="dxa" w:w="4153"/>
            <w:vAlign w:val="center"/>
          </w:tcPr>
          <w:p>
            <w:pPr/>
            <w:r>
              <w:t>Non-Gaussian count</w:t>
            </w:r>
          </w:p>
        </w:tc>
        <w:tc>
          <w:tcPr>
            <w:tcW w:type="dxa" w:w="4153"/>
            <w:vAlign w:val="center"/>
          </w:tcPr>
          <w:p>
            <w:pPr/>
            <w:r>
              <w:t>0</w:t>
            </w:r>
          </w:p>
        </w:tc>
      </w:tr>
      <w:tr>
        <w:tc>
          <w:tcPr>
            <w:tcW w:type="dxa" w:w="4153"/>
            <w:vAlign w:val="center"/>
          </w:tcPr>
          <w:p>
            <w:pPr/>
            <w:r>
              <w:t>Clipped radial constants</w:t>
            </w:r>
          </w:p>
        </w:tc>
        <w:tc>
          <w:tcPr>
            <w:tcW w:type="dxa" w:w="4153"/>
            <w:vAlign w:val="center"/>
          </w:tcPr>
          <w:p>
            <w:pPr/>
            <w:r>
              <w:t>1</w:t>
            </w:r>
          </w:p>
        </w:tc>
      </w:tr>
      <w:tr>
        <w:tc>
          <w:tcPr>
            <w:tcW w:type="dxa" w:w="4153"/>
            <w:vAlign w:val="center"/>
          </w:tcPr>
          <w:p>
            <w:pPr/>
            <w:r>
              <w:t>Raw radial constant</w:t>
            </w:r>
          </w:p>
        </w:tc>
        <w:tc>
          <w:tcPr>
            <w:tcW w:type="dxa" w:w="4153"/>
            <w:vAlign w:val="center"/>
          </w:tcPr>
          <w:p>
            <w:pPr/>
            <w:r>
              <w:t>approximately 7355.9 kJ mol⁻¹ nm⁻²</w:t>
            </w:r>
          </w:p>
        </w:tc>
      </w:tr>
      <w:tr>
        <w:tc>
          <w:tcPr>
            <w:tcW w:type="dxa" w:w="4153"/>
            <w:vAlign w:val="center"/>
          </w:tcPr>
          <w:p>
            <w:pPr/>
            <w:r>
              <w:t>Applied radial constant</w:t>
            </w:r>
          </w:p>
        </w:tc>
        <w:tc>
          <w:tcPr>
            <w:tcW w:type="dxa" w:w="4153"/>
            <w:vAlign w:val="center"/>
          </w:tcPr>
          <w:p>
            <w:pPr/>
            <w:r>
              <w:t>2000 kJ mol⁻¹ nm⁻²</w:t>
            </w:r>
          </w:p>
        </w:tc>
      </w:tr>
    </w:tbl>
    <w:p>
      <w:pPr/>
      <w:r>
        <w:t>The local geometry is approximately harmonic, but at least one restraint parameter reaches an imposed ceiling. Formal sensitivity therefore has to compare unclipped or alternative-anchor choices, pose stability, restraint work, and the final free-energy cycle rather than relying on the harmonicity flag alone.</w:t>
      </w:r>
    </w:p>
    <w:p/>
    <w:p>
      <w:pPr/>
      <w:r>
        <w:t>3.2 Stage 1: PME Decharging and the Static-Neutral Handoff</w:t>
      </w:r>
    </w:p>
    <w:p/>
    <w:p>
      <w:pPr/>
      <w:r>
        <w:t>3.2.1 Physical Step Contract</w:t>
      </w:r>
    </w:p>
    <w:tbl>
      <w:tblPr>
        <w:tblStyle w:val="af"/>
        <w:tblW w:type="auto" w:w="0"/>
        <w:jc w:val="center"/>
        <w:tblLayout w:type="autofit"/>
        <w:tblLook w:firstColumn="1" w:firstRow="1" w:lastColumn="0" w:lastRow="0" w:noHBand="0" w:noVBand="1" w:val="04A0"/>
      </w:tblPr>
      <w:tblGrid>
        <w:gridCol w:w="4153"/>
        <w:gridCol w:w="4153"/>
      </w:tblGrid>
      <w:tr>
        <w:tc>
          <w:tcPr>
            <w:tcW w:type="dxa" w:w="4153"/>
            <w:vAlign w:val="center"/>
          </w:tcPr>
          <w:p>
            <w:pPr/>
            <w:r>
              <w:rPr>
                <w:b/>
              </w:rPr>
              <w:t>Dimension</w:t>
            </w:r>
          </w:p>
        </w:tc>
        <w:tc>
          <w:tcPr>
            <w:tcW w:type="dxa" w:w="4153"/>
            <w:vAlign w:val="center"/>
          </w:tcPr>
          <w:p>
            <w:pPr/>
            <w:r>
              <w:rPr>
                <w:b/>
              </w:rPr>
              <w:t>Stage 1 content</w:t>
            </w:r>
          </w:p>
        </w:tc>
      </w:tr>
      <w:tr>
        <w:tc>
          <w:tcPr>
            <w:tcW w:type="dxa" w:w="4153"/>
            <w:vAlign w:val="center"/>
          </w:tcPr>
          <w:p>
            <w:pPr/>
            <w:r>
              <w:t>Objective</w:t>
            </w:r>
          </w:p>
        </w:tc>
        <w:tc>
          <w:tcPr>
            <w:tcW w:type="dxa" w:w="4153"/>
            <w:vAlign w:val="center"/>
          </w:tcPr>
          <w:p>
            <w:pPr/>
            <w:r>
              <w:t>Change ligand–environment electrostatics from fully coupled to zero while retaining vdW excluded volume</w:t>
            </w:r>
          </w:p>
        </w:tc>
      </w:tr>
      <w:tr>
        <w:tc>
          <w:tcPr>
            <w:tcW w:type="dxa" w:w="4153"/>
            <w:vAlign w:val="center"/>
          </w:tcPr>
          <w:p>
            <w:pPr/>
            <w:r>
              <w:t>Input</w:t>
            </w:r>
          </w:p>
        </w:tc>
        <w:tc>
          <w:tcPr>
            <w:tcW w:type="dxa" w:w="4153"/>
            <w:vAlign w:val="center"/>
          </w:tcPr>
          <w:p>
            <w:pPr/>
            <w:r>
              <w:t>Restrained complex or independent solvent leg; λ_coul=1, λ_vdW=1</w:t>
            </w:r>
          </w:p>
        </w:tc>
      </w:tr>
      <w:tr>
        <w:tc>
          <w:tcPr>
            <w:tcW w:type="dxa" w:w="4153"/>
            <w:vAlign w:val="center"/>
          </w:tcPr>
          <w:p>
            <w:pPr/>
            <w:r>
              <w:t>Hamiltonian change</w:t>
            </w:r>
          </w:p>
        </w:tc>
        <w:tc>
          <w:tcPr>
            <w:tcW w:type="dxa" w:w="4153"/>
            <w:vAlign w:val="center"/>
          </w:tcPr>
          <w:p>
            <w:pPr/>
            <w:r>
              <w:t>λ_coul: 1→0; λ_vdW=1 unchanged; preserve PME reciprocal/self/PBC contract</w:t>
            </w:r>
          </w:p>
        </w:tc>
      </w:tr>
      <w:tr>
        <w:tc>
          <w:tcPr>
            <w:tcW w:type="dxa" w:w="4153"/>
            <w:vAlign w:val="center"/>
          </w:tcPr>
          <w:p>
            <w:pPr/>
            <w:r>
              <w:t>Sampling and estimation</w:t>
            </w:r>
          </w:p>
        </w:tc>
        <w:tc>
          <w:tcPr>
            <w:tcW w:type="dxa" w:w="4153"/>
            <w:vAlign w:val="center"/>
          </w:tcPr>
          <w:p>
            <w:pPr/>
            <w:r>
              <w:t>Adjacent BAR primary; FD-TI crosscheck; MBAR diagnostic</w:t>
            </w:r>
          </w:p>
        </w:tc>
      </w:tr>
      <w:tr>
        <w:tc>
          <w:tcPr>
            <w:tcW w:type="dxa" w:w="4153"/>
            <w:vAlign w:val="center"/>
          </w:tcPr>
          <w:p>
            <w:pPr/>
            <w:r>
              <w:t>Output</w:t>
            </w:r>
          </w:p>
        </w:tc>
        <w:tc>
          <w:tcPr>
            <w:tcW w:type="dxa" w:w="4153"/>
            <w:vAlign w:val="center"/>
          </w:tcPr>
          <w:p>
            <w:pPr/>
            <w:r>
              <w:t>Leg-specific decharging ΔG, static-neutral OpenMM System, estimator provenance</w:t>
            </w:r>
          </w:p>
        </w:tc>
      </w:tr>
      <w:tr>
        <w:tc>
          <w:tcPr>
            <w:tcW w:type="dxa" w:w="4153"/>
            <w:vAlign w:val="center"/>
          </w:tcPr>
          <w:p>
            <w:pPr/>
            <w:r>
              <w:t>Main risk</w:t>
            </w:r>
          </w:p>
        </w:tc>
        <w:tc>
          <w:tcPr>
            <w:tcW w:type="dxa" w:w="4153"/>
            <w:vAlign w:val="center"/>
          </w:tcPr>
          <w:p>
            <w:pPr/>
            <w:r>
              <w:t>Deleting charges instead of following the PME path, net-charge changes, stale estimators, ion-identity mismatch</w:t>
            </w:r>
          </w:p>
        </w:tc>
      </w:tr>
      <w:tr>
        <w:tc>
          <w:tcPr>
            <w:tcW w:type="dxa" w:w="4153"/>
            <w:vAlign w:val="center"/>
          </w:tcPr>
          <w:p>
            <w:pPr/>
            <w:r>
              <w:t>Current status</w:t>
            </w:r>
          </w:p>
        </w:tc>
        <w:tc>
          <w:tcPr>
            <w:tcW w:type="dxa" w:w="4153"/>
            <w:vAlign w:val="center"/>
          </w:tcPr>
          <w:p>
            <w:pPr/>
            <w:r>
              <w:t>Neutral Atenolol branch operational; full charged-ligand binding cycle not yet validated</w:t>
            </w:r>
          </w:p>
        </w:tc>
      </w:tr>
    </w:tbl>
    <w:p>
      <w:pPr/>
      <w:r>
        <w:t>Stage 1 changes ligand electrostatics from λ_coul=1 to 0 while retaining λ_vdW=1. The path preserves reciprocal-space PME, Ewald self energy, periodic-boundary treatment, and the total-charge contract. Simply deleting charges is not equivalent to this alchemical path.</w:t>
      </w:r>
    </w:p>
    <w:p>
      <w:pPr/>
      <w:r>
        <w:t>Adjacent-state BAR is the production estimator. Finite-difference TI checks path consistency and MBAR diagnoses multistate overlap. Historical Stage-1 fields are interpreted only under their original estimator identity; field presence alone does not establish compliance with the current estimator v2.</w:t>
      </w:r>
    </w:p>
    <w:p/>
    <w:p>
      <w:pPr/>
      <w:r>
        <w:t>3.2.2 PME-Preserving λ Hamiltonian and Estimators</w:t>
      </w:r>
    </w:p>
    <w:p>
      <w:pPr>
        <w:jc w:val="center"/>
      </w:pPr>
      <w:r>
        <w:rPr>
          <w:i/>
        </w:rPr>
        <w:t>q_i(λ) = q_i,base + λ q_i,scale</w:t>
      </w:r>
    </w:p>
    <w:p>
      <w:pPr/>
      <w:r>
        <w:t>For a neutral ligand, q_i,base=0 and q_i,scale=q_i, so q_i(λ)=λq_i and the path is (λ_coul, λ_vdW): (1,1)→(0,1). Ligand intramolecular Coulomb interactions are retained separately; the alchemical change is ligand–environment decoupling rather than complete intramolecular annihilation.</w:t>
      </w:r>
    </w:p>
    <w:p>
      <w:pPr>
        <w:jc w:val="center"/>
      </w:pPr>
      <w:r>
        <w:rPr>
          <w:i/>
        </w:rPr>
        <w:t>u_k(x_n) = β U_k^PME(x_n)</w:t>
      </w:r>
    </w:p>
    <w:p>
      <w:pPr/>
      <w:r>
        <w:t>The native NonbondedForce recalculates real-space, reciprocal-space, PBC, and Ewald self contributions for the scaled charges. The production path therefore does not add an extra legacy +Cλ² term; doing so would double count a contribution already present in the full PME Hamiltonian.</w:t>
      </w:r>
    </w:p>
    <w:p>
      <w:pPr/>
      <w:r>
        <w:t>For a charged ligand, the proposed production design transfers charge to a same-sign co-alchemical ion with retained LJ: q_lig,i(λ)=λq_i and q_co,j(λ)=(1−λ)s_j. The charge-scale coefficients must sum to zero, so total box charge remains constant for every intermediate λ, not only at the endpoints.</w:t>
      </w:r>
    </w:p>
    <w:p>
      <w:pPr/>
      <w:r>
        <w:t>The co-ion is held by a λ-independent flat-bottom restraint around a declared anchor. This route and a neutralizing-plasma/APBS route are mutually exclusive identities and must never be silently combined.</w:t>
      </w:r>
    </w:p>
    <w:p>
      <w:pPr/>
      <w:r>
        <w:t>Finite-difference TI uses the actual nonuniform λ values, not state indices. It remains a crosscheck to the adjacent-BAR chain rather than the primary reported Stage-1 value.</w:t>
      </w:r>
    </w:p>
    <w:p/>
    <w:p>
      <w:pPr/>
      <w:r>
        <w:t>3.2.3 Stage-1 Electrostatics Functional Branches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Method</w:t>
            </w:r>
          </w:p>
        </w:tc>
        <w:tc>
          <w:tcPr>
            <w:tcW w:type="dxa" w:w="2769"/>
            <w:vAlign w:val="center"/>
          </w:tcPr>
          <w:p>
            <w:pPr/>
            <w:r>
              <w:rPr>
                <w:b/>
              </w:rPr>
              <w:t>Principle</w:t>
            </w:r>
          </w:p>
        </w:tc>
        <w:tc>
          <w:tcPr>
            <w:tcW w:type="dxa" w:w="2769"/>
            <w:vAlign w:val="center"/>
          </w:tcPr>
          <w:p>
            <w:pPr/>
            <w:r>
              <w:rPr>
                <w:b/>
              </w:rPr>
              <w:t>Status</w:t>
            </w:r>
          </w:p>
        </w:tc>
      </w:tr>
      <w:tr>
        <w:tc>
          <w:tcPr>
            <w:tcW w:type="dxa" w:w="2769"/>
            <w:vAlign w:val="center"/>
          </w:tcPr>
          <w:p>
            <w:pPr/>
            <w:r>
              <w:t>PME offsets + REMD/BAR/MBAR</w:t>
            </w:r>
          </w:p>
        </w:tc>
        <w:tc>
          <w:tcPr>
            <w:tcW w:type="dxa" w:w="2769"/>
            <w:vAlign w:val="center"/>
          </w:tcPr>
          <w:p>
            <w:pPr/>
            <w:r>
              <w:t>Full reciprocal/self/real PME path</w:t>
            </w:r>
          </w:p>
        </w:tc>
        <w:tc>
          <w:tcPr>
            <w:tcW w:type="dxa" w:w="2769"/>
            <w:vAlign w:val="center"/>
          </w:tcPr>
          <w:p>
            <w:pPr/>
            <w:r>
              <w:t>Current recommended route</w:t>
            </w:r>
          </w:p>
        </w:tc>
      </w:tr>
      <w:tr>
        <w:tc>
          <w:tcPr>
            <w:tcW w:type="dxa" w:w="2769"/>
            <w:vAlign w:val="center"/>
          </w:tcPr>
          <w:p>
            <w:pPr/>
            <w:r>
              <w:t>Shadow-Coulomb IBS</w:t>
            </w:r>
          </w:p>
        </w:tc>
        <w:tc>
          <w:tcPr>
            <w:tcW w:type="dxa" w:w="2769"/>
            <w:vAlign w:val="center"/>
          </w:tcPr>
          <w:p>
            <w:pPr/>
            <w:r>
              <w:t>Real-space shadow CV plus PME-shadow bridge</w:t>
            </w:r>
          </w:p>
        </w:tc>
        <w:tc>
          <w:tcPr>
            <w:tcW w:type="dxa" w:w="2769"/>
            <w:vAlign w:val="center"/>
          </w:tcPr>
          <w:p>
            <w:pPr/>
            <w:r>
              <w:t>Experimental; neutral only</w:t>
            </w:r>
          </w:p>
        </w:tc>
      </w:tr>
      <w:tr>
        <w:tc>
          <w:tcPr>
            <w:tcW w:type="dxa" w:w="2769"/>
            <w:vAlign w:val="center"/>
          </w:tcPr>
          <w:p>
            <w:pPr/>
            <w:r>
              <w:t>co-alchemical transfer</w:t>
            </w:r>
          </w:p>
        </w:tc>
        <w:tc>
          <w:tcPr>
            <w:tcW w:type="dxa" w:w="2769"/>
            <w:vAlign w:val="center"/>
          </w:tcPr>
          <w:p>
            <w:pPr/>
            <w:r>
              <w:t>Transfer ligand charge to a frozen co-ion</w:t>
            </w:r>
          </w:p>
        </w:tc>
        <w:tc>
          <w:tcPr>
            <w:tcW w:type="dxa" w:w="2769"/>
            <w:vAlign w:val="center"/>
          </w:tcPr>
          <w:p>
            <w:pPr/>
            <w:r>
              <w:t>Charged route; seam validated, full cycle pending</w:t>
            </w:r>
          </w:p>
        </w:tc>
      </w:tr>
      <w:tr>
        <w:tc>
          <w:tcPr>
            <w:tcW w:type="dxa" w:w="2769"/>
            <w:vAlign w:val="center"/>
          </w:tcPr>
          <w:p>
            <w:pPr/>
            <w:r>
              <w:t>plasma + APBS</w:t>
            </w:r>
          </w:p>
        </w:tc>
        <w:tc>
          <w:tcPr>
            <w:tcW w:type="dxa" w:w="2769"/>
            <w:vAlign w:val="center"/>
          </w:tcPr>
          <w:p>
            <w:pPr/>
            <w:r>
              <w:t>Allow net-charge change and apply external finite-size correction</w:t>
            </w:r>
          </w:p>
        </w:tc>
        <w:tc>
          <w:tcPr>
            <w:tcW w:type="dxa" w:w="2769"/>
            <w:vAlign w:val="center"/>
          </w:tcPr>
          <w:p>
            <w:pPr/>
            <w:r>
              <w:t>Independent route; do not combine with co-ion</w:t>
            </w:r>
          </w:p>
        </w:tc>
      </w:tr>
      <w:tr>
        <w:tc>
          <w:tcPr>
            <w:tcW w:type="dxa" w:w="2769"/>
            <w:vAlign w:val="center"/>
          </w:tcPr>
          <w:p>
            <w:pPr/>
            <w:r>
              <w:t>co-annihilation</w:t>
            </w:r>
          </w:p>
        </w:tc>
        <w:tc>
          <w:tcPr>
            <w:tcW w:type="dxa" w:w="2769"/>
            <w:vAlign w:val="center"/>
          </w:tcPr>
          <w:p>
            <w:pPr/>
            <w:r>
              <w:t>Experimental control</w:t>
            </w:r>
          </w:p>
        </w:tc>
        <w:tc>
          <w:tcPr>
            <w:tcW w:type="dxa" w:w="2769"/>
            <w:vAlign w:val="center"/>
          </w:tcPr>
          <w:p>
            <w:pPr/>
            <w:r>
              <w:t>Non-production; disabled for membrane production</w:t>
            </w:r>
          </w:p>
        </w:tc>
      </w:tr>
    </w:tbl>
    <w:p/>
    <w:p>
      <w:pPr/>
      <w:r>
        <w:t>3.2.4 Immutable Stage 1→2 Handoff</w:t>
      </w:r>
    </w:p>
    <w:p>
      <w:pPr/>
      <w:r>
        <w:t>The Stage-2 system is a static-neutral handoff. The λ_coul=0 endpoint is baked into a fixed OpenMM System so that Stage 2 cannot accidentally inherit a parameterized PME identity. The handoff freezes topology, box, ligand/co-ion identity, endpoint charges, restraint identity, and the relevant system/hash fingerprints.</w:t>
      </w:r>
    </w:p>
    <w:p>
      <w:pPr/>
      <w:r>
        <w:t>Any change in the upstream structure, charge policy, ion selection, force layout, or protocol fingerprint invalidates the handoff cache. Resume is fail-closed: a downstream stage is not skipped merely because an output file exists.</w:t>
      </w:r>
    </w:p>
    <w:p/>
    <w:p>
      <w:pPr/>
      <w:r>
        <w:t>3.3 Stage 2: ACE Softcore, Path v21, and IBS v29</w:t>
      </w:r>
    </w:p>
    <w:p/>
    <w:p>
      <w:pPr/>
      <w:r>
        <w:t>3.3.1 Physical Step Contract</w:t>
      </w:r>
    </w:p>
    <w:tbl>
      <w:tblPr>
        <w:tblStyle w:val="af"/>
        <w:tblW w:type="auto" w:w="0"/>
        <w:jc w:val="center"/>
        <w:tblLayout w:type="autofit"/>
        <w:tblLook w:firstColumn="1" w:firstRow="1" w:lastColumn="0" w:lastRow="0" w:noHBand="0" w:noVBand="1" w:val="04A0"/>
      </w:tblPr>
      <w:tblGrid>
        <w:gridCol w:w="4153"/>
        <w:gridCol w:w="4153"/>
      </w:tblGrid>
      <w:tr>
        <w:tc>
          <w:tcPr>
            <w:tcW w:type="dxa" w:w="4153"/>
            <w:vAlign w:val="center"/>
          </w:tcPr>
          <w:p>
            <w:pPr/>
            <w:r>
              <w:rPr>
                <w:b/>
              </w:rPr>
              <w:t>Dimension</w:t>
            </w:r>
          </w:p>
        </w:tc>
        <w:tc>
          <w:tcPr>
            <w:tcW w:type="dxa" w:w="4153"/>
            <w:vAlign w:val="center"/>
          </w:tcPr>
          <w:p>
            <w:pPr/>
            <w:r>
              <w:rPr>
                <w:b/>
              </w:rPr>
              <w:t>Stage 2 content</w:t>
            </w:r>
          </w:p>
        </w:tc>
      </w:tr>
      <w:tr>
        <w:tc>
          <w:tcPr>
            <w:tcW w:type="dxa" w:w="4153"/>
            <w:vAlign w:val="center"/>
          </w:tcPr>
          <w:p>
            <w:pPr/>
            <w:r>
              <w:t>Objective</w:t>
            </w:r>
          </w:p>
        </w:tc>
        <w:tc>
          <w:tcPr>
            <w:tcW w:type="dxa" w:w="4153"/>
            <w:vAlign w:val="center"/>
          </w:tcPr>
          <w:p>
            <w:pPr/>
            <w:r>
              <w:t>Smoothly change ligand–environment vdW from 1 to 0 in the static-neutral system</w:t>
            </w:r>
          </w:p>
        </w:tc>
      </w:tr>
      <w:tr>
        <w:tc>
          <w:tcPr>
            <w:tcW w:type="dxa" w:w="4153"/>
            <w:vAlign w:val="center"/>
          </w:tcPr>
          <w:p>
            <w:pPr/>
            <w:r>
              <w:t>Input</w:t>
            </w:r>
          </w:p>
        </w:tc>
        <w:tc>
          <w:tcPr>
            <w:tcW w:type="dxa" w:w="4153"/>
            <w:vAlign w:val="center"/>
          </w:tcPr>
          <w:p>
            <w:pPr/>
            <w:r>
              <w:t>Stage-1 static-neutral handoff, path v21, window partition, IBS protocol fingerprint</w:t>
            </w:r>
          </w:p>
        </w:tc>
      </w:tr>
      <w:tr>
        <w:tc>
          <w:tcPr>
            <w:tcW w:type="dxa" w:w="4153"/>
            <w:vAlign w:val="center"/>
          </w:tcPr>
          <w:p>
            <w:pPr/>
            <w:r>
              <w:t>Hamiltonian change</w:t>
            </w:r>
          </w:p>
        </w:tc>
        <w:tc>
          <w:tcPr>
            <w:tcW w:type="dxa" w:w="4153"/>
            <w:vAlign w:val="center"/>
          </w:tcPr>
          <w:p>
            <w:pPr/>
            <w:r>
              <w:t>ACE softcore λ_vdW: 1→0; IBS/WCA enter only under their own ledger identities</w:t>
            </w:r>
          </w:p>
        </w:tc>
      </w:tr>
      <w:tr>
        <w:tc>
          <w:tcPr>
            <w:tcW w:type="dxa" w:w="4153"/>
            <w:vAlign w:val="center"/>
          </w:tcPr>
          <w:p>
            <w:pPr/>
            <w:r>
              <w:t>Sampling</w:t>
            </w:r>
          </w:p>
        </w:tc>
        <w:tc>
          <w:tcPr>
            <w:tcW w:type="dxa" w:w="4153"/>
            <w:vAlign w:val="center"/>
          </w:tcPr>
          <w:p>
            <w:pPr/>
            <w:r>
              <w:t>Local IBS mixture; learning→freeze→fixed-bias validation→immutable production</w:t>
            </w:r>
          </w:p>
        </w:tc>
      </w:tr>
      <w:tr>
        <w:tc>
          <w:tcPr>
            <w:tcW w:type="dxa" w:w="4153"/>
            <w:vAlign w:val="center"/>
          </w:tcPr>
          <w:p>
            <w:pPr/>
            <w:r>
              <w:t>Output</w:t>
            </w:r>
          </w:p>
        </w:tc>
        <w:tc>
          <w:tcPr>
            <w:tcW w:type="dxa" w:w="4153"/>
            <w:vAlign w:val="center"/>
          </w:tcPr>
          <w:p>
            <w:pPr/>
            <w:r>
              <w:t>Target/bias/base histories, frozen f_k hash, checkpoint, provenance</w:t>
            </w:r>
          </w:p>
        </w:tc>
      </w:tr>
      <w:tr>
        <w:tc>
          <w:tcPr>
            <w:tcW w:type="dxa" w:w="4153"/>
            <w:vAlign w:val="center"/>
          </w:tcPr>
          <w:p>
            <w:pPr/>
            <w:r>
              <w:t>Main risk</w:t>
            </w:r>
          </w:p>
        </w:tc>
        <w:tc>
          <w:tcPr>
            <w:tcW w:type="dxa" w:w="4153"/>
            <w:vAlign w:val="center"/>
          </w:tcPr>
          <w:p>
            <w:pPr/>
            <w:r>
              <w:t>Endpoint singularity, poor overlap, wrong mixture identity, production-time f_k updates, duplicate edge accounting</w:t>
            </w:r>
          </w:p>
        </w:tc>
      </w:tr>
      <w:tr>
        <w:tc>
          <w:tcPr>
            <w:tcW w:type="dxa" w:w="4153"/>
            <w:vAlign w:val="center"/>
          </w:tcPr>
          <w:p>
            <w:pPr/>
            <w:r>
              <w:t>Current status</w:t>
            </w:r>
          </w:p>
        </w:tc>
        <w:tc>
          <w:tcPr>
            <w:tcW w:type="dxa" w:w="4153"/>
            <w:vAlign w:val="center"/>
          </w:tcPr>
          <w:p>
            <w:pPr/>
            <w:r>
              <w:t>v21/v29 production baseline; independent repeats and total uncertainty still open</w:t>
            </w:r>
          </w:p>
        </w:tc>
      </w:tr>
    </w:tbl>
    <w:p>
      <w:pPr/>
      <w:r>
        <w:t>Stage 2 begins from the static-neutral endpoint of Stage 1. The current ACE settings use α_LJ=0.5, α_Coul=0.2 for the present ligand size regime, the dimensionless_sigma_scaled_v2 convention, and a 1.0 nm ACE cutoff with switching disabled by default.</w:t>
      </w:r>
    </w:p>
    <w:p>
      <w:pPr/>
      <w:r>
        <w:t>The Stage-2 trajectory is generated by an IBS mixture rather than by one physical target state. Analysis must therefore reconstruct the actual mixture together with every target state, frozen f_k, WCA sampling bias, and LRC; a single-state BAR/TI number cannot replace this mixture-aware estimator.</w:t>
      </w:r>
    </w:p>
    <w:p/>
    <w:p>
      <w:pPr/>
      <w:r>
        <w:t>3.3.2 Project-Specific ACE-Like Softcore Hamiltonian</w:t>
      </w:r>
    </w:p>
    <w:p>
      <w:pPr>
        <w:jc w:val="center"/>
      </w:pPr>
      <w:r>
        <w:rPr>
          <w:i/>
        </w:rPr>
        <w:t>σ_ij = (σ_i + σ_j)/2,    ε_ij = √(ε_i ε_j)</w:t>
      </w:r>
    </w:p>
    <w:p>
      <w:pPr>
        <w:jc w:val="center"/>
      </w:pPr>
      <w:r>
        <w:rPr>
          <w:i/>
        </w:rPr>
        <w:t>D_6,ij = max[r⁶ + α_LJ σ_ij⁶(1−λ_v)^{m_LJ}, 10⁻⁶]</w:t>
      </w:r>
    </w:p>
    <w:p>
      <w:pPr>
        <w:jc w:val="center"/>
      </w:pPr>
      <w:r>
        <w:rPr>
          <w:i/>
        </w:rPr>
        <w:t>D_2,ij = max[r² + α_C σ_ij²(1−λ_c)^{m_C}, 10⁻⁶]</w:t>
      </w:r>
    </w:p>
    <w:p>
      <w:pPr>
        <w:jc w:val="center"/>
      </w:pPr>
      <w:r>
        <w:rPr>
          <w:i/>
        </w:rPr>
        <w:t>U_ij^ACE = λ_v^{n_LJ} 4ε_ij(σ_ij¹²/D_6,ij² − σ_ij⁶/D_6,ij) + λ_c^{n_C} 138.935456 q_iq_j/√D_2,ij</w:t>
      </w:r>
    </w:p>
    <w:p>
      <w:pPr/>
      <w:r>
        <w:t>The current defaults are α_LJ=0.5 with (m_LJ,n_LJ)=(2,2), and (m_C,n_C)=(1,1). Stage 2 enforces λ_c=0, so only the vdW branch is active after PME decharging. At λ_v=1 the interaction reduces to ordinary 12–6 LJ; at λ_v=0 the ligand–environment ACE interaction is zero, while ligand intramolecular interactions are retained separately.</w:t>
      </w:r>
    </w:p>
    <w:p>
      <w:pPr/>
      <w:r>
        <w:t>This is the project-specific dimensionless_sigma_scaled_v2 convention. The alpha parameters are dimensionless and scale pair-specific σ powers; it must not be conflated with legacy softcore formulas that treat alpha as an absolute nm⁶/nm² quantity.</w:t>
      </w:r>
    </w:p>
    <w:p>
      <w:pPr>
        <w:jc w:val="center"/>
      </w:pPr>
      <w:r>
        <w:rPr>
          <w:i/>
        </w:rPr>
        <w:t>U_k^target(x) = U_base(x) + U_ACE,k(x) + U_LRC,k(x)</w:t>
      </w:r>
    </w:p>
    <w:p>
      <w:pPr>
        <w:jc w:val="center"/>
      </w:pPr>
      <w:r>
        <w:rPr>
          <w:i/>
        </w:rPr>
        <w:t>U_sample(x) = U_base(x) + U_bias(x) + U_WCA(x)</w:t>
      </w:r>
    </w:p>
    <w:p>
      <w:pPr/>
      <w:r>
        <w:t>IBS and WCA change the sampled distribution, not the physical target Hamiltonian. They are recorded in the sampling ledger and removed by reweighting; LRC belongs to the target ledger.</w:t>
      </w:r>
    </w:p>
    <w:p/>
    <w:p>
      <w:pPr/>
      <w:r>
        <w:t>3.3.3 Decoupling and Path-Construction Branches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Branch</w:t>
            </w:r>
          </w:p>
        </w:tc>
        <w:tc>
          <w:tcPr>
            <w:tcW w:type="dxa" w:w="2769"/>
            <w:vAlign w:val="center"/>
          </w:tcPr>
          <w:p>
            <w:pPr/>
            <w:r>
              <w:rPr>
                <w:b/>
              </w:rPr>
              <w:t>Description</w:t>
            </w:r>
          </w:p>
        </w:tc>
        <w:tc>
          <w:tcPr>
            <w:tcW w:type="dxa" w:w="2769"/>
            <w:vAlign w:val="center"/>
          </w:tcPr>
          <w:p>
            <w:pPr/>
            <w:r>
              <w:rPr>
                <w:b/>
              </w:rPr>
              <w:t>Status</w:t>
            </w:r>
          </w:p>
        </w:tc>
      </w:tr>
      <w:tr>
        <w:tc>
          <w:tcPr>
            <w:tcW w:type="dxa" w:w="2769"/>
            <w:vAlign w:val="center"/>
          </w:tcPr>
          <w:p>
            <w:pPr/>
            <w:r>
              <w:t>dual_lambda</w:t>
            </w:r>
          </w:p>
        </w:tc>
        <w:tc>
          <w:tcPr>
            <w:tcW w:type="dxa" w:w="2769"/>
            <w:vAlign w:val="center"/>
          </w:tcPr>
          <w:p>
            <w:pPr/>
            <w:r>
              <w:t>Independent Coulomb decharging followed by vdW vanishing</w:t>
            </w:r>
          </w:p>
        </w:tc>
        <w:tc>
          <w:tcPr>
            <w:tcW w:type="dxa" w:w="2769"/>
            <w:vAlign w:val="center"/>
          </w:tcPr>
          <w:p>
            <w:pPr/>
            <w:r>
              <w:t>Current recommended route</w:t>
            </w:r>
          </w:p>
        </w:tc>
      </w:tr>
      <w:tr>
        <w:tc>
          <w:tcPr>
            <w:tcW w:type="dxa" w:w="2769"/>
            <w:vAlign w:val="center"/>
          </w:tcPr>
          <w:p>
            <w:pPr/>
            <w:r>
              <w:t>single_lambda</w:t>
            </w:r>
          </w:p>
        </w:tc>
        <w:tc>
          <w:tcPr>
            <w:tcW w:type="dxa" w:w="2769"/>
            <w:vAlign w:val="center"/>
          </w:tcPr>
          <w:p>
            <w:pPr/>
            <w:r>
              <w:t>One λ controls Coulomb/vdW together or follows a fixed Beutler path</w:t>
            </w:r>
          </w:p>
        </w:tc>
        <w:tc>
          <w:tcPr>
            <w:tcW w:type="dxa" w:w="2769"/>
            <w:vAlign w:val="center"/>
          </w:tcPr>
          <w:p>
            <w:pPr/>
            <w:r>
              <w:t>Control/legacy route</w:t>
            </w:r>
          </w:p>
        </w:tc>
      </w:tr>
      <w:tr>
        <w:tc>
          <w:tcPr>
            <w:tcW w:type="dxa" w:w="2769"/>
            <w:vAlign w:val="center"/>
          </w:tcPr>
          <w:p>
            <w:pPr/>
            <w:r>
              <w:t>2d_diagonal</w:t>
            </w:r>
          </w:p>
        </w:tc>
        <w:tc>
          <w:tcPr>
            <w:tcW w:type="dxa" w:w="2769"/>
            <w:vAlign w:val="center"/>
          </w:tcPr>
          <w:p>
            <w:pPr/>
            <w:r>
              <w:t>Preset one-dimensional sequence in the (λ_coul, λ_vdw) plane</w:t>
            </w:r>
          </w:p>
        </w:tc>
        <w:tc>
          <w:tcPr>
            <w:tcW w:type="dxa" w:w="2769"/>
            <w:vAlign w:val="center"/>
          </w:tcPr>
          <w:p>
            <w:pPr/>
            <w:r>
              <w:t>Partially implemented comparison</w:t>
            </w:r>
          </w:p>
        </w:tc>
      </w:tr>
      <w:tr>
        <w:tc>
          <w:tcPr>
            <w:tcW w:type="dxa" w:w="2769"/>
            <w:vAlign w:val="center"/>
          </w:tcPr>
          <w:p>
            <w:pPr/>
            <w:r>
              <w:t>2d_geodesic</w:t>
            </w:r>
          </w:p>
        </w:tc>
        <w:tc>
          <w:tcPr>
            <w:tcW w:type="dxa" w:w="2769"/>
            <w:vAlign w:val="center"/>
          </w:tcPr>
          <w:p>
            <w:pPr/>
            <w:r>
              <w:t>Pilot 2D metric followed by monotonic geodesic/Dijkstra selection</w:t>
            </w:r>
          </w:p>
        </w:tc>
        <w:tc>
          <w:tcPr>
            <w:tcW w:type="dxa" w:w="2769"/>
            <w:vAlign w:val="center"/>
          </w:tcPr>
          <w:p>
            <w:pPr/>
            <w:r>
              <w:t>Experimental; higher pilot/provenance cost</w:t>
            </w:r>
          </w:p>
        </w:tc>
      </w:tr>
    </w:tbl>
    <w:p/>
    <w:p>
      <w:pPr/>
      <w:r>
        <w:t>3.3.4 Stage-2 Potential and Protection Modules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Module</w:t>
            </w:r>
          </w:p>
        </w:tc>
        <w:tc>
          <w:tcPr>
            <w:tcW w:type="dxa" w:w="2769"/>
            <w:vAlign w:val="center"/>
          </w:tcPr>
          <w:p>
            <w:pPr/>
            <w:r>
              <w:rPr>
                <w:b/>
              </w:rPr>
              <w:t>Hamiltonian / function</w:t>
            </w:r>
          </w:p>
        </w:tc>
        <w:tc>
          <w:tcPr>
            <w:tcW w:type="dxa" w:w="2769"/>
            <w:vAlign w:val="center"/>
          </w:tcPr>
          <w:p>
            <w:pPr/>
            <w:r>
              <w:rPr>
                <w:b/>
              </w:rPr>
              <w:t>Current status</w:t>
            </w:r>
          </w:p>
        </w:tc>
      </w:tr>
      <w:tr>
        <w:tc>
          <w:tcPr>
            <w:tcW w:type="dxa" w:w="2769"/>
            <w:vAlign w:val="center"/>
          </w:tcPr>
          <w:p>
            <w:pPr/>
            <w:r>
              <w:t>ACE softcore</w:t>
            </w:r>
          </w:p>
        </w:tc>
        <w:tc>
          <w:tcPr>
            <w:tcW w:type="dxa" w:w="2769"/>
            <w:vAlign w:val="center"/>
          </w:tcPr>
          <w:p>
            <w:pPr/>
            <w:r>
              <w:t>dimensionless_sigma_scaled_v2 ligand–environment vdW</w:t>
            </w:r>
          </w:p>
        </w:tc>
        <w:tc>
          <w:tcPr>
            <w:tcW w:type="dxa" w:w="2769"/>
            <w:vAlign w:val="center"/>
          </w:tcPr>
          <w:p>
            <w:pPr/>
            <w:r>
              <w:t>Production baseline</w:t>
            </w:r>
          </w:p>
        </w:tc>
      </w:tr>
      <w:tr>
        <w:tc>
          <w:tcPr>
            <w:tcW w:type="dxa" w:w="2769"/>
            <w:vAlign w:val="center"/>
          </w:tcPr>
          <w:p>
            <w:pPr/>
            <w:r>
              <w:t>Beutler softcore</w:t>
            </w:r>
          </w:p>
        </w:tc>
        <w:tc>
          <w:tcPr>
            <w:tcW w:type="dxa" w:w="2769"/>
            <w:vAlign w:val="center"/>
          </w:tcPr>
          <w:p>
            <w:pPr/>
            <w:r>
              <w:t>Traditional interaction-group softcore</w:t>
            </w:r>
          </w:p>
        </w:tc>
        <w:tc>
          <w:tcPr>
            <w:tcW w:type="dxa" w:w="2769"/>
            <w:vAlign w:val="center"/>
          </w:tcPr>
          <w:p>
            <w:pPr/>
            <w:r>
              <w:t>Legacy/control</w:t>
            </w:r>
          </w:p>
        </w:tc>
      </w:tr>
      <w:tr>
        <w:tc>
          <w:tcPr>
            <w:tcW w:type="dxa" w:w="2769"/>
            <w:vAlign w:val="center"/>
          </w:tcPr>
          <w:p>
            <w:pPr/>
            <w:r>
              <w:t>DEXP pair kernel</w:t>
            </w:r>
          </w:p>
        </w:tc>
        <w:tc>
          <w:tcPr>
            <w:tcW w:type="dxa" w:w="2769"/>
            <w:vAlign w:val="center"/>
          </w:tcPr>
          <w:p>
            <w:pPr/>
            <w:r>
              <w:t>Finite double-exponential vdW + Gaussian Coulomb contract</w:t>
            </w:r>
          </w:p>
        </w:tc>
        <w:tc>
          <w:tcPr>
            <w:tcW w:type="dxa" w:w="2769"/>
            <w:vAlign w:val="center"/>
          </w:tcPr>
          <w:p>
            <w:pPr/>
            <w:r>
              <w:t>Experimental; changes physical potential family</w:t>
            </w:r>
          </w:p>
        </w:tc>
      </w:tr>
      <w:tr>
        <w:tc>
          <w:tcPr>
            <w:tcW w:type="dxa" w:w="2769"/>
            <w:vAlign w:val="center"/>
          </w:tcPr>
          <w:p>
            <w:pPr/>
            <w:r>
              <w:t>static-neutral handoff</w:t>
            </w:r>
          </w:p>
        </w:tc>
        <w:tc>
          <w:tcPr>
            <w:tcW w:type="dxa" w:w="2769"/>
            <w:vAlign w:val="center"/>
          </w:tcPr>
          <w:p>
            <w:pPr/>
            <w:r>
              <w:t>Fixed λ_coul=0 system</w:t>
            </w:r>
          </w:p>
        </w:tc>
        <w:tc>
          <w:tcPr>
            <w:tcW w:type="dxa" w:w="2769"/>
            <w:vAlign w:val="center"/>
          </w:tcPr>
          <w:p>
            <w:pPr/>
            <w:r>
              <w:t>Mainline seam</w:t>
            </w:r>
          </w:p>
        </w:tc>
      </w:tr>
      <w:tr>
        <w:tc>
          <w:tcPr>
            <w:tcW w:type="dxa" w:w="2769"/>
            <w:vAlign w:val="center"/>
          </w:tcPr>
          <w:p>
            <w:pPr/>
            <w:r>
              <w:t>WCA shield</w:t>
            </w:r>
          </w:p>
        </w:tc>
        <w:tc>
          <w:tcPr>
            <w:tcW w:type="dxa" w:w="2769"/>
            <w:vAlign w:val="center"/>
          </w:tcPr>
          <w:p>
            <w:pPr/>
            <w:r>
              <w:t>Window-dependent short-range sampling guard</w:t>
            </w:r>
          </w:p>
        </w:tc>
        <w:tc>
          <w:tcPr>
            <w:tcW w:type="dxa" w:w="2769"/>
            <w:vAlign w:val="center"/>
          </w:tcPr>
          <w:p>
            <w:pPr/>
            <w:r>
              <w:t>IBS internal sampling bias only</w:t>
            </w:r>
          </w:p>
        </w:tc>
      </w:tr>
      <w:tr>
        <w:tc>
          <w:tcPr>
            <w:tcW w:type="dxa" w:w="2769"/>
            <w:vAlign w:val="center"/>
          </w:tcPr>
          <w:p>
            <w:pPr/>
            <w:r>
              <w:t>path v21 optimizer</w:t>
            </w:r>
          </w:p>
        </w:tc>
        <w:tc>
          <w:tcPr>
            <w:tcW w:type="dxa" w:w="2769"/>
            <w:vAlign w:val="center"/>
          </w:tcPr>
          <w:p>
            <w:pPr/>
            <w:r>
              <w:t>Pilot metric→23-state schedule→local window partition</w:t>
            </w:r>
          </w:p>
        </w:tc>
        <w:tc>
          <w:tcPr>
            <w:tcW w:type="dxa" w:w="2769"/>
            <w:vAlign w:val="center"/>
          </w:tcPr>
          <w:p>
            <w:pPr/>
            <w:r>
              <w:t>Current path identity</w:t>
            </w:r>
          </w:p>
        </w:tc>
      </w:tr>
      <w:tr>
        <w:tc>
          <w:tcPr>
            <w:tcW w:type="dxa" w:w="2769"/>
            <w:vAlign w:val="center"/>
          </w:tcPr>
          <w:p>
            <w:pPr/>
            <w:r>
              <w:t>λ refinement</w:t>
            </w:r>
          </w:p>
        </w:tc>
        <w:tc>
          <w:tcPr>
            <w:tcW w:type="dxa" w:w="2769"/>
            <w:vAlign w:val="center"/>
          </w:tcPr>
          <w:p>
            <w:pPr/>
            <w:r>
              <w:t>Adds/adjusts difficult-region states</w:t>
            </w:r>
          </w:p>
        </w:tc>
        <w:tc>
          <w:tcPr>
            <w:tcW w:type="dxa" w:w="2769"/>
            <w:vAlign w:val="center"/>
          </w:tcPr>
          <w:p>
            <w:pPr/>
            <w:r>
              <w:t>Disabled during production; new schedule means new identity</w:t>
            </w:r>
          </w:p>
        </w:tc>
      </w:tr>
    </w:tbl>
    <w:p/>
    <w:p>
      <w:pPr/>
      <w:r>
        <w:t>3.3.5 Path v21: Pilot Metric, 23-State Path, and Window Partition</w:t>
      </w:r>
    </w:p>
    <w:p>
      <w:pPr>
        <w:jc w:val="center"/>
      </w:pPr>
      <w:r>
        <w:rPr>
          <w:i/>
        </w:rPr>
        <w:t>g(λ) = β_T² Var(∂U/∂λ)</w:t>
      </w:r>
    </w:p>
    <w:p>
      <w:pPr/>
      <w:r>
        <w:t>Seventeen uniform pilot states estimate a local thermodynamic metric; twenty-three strictly decreasing states form the final production path. The metric describes generalized-force fluctuations and does not by itself measure kinetic mixing, round trips, or between-run reproducibility.</w:t>
      </w:r>
    </w:p>
    <w:p>
      <w:pPr/>
      <w:r>
        <w:t>The final path is partitioned into local IBS ensembles. Neighboring windows share only one boundary state, and each alchemical edge belongs to exactly one window so the final covariance chain cannot double count the path. The difficult complex window 0 uses λ_vdW values 1.000000, 0.923529, 0.854304, 0.790614, and 0.731876; these five states are one local window, not the complete path.</w:t>
      </w:r>
    </w:p>
    <w:p>
      <w:pPr/>
      <w:r>
        <w:t>A key production rule is that λ does not move during production. Any post hoc state insertion or path alteration creates a new Hamiltonian/protocol identity and requires a new sampling record rather than mutation of the existing ensemble.</w:t>
      </w:r>
    </w:p>
    <w:p/>
    <w:p>
      <w:pPr/>
      <w:r>
        <w:t>3.3.6 Mathematical Object of the IBS Mixture</w:t>
      </w:r>
    </w:p>
    <w:p>
      <w:pPr/>
      <w:r>
        <w:t>The literature integrated-ensemble form can be written p_int(R) ∝ Σ_k n_k exp[−βU′_k(R)] with the balancing condition n_k Q_k = constant. In the project implementation the explicit weights are reparameterized as energy offsets f_k:</w:t>
      </w:r>
    </w:p>
    <w:p>
      <w:pPr>
        <w:jc w:val="center"/>
      </w:pPr>
      <w:r>
        <w:rPr>
          <w:i/>
        </w:rPr>
        <w:t>V_IBS(R; f) = −k_BT log Σ_k exp{−β[U′_k(R) − f_k]}</w:t>
      </w:r>
    </w:p>
    <w:p>
      <w:pPr>
        <w:jc w:val="center"/>
      </w:pPr>
      <w:r>
        <w:rPr>
          <w:i/>
        </w:rPr>
        <w:t>n_k ∝ exp(β f_k),    f_k = −k_BT log Q_k + C = F_k + C</w:t>
      </w:r>
    </w:p>
    <w:p>
      <w:pPr>
        <w:jc w:val="center"/>
      </w:pPr>
      <w:r>
        <w:rPr>
          <w:i/>
        </w:rPr>
        <w:t>p_k(R) = exp[−β(U′_k−f_k)] / Σ_j exp[−β(U′_j−f_j)]</w:t>
      </w:r>
    </w:p>
    <w:p>
      <w:pPr/>
      <w:r>
        <w:t>The offsets are relative free-energy parameters up to a common gauge. They improve mixture balance but are not physical observables. The implementation uses a maximum-pivot log-sum-exp for numerical stability.</w:t>
      </w:r>
    </w:p>
    <w:p>
      <w:pPr/>
      <w:r>
        <w:t>The project updates f_k from MBAR/TMBAR self-consistency rather than treating n_k=f_k. Occupancy-based feedback is a fallback only. Production is fixed-temperature; IBS is used only for Stage-2 vdW softcore; and the final estimator is per-window actual-mixture augmented MBAR plus shared-boundary stitching rather than one global adaptive-history mixture.</w:t>
      </w:r>
    </w:p>
    <w:p/>
    <w:p>
      <w:pPr/>
      <w:r>
        <w:t>3.3.7 IBS v29 Freeze Contract and Energy Ledgers</w:t>
      </w:r>
    </w:p>
    <w:p>
      <w:pPr/>
      <w:r>
        <w:t>IBS v29 follows learning → freeze readiness → fixed-bias validation → immutable production. f_k updates are forbidden after production begins. Candidate-specific f_k values belong to the actual sampling Hamiltonian and cannot be borrowed from a different arm and still count as a properly calibrated candidate.</w:t>
      </w:r>
    </w:p>
    <w:p>
      <w:pPr/>
      <w:r>
        <w:t>Three ledgers remain distinct for every frame: physical target energy, actual sampling bias, and common/base energy. WCA and a learned residual belong to the sampling ledger; Boresch belongs to the physical/base identity; LRC belongs to the target ledger. Frame appends are atomic: target, bias, base, WCA, LRC, state/source, and path/residual histories are either written together or rejected together.</w:t>
      </w:r>
    </w:p>
    <w:p/>
    <w:p>
      <w:pPr/>
      <w:r>
        <w:t>3.4 Estimator, Covariance Chain, LRC, and Rescue</w:t>
      </w:r>
    </w:p>
    <w:p/>
    <w:p>
      <w:pPr/>
      <w:r>
        <w:t>3.4.1 Analysis Contract</w:t>
      </w:r>
    </w:p>
    <w:tbl>
      <w:tblPr>
        <w:tblStyle w:val="af"/>
        <w:tblW w:type="auto" w:w="0"/>
        <w:jc w:val="center"/>
        <w:tblLayout w:type="autofit"/>
        <w:tblLook w:firstColumn="1" w:firstRow="1" w:lastColumn="0" w:lastRow="0" w:noHBand="0" w:noVBand="1" w:val="04A0"/>
      </w:tblPr>
      <w:tblGrid>
        <w:gridCol w:w="4153"/>
        <w:gridCol w:w="4153"/>
      </w:tblGrid>
      <w:tr>
        <w:tc>
          <w:tcPr>
            <w:tcW w:type="dxa" w:w="4153"/>
            <w:vAlign w:val="center"/>
          </w:tcPr>
          <w:p>
            <w:pPr/>
            <w:r>
              <w:rPr>
                <w:b/>
              </w:rPr>
              <w:t>Dimension</w:t>
            </w:r>
          </w:p>
        </w:tc>
        <w:tc>
          <w:tcPr>
            <w:tcW w:type="dxa" w:w="4153"/>
            <w:vAlign w:val="center"/>
          </w:tcPr>
          <w:p>
            <w:pPr/>
            <w:r>
              <w:rPr>
                <w:b/>
              </w:rPr>
              <w:t>Analysis content</w:t>
            </w:r>
          </w:p>
        </w:tc>
      </w:tr>
      <w:tr>
        <w:tc>
          <w:tcPr>
            <w:tcW w:type="dxa" w:w="4153"/>
            <w:vAlign w:val="center"/>
          </w:tcPr>
          <w:p>
            <w:pPr/>
            <w:r>
              <w:t>Input</w:t>
            </w:r>
          </w:p>
        </w:tc>
        <w:tc>
          <w:tcPr>
            <w:tcW w:type="dxa" w:w="4153"/>
            <w:vAlign w:val="center"/>
          </w:tcPr>
          <w:p>
            <w:pPr/>
            <w:r>
              <w:t>Actual IBS mixture, all target rows, frozen bias, WCA/LRC histories, state/source identity</w:t>
            </w:r>
          </w:p>
        </w:tc>
      </w:tr>
      <w:tr>
        <w:tc>
          <w:tcPr>
            <w:tcW w:type="dxa" w:w="4153"/>
            <w:vAlign w:val="center"/>
          </w:tcPr>
          <w:p>
            <w:pPr/>
            <w:r>
              <w:t>Decorrelation</w:t>
            </w:r>
          </w:p>
        </w:tc>
        <w:tc>
          <w:tcPr>
            <w:tcW w:type="dxa" w:w="4153"/>
            <w:vAlign w:val="center"/>
          </w:tcPr>
          <w:p>
            <w:pPr/>
            <w:r>
              <w:t>Use the worst target reduced-energy sequence; synchronously extract all rows</w:t>
            </w:r>
          </w:p>
        </w:tc>
      </w:tr>
      <w:tr>
        <w:tc>
          <w:tcPr>
            <w:tcW w:type="dxa" w:w="4153"/>
            <w:vAlign w:val="center"/>
          </w:tcPr>
          <w:p>
            <w:pPr/>
            <w:r>
              <w:t>Primary estimate</w:t>
            </w:r>
          </w:p>
        </w:tc>
        <w:tc>
          <w:tcPr>
            <w:tcW w:type="dxa" w:w="4153"/>
            <w:vAlign w:val="center"/>
          </w:tcPr>
          <w:p>
            <w:pPr/>
            <w:r>
              <w:t>Local TMBAR augmented matrix + shared-boundary covariance stitching</w:t>
            </w:r>
          </w:p>
        </w:tc>
      </w:tr>
      <w:tr>
        <w:tc>
          <w:tcPr>
            <w:tcW w:type="dxa" w:w="4153"/>
            <w:vAlign w:val="center"/>
          </w:tcPr>
          <w:p>
            <w:pPr/>
            <w:r>
              <w:t>Corrections</w:t>
            </w:r>
          </w:p>
        </w:tc>
        <w:tc>
          <w:tcPr>
            <w:tcW w:type="dxa" w:w="4153"/>
            <w:vAlign w:val="center"/>
          </w:tcPr>
          <w:p>
            <w:pPr/>
            <w:r>
              <w:t>Boresch release, soluble LRC v3, optional APBS external scalar</w:t>
            </w:r>
          </w:p>
        </w:tc>
      </w:tr>
      <w:tr>
        <w:tc>
          <w:tcPr>
            <w:tcW w:type="dxa" w:w="4153"/>
            <w:vAlign w:val="center"/>
          </w:tcPr>
          <w:p>
            <w:pPr/>
            <w:r>
              <w:t>Output</w:t>
            </w:r>
          </w:p>
        </w:tc>
        <w:tc>
          <w:tcPr>
            <w:tcW w:type="dxa" w:w="4153"/>
            <w:vAlign w:val="center"/>
          </w:tcPr>
          <w:p>
            <w:pPr/>
            <w:r>
              <w:t>Leg ΔG, endpoint covariance, coverage/ESS, covariance chain, final cycle ledger</w:t>
            </w:r>
          </w:p>
        </w:tc>
      </w:tr>
      <w:tr>
        <w:tc>
          <w:tcPr>
            <w:tcW w:type="dxa" w:w="4153"/>
            <w:vAlign w:val="center"/>
          </w:tcPr>
          <w:p>
            <w:pPr/>
            <w:r>
              <w:t>Failure handling</w:t>
            </w:r>
          </w:p>
        </w:tc>
        <w:tc>
          <w:tcPr>
            <w:tcW w:type="dxa" w:w="4153"/>
            <w:vAlign w:val="center"/>
          </w:tcPr>
          <w:p>
            <w:pPr/>
            <w:r>
              <w:t>Same-distribution extension or independent immutable bridge; no in-place Hamiltonian mutation</w:t>
            </w:r>
          </w:p>
        </w:tc>
      </w:tr>
    </w:tbl>
    <w:p/>
    <w:p>
      <w:pPr/>
      <w:r>
        <w:t>3.4.2 Actual-Mixture Augmented MBAR</w:t>
      </w:r>
    </w:p>
    <w:p>
      <w:pPr>
        <w:jc w:val="center"/>
      </w:pPr>
      <w:r>
        <w:rPr>
          <w:i/>
        </w:rPr>
        <w:t>U_s,n = E_base,n + V_IBS,n + V_WCA,n</w:t>
      </w:r>
    </w:p>
    <w:p>
      <w:pPr>
        <w:jc w:val="center"/>
      </w:pPr>
      <w:r>
        <w:rPr>
          <w:i/>
        </w:rPr>
        <w:t>U_k,n^phys = E_base,n + U_k,n^softcore + C_k/V_n</w:t>
      </w:r>
    </w:p>
    <w:p>
      <w:pPr/>
      <w:r>
        <w:t>Each local MBAR matrix contains one sampled row for the actual IBS/WCA mixture and zero-sample rows for every physical target state. A frame-wise common shift may be subtracted for numerical stability without changing free-energy differences. The endpoint difference and its uncertainty are read from the same local MBAR covariance, so correlated endpoints are not combined by naïve independent-error quadrature.</w:t>
      </w:r>
    </w:p>
    <w:p>
      <w:pPr>
        <w:jc w:val="center"/>
      </w:pPr>
      <w:r>
        <w:rPr>
          <w:i/>
        </w:rPr>
        <w:t>F_k = k_BT Δf_0→k,    σ_a→b = k_BT dΔf_a,b</w:t>
      </w:r>
    </w:p>
    <w:p/>
    <w:p>
      <w:pPr/>
      <w:r>
        <w:t>3.4.3 Synchronized Decorrelation, Mixture Coverage, and ESS</w:t>
      </w:r>
    </w:p>
    <w:p>
      <w:pPr>
        <w:jc w:val="center"/>
      </w:pPr>
      <w:r>
        <w:rPr>
          <w:i/>
        </w:rPr>
        <w:t>Δu_k,n = β(U_k,n^phys − U_s,n)</w:t>
      </w:r>
    </w:p>
    <w:p>
      <w:pPr/>
      <w:r>
        <w:t>Statistical inefficiency is estimated for each target, and the slowest target selects one common set of decorrelated frame indices. The same indices are applied to every energy row; independent row-wise subsampling would destroy the configuration alignment required by MBAR.</w:t>
      </w:r>
    </w:p>
    <w:p>
      <w:pPr>
        <w:jc w:val="center"/>
      </w:pPr>
      <w:r>
        <w:rPr>
          <w:i/>
        </w:rPr>
        <w:t>ESS_k^mix = (Σ_n p_nk)² / Σ_n p_nk²,    R_k^mix = ESS_k^mix / N_decorrelated</w:t>
      </w:r>
    </w:p>
    <w:p>
      <w:pPr/>
      <w:r>
        <w:t>The coverage gate uses the worst R_k^mix over all states and windows. Occupancy K⟨p_k⟩, raw importance ESS, and absolute ESS are retained as separate diagnostics; they do not replace the processed mixture-coverage ratio.</w:t>
      </w:r>
    </w:p>
    <w:p/>
    <w:p>
      <w:pPr/>
      <w:r>
        <w:t>3.4.4 Shared-Boundary Covariance Chain</w:t>
      </w:r>
    </w:p>
    <w:p>
      <w:pPr/>
      <w:r>
        <w:t>Local windows are aligned through their shared boundary states. Each independent window contributes only the segment from its join state to the new endpoint, so every edge is counted once. Within-window endpoint covariance is already contained in the local MBAR dΔf; only variances from independent windows are added in quadrature.</w:t>
      </w:r>
    </w:p>
    <w:p>
      <w:pPr>
        <w:jc w:val="center"/>
      </w:pPr>
      <w:r>
        <w:rPr>
          <w:i/>
        </w:rPr>
        <w:t>ΔG_stage = Σ_w [F_w(λ_end) − F_w(λ_join)]</w:t>
      </w:r>
    </w:p>
    <w:p>
      <w:pPr>
        <w:jc w:val="center"/>
      </w:pPr>
      <w:r>
        <w:rPr>
          <w:i/>
        </w:rPr>
        <w:t>σ_stage = √(Σ_w σ_w²),    σ_w = k_BT dΔf_w,join,end</w:t>
      </w:r>
    </w:p>
    <w:p/>
    <w:p>
      <w:pPr/>
      <w:r>
        <w:t>3.4.5 Qualification Gates and Fail-Closed Recovery</w:t>
      </w:r>
    </w:p>
    <w:p>
      <w:pPr/>
      <w:r>
        <w:t>A local TMBAR result is not qualified by ΔG alone. Current internal Stage-2 criteria require a worst mixture-coverage ratio ≥0.05, at least 20 synchronized decorrelated samples, no local-window endpoint uncertainty above 1.0 kJ/mol, and a closed covariance chain with no dropped or duplicated edge.</w:t>
      </w:r>
    </w:p>
    <w:p>
      <w:pPr/>
      <w:r>
        <w:t>Within-run gates do not replace stationarity, time-correlation analysis, or independent repeats. Split-half/moving-block diagnostics remain required, and within-run covariance must not be presented as between-run variance.</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Recovery module</w:t>
            </w:r>
          </w:p>
        </w:tc>
        <w:tc>
          <w:tcPr>
            <w:tcW w:type="dxa" w:w="2769"/>
            <w:vAlign w:val="center"/>
          </w:tcPr>
          <w:p>
            <w:pPr/>
            <w:r>
              <w:rPr>
                <w:b/>
              </w:rPr>
              <w:t>Allowed action</w:t>
            </w:r>
          </w:p>
        </w:tc>
        <w:tc>
          <w:tcPr>
            <w:tcW w:type="dxa" w:w="2769"/>
            <w:vAlign w:val="center"/>
          </w:tcPr>
          <w:p>
            <w:pPr/>
            <w:r>
              <w:rPr>
                <w:b/>
              </w:rPr>
              <w:t>Forbidden action</w:t>
            </w:r>
          </w:p>
        </w:tc>
      </w:tr>
      <w:tr>
        <w:tc>
          <w:tcPr>
            <w:tcW w:type="dxa" w:w="2769"/>
            <w:vAlign w:val="center"/>
          </w:tcPr>
          <w:p>
            <w:pPr/>
            <w:r>
              <w:t>same-distribution extension</w:t>
            </w:r>
          </w:p>
        </w:tc>
        <w:tc>
          <w:tcPr>
            <w:tcW w:type="dxa" w:w="2769"/>
            <w:vAlign w:val="center"/>
          </w:tcPr>
          <w:p>
            <w:pPr/>
            <w:r>
              <w:t>Limited extension from same checkpoint/Hamiltonian/frozen f_k</w:t>
            </w:r>
          </w:p>
        </w:tc>
        <w:tc>
          <w:tcPr>
            <w:tcW w:type="dxa" w:w="2769"/>
            <w:vAlign w:val="center"/>
          </w:tcPr>
          <w:p>
            <w:pPr/>
            <w:r>
              <w:t>Changing λ, potential, or relearning f_k</w:t>
            </w:r>
          </w:p>
        </w:tc>
      </w:tr>
      <w:tr>
        <w:tc>
          <w:tcPr>
            <w:tcW w:type="dxa" w:w="2769"/>
            <w:vAlign w:val="center"/>
          </w:tcPr>
          <w:p>
            <w:pPr/>
            <w:r>
              <w:t>immutable bridge rescue</w:t>
            </w:r>
          </w:p>
        </w:tc>
        <w:tc>
          <w:tcPr>
            <w:tcW w:type="dxa" w:w="2769"/>
            <w:vAlign w:val="center"/>
          </w:tcPr>
          <w:p>
            <w:pPr/>
            <w:r>
              <w:t>Create an independent bridge sharing a declared state</w:t>
            </w:r>
          </w:p>
        </w:tc>
        <w:tc>
          <w:tcPr>
            <w:tcW w:type="dxa" w:w="2769"/>
            <w:vAlign w:val="center"/>
          </w:tcPr>
          <w:p>
            <w:pPr/>
            <w:r>
              <w:t>Overwrite/delete the original failed window</w:t>
            </w:r>
          </w:p>
        </w:tc>
      </w:tr>
      <w:tr>
        <w:tc>
          <w:tcPr>
            <w:tcW w:type="dxa" w:w="2769"/>
            <w:vAlign w:val="center"/>
          </w:tcPr>
          <w:p>
            <w:pPr/>
            <w:r>
              <w:t>checkpoint resume</w:t>
            </w:r>
          </w:p>
        </w:tc>
        <w:tc>
          <w:tcPr>
            <w:tcW w:type="dxa" w:w="2769"/>
            <w:vAlign w:val="center"/>
          </w:tcPr>
          <w:p>
            <w:pPr/>
            <w:r>
              <w:t>Continue after validating status/fingerprints/protocol keys</w:t>
            </w:r>
          </w:p>
        </w:tc>
        <w:tc>
          <w:tcPr>
            <w:tcW w:type="dxa" w:w="2769"/>
            <w:vAlign w:val="center"/>
          </w:tcPr>
          <w:p>
            <w:pPr/>
            <w:r>
              <w:t>Skip a stage merely because files exist</w:t>
            </w:r>
          </w:p>
        </w:tc>
      </w:tr>
      <w:tr>
        <w:tc>
          <w:tcPr>
            <w:tcW w:type="dxa" w:w="2769"/>
            <w:vAlign w:val="center"/>
          </w:tcPr>
          <w:p>
            <w:pPr/>
            <w:r>
              <w:t>cache migration</w:t>
            </w:r>
          </w:p>
        </w:tc>
        <w:tc>
          <w:tcPr>
            <w:tcW w:type="dxa" w:w="2769"/>
            <w:vAlign w:val="center"/>
          </w:tcPr>
          <w:p>
            <w:pPr/>
            <w:r>
              <w:t>Versioned migration only for explicitly compatible bias caches</w:t>
            </w:r>
          </w:p>
        </w:tc>
        <w:tc>
          <w:tcPr>
            <w:tcW w:type="dxa" w:w="2769"/>
            <w:vAlign w:val="center"/>
          </w:tcPr>
          <w:p>
            <w:pPr/>
            <w:r>
              <w:t>Treat old-Hamiltonian cache as current protocol</w:t>
            </w:r>
          </w:p>
        </w:tc>
      </w:tr>
      <w:tr>
        <w:tc>
          <w:tcPr>
            <w:tcW w:type="dxa" w:w="2769"/>
            <w:vAlign w:val="center"/>
          </w:tcPr>
          <w:p>
            <w:pPr/>
            <w:r>
              <w:t>mutating rescue</w:t>
            </w:r>
          </w:p>
        </w:tc>
        <w:tc>
          <w:tcPr>
            <w:tcW w:type="dxa" w:w="2769"/>
            <w:vAlign w:val="center"/>
          </w:tcPr>
          <w:p>
            <w:pPr/>
            <w:r>
              <w:t>None</w:t>
            </w:r>
          </w:p>
        </w:tc>
        <w:tc>
          <w:tcPr>
            <w:tcW w:type="dxa" w:w="2769"/>
            <w:vAlign w:val="center"/>
          </w:tcPr>
          <w:p>
            <w:pPr/>
            <w:r>
              <w:t>Modify failed window Hamiltonian/target identity in place</w:t>
            </w:r>
          </w:p>
        </w:tc>
      </w:tr>
    </w:tbl>
    <w:p/>
    <w:p>
      <w:pPr/>
      <w:r>
        <w:t>3.4.6 LRC v3 and APBS Position in the Cycle</w:t>
      </w:r>
    </w:p>
    <w:p>
      <w:pPr/>
      <w:r>
        <w:t>LRC v3 applies sigma-resolved analytical r⁻⁶ and r⁻¹² tail corrections to the soluble ACE target rows before MBAR analysis. The correction is a target term and is excluded from IBS weight learning. Native/custom-CV LRC remains disabled where it would double count the same physics. The present uniform-density expression is qualified only for soluble environments and is not transferred directly to an inhomogeneous membrane.</w:t>
      </w:r>
    </w:p>
    <w:p>
      <w:pPr/>
      <w:r>
        <w:t>APBS is an external electrostatic finite-size scalar used for neutralizing-plasma or membrane dielectric routes after both thermodynamic legs are complete. It does not create additional IBS states. APBS=0 means disabled, not experimentally proven to be zero, and APBS never substitutes for dispersion/LRC treatment.</w:t>
      </w:r>
    </w:p>
    <w:p>
      <w:pPr>
        <w:jc w:val="center"/>
      </w:pPr>
      <w:r>
        <w:rPr>
          <w:i/>
        </w:rPr>
        <w:t>ΔG_bind = ΔG_solvent − ΔG_complex + ΔG_APBS</w:t>
      </w:r>
    </w:p>
    <w:p>
      <w:pPr>
        <w:jc w:val="center"/>
      </w:pPr>
      <w:r>
        <w:rPr>
          <w:i/>
        </w:rPr>
        <w:t>σ_bind = √(σ_complex² + σ_solvent²)</w:t>
      </w:r>
    </w:p>
    <w:p>
      <w:pPr/>
      <w:r>
        <w:t>The current uncertainty ledger treats analytical Boresch release and a supplied APBS scalar as deterministic corrections. This is an implementation convention, not a claim that anchor sensitivity, APBS model uncertainty, or between-run variance is physically zero.</w:t>
      </w:r>
    </w:p>
    <w:p/>
    <w:p>
      <w:pPr/>
      <w:r>
        <w:t>4 Numerical Results, Failure Analysis, and Uncertainty</w:t>
      </w:r>
    </w:p>
    <w:p/>
    <w:p>
      <w:pPr/>
      <w:r>
        <w:t>4.1 Current Candidate Comparison</w:t>
      </w:r>
    </w:p>
    <w:p/>
    <w:p>
      <w:pPr/>
      <w:r>
        <w:t>4.1.1 Direct Comparison of the Three Complex Legs</w:t>
      </w:r>
    </w:p>
    <w:tbl>
      <w:tblPr>
        <w:tblStyle w:val="af"/>
        <w:tblW w:type="auto" w:w="0"/>
        <w:jc w:val="center"/>
        <w:tblLayout w:type="autofit"/>
        <w:tblLook w:firstColumn="1" w:firstRow="1" w:lastColumn="0" w:lastRow="0" w:noHBand="0" w:noVBand="1" w:val="04A0"/>
      </w:tblPr>
      <w:tblGrid>
        <w:gridCol w:w="1384"/>
        <w:gridCol w:w="1384"/>
        <w:gridCol w:w="1384"/>
        <w:gridCol w:w="1384"/>
        <w:gridCol w:w="1384"/>
        <w:gridCol w:w="1384"/>
      </w:tblGrid>
      <w:tr>
        <w:tc>
          <w:tcPr>
            <w:tcW w:type="dxa" w:w="1384"/>
            <w:vAlign w:val="center"/>
          </w:tcPr>
          <w:p>
            <w:pPr/>
            <w:r>
              <w:rPr>
                <w:b/>
              </w:rPr>
              <w:t>Artifact</w:t>
            </w:r>
          </w:p>
        </w:tc>
        <w:tc>
          <w:tcPr>
            <w:tcW w:type="dxa" w:w="1384"/>
            <w:vAlign w:val="center"/>
          </w:tcPr>
          <w:p>
            <w:pPr/>
            <w:r>
              <w:rPr>
                <w:b/>
              </w:rPr>
              <w:t>Total ΔG_complex</w:t>
            </w:r>
          </w:p>
        </w:tc>
        <w:tc>
          <w:tcPr>
            <w:tcW w:type="dxa" w:w="1384"/>
            <w:vAlign w:val="center"/>
          </w:tcPr>
          <w:p>
            <w:pPr/>
            <w:r>
              <w:rPr>
                <w:b/>
              </w:rPr>
              <w:t>Attach</w:t>
            </w:r>
          </w:p>
        </w:tc>
        <w:tc>
          <w:tcPr>
            <w:tcW w:type="dxa" w:w="1384"/>
            <w:vAlign w:val="center"/>
          </w:tcPr>
          <w:p>
            <w:pPr/>
            <w:r>
              <w:rPr>
                <w:b/>
              </w:rPr>
              <w:t>Decharge</w:t>
            </w:r>
          </w:p>
        </w:tc>
        <w:tc>
          <w:tcPr>
            <w:tcW w:type="dxa" w:w="1384"/>
            <w:vAlign w:val="center"/>
          </w:tcPr>
          <w:p>
            <w:pPr/>
            <w:r>
              <w:rPr>
                <w:b/>
              </w:rPr>
              <w:t>vdW</w:t>
            </w:r>
          </w:p>
        </w:tc>
        <w:tc>
          <w:tcPr>
            <w:tcW w:type="dxa" w:w="1384"/>
            <w:vAlign w:val="center"/>
          </w:tcPr>
          <w:p>
            <w:pPr/>
            <w:r>
              <w:rPr>
                <w:b/>
              </w:rPr>
              <w:t>Net Boresch</w:t>
            </w:r>
          </w:p>
        </w:tc>
      </w:tr>
      <w:tr>
        <w:tc>
          <w:tcPr>
            <w:tcW w:type="dxa" w:w="1384"/>
            <w:vAlign w:val="center"/>
          </w:tcPr>
          <w:p>
            <w:pPr/>
            <w:r>
              <w:t>historical output_lrc_fix</w:t>
            </w:r>
          </w:p>
        </w:tc>
        <w:tc>
          <w:tcPr>
            <w:tcW w:type="dxa" w:w="1384"/>
            <w:vAlign w:val="center"/>
          </w:tcPr>
          <w:p>
            <w:pPr/>
            <w:r>
              <w:t>43.260</w:t>
            </w:r>
          </w:p>
        </w:tc>
        <w:tc>
          <w:tcPr>
            <w:tcW w:type="dxa" w:w="1384"/>
            <w:vAlign w:val="center"/>
          </w:tcPr>
          <w:p>
            <w:pPr/>
            <w:r>
              <w:t>1.049</w:t>
            </w:r>
          </w:p>
        </w:tc>
        <w:tc>
          <w:tcPr>
            <w:tcW w:type="dxa" w:w="1384"/>
            <w:vAlign w:val="center"/>
          </w:tcPr>
          <w:p>
            <w:pPr/>
            <w:r>
              <w:t>17.799</w:t>
            </w:r>
          </w:p>
        </w:tc>
        <w:tc>
          <w:tcPr>
            <w:tcW w:type="dxa" w:w="1384"/>
            <w:vAlign w:val="center"/>
          </w:tcPr>
          <w:p>
            <w:pPr/>
            <w:r>
              <w:t>34.137</w:t>
            </w:r>
          </w:p>
        </w:tc>
        <w:tc>
          <w:tcPr>
            <w:tcW w:type="dxa" w:w="1384"/>
            <w:vAlign w:val="center"/>
          </w:tcPr>
          <w:p>
            <w:pPr/>
            <w:r>
              <w:t>−8.215</w:t>
            </w:r>
          </w:p>
        </w:tc>
      </w:tr>
      <w:tr>
        <w:tc>
          <w:tcPr>
            <w:tcW w:type="dxa" w:w="1384"/>
            <w:vAlign w:val="center"/>
          </w:tcPr>
          <w:p>
            <w:pPr/>
            <w:r>
              <w:t>Seed 20260906</w:t>
            </w:r>
          </w:p>
        </w:tc>
        <w:tc>
          <w:tcPr>
            <w:tcW w:type="dxa" w:w="1384"/>
            <w:vAlign w:val="center"/>
          </w:tcPr>
          <w:p>
            <w:pPr/>
            <w:r>
              <w:t>48.437</w:t>
            </w:r>
          </w:p>
        </w:tc>
        <w:tc>
          <w:tcPr>
            <w:tcW w:type="dxa" w:w="1384"/>
            <w:vAlign w:val="center"/>
          </w:tcPr>
          <w:p>
            <w:pPr/>
            <w:r>
              <w:t>0.929</w:t>
            </w:r>
          </w:p>
        </w:tc>
        <w:tc>
          <w:tcPr>
            <w:tcW w:type="dxa" w:w="1384"/>
            <w:vAlign w:val="center"/>
          </w:tcPr>
          <w:p>
            <w:pPr/>
            <w:r>
              <w:t>19.405</w:t>
            </w:r>
          </w:p>
        </w:tc>
        <w:tc>
          <w:tcPr>
            <w:tcW w:type="dxa" w:w="1384"/>
            <w:vAlign w:val="center"/>
          </w:tcPr>
          <w:p>
            <w:pPr/>
            <w:r>
              <w:t>37.603</w:t>
            </w:r>
          </w:p>
        </w:tc>
        <w:tc>
          <w:tcPr>
            <w:tcW w:type="dxa" w:w="1384"/>
            <w:vAlign w:val="center"/>
          </w:tcPr>
          <w:p>
            <w:pPr/>
            <w:r>
              <w:t>−8.108</w:t>
            </w:r>
          </w:p>
        </w:tc>
      </w:tr>
      <w:tr>
        <w:tc>
          <w:tcPr>
            <w:tcW w:type="dxa" w:w="1384"/>
            <w:vAlign w:val="center"/>
          </w:tcPr>
          <w:p>
            <w:pPr/>
            <w:r>
              <w:t>Seed 20260907</w:t>
            </w:r>
          </w:p>
        </w:tc>
        <w:tc>
          <w:tcPr>
            <w:tcW w:type="dxa" w:w="1384"/>
            <w:vAlign w:val="center"/>
          </w:tcPr>
          <w:p>
            <w:pPr/>
            <w:r>
              <w:t>48.075</w:t>
            </w:r>
          </w:p>
        </w:tc>
        <w:tc>
          <w:tcPr>
            <w:tcW w:type="dxa" w:w="1384"/>
            <w:vAlign w:val="center"/>
          </w:tcPr>
          <w:p>
            <w:pPr/>
            <w:r>
              <w:t>1.108</w:t>
            </w:r>
          </w:p>
        </w:tc>
        <w:tc>
          <w:tcPr>
            <w:tcW w:type="dxa" w:w="1384"/>
            <w:vAlign w:val="center"/>
          </w:tcPr>
          <w:p>
            <w:pPr/>
            <w:r>
              <w:t>17.342</w:t>
            </w:r>
          </w:p>
        </w:tc>
        <w:tc>
          <w:tcPr>
            <w:tcW w:type="dxa" w:w="1384"/>
            <w:vAlign w:val="center"/>
          </w:tcPr>
          <w:p>
            <w:pPr/>
            <w:r>
              <w:t>38.674</w:t>
            </w:r>
          </w:p>
        </w:tc>
        <w:tc>
          <w:tcPr>
            <w:tcW w:type="dxa" w:w="1384"/>
            <w:vAlign w:val="center"/>
          </w:tcPr>
          <w:p>
            <w:pPr/>
            <w:r>
              <w:t>−7.480</w:t>
            </w:r>
          </w:p>
        </w:tc>
      </w:tr>
    </w:tbl>
    <w:p>
      <w:pPr/>
      <w:r>
        <w:t>All values in this table are kcal/mol. The historical directory is classified as PROVENANCE_MIXED_HISTORICAL because its single run directory mixes a failed attachment generation and the repaired generation before Stage 1/2 resume. Its final arithmetic contains the corrected attachment value, but it is not an immutable clean post-fix repeat.</w:t>
      </w:r>
    </w:p>
    <w:p>
      <w:pPr/>
      <w:r>
        <w:t>Seed06 and Seed07 share the current code/system/OpenMM and IBS-v29/path-v21/LRC-v3/WCA-v2 protocol family. Their total complex free energies differ by only 0.362 kcal/mol, less than the combined internal uncertainty of 0.531 kcal/mol. This remains a strong total-leg repeatability signal even though the individual decharge, vdW, and Boresch components are less stable and partially compensate.</w:t>
      </w:r>
    </w:p>
    <w:p/>
    <w:p>
      <w:pPr/>
      <w:r>
        <w:t>4.1.2 Qualified Comparison of Complete Binding Candidates</w:t>
      </w:r>
    </w:p>
    <w:tbl>
      <w:tblPr>
        <w:tblStyle w:val="af"/>
        <w:tblW w:type="auto" w:w="0"/>
        <w:jc w:val="center"/>
        <w:tblLayout w:type="autofit"/>
        <w:tblLook w:firstColumn="1" w:firstRow="1" w:lastColumn="0" w:lastRow="0" w:noHBand="0" w:noVBand="1" w:val="04A0"/>
      </w:tblPr>
      <w:tblGrid>
        <w:gridCol w:w="2076"/>
        <w:gridCol w:w="2076"/>
        <w:gridCol w:w="2076"/>
        <w:gridCol w:w="2076"/>
      </w:tblGrid>
      <w:tr>
        <w:tc>
          <w:tcPr>
            <w:tcW w:type="dxa" w:w="2076"/>
            <w:vAlign w:val="center"/>
          </w:tcPr>
          <w:p>
            <w:pPr/>
            <w:r>
              <w:rPr>
                <w:b/>
              </w:rPr>
              <w:t>Candidate</w:t>
            </w:r>
          </w:p>
        </w:tc>
        <w:tc>
          <w:tcPr>
            <w:tcW w:type="dxa" w:w="2076"/>
            <w:vAlign w:val="center"/>
          </w:tcPr>
          <w:p>
            <w:pPr/>
            <w:r>
              <w:rPr>
                <w:b/>
              </w:rPr>
              <w:t>ΔG_bind (kcal/mol)</w:t>
            </w:r>
          </w:p>
        </w:tc>
        <w:tc>
          <w:tcPr>
            <w:tcW w:type="dxa" w:w="2076"/>
            <w:vAlign w:val="center"/>
          </w:tcPr>
          <w:p>
            <w:pPr/>
            <w:r>
              <w:rPr>
                <w:b/>
              </w:rPr>
              <w:t>Internal uncertainty</w:t>
            </w:r>
          </w:p>
        </w:tc>
        <w:tc>
          <w:tcPr>
            <w:tcW w:type="dxa" w:w="2076"/>
            <w:vAlign w:val="center"/>
          </w:tcPr>
          <w:p>
            <w:pPr/>
            <w:r>
              <w:rPr>
                <w:b/>
              </w:rPr>
              <w:t>Permitted interpretation</w:t>
            </w:r>
          </w:p>
        </w:tc>
      </w:tr>
      <w:tr>
        <w:tc>
          <w:tcPr>
            <w:tcW w:type="dxa" w:w="2076"/>
            <w:vAlign w:val="center"/>
          </w:tcPr>
          <w:p>
            <w:pPr/>
            <w:r>
              <w:t>historical output_lrc_fix</w:t>
            </w:r>
          </w:p>
        </w:tc>
        <w:tc>
          <w:tcPr>
            <w:tcW w:type="dxa" w:w="2076"/>
            <w:vAlign w:val="center"/>
          </w:tcPr>
          <w:p>
            <w:pPr/>
            <w:r>
              <w:t>−5.536</w:t>
            </w:r>
          </w:p>
        </w:tc>
        <w:tc>
          <w:tcPr>
            <w:tcW w:type="dxa" w:w="2076"/>
            <w:vAlign w:val="center"/>
          </w:tcPr>
          <w:p>
            <w:pPr/>
            <w:r>
              <w:t>±0.601</w:t>
            </w:r>
          </w:p>
        </w:tc>
        <w:tc>
          <w:tcPr>
            <w:tcW w:type="dxa" w:w="2076"/>
            <w:vAlign w:val="center"/>
          </w:tcPr>
          <w:p>
            <w:pPr/>
            <w:r>
              <w:t>PROVENANCE_MIXED_HISTORICAL; not a clean post-fix repeat</w:t>
            </w:r>
          </w:p>
        </w:tc>
      </w:tr>
      <w:tr>
        <w:tc>
          <w:tcPr>
            <w:tcW w:type="dxa" w:w="2076"/>
            <w:vAlign w:val="center"/>
          </w:tcPr>
          <w:p>
            <w:pPr/>
            <w:r>
              <w:t>Seed 20260907</w:t>
            </w:r>
          </w:p>
        </w:tc>
        <w:tc>
          <w:tcPr>
            <w:tcW w:type="dxa" w:w="2076"/>
            <w:vAlign w:val="center"/>
          </w:tcPr>
          <w:p>
            <w:pPr/>
            <w:r>
              <w:t>−11.927</w:t>
            </w:r>
          </w:p>
        </w:tc>
        <w:tc>
          <w:tcPr>
            <w:tcW w:type="dxa" w:w="2076"/>
            <w:vAlign w:val="center"/>
          </w:tcPr>
          <w:p>
            <w:pPr/>
            <w:r>
              <w:t>±0.415</w:t>
            </w:r>
          </w:p>
        </w:tc>
        <w:tc>
          <w:tcPr>
            <w:tcW w:type="dxa" w:w="2076"/>
            <w:vAlign w:val="center"/>
          </w:tcPr>
          <w:p>
            <w:pPr/>
            <w:r>
              <w:t>Current artifact available; not pooled with historical run</w:t>
            </w:r>
          </w:p>
        </w:tc>
      </w:tr>
    </w:tbl>
    <w:p>
      <w:pPr/>
      <w:r>
        <w:t>The two complete artifacts share the same topology and coordinate hashes but not the full run identity. Their descriptive separation is 6.391 kcal/mol. This difference may contain code, system construction, software version, Boresch-candidate, and stochastic contributions and therefore cannot be labeled a seed effect or used as a same-protocol between-run variance estimate.</w:t>
      </w:r>
    </w:p>
    <w:p>
      <w:pPr/>
      <w:r>
        <w:t>Seed 20260906 contains only the complex leg and does not enter the complete binding-candidate table. Earlier +40.8362 and +16.00 kJ/mol values remain invalidated historical results and are not promoted as current candidates.</w:t>
      </w:r>
    </w:p>
    <w:p/>
    <w:p>
      <w:pPr/>
      <w:r>
        <w:t>4.2 Post-Mortem and Protocol Evolution</w:t>
      </w:r>
    </w:p>
    <w:tbl>
      <w:tblPr>
        <w:tblStyle w:val="af"/>
        <w:tblW w:type="auto" w:w="0"/>
        <w:jc w:val="center"/>
        <w:tblLayout w:type="autofit"/>
        <w:tblLook w:firstColumn="1" w:firstRow="1" w:lastColumn="0" w:lastRow="0" w:noHBand="0" w:noVBand="1" w:val="04A0"/>
      </w:tblPr>
      <w:tblGrid>
        <w:gridCol w:w="2076"/>
        <w:gridCol w:w="2076"/>
        <w:gridCol w:w="2076"/>
        <w:gridCol w:w="2076"/>
      </w:tblGrid>
      <w:tr>
        <w:tc>
          <w:tcPr>
            <w:tcW w:type="dxa" w:w="2076"/>
            <w:vAlign w:val="center"/>
          </w:tcPr>
          <w:p>
            <w:pPr/>
            <w:r>
              <w:rPr>
                <w:b/>
              </w:rPr>
              <w:t>Historical failure</w:t>
            </w:r>
          </w:p>
        </w:tc>
        <w:tc>
          <w:tcPr>
            <w:tcW w:type="dxa" w:w="2076"/>
            <w:vAlign w:val="center"/>
          </w:tcPr>
          <w:p>
            <w:pPr/>
            <w:r>
              <w:rPr>
                <w:b/>
              </w:rPr>
              <w:t>Root cause</w:t>
            </w:r>
          </w:p>
        </w:tc>
        <w:tc>
          <w:tcPr>
            <w:tcW w:type="dxa" w:w="2076"/>
            <w:vAlign w:val="center"/>
          </w:tcPr>
          <w:p>
            <w:pPr/>
            <w:r>
              <w:rPr>
                <w:b/>
              </w:rPr>
              <w:t>Added gate / repair</w:t>
            </w:r>
          </w:p>
        </w:tc>
        <w:tc>
          <w:tcPr>
            <w:tcW w:type="dxa" w:w="2076"/>
            <w:vAlign w:val="center"/>
          </w:tcPr>
          <w:p>
            <w:pPr/>
            <w:r>
              <w:rPr>
                <w:b/>
              </w:rPr>
              <w:t>Status</w:t>
            </w:r>
          </w:p>
        </w:tc>
      </w:tr>
      <w:tr>
        <w:tc>
          <w:tcPr>
            <w:tcW w:type="dxa" w:w="2076"/>
            <w:vAlign w:val="center"/>
          </w:tcPr>
          <w:p>
            <w:pPr/>
            <w:r>
              <w:t>+40.8362 kJ/mol</w:t>
            </w:r>
          </w:p>
        </w:tc>
        <w:tc>
          <w:tcPr>
            <w:tcW w:type="dxa" w:w="2076"/>
            <w:vAlign w:val="center"/>
          </w:tcPr>
          <w:p>
            <w:pPr/>
            <w:r>
              <w:t>Complex/solvent sign and older PME self/LRC/endpoint conventions</w:t>
            </w:r>
          </w:p>
        </w:tc>
        <w:tc>
          <w:tcPr>
            <w:tcW w:type="dxa" w:w="2076"/>
            <w:vAlign w:val="center"/>
          </w:tcPr>
          <w:p>
            <w:pPr/>
            <w:r>
              <w:t>Explicit sign ledger, unified cycle formula, endpoint diagnostics</w:t>
            </w:r>
          </w:p>
        </w:tc>
        <w:tc>
          <w:tcPr>
            <w:tcW w:type="dxa" w:w="2076"/>
            <w:vAlign w:val="center"/>
          </w:tcPr>
          <w:p>
            <w:pPr/>
            <w:r>
              <w:t>INVALIDATED</w:t>
            </w:r>
          </w:p>
        </w:tc>
      </w:tr>
      <w:tr>
        <w:tc>
          <w:tcPr>
            <w:tcW w:type="dxa" w:w="2076"/>
            <w:vAlign w:val="center"/>
          </w:tcPr>
          <w:p>
            <w:pPr/>
            <w:r>
              <w:t>+16.00 kJ/mol</w:t>
            </w:r>
          </w:p>
        </w:tc>
        <w:tc>
          <w:tcPr>
            <w:tcW w:type="dxa" w:w="2076"/>
            <w:vAlign w:val="center"/>
          </w:tcPr>
          <w:p>
            <w:pPr/>
            <w:r>
              <w:t>Boresch angle/dihedral mapping error, stale geometry, ~3.42 Å pose shift</w:t>
            </w:r>
          </w:p>
        </w:tc>
        <w:tc>
          <w:tcPr>
            <w:tcW w:type="dxa" w:w="2076"/>
            <w:vAlign w:val="center"/>
          </w:tcPr>
          <w:p>
            <w:pPr/>
            <w:r>
              <w:t>Geometry commit, pose gate, anchor fingerprint, cache invalidation</w:t>
            </w:r>
          </w:p>
        </w:tc>
        <w:tc>
          <w:tcPr>
            <w:tcW w:type="dxa" w:w="2076"/>
            <w:vAlign w:val="center"/>
          </w:tcPr>
          <w:p>
            <w:pPr/>
            <w:r>
              <w:t>INVALIDATED</w:t>
            </w:r>
          </w:p>
        </w:tc>
      </w:tr>
      <w:tr>
        <w:tc>
          <w:tcPr>
            <w:tcW w:type="dxa" w:w="2076"/>
            <w:vAlign w:val="center"/>
          </w:tcPr>
          <w:p>
            <w:pPr/>
            <w:r>
              <w:t>Boresch attach 98.755/107.023 kJ/mol</w:t>
            </w:r>
          </w:p>
        </w:tc>
        <w:tc>
          <w:tcPr>
            <w:tcW w:type="dxa" w:w="2076"/>
            <w:vAlign w:val="center"/>
          </w:tcPr>
          <w:p>
            <w:pPr/>
            <w:r>
              <w:t>Mirrored-dihedral/sign defect</w:t>
            </w:r>
          </w:p>
        </w:tc>
        <w:tc>
          <w:tcPr>
            <w:tcW w:type="dxa" w:w="2076"/>
            <w:vAlign w:val="center"/>
          </w:tcPr>
          <w:p>
            <w:pPr/>
            <w:r>
              <w:t>Unified dihedral implementation; repaired BAR/TI 4.3889/4.4509 kJ/mol</w:t>
            </w:r>
          </w:p>
        </w:tc>
        <w:tc>
          <w:tcPr>
            <w:tcW w:type="dxa" w:w="2076"/>
            <w:vAlign w:val="center"/>
          </w:tcPr>
          <w:p>
            <w:pPr/>
            <w:r>
              <w:t>Mapping defect closed; sensitivity open</w:t>
            </w:r>
          </w:p>
        </w:tc>
      </w:tr>
      <w:tr>
        <w:tc>
          <w:tcPr>
            <w:tcW w:type="dxa" w:w="2076"/>
            <w:vAlign w:val="center"/>
          </w:tcPr>
          <w:p>
            <w:pPr/>
            <w:r>
              <w:t>Membrane +97.358 kJ/mol</w:t>
            </w:r>
          </w:p>
        </w:tc>
        <w:tc>
          <w:tcPr>
            <w:tcW w:type="dxa" w:w="2076"/>
            <w:vAlign w:val="center"/>
          </w:tcPr>
          <w:p>
            <w:pPr/>
            <w:r>
              <w:t>Solvent loader dropped 71 ligand angles from second HarmonicAngleForce</w:t>
            </w:r>
          </w:p>
        </w:tc>
        <w:tc>
          <w:tcPr>
            <w:tcW w:type="dxa" w:w="2076"/>
            <w:vAlign w:val="center"/>
          </w:tcPr>
          <w:p>
            <w:pPr/>
            <w:r>
              <w:t>Iterate all forces; exact 41/71/104 bonded count reconciliation</w:t>
            </w:r>
          </w:p>
        </w:tc>
        <w:tc>
          <w:tcPr>
            <w:tcW w:type="dxa" w:w="2076"/>
            <w:vAlign w:val="center"/>
          </w:tcPr>
          <w:p>
            <w:pPr/>
            <w:r>
              <w:t>Result invalid; loader repaired</w:t>
            </w:r>
          </w:p>
        </w:tc>
      </w:tr>
      <w:tr>
        <w:tc>
          <w:tcPr>
            <w:tcW w:type="dxa" w:w="2076"/>
            <w:vAlign w:val="center"/>
          </w:tcPr>
          <w:p>
            <w:pPr/>
            <w:r>
              <w:t>Uncertainty underestimation</w:t>
            </w:r>
          </w:p>
        </w:tc>
        <w:tc>
          <w:tcPr>
            <w:tcW w:type="dxa" w:w="2076"/>
            <w:vAlign w:val="center"/>
          </w:tcPr>
          <w:p>
            <w:pPr/>
            <w:r>
              <w:t>Within-run covariance smaller than cross-run scatter</w:t>
            </w:r>
          </w:p>
        </w:tc>
        <w:tc>
          <w:tcPr>
            <w:tcW w:type="dxa" w:w="2076"/>
            <w:vAlign w:val="center"/>
          </w:tcPr>
          <w:p>
            <w:pPr/>
            <w:r>
              <w:t>Independent repeats + block/bootstrap + between-run component</w:t>
            </w:r>
          </w:p>
        </w:tc>
        <w:tc>
          <w:tcPr>
            <w:tcW w:type="dxa" w:w="2076"/>
            <w:vAlign w:val="center"/>
          </w:tcPr>
          <w:p>
            <w:pPr/>
            <w:r>
              <w:t>Still open</w:t>
            </w:r>
          </w:p>
        </w:tc>
      </w:tr>
    </w:tbl>
    <w:p>
      <w:pPr/>
      <w:r>
        <w:t>The main uncertainty boundary is now explicit: estimator covariance answers a within-run question. Publication qualification requires independent runs under a frozen identity, plus time-correlation and sensitivity analyses. Historical artifacts remain useful for failure provenance but cannot be pooled with current-protocol runs merely because they share a ligand and topology.</w:t>
      </w:r>
    </w:p>
    <w:p/>
    <w:p>
      <w:pPr/>
      <w:r>
        <w:t>5 Extensions: Charged Ligands and Membrane Systems</w:t>
      </w:r>
    </w:p>
    <w:p/>
    <w:p>
      <w:pPr/>
      <w:r>
        <w:t>5.1 Extension Identity and Evidence Boundary</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Extension module</w:t>
            </w:r>
          </w:p>
        </w:tc>
        <w:tc>
          <w:tcPr>
            <w:tcW w:type="dxa" w:w="2769"/>
            <w:vAlign w:val="center"/>
          </w:tcPr>
          <w:p>
            <w:pPr/>
            <w:r>
              <w:rPr>
                <w:b/>
              </w:rPr>
              <w:t>Current evidence</w:t>
            </w:r>
          </w:p>
        </w:tc>
        <w:tc>
          <w:tcPr>
            <w:tcW w:type="dxa" w:w="2769"/>
            <w:vAlign w:val="center"/>
          </w:tcPr>
          <w:p>
            <w:pPr/>
            <w:r>
              <w:rPr>
                <w:b/>
              </w:rPr>
              <w:t>Decision</w:t>
            </w:r>
          </w:p>
        </w:tc>
      </w:tr>
      <w:tr>
        <w:tc>
          <w:tcPr>
            <w:tcW w:type="dxa" w:w="2769"/>
            <w:vAlign w:val="center"/>
          </w:tcPr>
          <w:p>
            <w:pPr/>
            <w:r>
              <w:t>co-alchemical ion transfer</w:t>
            </w:r>
          </w:p>
        </w:tc>
        <w:tc>
          <w:tcPr>
            <w:tcW w:type="dxa" w:w="2769"/>
            <w:vAlign w:val="center"/>
          </w:tcPr>
          <w:p>
            <w:pPr/>
            <w:r>
              <w:t>C1/C2/C3</w:t>
            </w:r>
          </w:p>
        </w:tc>
        <w:tc>
          <w:tcPr>
            <w:tcW w:type="dxa" w:w="2769"/>
            <w:vAlign w:val="center"/>
          </w:tcPr>
          <w:p>
            <w:pPr/>
            <w:r>
              <w:t>Seam passed; complete charged ABFE remains open</w:t>
            </w:r>
          </w:p>
        </w:tc>
      </w:tr>
      <w:tr>
        <w:tc>
          <w:tcPr>
            <w:tcW w:type="dxa" w:w="2769"/>
            <w:vAlign w:val="center"/>
          </w:tcPr>
          <w:p>
            <w:pPr/>
            <w:r>
              <w:t>static-neutral handoff</w:t>
            </w:r>
          </w:p>
        </w:tc>
        <w:tc>
          <w:tcPr>
            <w:tcW w:type="dxa" w:w="2769"/>
            <w:vAlign w:val="center"/>
          </w:tcPr>
          <w:p>
            <w:pPr/>
            <w:r>
              <w:t>C3 v2, 150 frames, 0 failures</w:t>
            </w:r>
          </w:p>
        </w:tc>
        <w:tc>
          <w:tcPr>
            <w:tcW w:type="dxa" w:w="2769"/>
            <w:vAlign w:val="center"/>
          </w:tcPr>
          <w:p>
            <w:pPr/>
            <w:r>
              <w:t>Real-system endpoint checks passed</w:t>
            </w:r>
          </w:p>
        </w:tc>
      </w:tr>
      <w:tr>
        <w:tc>
          <w:tcPr>
            <w:tcW w:type="dxa" w:w="2769"/>
            <w:vAlign w:val="center"/>
          </w:tcPr>
          <w:p>
            <w:pPr/>
            <w:r>
              <w:t>C1 water-box</w:t>
            </w:r>
          </w:p>
        </w:tc>
        <w:tc>
          <w:tcPr>
            <w:tcW w:type="dxa" w:w="2769"/>
            <w:vAlign w:val="center"/>
          </w:tcPr>
          <w:p>
            <w:pPr/>
            <w:r>
              <w:t>6 ion/box cases</w:t>
            </w:r>
          </w:p>
        </w:tc>
        <w:tc>
          <w:tcPr>
            <w:tcW w:type="dxa" w:w="2769"/>
            <w:vAlign w:val="center"/>
          </w:tcPr>
          <w:p>
            <w:pPr/>
            <w:r>
              <w:t>Validation passed; not a binding result</w:t>
            </w:r>
          </w:p>
        </w:tc>
      </w:tr>
      <w:tr>
        <w:tc>
          <w:tcPr>
            <w:tcW w:type="dxa" w:w="2769"/>
            <w:vAlign w:val="center"/>
          </w:tcPr>
          <w:p>
            <w:pPr/>
            <w:r>
              <w:t>C2 lipid slab</w:t>
            </w:r>
          </w:p>
        </w:tc>
        <w:tc>
          <w:tcPr>
            <w:tcW w:type="dxa" w:w="2769"/>
            <w:vAlign w:val="center"/>
          </w:tcPr>
          <w:p>
            <w:pPr/>
            <w:r>
              <w:t>4 primary runs + independent seeds</w:t>
            </w:r>
          </w:p>
        </w:tc>
        <w:tc>
          <w:tcPr>
            <w:tcW w:type="dxa" w:w="2769"/>
            <w:vAlign w:val="center"/>
          </w:tcPr>
          <w:p>
            <w:pPr/>
            <w:r>
              <w:t>Engineering gates passed; seed scatter retained</w:t>
            </w:r>
          </w:p>
        </w:tc>
      </w:tr>
      <w:tr>
        <w:tc>
          <w:tcPr>
            <w:tcW w:type="dxa" w:w="2769"/>
            <w:vAlign w:val="center"/>
          </w:tcPr>
          <w:p>
            <w:pPr/>
            <w:r>
              <w:t>membrane loader</w:t>
            </w:r>
          </w:p>
        </w:tc>
        <w:tc>
          <w:tcPr>
            <w:tcW w:type="dxa" w:w="2769"/>
            <w:vAlign w:val="center"/>
          </w:tcPr>
          <w:p>
            <w:pPr/>
            <w:r>
              <w:t>Missing 71 angles identified and repaired</w:t>
            </w:r>
          </w:p>
        </w:tc>
        <w:tc>
          <w:tcPr>
            <w:tcW w:type="dxa" w:w="2769"/>
            <w:vAlign w:val="center"/>
          </w:tcPr>
          <w:p>
            <w:pPr/>
            <w:r>
              <w:t>Root cause fixed; production must be rerun</w:t>
            </w:r>
          </w:p>
        </w:tc>
      </w:tr>
      <w:tr>
        <w:tc>
          <w:tcPr>
            <w:tcW w:type="dxa" w:w="2769"/>
            <w:vAlign w:val="center"/>
          </w:tcPr>
          <w:p>
            <w:pPr/>
            <w:r>
              <w:t>APBS / membrane LRC</w:t>
            </w:r>
          </w:p>
        </w:tc>
        <w:tc>
          <w:tcPr>
            <w:tcW w:type="dxa" w:w="2769"/>
            <w:vAlign w:val="center"/>
          </w:tcPr>
          <w:p>
            <w:pPr/>
            <w:r>
              <w:t>Cycle not closed</w:t>
            </w:r>
          </w:p>
        </w:tc>
        <w:tc>
          <w:tcPr>
            <w:tcW w:type="dxa" w:w="2769"/>
            <w:vAlign w:val="center"/>
          </w:tcPr>
          <w:p>
            <w:pPr/>
            <w:r>
              <w:t>Do not claim membrane ABFE complete</w:t>
            </w:r>
          </w:p>
        </w:tc>
      </w:tr>
    </w:tbl>
    <w:p/>
    <w:p>
      <w:pPr/>
      <w:r>
        <w:t>5.2 Charge-Transfer Handoff</w:t>
      </w:r>
    </w:p>
    <w:p>
      <w:pPr/>
      <w:r>
        <w:t>The charged-ligand route uses a co-alchemical ion to preserve total box charge. Before Stage 2, the global parameterized NonbondedForce at λ_coul=0 is baked into a fixed system and handed to the IBS vanishing stage. The current Atenolol calculation itself follows the neutral branch.</w:t>
      </w:r>
    </w:p>
    <w:p>
      <w:pPr/>
      <w:r>
        <w:t>C1 real-waterbox qualification contains six ion/box cases and passed charge conservation, finite energy/force, geometry, restraint-group, endpoint, dynamics, and u_kn completion checks. C2 extends this to lipid slabs and independent seeds. C3 protocol v2 evaluates five real cases over 150 frames with zero failures and passes A/B/C/D endpoints, the C seam, D strict zero, and input-hash checks.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C1 case</w:t>
            </w:r>
          </w:p>
        </w:tc>
        <w:tc>
          <w:tcPr>
            <w:tcW w:type="dxa" w:w="2769"/>
            <w:vAlign w:val="center"/>
          </w:tcPr>
          <w:p>
            <w:pPr/>
            <w:r>
              <w:rPr>
                <w:b/>
              </w:rPr>
              <w:t>Validation ΔG (kJ/mol)</w:t>
            </w:r>
          </w:p>
        </w:tc>
        <w:tc>
          <w:tcPr>
            <w:tcW w:type="dxa" w:w="2769"/>
            <w:vAlign w:val="center"/>
          </w:tcPr>
          <w:p>
            <w:pPr/>
            <w:r>
              <w:rPr>
                <w:b/>
              </w:rPr>
              <w:t>Status</w:t>
            </w:r>
          </w:p>
        </w:tc>
      </w:tr>
      <w:tr>
        <w:tc>
          <w:tcPr>
            <w:tcW w:type="dxa" w:w="2769"/>
            <w:vAlign w:val="center"/>
          </w:tcPr>
          <w:p>
            <w:pPr/>
            <w:r>
              <w:t>Ca large</w:t>
            </w:r>
          </w:p>
        </w:tc>
        <w:tc>
          <w:tcPr>
            <w:tcW w:type="dxa" w:w="2769"/>
            <w:vAlign w:val="center"/>
          </w:tcPr>
          <w:p>
            <w:pPr/>
            <w:r>
              <w:t>663.441 ± 8.429</w:t>
            </w:r>
          </w:p>
        </w:tc>
        <w:tc>
          <w:tcPr>
            <w:tcW w:type="dxa" w:w="2769"/>
            <w:vAlign w:val="center"/>
          </w:tcPr>
          <w:p>
            <w:pPr/>
            <w:r>
              <w:t>Passed</w:t>
            </w:r>
          </w:p>
        </w:tc>
      </w:tr>
      <w:tr>
        <w:tc>
          <w:tcPr>
            <w:tcW w:type="dxa" w:w="2769"/>
            <w:vAlign w:val="center"/>
          </w:tcPr>
          <w:p>
            <w:pPr/>
            <w:r>
              <w:t>Ca small</w:t>
            </w:r>
          </w:p>
        </w:tc>
        <w:tc>
          <w:tcPr>
            <w:tcW w:type="dxa" w:w="2769"/>
            <w:vAlign w:val="center"/>
          </w:tcPr>
          <w:p>
            <w:pPr/>
            <w:r>
              <w:t>665.897 ± 9.398</w:t>
            </w:r>
          </w:p>
        </w:tc>
        <w:tc>
          <w:tcPr>
            <w:tcW w:type="dxa" w:w="2769"/>
            <w:vAlign w:val="center"/>
          </w:tcPr>
          <w:p>
            <w:pPr/>
            <w:r>
              <w:t>Passed</w:t>
            </w:r>
          </w:p>
        </w:tc>
      </w:tr>
      <w:tr>
        <w:tc>
          <w:tcPr>
            <w:tcW w:type="dxa" w:w="2769"/>
            <w:vAlign w:val="center"/>
          </w:tcPr>
          <w:p>
            <w:pPr/>
            <w:r>
              <w:t>Cl large</w:t>
            </w:r>
          </w:p>
        </w:tc>
        <w:tc>
          <w:tcPr>
            <w:tcW w:type="dxa" w:w="2769"/>
            <w:vAlign w:val="center"/>
          </w:tcPr>
          <w:p>
            <w:pPr/>
            <w:r>
              <w:t>2.617 ± 3.299</w:t>
            </w:r>
          </w:p>
        </w:tc>
        <w:tc>
          <w:tcPr>
            <w:tcW w:type="dxa" w:w="2769"/>
            <w:vAlign w:val="center"/>
          </w:tcPr>
          <w:p>
            <w:pPr/>
            <w:r>
              <w:t>Passed</w:t>
            </w:r>
          </w:p>
        </w:tc>
      </w:tr>
      <w:tr>
        <w:tc>
          <w:tcPr>
            <w:tcW w:type="dxa" w:w="2769"/>
            <w:vAlign w:val="center"/>
          </w:tcPr>
          <w:p>
            <w:pPr/>
            <w:r>
              <w:t>Cl small</w:t>
            </w:r>
          </w:p>
        </w:tc>
        <w:tc>
          <w:tcPr>
            <w:tcW w:type="dxa" w:w="2769"/>
            <w:vAlign w:val="center"/>
          </w:tcPr>
          <w:p>
            <w:pPr/>
            <w:r>
              <w:t>1.516 ± 3.213</w:t>
            </w:r>
          </w:p>
        </w:tc>
        <w:tc>
          <w:tcPr>
            <w:tcW w:type="dxa" w:w="2769"/>
            <w:vAlign w:val="center"/>
          </w:tcPr>
          <w:p>
            <w:pPr/>
            <w:r>
              <w:t>Passed</w:t>
            </w:r>
          </w:p>
        </w:tc>
      </w:tr>
      <w:tr>
        <w:tc>
          <w:tcPr>
            <w:tcW w:type="dxa" w:w="2769"/>
            <w:vAlign w:val="center"/>
          </w:tcPr>
          <w:p>
            <w:pPr/>
            <w:r>
              <w:t>Na large</w:t>
            </w:r>
          </w:p>
        </w:tc>
        <w:tc>
          <w:tcPr>
            <w:tcW w:type="dxa" w:w="2769"/>
            <w:vAlign w:val="center"/>
          </w:tcPr>
          <w:p>
            <w:pPr/>
            <w:r>
              <w:t>0.588 ± 3.787</w:t>
            </w:r>
          </w:p>
        </w:tc>
        <w:tc>
          <w:tcPr>
            <w:tcW w:type="dxa" w:w="2769"/>
            <w:vAlign w:val="center"/>
          </w:tcPr>
          <w:p>
            <w:pPr/>
            <w:r>
              <w:t>Passed</w:t>
            </w:r>
          </w:p>
        </w:tc>
      </w:tr>
      <w:tr>
        <w:tc>
          <w:tcPr>
            <w:tcW w:type="dxa" w:w="2769"/>
            <w:vAlign w:val="center"/>
          </w:tcPr>
          <w:p>
            <w:pPr/>
            <w:r>
              <w:t>Na small</w:t>
            </w:r>
          </w:p>
        </w:tc>
        <w:tc>
          <w:tcPr>
            <w:tcW w:type="dxa" w:w="2769"/>
            <w:vAlign w:val="center"/>
          </w:tcPr>
          <w:p>
            <w:pPr/>
            <w:r>
              <w:t>0.016 ± 3.404</w:t>
            </w:r>
          </w:p>
        </w:tc>
        <w:tc>
          <w:tcPr>
            <w:tcW w:type="dxa" w:w="2769"/>
            <w:vAlign w:val="center"/>
          </w:tcPr>
          <w:p>
            <w:pPr/>
            <w:r>
              <w:t>Passed</w:t>
            </w:r>
          </w:p>
        </w:tc>
      </w:tr>
    </w:tbl>
    <w:p>
      <w:pPr/>
      <w:r>
        <w:t>These values are validation free energies rather than ligand-binding results. Their purpose is to exercise the charged-path seam across ion sign, box size, charge conservation, co-ion geometry, endpoint behavior, and estimator plumbing.</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C2 condition</w:t>
            </w:r>
          </w:p>
        </w:tc>
        <w:tc>
          <w:tcPr>
            <w:tcW w:type="dxa" w:w="2769"/>
            <w:vAlign w:val="center"/>
          </w:tcPr>
          <w:p>
            <w:pPr/>
            <w:r>
              <w:rPr>
                <w:b/>
              </w:rPr>
              <w:t>Primary run (kJ/mol)</w:t>
            </w:r>
          </w:p>
        </w:tc>
        <w:tc>
          <w:tcPr>
            <w:tcW w:type="dxa" w:w="2769"/>
            <w:vAlign w:val="center"/>
          </w:tcPr>
          <w:p>
            <w:pPr/>
            <w:r>
              <w:rPr>
                <w:b/>
              </w:rPr>
              <w:t>Independent seeds (kJ/mol)</w:t>
            </w:r>
          </w:p>
        </w:tc>
      </w:tr>
      <w:tr>
        <w:tc>
          <w:tcPr>
            <w:tcW w:type="dxa" w:w="2769"/>
            <w:vAlign w:val="center"/>
          </w:tcPr>
          <w:p>
            <w:pPr/>
            <w:r>
              <w:t>Na thick pos0</w:t>
            </w:r>
          </w:p>
        </w:tc>
        <w:tc>
          <w:tcPr>
            <w:tcW w:type="dxa" w:w="2769"/>
            <w:vAlign w:val="center"/>
          </w:tcPr>
          <w:p>
            <w:pPr/>
            <w:r>
              <w:t>−3.172 ± 2.258</w:t>
            </w:r>
          </w:p>
        </w:tc>
        <w:tc>
          <w:tcPr>
            <w:tcW w:type="dxa" w:w="2769"/>
            <w:vAlign w:val="center"/>
          </w:tcPr>
          <w:p>
            <w:pPr/>
            <w:r>
              <w:t>−2.659 ± 2.650; −0.082 ± 2.601</w:t>
            </w:r>
          </w:p>
        </w:tc>
      </w:tr>
      <w:tr>
        <w:tc>
          <w:tcPr>
            <w:tcW w:type="dxa" w:w="2769"/>
            <w:vAlign w:val="center"/>
          </w:tcPr>
          <w:p>
            <w:pPr/>
            <w:r>
              <w:t>Na thick pos1</w:t>
            </w:r>
          </w:p>
        </w:tc>
        <w:tc>
          <w:tcPr>
            <w:tcW w:type="dxa" w:w="2769"/>
            <w:vAlign w:val="center"/>
          </w:tcPr>
          <w:p>
            <w:pPr/>
            <w:r>
              <w:t>−0.756 ± 2.379</w:t>
            </w:r>
          </w:p>
        </w:tc>
        <w:tc>
          <w:tcPr>
            <w:tcW w:type="dxa" w:w="2769"/>
            <w:vAlign w:val="center"/>
          </w:tcPr>
          <w:p>
            <w:pPr/>
            <w:r>
              <w:t>1.096 ± 2.547; 0.839 ± 2.623</w:t>
            </w:r>
          </w:p>
        </w:tc>
      </w:tr>
      <w:tr>
        <w:tc>
          <w:tcPr>
            <w:tcW w:type="dxa" w:w="2769"/>
            <w:vAlign w:val="center"/>
          </w:tcPr>
          <w:p>
            <w:pPr/>
            <w:r>
              <w:t>Na thin pos0</w:t>
            </w:r>
          </w:p>
        </w:tc>
        <w:tc>
          <w:tcPr>
            <w:tcW w:type="dxa" w:w="2769"/>
            <w:vAlign w:val="center"/>
          </w:tcPr>
          <w:p>
            <w:pPr/>
            <w:r>
              <w:t>−2.958 ± 2.694</w:t>
            </w:r>
          </w:p>
        </w:tc>
        <w:tc>
          <w:tcPr>
            <w:tcW w:type="dxa" w:w="2769"/>
            <w:vAlign w:val="center"/>
          </w:tcPr>
          <w:p>
            <w:pPr/>
            <w:r>
              <w:t>1.871 ± 2.614; −0.890 ± 2.692</w:t>
            </w:r>
          </w:p>
        </w:tc>
      </w:tr>
      <w:tr>
        <w:tc>
          <w:tcPr>
            <w:tcW w:type="dxa" w:w="2769"/>
            <w:vAlign w:val="center"/>
          </w:tcPr>
          <w:p>
            <w:pPr/>
            <w:r>
              <w:t>Na thin pos1</w:t>
            </w:r>
          </w:p>
        </w:tc>
        <w:tc>
          <w:tcPr>
            <w:tcW w:type="dxa" w:w="2769"/>
            <w:vAlign w:val="center"/>
          </w:tcPr>
          <w:p>
            <w:pPr/>
            <w:r>
              <w:t>−0.643 ± 2.293</w:t>
            </w:r>
          </w:p>
        </w:tc>
        <w:tc>
          <w:tcPr>
            <w:tcW w:type="dxa" w:w="2769"/>
            <w:vAlign w:val="center"/>
          </w:tcPr>
          <w:p>
            <w:pPr/>
            <w:r>
              <w:t>−3.972 ± 2.176; 2.555 ± 3.009</w:t>
            </w:r>
          </w:p>
        </w:tc>
      </w:tr>
    </w:tbl>
    <w:p>
      <w:pPr/>
      <w:r>
        <w:t>The broad seed spread is retained because engineering correctness and reproducibility are different gates. The defensible statement is that the charged handoff and endpoint seam have passed real-system, multi-environment validation; a complete charged complex-minus-solvent ABFE cycle and reproducibility qualification remain pending.</w:t>
      </w:r>
    </w:p>
    <w:p/>
    <w:p>
      <w:pPr/>
      <w:r>
        <w:t>5.3 Membrane Systems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Module / option</w:t>
            </w:r>
          </w:p>
        </w:tc>
        <w:tc>
          <w:tcPr>
            <w:tcW w:type="dxa" w:w="2769"/>
            <w:vAlign w:val="center"/>
          </w:tcPr>
          <w:p>
            <w:pPr/>
            <w:r>
              <w:rPr>
                <w:b/>
              </w:rPr>
              <w:t>Function</w:t>
            </w:r>
          </w:p>
        </w:tc>
        <w:tc>
          <w:tcPr>
            <w:tcW w:type="dxa" w:w="2769"/>
            <w:vAlign w:val="center"/>
          </w:tcPr>
          <w:p>
            <w:pPr/>
            <w:r>
              <w:rPr>
                <w:b/>
              </w:rPr>
              <w:t>Current status</w:t>
            </w:r>
          </w:p>
        </w:tc>
      </w:tr>
      <w:tr>
        <w:tc>
          <w:tcPr>
            <w:tcW w:type="dxa" w:w="2769"/>
            <w:vAlign w:val="center"/>
          </w:tcPr>
          <w:p>
            <w:pPr/>
            <w:r>
              <w:t>system_type=soluble</w:t>
            </w:r>
          </w:p>
        </w:tc>
        <w:tc>
          <w:tcPr>
            <w:tcW w:type="dxa" w:w="2769"/>
            <w:vAlign w:val="center"/>
          </w:tcPr>
          <w:p>
            <w:pPr/>
            <w:r>
              <w:t>Isotropic aqueous environment</w:t>
            </w:r>
          </w:p>
        </w:tc>
        <w:tc>
          <w:tcPr>
            <w:tcW w:type="dxa" w:w="2769"/>
            <w:vAlign w:val="center"/>
          </w:tcPr>
          <w:p>
            <w:pPr/>
            <w:r>
              <w:t>Default</w:t>
            </w:r>
          </w:p>
        </w:tc>
      </w:tr>
      <w:tr>
        <w:tc>
          <w:tcPr>
            <w:tcW w:type="dxa" w:w="2769"/>
            <w:vAlign w:val="center"/>
          </w:tcPr>
          <w:p>
            <w:pPr/>
            <w:r>
              <w:t>system_type=membrane</w:t>
            </w:r>
          </w:p>
        </w:tc>
        <w:tc>
          <w:tcPr>
            <w:tcW w:type="dxa" w:w="2769"/>
            <w:vAlign w:val="center"/>
          </w:tcPr>
          <w:p>
            <w:pPr/>
            <w:r>
              <w:t>Membrane barostat, quality gates, dispersion contract</w:t>
            </w:r>
          </w:p>
        </w:tc>
        <w:tc>
          <w:tcPr>
            <w:tcW w:type="dxa" w:w="2769"/>
            <w:vAlign w:val="center"/>
          </w:tcPr>
          <w:p>
            <w:pPr/>
            <w:r>
              <w:t>Engineering interface implemented</w:t>
            </w:r>
          </w:p>
        </w:tc>
      </w:tr>
      <w:tr>
        <w:tc>
          <w:tcPr>
            <w:tcW w:type="dxa" w:w="2769"/>
            <w:vAlign w:val="center"/>
          </w:tcPr>
          <w:p>
            <w:pPr/>
            <w:r>
              <w:t>xy_mode</w:t>
            </w:r>
          </w:p>
        </w:tc>
        <w:tc>
          <w:tcPr>
            <w:tcW w:type="dxa" w:w="2769"/>
            <w:vAlign w:val="center"/>
          </w:tcPr>
          <w:p>
            <w:pPr/>
            <w:r>
              <w:t>Isotropic or anisotropic membrane-plane scaling</w:t>
            </w:r>
          </w:p>
        </w:tc>
        <w:tc>
          <w:tcPr>
            <w:tcW w:type="dxa" w:w="2769"/>
            <w:vAlign w:val="center"/>
          </w:tcPr>
          <w:p>
            <w:pPr/>
            <w:r>
              <w:t>Isotropic default</w:t>
            </w:r>
          </w:p>
        </w:tc>
      </w:tr>
      <w:tr>
        <w:tc>
          <w:tcPr>
            <w:tcW w:type="dxa" w:w="2769"/>
            <w:vAlign w:val="center"/>
          </w:tcPr>
          <w:p>
            <w:pPr/>
            <w:r>
              <w:t>z_mode</w:t>
            </w:r>
          </w:p>
        </w:tc>
        <w:tc>
          <w:tcPr>
            <w:tcW w:type="dxa" w:w="2769"/>
            <w:vAlign w:val="center"/>
          </w:tcPr>
          <w:p>
            <w:pPr/>
            <w:r>
              <w:t>Free/fixed/constant-volume normal-direction control</w:t>
            </w:r>
          </w:p>
        </w:tc>
        <w:tc>
          <w:tcPr>
            <w:tcW w:type="dxa" w:w="2769"/>
            <w:vAlign w:val="center"/>
          </w:tcPr>
          <w:p>
            <w:pPr/>
            <w:r>
              <w:t>Free default</w:t>
            </w:r>
          </w:p>
        </w:tc>
      </w:tr>
      <w:tr>
        <w:tc>
          <w:tcPr>
            <w:tcW w:type="dxa" w:w="2769"/>
            <w:vAlign w:val="center"/>
          </w:tcPr>
          <w:p>
            <w:pPr/>
            <w:r>
              <w:t>normal_axis=z</w:t>
            </w:r>
          </w:p>
        </w:tc>
        <w:tc>
          <w:tcPr>
            <w:tcW w:type="dxa" w:w="2769"/>
            <w:vAlign w:val="center"/>
          </w:tcPr>
          <w:p>
            <w:pPr/>
            <w:r>
              <w:t>Define membrane normal</w:t>
            </w:r>
          </w:p>
        </w:tc>
        <w:tc>
          <w:tcPr>
            <w:tcW w:type="dxa" w:w="2769"/>
            <w:vAlign w:val="center"/>
          </w:tcPr>
          <w:p>
            <w:pPr/>
            <w:r>
              <w:t>Only z valid</w:t>
            </w:r>
          </w:p>
        </w:tc>
      </w:tr>
      <w:tr>
        <w:tc>
          <w:tcPr>
            <w:tcW w:type="dxa" w:w="2769"/>
            <w:vAlign w:val="center"/>
          </w:tcPr>
          <w:p>
            <w:pPr/>
            <w:r>
              <w:t>quality gate=enforce</w:t>
            </w:r>
          </w:p>
        </w:tc>
        <w:tc>
          <w:tcPr>
            <w:tcW w:type="dxa" w:w="2769"/>
            <w:vAlign w:val="center"/>
          </w:tcPr>
          <w:p>
            <w:pPr/>
            <w:r>
              <w:t>Block on failed membrane quality</w:t>
            </w:r>
          </w:p>
        </w:tc>
        <w:tc>
          <w:tcPr>
            <w:tcW w:type="dxa" w:w="2769"/>
            <w:vAlign w:val="center"/>
          </w:tcPr>
          <w:p>
            <w:pPr/>
            <w:r>
              <w:t>Recommended</w:t>
            </w:r>
          </w:p>
        </w:tc>
      </w:tr>
      <w:tr>
        <w:tc>
          <w:tcPr>
            <w:tcW w:type="dxa" w:w="2769"/>
            <w:vAlign w:val="center"/>
          </w:tcPr>
          <w:p>
            <w:pPr/>
            <w:r>
              <w:t>quality gate=advisory</w:t>
            </w:r>
          </w:p>
        </w:tc>
        <w:tc>
          <w:tcPr>
            <w:tcW w:type="dxa" w:w="2769"/>
            <w:vAlign w:val="center"/>
          </w:tcPr>
          <w:p>
            <w:pPr/>
            <w:r>
              <w:t>Record failure but continue</w:t>
            </w:r>
          </w:p>
        </w:tc>
        <w:tc>
          <w:tcPr>
            <w:tcW w:type="dxa" w:w="2769"/>
            <w:vAlign w:val="center"/>
          </w:tcPr>
          <w:p>
            <w:pPr/>
            <w:r>
              <w:t>Debug/wiring only</w:t>
            </w:r>
          </w:p>
        </w:tc>
      </w:tr>
      <w:tr>
        <w:tc>
          <w:tcPr>
            <w:tcW w:type="dxa" w:w="2769"/>
            <w:vAlign w:val="center"/>
          </w:tcPr>
          <w:p>
            <w:pPr/>
            <w:r>
              <w:t>membrane input declaration</w:t>
            </w:r>
          </w:p>
        </w:tc>
        <w:tc>
          <w:tcPr>
            <w:tcW w:type="dxa" w:w="2769"/>
            <w:vAlign w:val="center"/>
          </w:tcPr>
          <w:p>
            <w:pPr/>
            <w:r>
              <w:t>Freeze lipid/protein/ligand/build provenance</w:t>
            </w:r>
          </w:p>
        </w:tc>
        <w:tc>
          <w:tcPr>
            <w:tcW w:type="dxa" w:w="2769"/>
            <w:vAlign w:val="center"/>
          </w:tcPr>
          <w:p>
            <w:pPr/>
            <w:r>
              <w:t>Required</w:t>
            </w:r>
          </w:p>
        </w:tc>
      </w:tr>
    </w:tbl>
    <w:p>
      <w:pPr/>
      <w:r>
        <w:t>A neutral 5 ns full engineering smoke completed Stage 0→1→2 and produced −26.485 ± 1.767 kJ/mol (−6.330 ± 0.422 kcal/mol). This demonstrates executable full-pipeline plumbing, but 4.98 ns is not long enough for the membrane production tail and does not validate the charged co-ion route.</w:t>
      </w:r>
    </w:p>
    <w:p>
      <w:pPr/>
      <w:r>
        <w:t>The historical long-path membrane result +97.358 ± 2.092 kJ/mol is invalid. The solvent-leg loader assumed a single HarmonicAngleForce while the input contained two, placing all 71 ligand angles in the second force. The resulting ligand-only system had zero angles and collapsed structurally. The repaired loader iterates all forces and reconciles exact ligand counts of 41 bonds, 71 angles, and 104 torsions.</w:t>
      </w:r>
    </w:p>
    <w:p>
      <w:pPr/>
      <w:r>
        <w:t>Membrane qualification still requires a production-length repeat, area-per-lipid/thickness/order-parameter/ion-density checks, restraint-geometry stability, a membrane-specific dispersion treatment or validated alternative, and a closed APBS cycle. The current membrane branch is therefore an engineering extension, not a publication-ready binding result.</w:t>
      </w:r>
    </w:p>
    <w:p/>
    <w:p>
      <w:pPr/>
      <w:r>
        <w:t>6 Independent Method Line: MACE-Informed DEXP Projection</w:t>
      </w:r>
    </w:p>
    <w:p/>
    <w:p>
      <w:pPr/>
      <w:r>
        <w:t>6.1 Method Identity</w:t>
      </w:r>
    </w:p>
    <w:p>
      <w:pPr/>
      <w:r>
        <w:t>DEXP changes the physical pair-potential family; it is not an additional sampling bias layered on top of the current ACE target. Consequently, its positive local-projection evidence must remain separate from the production ABFE identity until a complete thermodynamic treatment, including an appropriate long-range correction and independent multi-system qualification, exists.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Method</w:t>
            </w:r>
          </w:p>
        </w:tc>
        <w:tc>
          <w:tcPr>
            <w:tcW w:type="dxa" w:w="2769"/>
            <w:vAlign w:val="center"/>
          </w:tcPr>
          <w:p>
            <w:pPr/>
            <w:r>
              <w:rPr>
                <w:b/>
              </w:rPr>
              <w:t>Goal</w:t>
            </w:r>
          </w:p>
        </w:tc>
        <w:tc>
          <w:tcPr>
            <w:tcW w:type="dxa" w:w="2769"/>
            <w:vAlign w:val="center"/>
          </w:tcPr>
          <w:p>
            <w:pPr/>
            <w:r>
              <w:rPr>
                <w:b/>
              </w:rPr>
              <w:t>Current conclusion</w:t>
            </w:r>
          </w:p>
        </w:tc>
      </w:tr>
      <w:tr>
        <w:tc>
          <w:tcPr>
            <w:tcW w:type="dxa" w:w="2769"/>
            <w:vAlign w:val="center"/>
          </w:tcPr>
          <w:p>
            <w:pPr/>
            <w:r>
              <w:t>12/6 kernel</w:t>
            </w:r>
          </w:p>
        </w:tc>
        <w:tc>
          <w:tcPr>
            <w:tcW w:type="dxa" w:w="2769"/>
            <w:vAlign w:val="center"/>
          </w:tcPr>
          <w:p>
            <w:pPr/>
            <w:r>
              <w:t>LJ-like double-exponential reference</w:t>
            </w:r>
          </w:p>
        </w:tc>
        <w:tc>
          <w:tcPr>
            <w:tcW w:type="dxa" w:w="2769"/>
            <w:vAlign w:val="center"/>
          </w:tcPr>
          <w:p>
            <w:pPr/>
            <w:r>
              <w:t>Multi-initial-state dynamics not equilibrated</w:t>
            </w:r>
          </w:p>
        </w:tc>
      </w:tr>
      <w:tr>
        <w:tc>
          <w:tcPr>
            <w:tcW w:type="dxa" w:w="2769"/>
            <w:vAlign w:val="center"/>
          </w:tcPr>
          <w:p>
            <w:pPr/>
            <w:r>
              <w:t>14/5 kernel</w:t>
            </w:r>
          </w:p>
        </w:tc>
        <w:tc>
          <w:tcPr>
            <w:tcW w:type="dxa" w:w="2769"/>
            <w:vAlign w:val="center"/>
          </w:tcPr>
          <w:p>
            <w:pPr/>
            <w:r>
              <w:t>Fitted Atenolol candidate</w:t>
            </w:r>
          </w:p>
        </w:tc>
        <w:tc>
          <w:tcPr>
            <w:tcW w:type="dxa" w:w="2769"/>
            <w:vAlign w:val="center"/>
          </w:tcPr>
          <w:p>
            <w:pPr/>
            <w:r>
              <w:t>Local projection positive; dynamics not converged</w:t>
            </w:r>
          </w:p>
        </w:tc>
      </w:tr>
      <w:tr>
        <w:tc>
          <w:tcPr>
            <w:tcW w:type="dxa" w:w="2769"/>
            <w:vAlign w:val="center"/>
          </w:tcPr>
          <w:p>
            <w:pPr/>
            <w:r>
              <w:t>MACE projection benchmark</w:t>
            </w:r>
          </w:p>
        </w:tc>
        <w:tc>
          <w:tcPr>
            <w:tcW w:type="dxa" w:w="2769"/>
            <w:vAlign w:val="center"/>
          </w:tcPr>
          <w:p>
            <w:pPr/>
            <w:r>
              <w:t>Compare analytic potential languages</w:t>
            </w:r>
          </w:p>
        </w:tc>
        <w:tc>
          <w:tcPr>
            <w:tcW w:type="dxa" w:w="2769"/>
            <w:vAlign w:val="center"/>
          </w:tcPr>
          <w:p>
            <w:pPr/>
            <w:r>
              <w:t>Single-system positive evidence</w:t>
            </w:r>
          </w:p>
        </w:tc>
      </w:tr>
      <w:tr>
        <w:tc>
          <w:tcPr>
            <w:tcW w:type="dxa" w:w="2769"/>
            <w:vAlign w:val="center"/>
          </w:tcPr>
          <w:p>
            <w:pPr/>
            <w:r>
              <w:t>production merge</w:t>
            </w:r>
          </w:p>
        </w:tc>
        <w:tc>
          <w:tcPr>
            <w:tcW w:type="dxa" w:w="2769"/>
            <w:vAlign w:val="center"/>
          </w:tcPr>
          <w:p>
            <w:pPr/>
            <w:r>
              <w:t>Replace pair force in main ABFE pipeline</w:t>
            </w:r>
          </w:p>
        </w:tc>
        <w:tc>
          <w:tcPr>
            <w:tcW w:type="dxa" w:w="2769"/>
            <w:vAlign w:val="center"/>
          </w:tcPr>
          <w:p>
            <w:pPr/>
            <w:r>
              <w:t>Not qualified</w:t>
            </w:r>
          </w:p>
        </w:tc>
      </w:tr>
    </w:tbl>
    <w:p/>
    <w:p>
      <w:pPr/>
      <w:r>
        <w:t>6.2 Single-System Projection Evidence</w:t>
      </w:r>
    </w:p>
    <w:tbl>
      <w:tblPr>
        <w:tblStyle w:val="af"/>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vAlign w:val="center"/>
          </w:tcPr>
          <w:p>
            <w:pPr/>
            <w:r>
              <w:rPr>
                <w:b/>
              </w:rPr>
              <w:t>Kernel</w:t>
            </w:r>
          </w:p>
        </w:tc>
        <w:tc>
          <w:tcPr>
            <w:tcW w:type="dxa" w:w="1661"/>
            <w:vAlign w:val="center"/>
          </w:tcPr>
          <w:p>
            <w:pPr/>
            <w:r>
              <w:rPr>
                <w:b/>
              </w:rPr>
              <w:t>Translation odd</w:t>
            </w:r>
          </w:p>
        </w:tc>
        <w:tc>
          <w:tcPr>
            <w:tcW w:type="dxa" w:w="1661"/>
            <w:vAlign w:val="center"/>
          </w:tcPr>
          <w:p>
            <w:pPr/>
            <w:r>
              <w:rPr>
                <w:b/>
              </w:rPr>
              <w:t>Translation even</w:t>
            </w:r>
          </w:p>
        </w:tc>
        <w:tc>
          <w:tcPr>
            <w:tcW w:type="dxa" w:w="1661"/>
            <w:vAlign w:val="center"/>
          </w:tcPr>
          <w:p>
            <w:pPr/>
            <w:r>
              <w:rPr>
                <w:b/>
              </w:rPr>
              <w:t>Rotation odd</w:t>
            </w:r>
          </w:p>
        </w:tc>
        <w:tc>
          <w:tcPr>
            <w:tcW w:type="dxa" w:w="1661"/>
            <w:vAlign w:val="center"/>
          </w:tcPr>
          <w:p>
            <w:pPr/>
            <w:r>
              <w:rPr>
                <w:b/>
              </w:rPr>
              <w:t>Rotation even</w:t>
            </w:r>
          </w:p>
        </w:tc>
      </w:tr>
      <w:tr>
        <w:tc>
          <w:tcPr>
            <w:tcW w:type="dxa" w:w="1661"/>
            <w:vAlign w:val="center"/>
          </w:tcPr>
          <w:p>
            <w:pPr/>
            <w:r>
              <w:t>LJ</w:t>
            </w:r>
          </w:p>
        </w:tc>
        <w:tc>
          <w:tcPr>
            <w:tcW w:type="dxa" w:w="1661"/>
            <w:vAlign w:val="center"/>
          </w:tcPr>
          <w:p>
            <w:pPr/>
            <w:r>
              <w:t>15.624</w:t>
            </w:r>
          </w:p>
        </w:tc>
        <w:tc>
          <w:tcPr>
            <w:tcW w:type="dxa" w:w="1661"/>
            <w:vAlign w:val="center"/>
          </w:tcPr>
          <w:p>
            <w:pPr/>
            <w:r>
              <w:t>21.401</w:t>
            </w:r>
          </w:p>
        </w:tc>
        <w:tc>
          <w:tcPr>
            <w:tcW w:type="dxa" w:w="1661"/>
            <w:vAlign w:val="center"/>
          </w:tcPr>
          <w:p>
            <w:pPr/>
            <w:r>
              <w:t>5.602</w:t>
            </w:r>
          </w:p>
        </w:tc>
        <w:tc>
          <w:tcPr>
            <w:tcW w:type="dxa" w:w="1661"/>
            <w:vAlign w:val="center"/>
          </w:tcPr>
          <w:p>
            <w:pPr/>
            <w:r>
              <w:t>6.104</w:t>
            </w:r>
          </w:p>
        </w:tc>
      </w:tr>
      <w:tr>
        <w:tc>
          <w:tcPr>
            <w:tcW w:type="dxa" w:w="1661"/>
            <w:vAlign w:val="center"/>
          </w:tcPr>
          <w:p>
            <w:pPr/>
            <w:r>
              <w:t>DEXP(12,6)</w:t>
            </w:r>
          </w:p>
        </w:tc>
        <w:tc>
          <w:tcPr>
            <w:tcW w:type="dxa" w:w="1661"/>
            <w:vAlign w:val="center"/>
          </w:tcPr>
          <w:p>
            <w:pPr/>
            <w:r>
              <w:t>6.611</w:t>
            </w:r>
          </w:p>
        </w:tc>
        <w:tc>
          <w:tcPr>
            <w:tcW w:type="dxa" w:w="1661"/>
            <w:vAlign w:val="center"/>
          </w:tcPr>
          <w:p>
            <w:pPr/>
            <w:r>
              <w:t>5.670</w:t>
            </w:r>
          </w:p>
        </w:tc>
        <w:tc>
          <w:tcPr>
            <w:tcW w:type="dxa" w:w="1661"/>
            <w:vAlign w:val="center"/>
          </w:tcPr>
          <w:p>
            <w:pPr/>
            <w:r>
              <w:t>3.732</w:t>
            </w:r>
          </w:p>
        </w:tc>
        <w:tc>
          <w:tcPr>
            <w:tcW w:type="dxa" w:w="1661"/>
            <w:vAlign w:val="center"/>
          </w:tcPr>
          <w:p>
            <w:pPr/>
            <w:r>
              <w:t>2.365</w:t>
            </w:r>
          </w:p>
        </w:tc>
      </w:tr>
      <w:tr>
        <w:tc>
          <w:tcPr>
            <w:tcW w:type="dxa" w:w="1661"/>
            <w:vAlign w:val="center"/>
          </w:tcPr>
          <w:p>
            <w:pPr/>
            <w:r>
              <w:t>DEXP(14,5)</w:t>
            </w:r>
          </w:p>
        </w:tc>
        <w:tc>
          <w:tcPr>
            <w:tcW w:type="dxa" w:w="1661"/>
            <w:vAlign w:val="center"/>
          </w:tcPr>
          <w:p>
            <w:pPr/>
            <w:r>
              <w:t>6.733</w:t>
            </w:r>
          </w:p>
        </w:tc>
        <w:tc>
          <w:tcPr>
            <w:tcW w:type="dxa" w:w="1661"/>
            <w:vAlign w:val="center"/>
          </w:tcPr>
          <w:p>
            <w:pPr/>
            <w:r>
              <w:t>3.142</w:t>
            </w:r>
          </w:p>
        </w:tc>
        <w:tc>
          <w:tcPr>
            <w:tcW w:type="dxa" w:w="1661"/>
            <w:vAlign w:val="center"/>
          </w:tcPr>
          <w:p>
            <w:pPr/>
            <w:r>
              <w:t>3.552</w:t>
            </w:r>
          </w:p>
        </w:tc>
        <w:tc>
          <w:tcPr>
            <w:tcW w:type="dxa" w:w="1661"/>
            <w:vAlign w:val="center"/>
          </w:tcPr>
          <w:p>
            <w:pPr/>
            <w:r>
              <w:t>1.390</w:t>
            </w:r>
          </w:p>
        </w:tc>
      </w:tr>
    </w:tbl>
    <w:p>
      <w:pPr/>
      <w:r>
        <w:t>Across 20 anchors, overall wins were LJ:DEXP(12,6):DEXP(14,5)=0:3:17. The LJ→DEXP family change improves both gradient- and curvature-related metrics; the extra (12,6)→(14,5) gain is concentrated in the even/Hessian channel.</w:t>
      </w:r>
    </w:p>
    <w:tbl>
      <w:tblPr>
        <w:tblStyle w:val="af"/>
        <w:tblW w:type="auto" w:w="0"/>
        <w:jc w:val="center"/>
        <w:tblLayout w:type="autofit"/>
        <w:tblLook w:firstColumn="1" w:firstRow="1" w:lastColumn="0" w:lastRow="0" w:noHBand="0" w:noVBand="1" w:val="04A0"/>
      </w:tblPr>
      <w:tblGrid>
        <w:gridCol w:w="2076"/>
        <w:gridCol w:w="2076"/>
        <w:gridCol w:w="2076"/>
        <w:gridCol w:w="2076"/>
      </w:tblGrid>
      <w:tr>
        <w:tc>
          <w:tcPr>
            <w:tcW w:type="dxa" w:w="2076"/>
            <w:vAlign w:val="center"/>
          </w:tcPr>
          <w:p>
            <w:pPr/>
            <w:r>
              <w:rPr>
                <w:b/>
              </w:rPr>
              <w:t>Metric</w:t>
            </w:r>
          </w:p>
        </w:tc>
        <w:tc>
          <w:tcPr>
            <w:tcW w:type="dxa" w:w="2076"/>
            <w:vAlign w:val="center"/>
          </w:tcPr>
          <w:p>
            <w:pPr/>
            <w:r>
              <w:rPr>
                <w:b/>
              </w:rPr>
              <w:t>LJ</w:t>
            </w:r>
          </w:p>
        </w:tc>
        <w:tc>
          <w:tcPr>
            <w:tcW w:type="dxa" w:w="2076"/>
            <w:vAlign w:val="center"/>
          </w:tcPr>
          <w:p>
            <w:pPr/>
            <w:r>
              <w:rPr>
                <w:b/>
              </w:rPr>
              <w:t>DEXP(12,6)</w:t>
            </w:r>
          </w:p>
        </w:tc>
        <w:tc>
          <w:tcPr>
            <w:tcW w:type="dxa" w:w="2076"/>
            <w:vAlign w:val="center"/>
          </w:tcPr>
          <w:p>
            <w:pPr/>
            <w:r>
              <w:rPr>
                <w:b/>
              </w:rPr>
              <w:t>DEXP(14,5)</w:t>
            </w:r>
          </w:p>
        </w:tc>
      </w:tr>
      <w:tr>
        <w:tc>
          <w:tcPr>
            <w:tcW w:type="dxa" w:w="2076"/>
            <w:vAlign w:val="center"/>
          </w:tcPr>
          <w:p>
            <w:pPr/>
            <w:r>
              <w:t>Held-out force RMSE</w:t>
            </w:r>
          </w:p>
        </w:tc>
        <w:tc>
          <w:tcPr>
            <w:tcW w:type="dxa" w:w="2076"/>
            <w:vAlign w:val="center"/>
          </w:tcPr>
          <w:p>
            <w:pPr/>
            <w:r>
              <w:t>417.8</w:t>
            </w:r>
          </w:p>
        </w:tc>
        <w:tc>
          <w:tcPr>
            <w:tcW w:type="dxa" w:w="2076"/>
            <w:vAlign w:val="center"/>
          </w:tcPr>
          <w:p>
            <w:pPr/>
            <w:r>
              <w:t>289.0</w:t>
            </w:r>
          </w:p>
        </w:tc>
        <w:tc>
          <w:tcPr>
            <w:tcW w:type="dxa" w:w="2076"/>
            <w:vAlign w:val="center"/>
          </w:tcPr>
          <w:p>
            <w:pPr/>
            <w:r>
              <w:t>295.6</w:t>
            </w:r>
          </w:p>
        </w:tc>
      </w:tr>
      <w:tr>
        <w:tc>
          <w:tcPr>
            <w:tcW w:type="dxa" w:w="2076"/>
            <w:vAlign w:val="center"/>
          </w:tcPr>
          <w:p>
            <w:pPr/>
            <w:r>
              <w:t>Held-out force correlation</w:t>
            </w:r>
          </w:p>
        </w:tc>
        <w:tc>
          <w:tcPr>
            <w:tcW w:type="dxa" w:w="2076"/>
            <w:vAlign w:val="center"/>
          </w:tcPr>
          <w:p>
            <w:pPr/>
            <w:r>
              <w:t>0.672</w:t>
            </w:r>
          </w:p>
        </w:tc>
        <w:tc>
          <w:tcPr>
            <w:tcW w:type="dxa" w:w="2076"/>
            <w:vAlign w:val="center"/>
          </w:tcPr>
          <w:p>
            <w:pPr/>
            <w:r>
              <w:t>0.714</w:t>
            </w:r>
          </w:p>
        </w:tc>
        <w:tc>
          <w:tcPr>
            <w:tcW w:type="dxa" w:w="2076"/>
            <w:vAlign w:val="center"/>
          </w:tcPr>
          <w:p>
            <w:pPr/>
            <w:r>
              <w:t>0.709</w:t>
            </w:r>
          </w:p>
        </w:tc>
      </w:tr>
      <w:tr>
        <w:tc>
          <w:tcPr>
            <w:tcW w:type="dxa" w:w="2076"/>
            <w:vAlign w:val="center"/>
          </w:tcPr>
          <w:p>
            <w:pPr/>
            <w:r>
              <w:t>Hessian Frobenius residual</w:t>
            </w:r>
          </w:p>
        </w:tc>
        <w:tc>
          <w:tcPr>
            <w:tcW w:type="dxa" w:w="2076"/>
            <w:vAlign w:val="center"/>
          </w:tcPr>
          <w:p>
            <w:pPr/>
            <w:r>
              <w:t>56598</w:t>
            </w:r>
          </w:p>
        </w:tc>
        <w:tc>
          <w:tcPr>
            <w:tcW w:type="dxa" w:w="2076"/>
            <w:vAlign w:val="center"/>
          </w:tcPr>
          <w:p>
            <w:pPr/>
            <w:r>
              <w:t>24823</w:t>
            </w:r>
          </w:p>
        </w:tc>
        <w:tc>
          <w:tcPr>
            <w:tcW w:type="dxa" w:w="2076"/>
            <w:vAlign w:val="center"/>
          </w:tcPr>
          <w:p>
            <w:pPr/>
            <w:r>
              <w:t>16687</w:t>
            </w:r>
          </w:p>
        </w:tc>
      </w:tr>
      <w:tr>
        <w:tc>
          <w:tcPr>
            <w:tcW w:type="dxa" w:w="2076"/>
            <w:vAlign w:val="center"/>
          </w:tcPr>
          <w:p>
            <w:pPr/>
            <w:r>
              <w:t>Hessian eigenvalue RMSE</w:t>
            </w:r>
          </w:p>
        </w:tc>
        <w:tc>
          <w:tcPr>
            <w:tcW w:type="dxa" w:w="2076"/>
            <w:vAlign w:val="center"/>
          </w:tcPr>
          <w:p>
            <w:pPr/>
            <w:r>
              <w:t>31185</w:t>
            </w:r>
          </w:p>
        </w:tc>
        <w:tc>
          <w:tcPr>
            <w:tcW w:type="dxa" w:w="2076"/>
            <w:vAlign w:val="center"/>
          </w:tcPr>
          <w:p>
            <w:pPr/>
            <w:r>
              <w:t>12917</w:t>
            </w:r>
          </w:p>
        </w:tc>
        <w:tc>
          <w:tcPr>
            <w:tcW w:type="dxa" w:w="2076"/>
            <w:vAlign w:val="center"/>
          </w:tcPr>
          <w:p>
            <w:pPr/>
            <w:r>
              <w:t>7189</w:t>
            </w:r>
          </w:p>
        </w:tc>
      </w:tr>
    </w:tbl>
    <w:p>
      <w:pPr/>
      <w:r>
        <w:t>DEXP reduces held-out force RMSE by about 30% relative to LJ, while the two DEXP variants are statistically tied in force. Complete Hessian metrics more consistently favor (14,5). The dense parameter scan identifies an elongated low-error basin governed mainly by α+β≈19.004; this does not establish (14,5) as a universal magic number.</w:t>
      </w:r>
    </w:p>
    <w:p>
      <w:pPr/>
      <w:r>
        <w:t>The real 73,536-atom system remains finite and stable during a 0.4 ps 300 K Langevin check with DEXP(14,5), and finite-difference force errors remain below the 10⁻4 gate. Environmental cropping tests preserve the K2 ranking across all tested radius/cropping conditions.</w:t>
      </w:r>
    </w:p>
    <w:p/>
    <w:p>
      <w:pPr/>
      <w:r>
        <w:t>6.3 Dynamics Boundary and Current Verdict</w:t>
      </w:r>
    </w:p>
    <w:p>
      <w:pPr/>
      <w:r>
        <w:t>The multi-initial-state dynamics do not converge across V/S/B starts. Both DEXP variants differ from the original potential more than they differ from one another, so previous claims that one DEXP kernel dynamically reproduces the original were withdrawn. This does not erase the local analytic-projection benchmark, but it blocks production-superiority, binding-mode, and equilibrium-occupancy claims.</w:t>
      </w:r>
    </w:p>
    <w:p>
      <w:pPr/>
      <w:r>
        <w:t>Current verdict: SINGLE-SYSTEM POSITIVE ANALYTIC-PROJECTION SIGNAL / DYNAMICS NOT EQUILIBRATED / NOT_PRODUCTION_MERGED. The next valid test is a frozen 8–15-system benchmark. If the DEXP family transfers but the optimal exponents do not, the appropriate conclusion is family-level transfer with system-dependent α/β values.</w:t>
      </w:r>
    </w:p>
    <w:p/>
    <w:p>
      <w:pPr/>
      <w:r>
        <w:t>7 Research Routes, Advisor Decisions, and Next-Stage Plan</w:t>
      </w:r>
    </w:p>
    <w:p/>
    <w:p>
      <w:pPr/>
      <w:r>
        <w:t>7.1 Separate Physical Targets from Sampling Distributions</w:t>
      </w:r>
    </w:p>
    <w:p>
      <w:pPr>
        <w:jc w:val="center"/>
      </w:pPr>
      <w:r>
        <w:rPr>
          <w:i/>
        </w:rPr>
        <w:t>p_k(R) = Z_k⁻¹ exp[−βU_k(R)]</w:t>
      </w:r>
    </w:p>
    <w:p>
      <w:pPr>
        <w:jc w:val="center"/>
      </w:pPr>
      <w:r>
        <w:rPr>
          <w:i/>
        </w:rPr>
        <w:t>q_k,θ(R) = Z̃_k,θ⁻¹ exp{−β[U_k(R)+B_θ,k(R)]}</w:t>
      </w:r>
    </w:p>
    <w:p>
      <w:pPr/>
      <w:r>
        <w:t>Route 2 leaves the physical target U_k unchanged and changes only the distribution used to obtain samples. Therefore it does not change the mathematical overlap of the target distributions themselves. Its possible benefit is better access to bridge configurations, mixing, round trips, reweighted-overlap efficiency, and ESS/GPU-hour. The complete realized bias must be recorded so the estimator can recover the original U_k thermodynamics.</w:t>
      </w:r>
    </w:p>
    <w:p/>
    <w:p>
      <w:pPr/>
      <w:r>
        <w:t>7.2 Route 2: Fixed-Target Learned Sampling Layer</w:t>
      </w:r>
    </w:p>
    <w:p>
      <w:pPr/>
      <w:r>
        <w:t>Before production, Route 2 freezes the representation/model parameters, state-amplitude schedule, arm/window-specific f_k, unit convention, state mapping, gauge, protocol fingerprint, ledger schema, seed family, and stopping rules. Any representation retraining, residual recentering, update_weights() call, or f_k update during production invalidates ordinary static MBAR/TMBAR semantics unless a separate time-dependent analysis is explicitly defined.</w:t>
      </w:r>
    </w:p>
    <w:p>
      <w:pPr/>
      <w:r>
        <w:t>The primary failure mode is importance-weight degeneracy rather than endpoint drift. A learned bias can increase visible transitions while making target reweighting sharper and reducing effective sample size. Mobility and transition counts therefore have to be reported together with reweighted ESS, uncertainty, and total GPU cost.</w:t>
      </w:r>
    </w:p>
    <w:p/>
    <w:p>
      <w:pPr/>
      <w:r>
        <w:t>7.3 Route 1: Endpoint-Constrained Intermediate-Hamiltonian Design</w:t>
      </w:r>
    </w:p>
    <w:p>
      <w:pPr>
        <w:jc w:val="center"/>
      </w:pPr>
      <w:r>
        <w:rPr>
          <w:i/>
        </w:rPr>
        <w:t>H(R;s) = H₀(R; ξ(s)) + Σ_a c_a(s)V_a(R)</w:t>
      </w:r>
    </w:p>
    <w:p>
      <w:pPr>
        <w:jc w:val="center"/>
      </w:pPr>
      <w:r>
        <w:rPr>
          <w:i/>
        </w:rPr>
        <w:t>c_a(s) = s(1−s) c̃_a(s)</w:t>
      </w:r>
    </w:p>
    <w:p>
      <w:pPr/>
      <w:r>
        <w:t>Route 1 treats the intermediate Hamiltonians as design objects while preserving physical endpoints. Endpoint-zero envelopes or monotonic parameterizations guarantee boundary conditions but do not guarantee safe intermediates. Coefficient ranges, forces, energies, support domain, normalizability, PBC/neighbor-list identity, and the creation of new metastable basins require independent safety gates.</w:t>
      </w:r>
    </w:p>
    <w:p/>
    <w:p>
      <w:pPr/>
      <w:r>
        <w:t>7.4 Frozen MACE as a Configuration-Space Encoder, Not a λ-Aware Replacement Potential</w:t>
      </w:r>
    </w:p>
    <w:p>
      <w:pPr>
        <w:jc w:val="center"/>
      </w:pPr>
      <w:r>
        <w:rPr>
          <w:i/>
        </w:rPr>
        <w:t>Φ_MACE : R → z(R)</w:t>
      </w:r>
    </w:p>
    <w:p>
      <w:pPr/>
      <w:r>
        <w:t>The first defensible use of Frozen MACE is as a structural representation of configurations rather than as a replacement for the MM endpoint Hamiltonians. The latent representation can diagnose many-body changes involving ligand, ions, water shells, and binding-site side chains and can be compared against thermodynamic-length, overlap, and kinetic diagnostics.</w:t>
      </w:r>
    </w:p>
    <w:p>
      <w:pPr/>
      <w:r>
        <w:t>A convergence landscape may combine thermodynamic, structural, and kinetic quantities, but these observables do not naturally share units. Any combined score must preregister normalization, weights, uncertainty, and a trust region. With only a single system and roughly 12–23 windows plus a few probes, the first model should be a spline or Gaussian process. A neural operator is justified only if held-out tests across multiple paths, ligands, and probe layouts show a real generalization advantage.</w:t>
      </w:r>
    </w:p>
    <w:p>
      <w:pPr/>
      <w:r>
        <w:t>This is also why λ itself should not be treated as a physically meaningful coordinate to be learned as though it were an atomic degree of freedom. In the proposed convergence program, production λ states stay fixed; the learned component diagnoses or designs endpoint-anchored intermediate controls and/or sampling layers, while endpoint thermodynamics remain defined by the declared physical Hamiltonians.</w:t>
      </w:r>
    </w:p>
    <w:p/>
    <w:p>
      <w:pPr/>
      <w:r>
        <w:t>7.5 Classical EDS and λ-EDS as Direct Controls</w:t>
      </w:r>
    </w:p>
    <w:p>
      <w:pPr>
        <w:jc w:val="center"/>
      </w:pPr>
      <w:r>
        <w:rPr>
          <w:i/>
        </w:rPr>
        <w:t>V_R(R;s,E^R) = −(βs)⁻¹ log Σ_i exp{−βs[V_i(R)−E_i^R]}</w:t>
      </w:r>
    </w:p>
    <w:p>
      <w:pPr/>
      <w:r>
        <w:t>Classical EDS is an auxiliary/reference Hamiltonian and a Hamiltonian-level envelope construction. Its offsets balance state contributions and its smoothing parameter controls the envelope. It remains an enhanced-sampling method and is not equivalent to ordinary linear interpolation.</w:t>
      </w:r>
    </w:p>
    <w:p>
      <w:pPr>
        <w:jc w:val="center"/>
      </w:pPr>
      <w:r>
        <w:rPr>
          <w:i/>
        </w:rPr>
        <w:t>V_λ−EDS(R) = −(βs)⁻¹ log[(1−λ)e^{−βs(V_A−E_A)} + λe^{−βs(V_B−E_B)}]</w:t>
      </w:r>
    </w:p>
    <w:p>
      <w:pPr/>
      <w:r>
        <w:t>λ-EDS preserves the physical endpoints up to additive offsets but redesigns the intermediate Hamiltonians. It is therefore a direct conceptual control for Route 1. The novelty of Route 1 cannot simply be “fixed endpoints with modifiable intermediates”; it must be demonstrated by many-body diagnostics, continuous control-space prediction, or superior held-out path optimization.</w:t>
      </w:r>
    </w:p>
    <w:tbl>
      <w:tblPr>
        <w:tblStyle w:val="af"/>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1661"/>
            <w:vAlign w:val="center"/>
          </w:tcPr>
          <w:p>
            <w:pPr/>
            <w:r>
              <w:rPr>
                <w:b/>
              </w:rPr>
              <w:t>Dimension</w:t>
            </w:r>
          </w:p>
        </w:tc>
        <w:tc>
          <w:tcPr>
            <w:tcW w:type="dxa" w:w="1661"/>
            <w:vAlign w:val="center"/>
          </w:tcPr>
          <w:p>
            <w:pPr/>
            <w:r>
              <w:rPr>
                <w:b/>
              </w:rPr>
              <w:t>Classical EDS</w:t>
            </w:r>
          </w:p>
        </w:tc>
        <w:tc>
          <w:tcPr>
            <w:tcW w:type="dxa" w:w="1661"/>
            <w:vAlign w:val="center"/>
          </w:tcPr>
          <w:p>
            <w:pPr/>
            <w:r>
              <w:rPr>
                <w:b/>
              </w:rPr>
              <w:t>λ-EDS</w:t>
            </w:r>
          </w:p>
        </w:tc>
        <w:tc>
          <w:tcPr>
            <w:tcW w:type="dxa" w:w="1661"/>
            <w:vAlign w:val="center"/>
          </w:tcPr>
          <w:p>
            <w:pPr/>
            <w:r>
              <w:rPr>
                <w:b/>
              </w:rPr>
              <w:t>Route 1</w:t>
            </w:r>
          </w:p>
        </w:tc>
        <w:tc>
          <w:tcPr>
            <w:tcW w:type="dxa" w:w="1661"/>
            <w:vAlign w:val="center"/>
          </w:tcPr>
          <w:p>
            <w:pPr/>
            <w:r>
              <w:rPr>
                <w:b/>
              </w:rPr>
              <w:t>Route 2</w:t>
            </w:r>
          </w:p>
        </w:tc>
      </w:tr>
      <w:tr>
        <w:tc>
          <w:tcPr>
            <w:tcW w:type="dxa" w:w="1661"/>
            <w:vAlign w:val="center"/>
          </w:tcPr>
          <w:p>
            <w:pPr/>
            <w:r>
              <w:t>Primary object</w:t>
            </w:r>
          </w:p>
        </w:tc>
        <w:tc>
          <w:tcPr>
            <w:tcW w:type="dxa" w:w="1661"/>
            <w:vAlign w:val="center"/>
          </w:tcPr>
          <w:p>
            <w:pPr/>
            <w:r>
              <w:t>Reference Hamiltonian</w:t>
            </w:r>
          </w:p>
        </w:tc>
        <w:tc>
          <w:tcPr>
            <w:tcW w:type="dxa" w:w="1661"/>
            <w:vAlign w:val="center"/>
          </w:tcPr>
          <w:p>
            <w:pPr/>
            <w:r>
              <w:t>Intermediate EDS coupling</w:t>
            </w:r>
          </w:p>
        </w:tc>
        <w:tc>
          <w:tcPr>
            <w:tcW w:type="dxa" w:w="1661"/>
            <w:vAlign w:val="center"/>
          </w:tcPr>
          <w:p>
            <w:pPr/>
            <w:r>
              <w:t>Learned target path</w:t>
            </w:r>
          </w:p>
        </w:tc>
        <w:tc>
          <w:tcPr>
            <w:tcW w:type="dxa" w:w="1661"/>
            <w:vAlign w:val="center"/>
          </w:tcPr>
          <w:p>
            <w:pPr/>
            <w:r>
              <w:t>Learned sampling layer</w:t>
            </w:r>
          </w:p>
        </w:tc>
      </w:tr>
      <w:tr>
        <w:tc>
          <w:tcPr>
            <w:tcW w:type="dxa" w:w="1661"/>
            <w:vAlign w:val="center"/>
          </w:tcPr>
          <w:p>
            <w:pPr/>
            <w:r>
              <w:t>Physical endpoints</w:t>
            </w:r>
          </w:p>
        </w:tc>
        <w:tc>
          <w:tcPr>
            <w:tcW w:type="dxa" w:w="1661"/>
            <w:vAlign w:val="center"/>
          </w:tcPr>
          <w:p>
            <w:pPr/>
            <w:r>
              <w:t>Retained up to offset</w:t>
            </w:r>
          </w:p>
        </w:tc>
        <w:tc>
          <w:tcPr>
            <w:tcW w:type="dxa" w:w="1661"/>
            <w:vAlign w:val="center"/>
          </w:tcPr>
          <w:p>
            <w:pPr/>
            <w:r>
              <w:t>Retained</w:t>
            </w:r>
          </w:p>
        </w:tc>
        <w:tc>
          <w:tcPr>
            <w:tcW w:type="dxa" w:w="1661"/>
            <w:vAlign w:val="center"/>
          </w:tcPr>
          <w:p>
            <w:pPr/>
            <w:r>
              <w:t>Hard endpoint contract</w:t>
            </w:r>
          </w:p>
        </w:tc>
        <w:tc>
          <w:tcPr>
            <w:tcW w:type="dxa" w:w="1661"/>
            <w:vAlign w:val="center"/>
          </w:tcPr>
          <w:p>
            <w:pPr/>
            <w:r>
              <w:t>Target states unchanged</w:t>
            </w:r>
          </w:p>
        </w:tc>
      </w:tr>
      <w:tr>
        <w:tc>
          <w:tcPr>
            <w:tcW w:type="dxa" w:w="1661"/>
            <w:vAlign w:val="center"/>
          </w:tcPr>
          <w:p>
            <w:pPr/>
            <w:r>
              <w:t>Intermediate targets</w:t>
            </w:r>
          </w:p>
        </w:tc>
        <w:tc>
          <w:tcPr>
            <w:tcW w:type="dxa" w:w="1661"/>
            <w:vAlign w:val="center"/>
          </w:tcPr>
          <w:p>
            <w:pPr/>
            <w:r>
              <w:t>No fixed ladder required</w:t>
            </w:r>
          </w:p>
        </w:tc>
        <w:tc>
          <w:tcPr>
            <w:tcW w:type="dxa" w:w="1661"/>
            <w:vAlign w:val="center"/>
          </w:tcPr>
          <w:p>
            <w:pPr/>
            <w:r>
              <w:t>Redesigned</w:t>
            </w:r>
          </w:p>
        </w:tc>
        <w:tc>
          <w:tcPr>
            <w:tcW w:type="dxa" w:w="1661"/>
            <w:vAlign w:val="center"/>
          </w:tcPr>
          <w:p>
            <w:pPr/>
            <w:r>
              <w:t>Redesigned</w:t>
            </w:r>
          </w:p>
        </w:tc>
        <w:tc>
          <w:tcPr>
            <w:tcW w:type="dxa" w:w="1661"/>
            <w:vAlign w:val="center"/>
          </w:tcPr>
          <w:p>
            <w:pPr/>
            <w:r>
              <w:t>Unchanged</w:t>
            </w:r>
          </w:p>
        </w:tc>
      </w:tr>
      <w:tr>
        <w:tc>
          <w:tcPr>
            <w:tcW w:type="dxa" w:w="1661"/>
            <w:vAlign w:val="center"/>
          </w:tcPr>
          <w:p>
            <w:pPr/>
            <w:r>
              <w:t>Representation</w:t>
            </w:r>
          </w:p>
        </w:tc>
        <w:tc>
          <w:tcPr>
            <w:tcW w:type="dxa" w:w="1661"/>
            <w:vAlign w:val="center"/>
          </w:tcPr>
          <w:p>
            <w:pPr/>
            <w:r>
              <w:t>Analytic endpoint energies</w:t>
            </w:r>
          </w:p>
        </w:tc>
        <w:tc>
          <w:tcPr>
            <w:tcW w:type="dxa" w:w="1661"/>
            <w:vAlign w:val="center"/>
          </w:tcPr>
          <w:p>
            <w:pPr/>
            <w:r>
              <w:t>Analytic endpoint energies</w:t>
            </w:r>
          </w:p>
        </w:tc>
        <w:tc>
          <w:tcPr>
            <w:tcW w:type="dxa" w:w="1661"/>
            <w:vAlign w:val="center"/>
          </w:tcPr>
          <w:p>
            <w:pPr/>
            <w:r>
              <w:t>Frozen MACE/operator optional</w:t>
            </w:r>
          </w:p>
        </w:tc>
        <w:tc>
          <w:tcPr>
            <w:tcW w:type="dxa" w:w="1661"/>
            <w:vAlign w:val="center"/>
          </w:tcPr>
          <w:p>
            <w:pPr/>
            <w:r>
              <w:t>MACE/MLP/local residual optional</w:t>
            </w:r>
          </w:p>
        </w:tc>
      </w:tr>
      <w:tr>
        <w:tc>
          <w:tcPr>
            <w:tcW w:type="dxa" w:w="1661"/>
            <w:vAlign w:val="center"/>
          </w:tcPr>
          <w:p>
            <w:pPr/>
            <w:r>
              <w:t>Main risk</w:t>
            </w:r>
          </w:p>
        </w:tc>
        <w:tc>
          <w:tcPr>
            <w:tcW w:type="dxa" w:w="1661"/>
            <w:vAlign w:val="center"/>
          </w:tcPr>
          <w:p>
            <w:pPr/>
            <w:r>
              <w:t>Offset/smoothing and reference mixing</w:t>
            </w:r>
          </w:p>
        </w:tc>
        <w:tc>
          <w:tcPr>
            <w:tcW w:type="dxa" w:w="1661"/>
            <w:vAlign w:val="center"/>
          </w:tcPr>
          <w:p>
            <w:pPr/>
            <w:r>
              <w:t>Support on redesigned path</w:t>
            </w:r>
          </w:p>
        </w:tc>
        <w:tc>
          <w:tcPr>
            <w:tcW w:type="dxa" w:w="1661"/>
            <w:vAlign w:val="center"/>
          </w:tcPr>
          <w:p>
            <w:pPr/>
            <w:r>
              <w:t>Unsafe path / selection bias</w:t>
            </w:r>
          </w:p>
        </w:tc>
        <w:tc>
          <w:tcPr>
            <w:tcW w:type="dxa" w:w="1661"/>
            <w:vAlign w:val="center"/>
          </w:tcPr>
          <w:p>
            <w:pPr/>
            <w:r>
              <w:t>Weight degeneracy / cost</w:t>
            </w:r>
          </w:p>
        </w:tc>
      </w:tr>
      <w:tr>
        <w:tc>
          <w:tcPr>
            <w:tcW w:type="dxa" w:w="1661"/>
            <w:vAlign w:val="center"/>
          </w:tcPr>
          <w:p>
            <w:pPr/>
            <w:r>
              <w:t>Project status</w:t>
            </w:r>
          </w:p>
        </w:tc>
        <w:tc>
          <w:tcPr>
            <w:tcW w:type="dxa" w:w="1661"/>
            <w:vAlign w:val="center"/>
          </w:tcPr>
          <w:p>
            <w:pPr/>
            <w:r>
              <w:t>Literature/control</w:t>
            </w:r>
          </w:p>
        </w:tc>
        <w:tc>
          <w:tcPr>
            <w:tcW w:type="dxa" w:w="1661"/>
            <w:vAlign w:val="center"/>
          </w:tcPr>
          <w:p>
            <w:pPr/>
            <w:r>
              <w:t>Required Route-1 control</w:t>
            </w:r>
          </w:p>
        </w:tc>
        <w:tc>
          <w:tcPr>
            <w:tcW w:type="dxa" w:w="1661"/>
            <w:vAlign w:val="center"/>
          </w:tcPr>
          <w:p>
            <w:pPr/>
            <w:r>
              <w:t>Unpromoted prototype</w:t>
            </w:r>
          </w:p>
        </w:tc>
        <w:tc>
          <w:tcPr>
            <w:tcW w:type="dxa" w:w="1661"/>
            <w:vAlign w:val="center"/>
          </w:tcPr>
          <w:p>
            <w:pPr/>
            <w:r>
              <w:t>EXP-029/030 mainline</w:t>
            </w:r>
          </w:p>
        </w:tc>
      </w:tr>
    </w:tbl>
    <w:p/>
    <w:p>
      <w:pPr/>
      <w:r>
        <w:t>7.6 Minimal Experimental Order</w:t>
      </w:r>
    </w:p>
    <w:p>
      <w:pPr/>
      <w:r>
        <w:t>Route 1: diagnostic-only Frozen MACE → test whether latent/MMD/kinetic metrics predict known slow behavior → add one bounded low-dimensional auxiliary basis → compare spline/GP against original and thermodynamic-length paths → add EDS/λ-EDS controls → separate path-selection data from held-out evaluation → pass energy/force/PBC/endpoint/support/cost gates → use ≥3 independent seeds → only then test a neural operator or cross-ligand transfer.</w:t>
      </w:r>
    </w:p>
    <w:p>
      <w:pPr/>
      <w:r>
        <w:t>Route 2: freeze the EXP-020/026 artifact and CUDA binary → smoke-test the state machine → independently calibrate and freeze baseline f_b → independently calibrate and freeze candidate f_c(φ*) → run all six windows and three paired repeats → record target/bias/base/WCA/LRC/occupancy/rescue histories → require ΔG consistency and TMBAR qualification → compare all-inclusive ITT ESS/GPU-hour → promote, stop, or declare inconclusive under the preregistered gate.</w:t>
      </w:r>
    </w:p>
    <w:p/>
    <w:p>
      <w:pPr/>
      <w:r>
        <w:t>7.7 Common Qualification Gates</w:t>
      </w:r>
    </w:p>
    <w:p>
      <w:pPr/>
      <w:r>
        <w:t>1. Identity/provenance: freeze topology, positions, box, target policy, state mapping, hashes, seeds, and schema.</w:t>
      </w:r>
    </w:p>
    <w:p>
      <w:pPr/>
      <w:r>
        <w:t>2. Algebra/ledger: close target, sampling, base, WCA, LRC, residual/path records frame by frame.</w:t>
      </w:r>
    </w:p>
    <w:p>
      <w:pPr/>
      <w:r>
        <w:t>3. Correctness: energy/force, finite differences, PBC, invariance, endpoints, and conservative forces.</w:t>
      </w:r>
    </w:p>
    <w:p>
      <w:pPr/>
      <w:r>
        <w:t>4. Cost: include calibration, freeze, rescue, production, ledger, neighbor lists, kernel launches, and synchronization in intention-to-treat accounting.</w:t>
      </w:r>
    </w:p>
    <w:p>
      <w:pPr/>
      <w:r>
        <w:t>5. Dynamics: check NaNs, temperature, drift, RMS displacement, long-run growth, resume behavior, and seeds.</w:t>
      </w:r>
    </w:p>
    <w:p>
      <w:pPr/>
      <w:r>
        <w:t>6. Estimator: verify the complete energy matrix, actual bias history, coverage, decorrelated ESS, endpoint uncertainty, and block uncertainty.</w:t>
      </w:r>
    </w:p>
    <w:p>
      <w:pPr/>
      <w:r>
        <w:t>7. Utility: require at least three paired repeats with simultaneous ΔG consistency, uncertainty, and all-inclusive utility passes.</w:t>
      </w:r>
    </w:p>
    <w:p/>
    <w:p>
      <w:pPr/>
      <w:r>
        <w:t>7.8 Currently Defensible and Unsupported Claims</w:t>
      </w:r>
    </w:p>
    <w:p>
      <w:pPr/>
      <w:r>
        <w:t>Defensible contributions include an auditable dual-λ ABFE pipeline; explicit IBS learning/freeze/production separation; local TMBAR covariance-chain analysis; non-mutating recovery; layered correctness/cost/dynamics/estimator/utility qualification; explicit separation of sampling-only and target-path semantics; and a MACE-informed DEXP single-system analytic-projection signal with universal and production claims withheld.</w:t>
      </w:r>
    </w:p>
    <w:p>
      <w:pPr/>
      <w:r>
        <w:t>Currently unsupported claims include a final trustworthy Atenolol ABFE, production promotion of the neural residual, universal DEXP superiority, validated full charged-ligand or membrane cycles, a general solution for membrane APBS/LRC, automatic compatibility of IBS v29 with all historical artifacts, Route-2 superiority over EDS/Route 1 before EXP-029, or neural-operator superiority before simpler spline/GP and EDS controls.</w:t>
      </w:r>
    </w:p>
    <w:p/>
    <w:p>
      <w:pPr/>
      <w:r>
        <w:t>7.9 Updated Resource Priorities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Priority</w:t>
            </w:r>
          </w:p>
        </w:tc>
        <w:tc>
          <w:tcPr>
            <w:tcW w:type="dxa" w:w="2769"/>
            <w:vAlign w:val="center"/>
          </w:tcPr>
          <w:p>
            <w:pPr/>
            <w:r>
              <w:rPr>
                <w:b/>
              </w:rPr>
              <w:t>Task</w:t>
            </w:r>
          </w:p>
        </w:tc>
        <w:tc>
          <w:tcPr>
            <w:tcW w:type="dxa" w:w="2769"/>
            <w:vAlign w:val="center"/>
          </w:tcPr>
          <w:p>
            <w:pPr/>
            <w:r>
              <w:rPr>
                <w:b/>
              </w:rPr>
              <w:t>Success criterion</w:t>
            </w:r>
          </w:p>
        </w:tc>
      </w:tr>
      <w:tr>
        <w:tc>
          <w:tcPr>
            <w:tcW w:type="dxa" w:w="2769"/>
            <w:vAlign w:val="center"/>
          </w:tcPr>
          <w:p>
            <w:pPr/>
            <w:r>
              <w:t>1</w:t>
            </w:r>
          </w:p>
        </w:tc>
        <w:tc>
          <w:tcPr>
            <w:tcW w:type="dxa" w:w="2769"/>
            <w:vAlign w:val="center"/>
          </w:tcPr>
          <w:p>
            <w:pPr/>
            <w:r>
              <w:t>Freeze environment/input/hash/seed manifest</w:t>
            </w:r>
          </w:p>
        </w:tc>
        <w:tc>
          <w:tcPr>
            <w:tcW w:type="dxa" w:w="2769"/>
            <w:vAlign w:val="center"/>
          </w:tcPr>
          <w:p>
            <w:pPr/>
            <w:r>
              <w:t>Reproduce from zero</w:t>
            </w:r>
          </w:p>
        </w:tc>
      </w:tr>
      <w:tr>
        <w:tc>
          <w:tcPr>
            <w:tcW w:type="dxa" w:w="2769"/>
            <w:vAlign w:val="center"/>
          </w:tcPr>
          <w:p>
            <w:pPr/>
            <w:r>
              <w:t>1</w:t>
            </w:r>
          </w:p>
        </w:tc>
        <w:tc>
          <w:tcPr>
            <w:tcW w:type="dxa" w:w="2769"/>
            <w:vAlign w:val="center"/>
          </w:tcPr>
          <w:p>
            <w:pPr/>
            <w:r>
              <w:t>Estimator-v2 Stage-1 reanalysis</w:t>
            </w:r>
          </w:p>
        </w:tc>
        <w:tc>
          <w:tcPr>
            <w:tcW w:type="dxa" w:w="2769"/>
            <w:vAlign w:val="center"/>
          </w:tcPr>
          <w:p>
            <w:pPr/>
            <w:r>
              <w:t>Source/analysis identity aligned</w:t>
            </w:r>
          </w:p>
        </w:tc>
      </w:tr>
      <w:tr>
        <w:tc>
          <w:tcPr>
            <w:tcW w:type="dxa" w:w="2769"/>
            <w:vAlign w:val="center"/>
          </w:tcPr>
          <w:p>
            <w:pPr/>
            <w:r>
              <w:t>1</w:t>
            </w:r>
          </w:p>
        </w:tc>
        <w:tc>
          <w:tcPr>
            <w:tcW w:type="dxa" w:w="2769"/>
            <w:vAlign w:val="center"/>
          </w:tcPr>
          <w:p>
            <w:pPr/>
            <w:r>
              <w:t>At least 2 new independent repeats, ideally 3+</w:t>
            </w:r>
          </w:p>
        </w:tc>
        <w:tc>
          <w:tcPr>
            <w:tcW w:type="dxa" w:w="2769"/>
            <w:vAlign w:val="center"/>
          </w:tcPr>
          <w:p>
            <w:pPr/>
            <w:r>
              <w:t>Between-run variance estimated</w:t>
            </w:r>
          </w:p>
        </w:tc>
      </w:tr>
      <w:tr>
        <w:tc>
          <w:tcPr>
            <w:tcW w:type="dxa" w:w="2769"/>
            <w:vAlign w:val="center"/>
          </w:tcPr>
          <w:p>
            <w:pPr/>
            <w:r>
              <w:t>1</w:t>
            </w:r>
          </w:p>
        </w:tc>
        <w:tc>
          <w:tcPr>
            <w:tcW w:type="dxa" w:w="2769"/>
            <w:vAlign w:val="center"/>
          </w:tcPr>
          <w:p>
            <w:pPr/>
            <w:r>
              <w:t>Moving-block/bootstrap</w:t>
            </w:r>
          </w:p>
        </w:tc>
        <w:tc>
          <w:tcPr>
            <w:tcW w:type="dxa" w:w="2769"/>
            <w:vAlign w:val="center"/>
          </w:tcPr>
          <w:p>
            <w:pPr/>
            <w:r>
              <w:t>Time-correlation uncertainty closed</w:t>
            </w:r>
          </w:p>
        </w:tc>
      </w:tr>
      <w:tr>
        <w:tc>
          <w:tcPr>
            <w:tcW w:type="dxa" w:w="2769"/>
            <w:vAlign w:val="center"/>
          </w:tcPr>
          <w:p>
            <w:pPr/>
            <w:r>
              <w:t>1</w:t>
            </w:r>
          </w:p>
        </w:tc>
        <w:tc>
          <w:tcPr>
            <w:tcW w:type="dxa" w:w="2769"/>
            <w:vAlign w:val="center"/>
          </w:tcPr>
          <w:p>
            <w:pPr/>
            <w:r>
              <w:t>Boresch unclipped/alternative-anchor sensitivity</w:t>
            </w:r>
          </w:p>
        </w:tc>
        <w:tc>
          <w:tcPr>
            <w:tcW w:type="dxa" w:w="2769"/>
            <w:vAlign w:val="center"/>
          </w:tcPr>
          <w:p>
            <w:pPr/>
            <w:r>
              <w:t>Restraint result stable</w:t>
            </w:r>
          </w:p>
        </w:tc>
      </w:tr>
      <w:tr>
        <w:tc>
          <w:tcPr>
            <w:tcW w:type="dxa" w:w="2769"/>
            <w:vAlign w:val="center"/>
          </w:tcPr>
          <w:p>
            <w:pPr/>
            <w:r>
              <w:t>2</w:t>
            </w:r>
          </w:p>
        </w:tc>
        <w:tc>
          <w:tcPr>
            <w:tcW w:type="dxa" w:w="2769"/>
            <w:vAlign w:val="center"/>
          </w:tcPr>
          <w:p>
            <w:pPr/>
            <w:r>
              <w:t>EXP-029: six windows × three paired repeats</w:t>
            </w:r>
          </w:p>
        </w:tc>
        <w:tc>
          <w:tcPr>
            <w:tcW w:type="dxa" w:w="2769"/>
            <w:vAlign w:val="center"/>
          </w:tcPr>
          <w:p>
            <w:pPr/>
            <w:r>
              <w:t>ΔG and ITT utility gates pass</w:t>
            </w:r>
          </w:p>
        </w:tc>
      </w:tr>
      <w:tr>
        <w:tc>
          <w:tcPr>
            <w:tcW w:type="dxa" w:w="2769"/>
            <w:vAlign w:val="center"/>
          </w:tcPr>
          <w:p>
            <w:pPr/>
            <w:r>
              <w:t>3</w:t>
            </w:r>
          </w:p>
        </w:tc>
        <w:tc>
          <w:tcPr>
            <w:tcW w:type="dxa" w:w="2769"/>
            <w:vAlign w:val="center"/>
          </w:tcPr>
          <w:p>
            <w:pPr/>
            <w:r>
              <w:t>Representation ablation</w:t>
            </w:r>
          </w:p>
        </w:tc>
        <w:tc>
          <w:tcPr>
            <w:tcW w:type="dxa" w:w="2769"/>
            <w:vAlign w:val="center"/>
          </w:tcPr>
          <w:p>
            <w:pPr/>
            <w:r>
              <w:t>Matched-budget held-out comparison</w:t>
            </w:r>
          </w:p>
        </w:tc>
      </w:tr>
      <w:tr>
        <w:tc>
          <w:tcPr>
            <w:tcW w:type="dxa" w:w="2769"/>
            <w:vAlign w:val="center"/>
          </w:tcPr>
          <w:p>
            <w:pPr/>
            <w:r>
              <w:t>4</w:t>
            </w:r>
          </w:p>
        </w:tc>
        <w:tc>
          <w:tcPr>
            <w:tcW w:type="dxa" w:w="2769"/>
            <w:vAlign w:val="center"/>
          </w:tcPr>
          <w:p>
            <w:pPr/>
            <w:r>
              <w:t>Route-1 pilot: original/TL/EDS/λ-EDS/learned paths</w:t>
            </w:r>
          </w:p>
        </w:tc>
        <w:tc>
          <w:tcPr>
            <w:tcW w:type="dxa" w:w="2769"/>
            <w:vAlign w:val="center"/>
          </w:tcPr>
          <w:p>
            <w:pPr/>
            <w:r>
              <w:t>Held-out path benefit</w:t>
            </w:r>
          </w:p>
        </w:tc>
      </w:tr>
      <w:tr>
        <w:tc>
          <w:tcPr>
            <w:tcW w:type="dxa" w:w="2769"/>
            <w:vAlign w:val="center"/>
          </w:tcPr>
          <w:p>
            <w:pPr/>
            <w:r>
              <w:t>5</w:t>
            </w:r>
          </w:p>
        </w:tc>
        <w:tc>
          <w:tcPr>
            <w:tcW w:type="dxa" w:w="2769"/>
            <w:vAlign w:val="center"/>
          </w:tcPr>
          <w:p>
            <w:pPr/>
            <w:r>
              <w:t>Charged/membrane full-cycle extensions</w:t>
            </w:r>
          </w:p>
        </w:tc>
        <w:tc>
          <w:tcPr>
            <w:tcW w:type="dxa" w:w="2769"/>
            <w:vAlign w:val="center"/>
          </w:tcPr>
          <w:p>
            <w:pPr/>
            <w:r>
              <w:t>Independent closure</w:t>
            </w:r>
          </w:p>
        </w:tc>
      </w:tr>
      <w:tr>
        <w:tc>
          <w:tcPr>
            <w:tcW w:type="dxa" w:w="2769"/>
            <w:vAlign w:val="center"/>
          </w:tcPr>
          <w:p>
            <w:pPr/>
            <w:r>
              <w:t>5</w:t>
            </w:r>
          </w:p>
        </w:tc>
        <w:tc>
          <w:tcPr>
            <w:tcW w:type="dxa" w:w="2769"/>
            <w:vAlign w:val="center"/>
          </w:tcPr>
          <w:p>
            <w:pPr/>
            <w:r>
              <w:t>8–15-system benchmark</w:t>
            </w:r>
          </w:p>
        </w:tc>
        <w:tc>
          <w:tcPr>
            <w:tcW w:type="dxa" w:w="2769"/>
            <w:vAlign w:val="center"/>
          </w:tcPr>
          <w:p>
            <w:pPr/>
            <w:r>
              <w:t>Accuracy, uncertainty, failures, GPU-hour across diverse systems</w:t>
            </w:r>
          </w:p>
        </w:tc>
      </w:tr>
    </w:tbl>
    <w:p/>
    <w:p>
      <w:pPr/>
      <w:r>
        <w:t>8 Final Chapter: Software, MACE, and the Local-Many-Body Residual</w:t>
      </w:r>
    </w:p>
    <w:p>
      <w:pPr/>
      <w:r>
        <w:t>This chapter keeps software/ML evidence separate from the physical target identity. Offline representation signal, software correctness, CUDA cost, long-run stability, and online scientific utility are treated as distinct qualification layers; success at one layer does not substitute for failure or missing evidence at the next.</w:t>
      </w:r>
    </w:p>
    <w:p/>
    <w:p>
      <w:pPr/>
      <w:r>
        <w:t>8.1 Software and Residual Functional Modules</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Module</w:t>
            </w:r>
          </w:p>
        </w:tc>
        <w:tc>
          <w:tcPr>
            <w:tcW w:type="dxa" w:w="2769"/>
            <w:vAlign w:val="center"/>
          </w:tcPr>
          <w:p>
            <w:pPr/>
            <w:r>
              <w:rPr>
                <w:b/>
              </w:rPr>
              <w:t>Function</w:t>
            </w:r>
          </w:p>
        </w:tc>
        <w:tc>
          <w:tcPr>
            <w:tcW w:type="dxa" w:w="2769"/>
            <w:vAlign w:val="center"/>
          </w:tcPr>
          <w:p>
            <w:pPr/>
            <w:r>
              <w:rPr>
                <w:b/>
              </w:rPr>
              <w:t>Current status</w:t>
            </w:r>
          </w:p>
        </w:tc>
      </w:tr>
      <w:tr>
        <w:tc>
          <w:tcPr>
            <w:tcW w:type="dxa" w:w="2769"/>
            <w:vAlign w:val="center"/>
          </w:tcPr>
          <w:p>
            <w:pPr/>
            <w:r>
              <w:t>MACE teacher</w:t>
            </w:r>
          </w:p>
        </w:tc>
        <w:tc>
          <w:tcPr>
            <w:tcW w:type="dxa" w:w="2769"/>
            <w:vAlign w:val="center"/>
          </w:tcPr>
          <w:p>
            <w:pPr/>
            <w:r>
              <w:t>Offline local energy/latent/force reference</w:t>
            </w:r>
          </w:p>
        </w:tc>
        <w:tc>
          <w:tcPr>
            <w:tcW w:type="dxa" w:w="2769"/>
            <w:vAlign w:val="center"/>
          </w:tcPr>
          <w:p>
            <w:pPr/>
            <w:r>
              <w:t>Offline only</w:t>
            </w:r>
          </w:p>
        </w:tc>
      </w:tr>
      <w:tr>
        <w:tc>
          <w:tcPr>
            <w:tcW w:type="dxa" w:w="2769"/>
            <w:vAlign w:val="center"/>
          </w:tcPr>
          <w:p>
            <w:pPr/>
            <w:r>
              <w:t>ORB teacher</w:t>
            </w:r>
          </w:p>
        </w:tc>
        <w:tc>
          <w:tcPr>
            <w:tcW w:type="dxa" w:w="2769"/>
            <w:vAlign w:val="center"/>
          </w:tcPr>
          <w:p>
            <w:pPr/>
            <w:r>
              <w:t>Graph representation and Boresch candidates</w:t>
            </w:r>
          </w:p>
        </w:tc>
        <w:tc>
          <w:tcPr>
            <w:tcW w:type="dxa" w:w="2769"/>
            <w:vAlign w:val="center"/>
          </w:tcPr>
          <w:p>
            <w:pPr/>
            <w:r>
              <w:t>Offline/teacher only</w:t>
            </w:r>
          </w:p>
        </w:tc>
      </w:tr>
      <w:tr>
        <w:tc>
          <w:tcPr>
            <w:tcW w:type="dxa" w:w="2769"/>
            <w:vAlign w:val="center"/>
          </w:tcPr>
          <w:p>
            <w:pPr/>
            <w:r>
              <w:t>Outer-λ controller</w:t>
            </w:r>
          </w:p>
        </w:tc>
        <w:tc>
          <w:tcPr>
            <w:tcW w:type="dxa" w:w="2769"/>
            <w:vAlign w:val="center"/>
          </w:tcPr>
          <w:p>
            <w:pPr/>
            <w:r>
              <w:t>Endpoint-zero λ-dependent coefficient</w:t>
            </w:r>
          </w:p>
        </w:tc>
        <w:tc>
          <w:tcPr>
            <w:tcW w:type="dxa" w:w="2769"/>
            <w:vAlign w:val="center"/>
          </w:tcPr>
          <w:p>
            <w:pPr/>
            <w:r>
              <w:t>Independent harness</w:t>
            </w:r>
          </w:p>
        </w:tc>
      </w:tr>
      <w:tr>
        <w:tc>
          <w:tcPr>
            <w:tcW w:type="dxa" w:w="2769"/>
            <w:vAlign w:val="center"/>
          </w:tcPr>
          <w:p>
            <w:pPr/>
            <w:r>
              <w:t>LocalResidualStudent</w:t>
            </w:r>
          </w:p>
        </w:tc>
        <w:tc>
          <w:tcPr>
            <w:tcW w:type="dxa" w:w="2769"/>
            <w:vAlign w:val="center"/>
          </w:tcPr>
          <w:p>
            <w:pPr/>
            <w:r>
              <w:t>Local many-body residual/gap</w:t>
            </w:r>
          </w:p>
        </w:tc>
        <w:tc>
          <w:tcPr>
            <w:tcW w:type="dxa" w:w="2769"/>
            <w:vAlign w:val="center"/>
          </w:tcPr>
          <w:p>
            <w:pPr/>
            <w:r>
              <w:t>Offline signal positive</w:t>
            </w:r>
          </w:p>
        </w:tc>
      </w:tr>
      <w:tr>
        <w:tc>
          <w:tcPr>
            <w:tcW w:type="dxa" w:w="2769"/>
            <w:vAlign w:val="center"/>
          </w:tcPr>
          <w:p>
            <w:pPr/>
            <w:r>
              <w:t>TorchForce deployment</w:t>
            </w:r>
          </w:p>
        </w:tc>
        <w:tc>
          <w:tcPr>
            <w:tcW w:type="dxa" w:w="2769"/>
            <w:vAlign w:val="center"/>
          </w:tcPr>
          <w:p>
            <w:pPr/>
            <w:r>
              <w:t>Neural energy/force each step</w:t>
            </w:r>
          </w:p>
        </w:tc>
        <w:tc>
          <w:tcPr>
            <w:tcW w:type="dxa" w:w="2769"/>
            <w:vAlign w:val="center"/>
          </w:tcPr>
          <w:p>
            <w:pPr/>
            <w:r>
              <w:t>Cost-stopped</w:t>
            </w:r>
          </w:p>
        </w:tc>
      </w:tr>
      <w:tr>
        <w:tc>
          <w:tcPr>
            <w:tcW w:type="dxa" w:w="2769"/>
            <w:vAlign w:val="center"/>
          </w:tcPr>
          <w:p>
            <w:pPr/>
            <w:r>
              <w:t>MTS deployment</w:t>
            </w:r>
          </w:p>
        </w:tc>
        <w:tc>
          <w:tcPr>
            <w:tcW w:type="dxa" w:w="2769"/>
            <w:vAlign w:val="center"/>
          </w:tcPr>
          <w:p>
            <w:pPr/>
            <w:r>
              <w:t>Low-frequency residual-force update</w:t>
            </w:r>
          </w:p>
        </w:tc>
        <w:tc>
          <w:tcPr>
            <w:tcW w:type="dxa" w:w="2769"/>
            <w:vAlign w:val="center"/>
          </w:tcPr>
          <w:p>
            <w:pPr/>
            <w:r>
              <w:t>Physics/ESS-stopped</w:t>
            </w:r>
          </w:p>
        </w:tc>
      </w:tr>
      <w:tr>
        <w:tc>
          <w:tcPr>
            <w:tcW w:type="dxa" w:w="2769"/>
            <w:vAlign w:val="center"/>
          </w:tcPr>
          <w:p>
            <w:pPr/>
            <w:r>
              <w:t>grouped-density / SoftLift</w:t>
            </w:r>
          </w:p>
        </w:tc>
        <w:tc>
          <w:tcPr>
            <w:tcW w:type="dxa" w:w="2769"/>
            <w:vAlign w:val="center"/>
          </w:tcPr>
          <w:p>
            <w:pPr/>
            <w:r>
              <w:t>Compressed local representation</w:t>
            </w:r>
          </w:p>
        </w:tc>
        <w:tc>
          <w:tcPr>
            <w:tcW w:type="dxa" w:w="2769"/>
            <w:vAlign w:val="center"/>
          </w:tcPr>
          <w:p>
            <w:pPr/>
            <w:r>
              <w:t>Offline positive or cost-stopped</w:t>
            </w:r>
          </w:p>
        </w:tc>
      </w:tr>
      <w:tr>
        <w:tc>
          <w:tcPr>
            <w:tcW w:type="dxa" w:w="2769"/>
            <w:vAlign w:val="center"/>
          </w:tcPr>
          <w:p>
            <w:pPr/>
            <w:r>
              <w:t>EXP-025/026 CUDA backend</w:t>
            </w:r>
          </w:p>
        </w:tc>
        <w:tc>
          <w:tcPr>
            <w:tcW w:type="dxa" w:w="2769"/>
            <w:vAlign w:val="center"/>
          </w:tcPr>
          <w:p>
            <w:pPr/>
            <w:r>
              <w:t>Dedicated local residual kernel</w:t>
            </w:r>
          </w:p>
        </w:tc>
        <w:tc>
          <w:tcPr>
            <w:tcW w:type="dxa" w:w="2769"/>
            <w:vAlign w:val="center"/>
          </w:tcPr>
          <w:p>
            <w:pPr/>
            <w:r>
              <w:t>Scoped correctness/cost qualified</w:t>
            </w:r>
          </w:p>
        </w:tc>
      </w:tr>
      <w:tr>
        <w:tc>
          <w:tcPr>
            <w:tcW w:type="dxa" w:w="2769"/>
            <w:vAlign w:val="center"/>
          </w:tcPr>
          <w:p>
            <w:pPr/>
            <w:r>
              <w:t>EXP-027 U3/U4</w:t>
            </w:r>
          </w:p>
        </w:tc>
        <w:tc>
          <w:tcPr>
            <w:tcW w:type="dxa" w:w="2769"/>
            <w:vAlign w:val="center"/>
          </w:tcPr>
          <w:p>
            <w:pPr/>
            <w:r>
              <w:t>Online utility stress test</w:t>
            </w:r>
          </w:p>
        </w:tc>
        <w:tc>
          <w:tcPr>
            <w:tcW w:type="dxa" w:w="2769"/>
            <w:vAlign w:val="center"/>
          </w:tcPr>
          <w:p>
            <w:pPr/>
            <w:r>
              <w:t>U3 signal; U4 invalid for promotion</w:t>
            </w:r>
          </w:p>
        </w:tc>
      </w:tr>
      <w:tr>
        <w:tc>
          <w:tcPr>
            <w:tcW w:type="dxa" w:w="2769"/>
            <w:vAlign w:val="center"/>
          </w:tcPr>
          <w:p>
            <w:pPr/>
            <w:r>
              <w:t>EXP-029</w:t>
            </w:r>
          </w:p>
        </w:tc>
        <w:tc>
          <w:tcPr>
            <w:tcW w:type="dxa" w:w="2769"/>
            <w:vAlign w:val="center"/>
          </w:tcPr>
          <w:p>
            <w:pPr/>
            <w:r>
              <w:t>Per-arm calibration + six-window paired utility</w:t>
            </w:r>
          </w:p>
        </w:tc>
        <w:tc>
          <w:tcPr>
            <w:tcW w:type="dxa" w:w="2769"/>
            <w:vAlign w:val="center"/>
          </w:tcPr>
          <w:p>
            <w:pPr/>
            <w:r>
              <w:t>Authorized; not started</w:t>
            </w:r>
          </w:p>
        </w:tc>
      </w:tr>
      <w:tr>
        <w:tc>
          <w:tcPr>
            <w:tcW w:type="dxa" w:w="2769"/>
            <w:vAlign w:val="center"/>
          </w:tcPr>
          <w:p>
            <w:pPr/>
            <w:r>
              <w:t>EXP-030</w:t>
            </w:r>
          </w:p>
        </w:tc>
        <w:tc>
          <w:tcPr>
            <w:tcW w:type="dxa" w:w="2769"/>
            <w:vAlign w:val="center"/>
          </w:tcPr>
          <w:p>
            <w:pPr/>
            <w:r>
              <w:t>Frozen state-conditioned score</w:t>
            </w:r>
          </w:p>
        </w:tc>
        <w:tc>
          <w:tcPr>
            <w:tcW w:type="dxa" w:w="2769"/>
            <w:vAlign w:val="center"/>
          </w:tcPr>
          <w:p>
            <w:pPr/>
            <w:r>
              <w:t>Design draft</w:t>
            </w:r>
          </w:p>
        </w:tc>
      </w:tr>
      <w:tr>
        <w:tc>
          <w:tcPr>
            <w:tcW w:type="dxa" w:w="2769"/>
            <w:vAlign w:val="center"/>
          </w:tcPr>
          <w:p>
            <w:pPr/>
            <w:r>
              <w:t>production pipeline wiring</w:t>
            </w:r>
          </w:p>
        </w:tc>
        <w:tc>
          <w:tcPr>
            <w:tcW w:type="dxa" w:w="2769"/>
            <w:vAlign w:val="center"/>
          </w:tcPr>
          <w:p>
            <w:pPr/>
            <w:r>
              <w:t>Pass residual into formal runabfe Stage 2</w:t>
            </w:r>
          </w:p>
        </w:tc>
        <w:tc>
          <w:tcPr>
            <w:tcW w:type="dxa" w:w="2769"/>
            <w:vAlign w:val="center"/>
          </w:tcPr>
          <w:p>
            <w:pPr/>
            <w:r>
              <w:t>Not wired</w:t>
            </w:r>
          </w:p>
        </w:tc>
      </w:tr>
    </w:tbl>
    <w:p/>
    <w:p>
      <w:pPr/>
      <w:r>
        <w:t>8.2 Experiment Status Summary</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Experiment</w:t>
            </w:r>
          </w:p>
        </w:tc>
        <w:tc>
          <w:tcPr>
            <w:tcW w:type="dxa" w:w="2769"/>
            <w:vAlign w:val="center"/>
          </w:tcPr>
          <w:p>
            <w:pPr/>
            <w:r>
              <w:rPr>
                <w:b/>
              </w:rPr>
              <w:t>Key result</w:t>
            </w:r>
          </w:p>
        </w:tc>
        <w:tc>
          <w:tcPr>
            <w:tcW w:type="dxa" w:w="2769"/>
            <w:vAlign w:val="center"/>
          </w:tcPr>
          <w:p>
            <w:pPr/>
            <w:r>
              <w:rPr>
                <w:b/>
              </w:rPr>
              <w:t>Verdict</w:t>
            </w:r>
          </w:p>
        </w:tc>
      </w:tr>
      <w:tr>
        <w:tc>
          <w:tcPr>
            <w:tcW w:type="dxa" w:w="2769"/>
            <w:vAlign w:val="center"/>
          </w:tcPr>
          <w:p>
            <w:pPr/>
            <w:r>
              <w:t>EXP-006/007</w:t>
            </w:r>
          </w:p>
        </w:tc>
        <w:tc>
          <w:tcPr>
            <w:tcW w:type="dxa" w:w="2769"/>
            <w:vAlign w:val="center"/>
          </w:tcPr>
          <w:p>
            <w:pPr/>
            <w:r>
              <w:t>Path-force gate failed then coefficient 0.09 passed six checks</w:t>
            </w:r>
          </w:p>
        </w:tc>
        <w:tc>
          <w:tcPr>
            <w:tcW w:type="dxa" w:w="2769"/>
            <w:vAlign w:val="center"/>
          </w:tcPr>
          <w:p>
            <w:pPr/>
            <w:r>
              <w:t>Offline teacher only</w:t>
            </w:r>
          </w:p>
        </w:tc>
      </w:tr>
      <w:tr>
        <w:tc>
          <w:tcPr>
            <w:tcW w:type="dxa" w:w="2769"/>
            <w:vAlign w:val="center"/>
          </w:tcPr>
          <w:p>
            <w:pPr/>
            <w:r>
              <w:t>EXP-009</w:t>
            </w:r>
          </w:p>
        </w:tc>
        <w:tc>
          <w:tcPr>
            <w:tcW w:type="dxa" w:w="2769"/>
            <w:vAlign w:val="center"/>
          </w:tcPr>
          <w:p>
            <w:pPr/>
            <w:r>
              <w:t>N=1 CUDA_ERROR_INVALID_HANDLE</w:t>
            </w:r>
          </w:p>
        </w:tc>
        <w:tc>
          <w:tcPr>
            <w:tcW w:type="dxa" w:w="2769"/>
            <w:vAlign w:val="center"/>
          </w:tcPr>
          <w:p>
            <w:pPr/>
            <w:r>
              <w:t>Direct MACE-MTS stopped</w:t>
            </w:r>
          </w:p>
        </w:tc>
      </w:tr>
      <w:tr>
        <w:tc>
          <w:tcPr>
            <w:tcW w:type="dxa" w:w="2769"/>
            <w:vAlign w:val="center"/>
          </w:tcPr>
          <w:p>
            <w:pPr/>
            <w:r>
              <w:t>EXP-010/011</w:t>
            </w:r>
          </w:p>
        </w:tc>
        <w:tc>
          <w:tcPr>
            <w:tcW w:type="dxa" w:w="2769"/>
            <w:vAlign w:val="center"/>
          </w:tcPr>
          <w:p>
            <w:pPr/>
            <w:r>
              <w:t>Torsion target failed; PMF stopped on overlap/decorrelation</w:t>
            </w:r>
          </w:p>
        </w:tc>
        <w:tc>
          <w:tcPr>
            <w:tcW w:type="dxa" w:w="2769"/>
            <w:vAlign w:val="center"/>
          </w:tcPr>
          <w:p>
            <w:pPr/>
            <w:r>
              <w:t>Closed as specific target route</w:t>
            </w:r>
          </w:p>
        </w:tc>
      </w:tr>
      <w:tr>
        <w:tc>
          <w:tcPr>
            <w:tcW w:type="dxa" w:w="2769"/>
            <w:vAlign w:val="center"/>
          </w:tcPr>
          <w:p>
            <w:pPr/>
            <w:r>
              <w:t>EXP-012/013</w:t>
            </w:r>
          </w:p>
        </w:tc>
        <w:tc>
          <w:tcPr>
            <w:tcW w:type="dxa" w:w="2769"/>
            <w:vAlign w:val="center"/>
          </w:tcPr>
          <w:p>
            <w:pPr/>
            <w:r>
              <w:t>Offline +13.93%; online 1.81–1.89×; ESS/GPU-hour 932→218</w:t>
            </w:r>
          </w:p>
        </w:tc>
        <w:tc>
          <w:tcPr>
            <w:tcW w:type="dxa" w:w="2769"/>
            <w:vAlign w:val="center"/>
          </w:tcPr>
          <w:p>
            <w:pPr/>
            <w:r>
              <w:t>Generic TorchForce/MTS no production benefit</w:t>
            </w:r>
          </w:p>
        </w:tc>
      </w:tr>
      <w:tr>
        <w:tc>
          <w:tcPr>
            <w:tcW w:type="dxa" w:w="2769"/>
            <w:vAlign w:val="center"/>
          </w:tcPr>
          <w:p>
            <w:pPr/>
            <w:r>
              <w:t>EXP-016–019</w:t>
            </w:r>
          </w:p>
        </w:tc>
        <w:tc>
          <w:tcPr>
            <w:tcW w:type="dxa" w:w="2769"/>
            <w:vAlign w:val="center"/>
          </w:tcPr>
          <w:p>
            <w:pPr/>
            <w:r>
              <w:t>Surrogate/inconclusive/reproducibility failures</w:t>
            </w:r>
          </w:p>
        </w:tc>
        <w:tc>
          <w:tcPr>
            <w:tcW w:type="dxa" w:w="2769"/>
            <w:vAlign w:val="center"/>
          </w:tcPr>
          <w:p>
            <w:pPr/>
            <w:r>
              <w:t>No promotion</w:t>
            </w:r>
          </w:p>
        </w:tc>
      </w:tr>
      <w:tr>
        <w:tc>
          <w:tcPr>
            <w:tcW w:type="dxa" w:w="2769"/>
            <w:vAlign w:val="center"/>
          </w:tcPr>
          <w:p>
            <w:pPr/>
            <w:r>
              <w:t>EXP-020</w:t>
            </w:r>
          </w:p>
        </w:tc>
        <w:tc>
          <w:tcPr>
            <w:tcW w:type="dxa" w:w="2769"/>
            <w:vAlign w:val="center"/>
          </w:tcPr>
          <w:p>
            <w:pPr/>
            <w:r>
              <w:t>55.5524% mean fold-median gap-variance improvement; 9/9 checkpoints</w:t>
            </w:r>
          </w:p>
        </w:tc>
        <w:tc>
          <w:tcPr>
            <w:tcW w:type="dxa" w:w="2769"/>
            <w:vAlign w:val="center"/>
          </w:tcPr>
          <w:p>
            <w:pPr/>
            <w:r>
              <w:t>Representation signal qualified</w:t>
            </w:r>
          </w:p>
        </w:tc>
      </w:tr>
      <w:tr>
        <w:tc>
          <w:tcPr>
            <w:tcW w:type="dxa" w:w="2769"/>
            <w:vAlign w:val="center"/>
          </w:tcPr>
          <w:p>
            <w:pPr/>
            <w:r>
              <w:t>EXP-021</w:t>
            </w:r>
          </w:p>
        </w:tc>
        <w:tc>
          <w:tcPr>
            <w:tcW w:type="dxa" w:w="2769"/>
            <w:vAlign w:val="center"/>
          </w:tcPr>
          <w:p>
            <w:pPr/>
            <w:r>
              <w:t>Median cost 1.107419×, P95 1.114105×</w:t>
            </w:r>
          </w:p>
        </w:tc>
        <w:tc>
          <w:tcPr>
            <w:tcW w:type="dxa" w:w="2769"/>
            <w:vAlign w:val="center"/>
          </w:tcPr>
          <w:p>
            <w:pPr/>
            <w:r>
              <w:t>Native density stopped</w:t>
            </w:r>
          </w:p>
        </w:tc>
      </w:tr>
      <w:tr>
        <w:tc>
          <w:tcPr>
            <w:tcW w:type="dxa" w:w="2769"/>
            <w:vAlign w:val="center"/>
          </w:tcPr>
          <w:p>
            <w:pPr/>
            <w:r>
              <w:t>EXP-025 G4</w:t>
            </w:r>
          </w:p>
        </w:tc>
        <w:tc>
          <w:tcPr>
            <w:tcW w:type="dxa" w:w="2769"/>
            <w:vAlign w:val="center"/>
          </w:tcPr>
          <w:p>
            <w:pPr/>
            <w:r>
              <w:t>Correctness passed; cost 1.123398×, P95 1.132172×</w:t>
            </w:r>
          </w:p>
        </w:tc>
        <w:tc>
          <w:tcPr>
            <w:tcW w:type="dxa" w:w="2769"/>
            <w:vAlign w:val="center"/>
          </w:tcPr>
          <w:p>
            <w:pPr/>
            <w:r>
              <w:t>Runtime backend cost-failed</w:t>
            </w:r>
          </w:p>
        </w:tc>
      </w:tr>
      <w:tr>
        <w:tc>
          <w:tcPr>
            <w:tcW w:type="dxa" w:w="2769"/>
            <w:vAlign w:val="center"/>
          </w:tcPr>
          <w:p>
            <w:pPr/>
            <w:r>
              <w:t>EXP-026 A2</w:t>
            </w:r>
          </w:p>
        </w:tc>
        <w:tc>
          <w:tcPr>
            <w:tcW w:type="dxa" w:w="2769"/>
            <w:vAlign w:val="center"/>
          </w:tcPr>
          <w:p>
            <w:pPr/>
            <w:r>
              <w:t>Median 1.03206×, P95 1.03665×</w:t>
            </w:r>
          </w:p>
        </w:tc>
        <w:tc>
          <w:tcPr>
            <w:tcW w:type="dxa" w:w="2769"/>
            <w:vAlign w:val="center"/>
          </w:tcPr>
          <w:p>
            <w:pPr/>
            <w:r>
              <w:t>Dedicated backend cost qualified</w:t>
            </w:r>
          </w:p>
        </w:tc>
      </w:tr>
      <w:tr>
        <w:tc>
          <w:tcPr>
            <w:tcW w:type="dxa" w:w="2769"/>
            <w:vAlign w:val="center"/>
          </w:tcPr>
          <w:p>
            <w:pPr/>
            <w:r>
              <w:t>EXP-028</w:t>
            </w:r>
          </w:p>
        </w:tc>
        <w:tc>
          <w:tcPr>
            <w:tcW w:type="dxa" w:w="2769"/>
            <w:vAlign w:val="center"/>
          </w:tcPr>
          <w:p>
            <w:pPr/>
            <w:r>
              <w:t>Long-run addArg growth fixed; stability ratio 1.033</w:t>
            </w:r>
          </w:p>
        </w:tc>
        <w:tc>
          <w:tcPr>
            <w:tcW w:type="dxa" w:w="2769"/>
            <w:vAlign w:val="center"/>
          </w:tcPr>
          <w:p>
            <w:pPr/>
            <w:r>
              <w:t>Fixed and validated</w:t>
            </w:r>
          </w:p>
        </w:tc>
      </w:tr>
      <w:tr>
        <w:tc>
          <w:tcPr>
            <w:tcW w:type="dxa" w:w="2769"/>
            <w:vAlign w:val="center"/>
          </w:tcPr>
          <w:p>
            <w:pPr/>
            <w:r>
              <w:t>EXP-027 U3</w:t>
            </w:r>
          </w:p>
        </w:tc>
        <w:tc>
          <w:tcPr>
            <w:tcW w:type="dxa" w:w="2769"/>
            <w:vAlign w:val="center"/>
          </w:tcPr>
          <w:p>
            <w:pPr/>
            <w:r>
              <w:t>2/3 positive; median +49.4%</w:t>
            </w:r>
          </w:p>
        </w:tc>
        <w:tc>
          <w:tcPr>
            <w:tcW w:type="dxa" w:w="2769"/>
            <w:vAlign w:val="center"/>
          </w:tcPr>
          <w:p>
            <w:pPr/>
            <w:r>
              <w:t>Positive stress-test signal only</w:t>
            </w:r>
          </w:p>
        </w:tc>
      </w:tr>
      <w:tr>
        <w:tc>
          <w:tcPr>
            <w:tcW w:type="dxa" w:w="2769"/>
            <w:vAlign w:val="center"/>
          </w:tcPr>
          <w:p>
            <w:pPr/>
            <w:r>
              <w:t>EXP-027 U4</w:t>
            </w:r>
          </w:p>
        </w:tc>
        <w:tc>
          <w:tcPr>
            <w:tcW w:type="dxa" w:w="2769"/>
            <w:vAlign w:val="center"/>
          </w:tcPr>
          <w:p>
            <w:pPr/>
            <w:r>
              <w:t>Candidate reused baseline f_k</w:t>
            </w:r>
          </w:p>
        </w:tc>
        <w:tc>
          <w:tcPr>
            <w:tcW w:type="dxa" w:w="2769"/>
            <w:vAlign w:val="center"/>
          </w:tcPr>
          <w:p>
            <w:pPr/>
            <w:r>
              <w:t>INVALID_FOR_PROMOTION</w:t>
            </w:r>
          </w:p>
        </w:tc>
      </w:tr>
      <w:tr>
        <w:tc>
          <w:tcPr>
            <w:tcW w:type="dxa" w:w="2769"/>
            <w:vAlign w:val="center"/>
          </w:tcPr>
          <w:p>
            <w:pPr/>
            <w:r>
              <w:t>EXP-029</w:t>
            </w:r>
          </w:p>
        </w:tc>
        <w:tc>
          <w:tcPr>
            <w:tcW w:type="dxa" w:w="2769"/>
            <w:vAlign w:val="center"/>
          </w:tcPr>
          <w:p>
            <w:pPr/>
            <w:r>
              <w:t>Per-arm calibration, 6 windows, 3 paired repeats</w:t>
            </w:r>
          </w:p>
        </w:tc>
        <w:tc>
          <w:tcPr>
            <w:tcW w:type="dxa" w:w="2769"/>
            <w:vAlign w:val="center"/>
          </w:tcPr>
          <w:p>
            <w:pPr/>
            <w:r>
              <w:t>Authorized; not started</w:t>
            </w:r>
          </w:p>
        </w:tc>
      </w:tr>
      <w:tr>
        <w:tc>
          <w:tcPr>
            <w:tcW w:type="dxa" w:w="2769"/>
            <w:vAlign w:val="center"/>
          </w:tcPr>
          <w:p>
            <w:pPr/>
            <w:r>
              <w:t>ORB-001/003</w:t>
            </w:r>
          </w:p>
        </w:tc>
        <w:tc>
          <w:tcPr>
            <w:tcW w:type="dxa" w:w="2769"/>
            <w:vAlign w:val="center"/>
          </w:tcPr>
          <w:p>
            <w:pPr/>
            <w:r>
              <w:t>Offline mean ~39.7%; online scalar increment 77.622 ms (~388× budget)</w:t>
            </w:r>
          </w:p>
        </w:tc>
        <w:tc>
          <w:tcPr>
            <w:tcW w:type="dxa" w:w="2769"/>
            <w:vAlign w:val="center"/>
          </w:tcPr>
          <w:p>
            <w:pPr/>
            <w:r>
              <w:t>ORB offline teacher only</w:t>
            </w:r>
          </w:p>
        </w:tc>
      </w:tr>
    </w:tbl>
    <w:p/>
    <w:p>
      <w:pPr/>
      <w:r>
        <w:t>8.3 Why the Local Many-Body Residual Remains Interesting</w:t>
      </w:r>
    </w:p>
    <w:p>
      <w:pPr/>
      <w:r>
        <w:t>The grouped-density R1 representation does not predict the full potential. It collects local ligand–environment edges around 41 ligand anchors, expands them in 16 radial bases with atom-type weights, performs an anchor-wise nonlinear readout, and aggregates a bounded residual basis. Its many-body character follows from the non-commutation of aggregation and nonlinearity: ρ(Σ_j φ(r_ij)) ≠ Σ_j ρ(φ(r_ij)).</w:t>
      </w:r>
    </w:p>
    <w:tbl>
      <w:tblPr>
        <w:tblStyle w:val="af"/>
        <w:tblW w:type="auto" w:w="0"/>
        <w:jc w:val="center"/>
        <w:tblLayout w:type="autofit"/>
        <w:tblLook w:firstColumn="1" w:firstRow="1" w:lastColumn="0" w:lastRow="0" w:noHBand="0" w:noVBand="1" w:val="04A0"/>
      </w:tblPr>
      <w:tblGrid>
        <w:gridCol w:w="4153"/>
        <w:gridCol w:w="4153"/>
      </w:tblGrid>
      <w:tr>
        <w:tc>
          <w:tcPr>
            <w:tcW w:type="dxa" w:w="4153"/>
            <w:vAlign w:val="center"/>
          </w:tcPr>
          <w:p>
            <w:pPr/>
            <w:r>
              <w:rPr>
                <w:b/>
              </w:rPr>
              <w:t>EXP-020 qualification item</w:t>
            </w:r>
          </w:p>
        </w:tc>
        <w:tc>
          <w:tcPr>
            <w:tcW w:type="dxa" w:w="4153"/>
            <w:vAlign w:val="center"/>
          </w:tcPr>
          <w:p>
            <w:pPr/>
            <w:r>
              <w:rPr>
                <w:b/>
              </w:rPr>
              <w:t>Result</w:t>
            </w:r>
          </w:p>
        </w:tc>
      </w:tr>
      <w:tr>
        <w:tc>
          <w:tcPr>
            <w:tcW w:type="dxa" w:w="4153"/>
            <w:vAlign w:val="center"/>
          </w:tcPr>
          <w:p>
            <w:pPr/>
            <w:r>
              <w:t>folds × seeds</w:t>
            </w:r>
          </w:p>
        </w:tc>
        <w:tc>
          <w:tcPr>
            <w:tcW w:type="dxa" w:w="4153"/>
            <w:vAlign w:val="center"/>
          </w:tcPr>
          <w:p>
            <w:pPr/>
            <w:r>
              <w:t>3 × 3</w:t>
            </w:r>
          </w:p>
        </w:tc>
      </w:tr>
      <w:tr>
        <w:tc>
          <w:tcPr>
            <w:tcW w:type="dxa" w:w="4153"/>
            <w:vAlign w:val="center"/>
          </w:tcPr>
          <w:p>
            <w:pPr/>
            <w:r>
              <w:t>checkpoints</w:t>
            </w:r>
          </w:p>
        </w:tc>
        <w:tc>
          <w:tcPr>
            <w:tcW w:type="dxa" w:w="4153"/>
            <w:vAlign w:val="center"/>
          </w:tcPr>
          <w:p>
            <w:pPr/>
            <w:r>
              <w:t>9/9</w:t>
            </w:r>
          </w:p>
        </w:tc>
      </w:tr>
      <w:tr>
        <w:tc>
          <w:tcPr>
            <w:tcW w:type="dxa" w:w="4153"/>
            <w:vAlign w:val="center"/>
          </w:tcPr>
          <w:p>
            <w:pPr/>
            <w:r>
              <w:t>mean fold-median gap-variance improvement</w:t>
            </w:r>
          </w:p>
        </w:tc>
        <w:tc>
          <w:tcPr>
            <w:tcW w:type="dxa" w:w="4153"/>
            <w:vAlign w:val="center"/>
          </w:tcPr>
          <w:p>
            <w:pPr/>
            <w:r>
              <w:t>55.5524%</w:t>
            </w:r>
          </w:p>
        </w:tc>
      </w:tr>
      <w:tr>
        <w:tc>
          <w:tcPr>
            <w:tcW w:type="dxa" w:w="4153"/>
            <w:vAlign w:val="center"/>
          </w:tcPr>
          <w:p>
            <w:pPr/>
            <w:r>
              <w:t>finite-difference absolute error</w:t>
            </w:r>
          </w:p>
        </w:tc>
        <w:tc>
          <w:tcPr>
            <w:tcW w:type="dxa" w:w="4153"/>
            <w:vAlign w:val="center"/>
          </w:tcPr>
          <w:p>
            <w:pPr/>
            <w:r>
              <w:t>4.5321×10⁻10</w:t>
            </w:r>
          </w:p>
        </w:tc>
      </w:tr>
      <w:tr>
        <w:tc>
          <w:tcPr>
            <w:tcW w:type="dxa" w:w="4153"/>
            <w:vAlign w:val="center"/>
          </w:tcPr>
          <w:p>
            <w:pPr/>
            <w:r>
              <w:t>finite-difference relative error</w:t>
            </w:r>
          </w:p>
        </w:tc>
        <w:tc>
          <w:tcPr>
            <w:tcW w:type="dxa" w:w="4153"/>
            <w:vAlign w:val="center"/>
          </w:tcPr>
          <w:p>
            <w:pPr/>
            <w:r>
              <w:t>2.6301×10⁻9</w:t>
            </w:r>
          </w:p>
        </w:tc>
      </w:tr>
      <w:tr>
        <w:tc>
          <w:tcPr>
            <w:tcW w:type="dxa" w:w="4153"/>
            <w:vAlign w:val="center"/>
          </w:tcPr>
          <w:p>
            <w:pPr/>
            <w:r>
              <w:t>nonparticipant force</w:t>
            </w:r>
          </w:p>
        </w:tc>
        <w:tc>
          <w:tcPr>
            <w:tcW w:type="dxa" w:w="4153"/>
            <w:vAlign w:val="center"/>
          </w:tcPr>
          <w:p>
            <w:pPr/>
            <w:r>
              <w:t>0</w:t>
            </w:r>
          </w:p>
        </w:tc>
      </w:tr>
      <w:tr>
        <w:tc>
          <w:tcPr>
            <w:tcW w:type="dxa" w:w="4153"/>
            <w:vAlign w:val="center"/>
          </w:tcPr>
          <w:p>
            <w:pPr/>
            <w:r>
              <w:t>maximum invariance error</w:t>
            </w:r>
          </w:p>
        </w:tc>
        <w:tc>
          <w:tcPr>
            <w:tcW w:type="dxa" w:w="4153"/>
            <w:vAlign w:val="center"/>
          </w:tcPr>
          <w:p>
            <w:pPr/>
            <w:r>
              <w:t>2.6021×10⁻18</w:t>
            </w:r>
          </w:p>
        </w:tc>
      </w:tr>
      <w:tr>
        <w:tc>
          <w:tcPr>
            <w:tcW w:type="dxa" w:w="4153"/>
            <w:vAlign w:val="center"/>
          </w:tcPr>
          <w:p>
            <w:pPr/>
            <w:r>
              <w:t>CPU64 reference/export</w:t>
            </w:r>
          </w:p>
        </w:tc>
        <w:tc>
          <w:tcPr>
            <w:tcW w:type="dxa" w:w="4153"/>
            <w:vAlign w:val="center"/>
          </w:tcPr>
          <w:p>
            <w:pPr/>
            <w:r>
              <w:t>true</w:t>
            </w:r>
          </w:p>
        </w:tc>
      </w:tr>
    </w:tbl>
    <w:p>
      <w:pPr/>
      <w:r>
        <w:t>This establishes a strong held-out representation signal and supports the hypothesis that a purely pair-additive global representation was a bottleneck. It does not establish online utility.</w:t>
      </w:r>
    </w:p>
    <w:p/>
    <w:p>
      <w:pPr/>
      <w:r>
        <w:t>8.4 Cost Qualification: Why a Dedicated CUDA Backend Was Needed</w:t>
      </w:r>
    </w:p>
    <w:tbl>
      <w:tblPr>
        <w:tblStyle w:val="af"/>
        <w:tblW w:type="auto" w:w="0"/>
        <w:jc w:val="center"/>
        <w:tblLayout w:type="autofit"/>
        <w:tblLook w:firstColumn="1" w:firstRow="1" w:lastColumn="0" w:lastRow="0" w:noHBand="0" w:noVBand="1" w:val="04A0"/>
      </w:tblPr>
      <w:tblGrid>
        <w:gridCol w:w="2769"/>
        <w:gridCol w:w="2769"/>
        <w:gridCol w:w="2769"/>
      </w:tblGrid>
      <w:tr>
        <w:tc>
          <w:tcPr>
            <w:tcW w:type="dxa" w:w="2769"/>
            <w:vAlign w:val="center"/>
          </w:tcPr>
          <w:p>
            <w:pPr/>
            <w:r>
              <w:rPr>
                <w:b/>
              </w:rPr>
              <w:t>Backend</w:t>
            </w:r>
          </w:p>
        </w:tc>
        <w:tc>
          <w:tcPr>
            <w:tcW w:type="dxa" w:w="2769"/>
            <w:vAlign w:val="center"/>
          </w:tcPr>
          <w:p>
            <w:pPr/>
            <w:r>
              <w:rPr>
                <w:b/>
              </w:rPr>
              <w:t>Cost ratio</w:t>
            </w:r>
          </w:p>
        </w:tc>
        <w:tc>
          <w:tcPr>
            <w:tcW w:type="dxa" w:w="2769"/>
            <w:vAlign w:val="center"/>
          </w:tcPr>
          <w:p>
            <w:pPr/>
            <w:r>
              <w:rPr>
                <w:b/>
              </w:rPr>
              <w:t>Decision</w:t>
            </w:r>
          </w:p>
        </w:tc>
      </w:tr>
      <w:tr>
        <w:tc>
          <w:tcPr>
            <w:tcW w:type="dxa" w:w="2769"/>
            <w:vAlign w:val="center"/>
          </w:tcPr>
          <w:p>
            <w:pPr/>
            <w:r>
              <w:t>full-system CustomGB probe</w:t>
            </w:r>
          </w:p>
        </w:tc>
        <w:tc>
          <w:tcPr>
            <w:tcW w:type="dxa" w:w="2769"/>
            <w:vAlign w:val="center"/>
          </w:tcPr>
          <w:p>
            <w:pPr/>
            <w:r>
              <w:t>1.6965×</w:t>
            </w:r>
          </w:p>
        </w:tc>
        <w:tc>
          <w:tcPr>
            <w:tcW w:type="dxa" w:w="2769"/>
            <w:vAlign w:val="center"/>
          </w:tcPr>
          <w:p>
            <w:pPr/>
            <w:r>
              <w:t>Stopped</w:t>
            </w:r>
          </w:p>
        </w:tc>
      </w:tr>
      <w:tr>
        <w:tc>
          <w:tcPr>
            <w:tcW w:type="dxa" w:w="2769"/>
            <w:vAlign w:val="center"/>
          </w:tcPr>
          <w:p>
            <w:pPr/>
            <w:r>
              <w:t>per-anchor local CV</w:t>
            </w:r>
          </w:p>
        </w:tc>
        <w:tc>
          <w:tcPr>
            <w:tcW w:type="dxa" w:w="2769"/>
            <w:vAlign w:val="center"/>
          </w:tcPr>
          <w:p>
            <w:pPr/>
            <w:r>
              <w:t>6.0717×</w:t>
            </w:r>
          </w:p>
        </w:tc>
        <w:tc>
          <w:tcPr>
            <w:tcW w:type="dxa" w:w="2769"/>
            <w:vAlign w:val="center"/>
          </w:tcPr>
          <w:p>
            <w:pPr/>
            <w:r>
              <w:t>Cost failed</w:t>
            </w:r>
          </w:p>
        </w:tc>
      </w:tr>
      <w:tr>
        <w:tc>
          <w:tcPr>
            <w:tcW w:type="dxa" w:w="2769"/>
            <w:vAlign w:val="center"/>
          </w:tcPr>
          <w:p>
            <w:pPr/>
            <w:r>
              <w:t>OpenMM-Torch local Verlet</w:t>
            </w:r>
          </w:p>
        </w:tc>
        <w:tc>
          <w:tcPr>
            <w:tcW w:type="dxa" w:w="2769"/>
            <w:vAlign w:val="center"/>
          </w:tcPr>
          <w:p>
            <w:pPr/>
            <w:r>
              <w:t>61.2922×</w:t>
            </w:r>
          </w:p>
        </w:tc>
        <w:tc>
          <w:tcPr>
            <w:tcW w:type="dxa" w:w="2769"/>
            <w:vAlign w:val="center"/>
          </w:tcPr>
          <w:p>
            <w:pPr/>
            <w:r>
              <w:t>Cost failed</w:t>
            </w:r>
          </w:p>
        </w:tc>
      </w:tr>
      <w:tr>
        <w:tc>
          <w:tcPr>
            <w:tcW w:type="dxa" w:w="2769"/>
            <w:vAlign w:val="center"/>
          </w:tcPr>
          <w:p>
            <w:pPr/>
            <w:r>
              <w:t>EXP-021 grouped-density skeleton</w:t>
            </w:r>
          </w:p>
        </w:tc>
        <w:tc>
          <w:tcPr>
            <w:tcW w:type="dxa" w:w="2769"/>
            <w:vAlign w:val="center"/>
          </w:tcPr>
          <w:p>
            <w:pPr/>
            <w:r>
              <w:t>median 1.107419×; P95 1.114105×</w:t>
            </w:r>
          </w:p>
        </w:tc>
        <w:tc>
          <w:tcPr>
            <w:tcW w:type="dxa" w:w="2769"/>
            <w:vAlign w:val="center"/>
          </w:tcPr>
          <w:p>
            <w:pPr/>
            <w:r>
              <w:t>Stopped</w:t>
            </w:r>
          </w:p>
        </w:tc>
      </w:tr>
      <w:tr>
        <w:tc>
          <w:tcPr>
            <w:tcW w:type="dxa" w:w="2769"/>
            <w:vAlign w:val="center"/>
          </w:tcPr>
          <w:p>
            <w:pPr/>
            <w:r>
              <w:t>EXP-026 dedicated CUDA A2</w:t>
            </w:r>
          </w:p>
        </w:tc>
        <w:tc>
          <w:tcPr>
            <w:tcW w:type="dxa" w:w="2769"/>
            <w:vAlign w:val="center"/>
          </w:tcPr>
          <w:p>
            <w:pPr/>
            <w:r>
              <w:t>median 1.03206×; P95 1.03665×</w:t>
            </w:r>
          </w:p>
        </w:tc>
        <w:tc>
          <w:tcPr>
            <w:tcW w:type="dxa" w:w="2769"/>
            <w:vAlign w:val="center"/>
          </w:tcPr>
          <w:p>
            <w:pPr/>
            <w:r>
              <w:t>Cost qualified</w:t>
            </w:r>
          </w:p>
        </w:tc>
      </w:tr>
    </w:tbl>
    <w:p>
      <w:pPr/>
      <w:r>
        <w:t>The 73,536-atom real system contains 41 ligand anchors and 73,495 environment atoms. Although the Cartesian ligand×environment space contains more than 3.0 million pairs, the maximum active 5 Å edge count is only 1,464. This sparsity motivates a dedicated local CSR/Verlet edge scan, 41 scalar anchor reductions, and a small typed nonlinear readout rather than full MACE message passing at every MD step.</w:t>
      </w:r>
    </w:p>
    <w:p>
      <w:pPr/>
      <w:r>
        <w:t>EXP-026 A2 preserved energy/force correctness while removing repeated host/device control-plane work. The optimized backend reached a median cost ratio of 1.03206× with a P95 upper value of 1.03665×. This authorizes online utility testing; it does not itself demonstrate better free-energy sampling.</w:t>
      </w:r>
    </w:p>
    <w:p/>
    <w:p>
      <w:pPr/>
      <w:r>
        <w:t>8.5 Long-Run Defect and Repair</w:t>
      </w:r>
    </w:p>
    <w:p>
      <w:pPr/>
      <w:r>
        <w:t>Fourteen CUDA kernels originally called addArg() on every step, so the argument container grew and runtime deteriorated from approximately 2.74 to 6.22 ms/step. EXP-028 registered argument slots once and used setArg(fixed_idx, …) thereafter. After repair, runtime changed only from approximately 2.6537 to 2.7406 ms/step, the stability ratio was 1.033, RSS remained approximately constant, and correctness regressions passed.</w:t>
      </w:r>
    </w:p>
    <w:p/>
    <w:p>
      <w:pPr/>
      <w:r>
        <w:t>8.6 U3/U4 and the Candidate-Specific f_k Mismatch</w:t>
      </w:r>
    </w:p>
    <w:p>
      <w:pPr/>
      <w:r>
        <w:t>The repaired window-0 U3 showed positive utility differences in 2/3 repeats with a median relative improvement of +49.4%, but the candidate reused baseline f_k values. U3 is therefore a BASELINE_FK_TRANSFER / NO_RECALIBRATION stress test, not a valid candidate qualification.</w:t>
      </w:r>
    </w:p>
    <w:p>
      <w:pPr/>
      <w:r>
        <w:t>U4 completed all six windows and all planned repeats, but retained the same calibration violation. Its total budget was 6 windows × 2 arms × 3 repeats × 60,000 steps = 2.16 million steps. Every repeat failed the joint requirements min_decorrelated_samples≥20 and max_endpoint_uncertainty≤1.0. Candidate-minus-baseline differences also changed sign across repeats in high-coefficient windows, which is more consistent with poor mixing/high variance than with one fixed path bias.</w:t>
      </w:r>
    </w:p>
    <w:p>
      <w:pPr/>
      <w:r>
        <w:t>Fixed but mismatched f_k values do not automatically create asymptotic bias when the complete sampling-bias history and target energies are retained. They can, however, severely degrade mixing efficiency and finite-budget variance; this is exactly why candidate-specific calibration is part of the frozen Route-2 identity.</w:t>
      </w:r>
    </w:p>
    <w:p/>
    <w:p>
      <w:pPr/>
      <w:r>
        <w:t>8.7 EXP-029/030: The Decisive Online Utility Experiment</w:t>
      </w:r>
    </w:p>
    <w:p>
      <w:pPr>
        <w:jc w:val="center"/>
      </w:pPr>
      <w:r>
        <w:rPr>
          <w:i/>
        </w:rPr>
        <w:t>Θ_b = {0, f_b*},    Θ_c = {φ*, f_c*(φ*)}</w:t>
      </w:r>
    </w:p>
    <w:p>
      <w:pPr/>
      <w:r>
        <w:t>Baseline and candidate arms must independently calibrate and freeze f_k under their own sampling Hamiltonians. They may share paired initial states, velocities, and seed families, but their trajectories and calibrated offsets evolve independently. All six windows and at least three paired repeats are required.</w:t>
      </w:r>
    </w:p>
    <w:p>
      <w:pPr/>
      <w:r>
        <w:t>Intention-to-treat accounting includes warmup, calibration, failed attempts, rescue, production, and ledger overhead. Promotion requires shared-target ΔG consistency, TMBAR/coverage/endpoint-uncertainty passes, positive candidate utility in at least 2/3 repeats, and the preregistered median improvement threshold.</w:t>
      </w:r>
    </w:p>
    <w:p>
      <w:pPr>
        <w:jc w:val="center"/>
      </w:pPr>
      <w:r>
        <w:rPr>
          <w:i/>
        </w:rPr>
        <w:t>C_w,k(R;φ,f) = A_w,k B_φ(R) − f_w,k</w:t>
      </w:r>
    </w:p>
    <w:p>
      <w:pPr>
        <w:jc w:val="center"/>
      </w:pPr>
      <w:r>
        <w:rPr>
          <w:i/>
        </w:rPr>
        <w:t>u_w,mix = −log Σ_k exp[g_w,k − u_w,k⁰],    g_w,k = f_w,k − A_w,k B_φ(R)</w:t>
      </w:r>
    </w:p>
    <w:p>
      <w:pPr>
        <w:jc w:val="center"/>
      </w:pPr>
      <w:r>
        <w:rPr>
          <w:i/>
        </w:rPr>
        <w:t>η = N_eff / (C_warmup + C_calib + C_freeze + C_rescue + C_prod + C_ledger)</w:t>
      </w:r>
    </w:p>
    <w:p>
      <w:pPr>
        <w:jc w:val="center"/>
      </w:pPr>
      <w:r>
        <w:rPr>
          <w:i/>
        </w:rPr>
        <w:t>D_r = log η_candidate − log η_baseline</w:t>
      </w:r>
    </w:p>
    <w:p>
      <w:pPr/>
      <w:r>
        <w:t>EXP-030 remains DESIGN_DRAFT_NOT_STARTED. Its state-conditioned score is intentionally low rank and sampling-only; it does not authorize online co-adaptation of φ and f_k. Until EXP-029 is run correctly, no neural residual is production promoted.</w:t>
      </w:r>
    </w:p>
    <w:p/>
    <w:p>
      <w:pPr/>
      <w:r>
        <w:t>8.8 ORB and Production-Wiring Boundaries</w:t>
      </w:r>
    </w:p>
    <w:p>
      <w:pPr/>
      <w:r>
        <w:t>ORB improves all three offline LORO folds by approximately 28.1%, 42.7%, and 48.3%, but its matched CUDA scalar increment is 77.622 ms against a 0.1–0.2 ms budget, roughly 388× the upper budget. It therefore remains OFFLINE_TEACHER_ONLY rather than an online production representation.</w:t>
      </w:r>
    </w:p>
    <w:tbl>
      <w:tblPr>
        <w:tblStyle w:val="af"/>
        <w:tblW w:type="auto" w:w="0"/>
        <w:jc w:val="center"/>
        <w:tblLayout w:type="autofit"/>
        <w:tblLook w:firstColumn="1" w:firstRow="1" w:lastColumn="0" w:lastRow="0" w:noHBand="0" w:noVBand="1" w:val="04A0"/>
      </w:tblPr>
      <w:tblGrid>
        <w:gridCol w:w="4153"/>
        <w:gridCol w:w="4153"/>
      </w:tblGrid>
      <w:tr>
        <w:tc>
          <w:tcPr>
            <w:tcW w:type="dxa" w:w="4153"/>
            <w:vAlign w:val="center"/>
          </w:tcPr>
          <w:p>
            <w:pPr/>
            <w:r>
              <w:rPr>
                <w:b/>
              </w:rPr>
              <w:t>Layer</w:t>
            </w:r>
          </w:p>
        </w:tc>
        <w:tc>
          <w:tcPr>
            <w:tcW w:type="dxa" w:w="4153"/>
            <w:vAlign w:val="center"/>
          </w:tcPr>
          <w:p>
            <w:pPr/>
            <w:r>
              <w:rPr>
                <w:b/>
              </w:rPr>
              <w:t>Current status</w:t>
            </w:r>
          </w:p>
        </w:tc>
      </w:tr>
      <w:tr>
        <w:tc>
          <w:tcPr>
            <w:tcW w:type="dxa" w:w="4153"/>
            <w:vAlign w:val="center"/>
          </w:tcPr>
          <w:p>
            <w:pPr/>
            <w:r>
              <w:t>IBS engine residual capability</w:t>
            </w:r>
          </w:p>
        </w:tc>
        <w:tc>
          <w:tcPr>
            <w:tcW w:type="dxa" w:w="4153"/>
            <w:vAlign w:val="center"/>
          </w:tcPr>
          <w:p>
            <w:pPr/>
            <w:r>
              <w:t>Implemented</w:t>
            </w:r>
          </w:p>
        </w:tc>
      </w:tr>
      <w:tr>
        <w:tc>
          <w:tcPr>
            <w:tcW w:type="dxa" w:w="4153"/>
            <w:vAlign w:val="center"/>
          </w:tcPr>
          <w:p>
            <w:pPr/>
            <w:r>
              <w:t>standalone candidate harness</w:t>
            </w:r>
          </w:p>
        </w:tc>
        <w:tc>
          <w:tcPr>
            <w:tcW w:type="dxa" w:w="4153"/>
            <w:vAlign w:val="center"/>
          </w:tcPr>
          <w:p>
            <w:pPr/>
            <w:r>
              <w:t>Implemented and experimentally exercised</w:t>
            </w:r>
          </w:p>
        </w:tc>
      </w:tr>
      <w:tr>
        <w:tc>
          <w:tcPr>
            <w:tcW w:type="dxa" w:w="4153"/>
            <w:vAlign w:val="center"/>
          </w:tcPr>
          <w:p>
            <w:pPr/>
            <w:r>
              <w:t>dedicated CUDA A2 cost/correctness candidate</w:t>
            </w:r>
          </w:p>
        </w:tc>
        <w:tc>
          <w:tcPr>
            <w:tcW w:type="dxa" w:w="4153"/>
            <w:vAlign w:val="center"/>
          </w:tcPr>
          <w:p>
            <w:pPr/>
            <w:r>
              <w:t>Qualified in scoped harness</w:t>
            </w:r>
          </w:p>
        </w:tc>
      </w:tr>
      <w:tr>
        <w:tc>
          <w:tcPr>
            <w:tcW w:type="dxa" w:w="4153"/>
            <w:vAlign w:val="center"/>
          </w:tcPr>
          <w:p>
            <w:pPr/>
            <w:r>
              <w:t>runabfe production-pipeline integration</w:t>
            </w:r>
          </w:p>
        </w:tc>
        <w:tc>
          <w:tcPr>
            <w:tcW w:type="dxa" w:w="4153"/>
            <w:vAlign w:val="center"/>
          </w:tcPr>
          <w:p>
            <w:pPr/>
            <w:r>
              <w:t>Not wired</w:t>
            </w:r>
          </w:p>
        </w:tc>
      </w:tr>
      <w:tr>
        <w:tc>
          <w:tcPr>
            <w:tcW w:type="dxa" w:w="4153"/>
            <w:vAlign w:val="center"/>
          </w:tcPr>
          <w:p>
            <w:pPr/>
            <w:r>
              <w:t>full six-window, two-leg production utility</w:t>
            </w:r>
          </w:p>
        </w:tc>
        <w:tc>
          <w:tcPr>
            <w:tcW w:type="dxa" w:w="4153"/>
            <w:vAlign w:val="center"/>
          </w:tcPr>
          <w:p>
            <w:pPr/>
            <w:r>
              <w:t>Not demonstrated</w:t>
            </w:r>
          </w:p>
        </w:tc>
      </w:tr>
      <w:tr>
        <w:tc>
          <w:tcPr>
            <w:tcW w:type="dxa" w:w="4153"/>
            <w:vAlign w:val="center"/>
          </w:tcPr>
          <w:p>
            <w:pPr/>
            <w:r>
              <w:t>production target identity</w:t>
            </w:r>
          </w:p>
        </w:tc>
        <w:tc>
          <w:tcPr>
            <w:tcW w:type="dxa" w:w="4153"/>
            <w:vAlign w:val="center"/>
          </w:tcPr>
          <w:p>
            <w:pPr/>
            <w:r>
              <w:t>Residual-off physical baseline</w:t>
            </w:r>
          </w:p>
        </w:tc>
      </w:tr>
    </w:tbl>
    <w:p>
      <w:pPr/>
      <w:r>
        <w:t>The IBS engine exposes residual basis, state coefficients, and energy offsets, but the formal abfe_pipeline.py::_build_window_system and runabfe.py production entry do not currently pass these parameters. EXP-027/028 therefore constitute standalone/experimental sampling-bias evidence rather than results from the complete production ABFE pipeline.</w:t>
      </w:r>
    </w:p>
    <w:p/>
    <w:p>
      <w:pPr/>
      <w:r>
        <w:t>8.9 Final Verdict</w:t>
      </w:r>
    </w:p>
    <w:p>
      <w:pPr/>
      <w:r>
        <w:t>EXP-020 establishes a strong offline signal for a lightweight local-many-body representation; EXP-026 qualifies a dedicated CUDA backend for scoped correctness and cost; EXP-028 fixes and validates long-run argument-slot growth. Together these results authorize an online utility experiment, not scientific production promotion.</w:t>
      </w:r>
    </w:p>
    <w:p>
      <w:pPr/>
      <w:r>
        <w:t>The accurate current verdict is: SOFTWARE_CORRECTNESS_AND_COST_QUALIFIED / LONG-RUN_DEFECT_FIXED / OFFLINE_SIGNAL_POSITIVE / ONLINE_UTILITY_UNPROVEN / NOT_PRODUCTION_PROMOTED. Full Frozen MACE remains a future representation ablation. Route 1 remains a separate endpoint-constrained target-path research program. Neither may be merged into the current production identity before the decisive EXP-029 evidence exists.</w:t>
      </w:r>
    </w:p>
    <w:p/>
    <w:p>
      <w:pPr/>
      <w:r>
        <w:t>9 Immediate Work Package</w:t>
      </w:r>
    </w:p>
    <w:p>
      <w:pPr/>
      <w:r>
        <w:t>The next work package is intentionally narrow: freeze a reproducible environment/input/hash/seed manifest; reanalyze Stage 1 under the current estimator identity; obtain at least two new same-protocol full-cycle repeats; close moving-block/bootstrap and Boresch sensitivity; then run EXP-029 with independent per-arm calibration across all six windows and three paired repeats. Route 1, EDS/λ-EDS, Frozen-MACE/operator studies, charged/membrane cycles, and the multi-system DEXP benchmark remain separate follow-on workstreams rather than being mixed into the current Atenolol production identity.</w:t>
      </w:r>
    </w:p>
    <w:sectPr w:rsidR="00F161B9" w:rsidRPr="004274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95A33"/>
    <w:multiLevelType w:val="multilevel"/>
    <w:tmpl w:val="24F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C4B18"/>
    <w:multiLevelType w:val="multilevel"/>
    <w:tmpl w:val="333629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3276108">
    <w:abstractNumId w:val="0"/>
  </w:num>
  <w:num w:numId="2" w16cid:durableId="2107068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5C"/>
    <w:rsid w:val="000A05D5"/>
    <w:rsid w:val="000E38BC"/>
    <w:rsid w:val="0010399E"/>
    <w:rsid w:val="00104C64"/>
    <w:rsid w:val="001C1244"/>
    <w:rsid w:val="002439C2"/>
    <w:rsid w:val="002723D2"/>
    <w:rsid w:val="0038399A"/>
    <w:rsid w:val="00387F9D"/>
    <w:rsid w:val="00427489"/>
    <w:rsid w:val="00496B29"/>
    <w:rsid w:val="004B4009"/>
    <w:rsid w:val="005875BB"/>
    <w:rsid w:val="005E405C"/>
    <w:rsid w:val="00610DE5"/>
    <w:rsid w:val="006F272A"/>
    <w:rsid w:val="007C5E68"/>
    <w:rsid w:val="007D6837"/>
    <w:rsid w:val="00861CBA"/>
    <w:rsid w:val="00870532"/>
    <w:rsid w:val="008C2CD1"/>
    <w:rsid w:val="00936CCC"/>
    <w:rsid w:val="009A0402"/>
    <w:rsid w:val="009D2B07"/>
    <w:rsid w:val="00A40586"/>
    <w:rsid w:val="00A6466E"/>
    <w:rsid w:val="00BE5161"/>
    <w:rsid w:val="00DA7D5E"/>
    <w:rsid w:val="00EF1AF9"/>
    <w:rsid w:val="00F161B9"/>
    <w:rsid w:val="00F16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310D"/>
  <w15:chartTrackingRefBased/>
  <w15:docId w15:val="{BD94B30E-7309-4C46-A0F6-D5AE13C1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532"/>
    <w:pPr>
      <w:widowControl w:val="0"/>
    </w:pPr>
    <w:rPr>
      <w:rFonts w:ascii="Times New Roman" w:hAnsi="Times New Roman"/>
      <w:sz w:val="24"/>
    </w:rPr>
  </w:style>
  <w:style w:type="paragraph" w:styleId="1">
    <w:name w:val="heading 1"/>
    <w:basedOn w:val="a"/>
    <w:next w:val="a"/>
    <w:link w:val="10"/>
    <w:uiPriority w:val="9"/>
    <w:qFormat/>
    <w:rsid w:val="005E40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40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40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40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405C"/>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E40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40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40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40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40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40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40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405C"/>
    <w:rPr>
      <w:rFonts w:cstheme="majorBidi"/>
      <w:color w:val="0F4761" w:themeColor="accent1" w:themeShade="BF"/>
      <w:sz w:val="28"/>
      <w:szCs w:val="28"/>
    </w:rPr>
  </w:style>
  <w:style w:type="character" w:customStyle="1" w:styleId="50">
    <w:name w:val="标题 5 字符"/>
    <w:basedOn w:val="a0"/>
    <w:link w:val="5"/>
    <w:uiPriority w:val="9"/>
    <w:semiHidden/>
    <w:rsid w:val="005E405C"/>
    <w:rPr>
      <w:rFonts w:cstheme="majorBidi"/>
      <w:color w:val="0F4761" w:themeColor="accent1" w:themeShade="BF"/>
      <w:sz w:val="24"/>
    </w:rPr>
  </w:style>
  <w:style w:type="character" w:customStyle="1" w:styleId="60">
    <w:name w:val="标题 6 字符"/>
    <w:basedOn w:val="a0"/>
    <w:link w:val="6"/>
    <w:uiPriority w:val="9"/>
    <w:semiHidden/>
    <w:rsid w:val="005E405C"/>
    <w:rPr>
      <w:rFonts w:cstheme="majorBidi"/>
      <w:b/>
      <w:bCs/>
      <w:color w:val="0F4761" w:themeColor="accent1" w:themeShade="BF"/>
    </w:rPr>
  </w:style>
  <w:style w:type="character" w:customStyle="1" w:styleId="70">
    <w:name w:val="标题 7 字符"/>
    <w:basedOn w:val="a0"/>
    <w:link w:val="7"/>
    <w:uiPriority w:val="9"/>
    <w:semiHidden/>
    <w:rsid w:val="005E405C"/>
    <w:rPr>
      <w:rFonts w:cstheme="majorBidi"/>
      <w:b/>
      <w:bCs/>
      <w:color w:val="595959" w:themeColor="text1" w:themeTint="A6"/>
    </w:rPr>
  </w:style>
  <w:style w:type="character" w:customStyle="1" w:styleId="80">
    <w:name w:val="标题 8 字符"/>
    <w:basedOn w:val="a0"/>
    <w:link w:val="8"/>
    <w:uiPriority w:val="9"/>
    <w:semiHidden/>
    <w:rsid w:val="005E405C"/>
    <w:rPr>
      <w:rFonts w:cstheme="majorBidi"/>
      <w:color w:val="595959" w:themeColor="text1" w:themeTint="A6"/>
    </w:rPr>
  </w:style>
  <w:style w:type="character" w:customStyle="1" w:styleId="90">
    <w:name w:val="标题 9 字符"/>
    <w:basedOn w:val="a0"/>
    <w:link w:val="9"/>
    <w:uiPriority w:val="9"/>
    <w:semiHidden/>
    <w:rsid w:val="005E405C"/>
    <w:rPr>
      <w:rFonts w:eastAsiaTheme="majorEastAsia" w:cstheme="majorBidi"/>
      <w:color w:val="595959" w:themeColor="text1" w:themeTint="A6"/>
    </w:rPr>
  </w:style>
  <w:style w:type="paragraph" w:styleId="a3">
    <w:name w:val="Title"/>
    <w:basedOn w:val="a"/>
    <w:next w:val="a"/>
    <w:link w:val="a4"/>
    <w:uiPriority w:val="10"/>
    <w:qFormat/>
    <w:rsid w:val="005E40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40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40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40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405C"/>
    <w:pPr>
      <w:spacing w:before="160"/>
      <w:jc w:val="center"/>
    </w:pPr>
    <w:rPr>
      <w:i/>
      <w:iCs/>
      <w:color w:val="404040" w:themeColor="text1" w:themeTint="BF"/>
    </w:rPr>
  </w:style>
  <w:style w:type="character" w:customStyle="1" w:styleId="a8">
    <w:name w:val="引用 字符"/>
    <w:basedOn w:val="a0"/>
    <w:link w:val="a7"/>
    <w:uiPriority w:val="29"/>
    <w:rsid w:val="005E405C"/>
    <w:rPr>
      <w:i/>
      <w:iCs/>
      <w:color w:val="404040" w:themeColor="text1" w:themeTint="BF"/>
    </w:rPr>
  </w:style>
  <w:style w:type="paragraph" w:styleId="a9">
    <w:name w:val="List Paragraph"/>
    <w:basedOn w:val="a"/>
    <w:uiPriority w:val="34"/>
    <w:qFormat/>
    <w:rsid w:val="005E405C"/>
    <w:pPr>
      <w:ind w:left="720"/>
      <w:contextualSpacing/>
    </w:pPr>
  </w:style>
  <w:style w:type="character" w:styleId="aa">
    <w:name w:val="Intense Emphasis"/>
    <w:basedOn w:val="a0"/>
    <w:uiPriority w:val="21"/>
    <w:qFormat/>
    <w:rsid w:val="005E405C"/>
    <w:rPr>
      <w:i/>
      <w:iCs/>
      <w:color w:val="0F4761" w:themeColor="accent1" w:themeShade="BF"/>
    </w:rPr>
  </w:style>
  <w:style w:type="paragraph" w:styleId="ab">
    <w:name w:val="Intense Quote"/>
    <w:basedOn w:val="a"/>
    <w:next w:val="a"/>
    <w:link w:val="ac"/>
    <w:uiPriority w:val="30"/>
    <w:qFormat/>
    <w:rsid w:val="005E4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405C"/>
    <w:rPr>
      <w:i/>
      <w:iCs/>
      <w:color w:val="0F4761" w:themeColor="accent1" w:themeShade="BF"/>
    </w:rPr>
  </w:style>
  <w:style w:type="character" w:styleId="ad">
    <w:name w:val="Intense Reference"/>
    <w:basedOn w:val="a0"/>
    <w:uiPriority w:val="32"/>
    <w:qFormat/>
    <w:rsid w:val="005E405C"/>
    <w:rPr>
      <w:b/>
      <w:bCs/>
      <w:smallCaps/>
      <w:color w:val="0F4761" w:themeColor="accent1" w:themeShade="BF"/>
      <w:spacing w:val="5"/>
    </w:rPr>
  </w:style>
  <w:style w:type="character" w:styleId="ae">
    <w:name w:val="Placeholder Text"/>
    <w:basedOn w:val="a0"/>
    <w:uiPriority w:val="99"/>
    <w:semiHidden/>
    <w:rsid w:val="00870532"/>
    <w:rPr>
      <w:color w:val="666666"/>
    </w:rPr>
  </w:style>
  <w:style w:type="table" w:styleId="af">
    <w:name w:val="Table Grid"/>
    <w:basedOn w:val="a1"/>
    <w:uiPriority w:val="39"/>
    <w:rsid w:val="007D6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1995</TotalTime>
  <Pages>13</Pages>
  <Words>2382</Words>
  <Characters>13584</Characters>
  <Application>Microsoft Office Word</Application>
  <DocSecurity>0</DocSecurity>
  <Lines>113</Lines>
  <Paragraphs>31</Paragraphs>
  <ScaleCrop>false</ScaleCrop>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紀　瑞賡</dc:creator>
  <cp:keywords/>
  <dc:description/>
  <cp:lastModifiedBy>紀　瑞賡</cp:lastModifiedBy>
  <cp:revision>9</cp:revision>
  <dcterms:created xsi:type="dcterms:W3CDTF">2026-08-12T03:33:00Z</dcterms:created>
  <dcterms:modified xsi:type="dcterms:W3CDTF">2026-08-19T10:03:00Z</dcterms:modified>
</cp:coreProperties>
</file>