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976D" w14:textId="69439717" w:rsidR="008F7A90" w:rsidRDefault="00571D1D" w:rsidP="00671703">
      <w:pPr>
        <w:pStyle w:val="Ttulo1"/>
        <w:tabs>
          <w:tab w:val="left" w:pos="0"/>
        </w:tabs>
      </w:pPr>
      <w:r>
        <w:t>introdução</w:t>
      </w:r>
    </w:p>
    <w:p w14:paraId="61084BC2" w14:textId="792AF251" w:rsidR="00571D1D" w:rsidRDefault="006B177D" w:rsidP="00671703">
      <w:pPr>
        <w:pStyle w:val="Ttulo1"/>
        <w:tabs>
          <w:tab w:val="left" w:pos="0"/>
        </w:tabs>
      </w:pPr>
      <w:r>
        <w:t>metodologia</w:t>
      </w:r>
    </w:p>
    <w:p w14:paraId="7F9EF486" w14:textId="086E6DFD" w:rsidR="00EB715E" w:rsidRPr="00EB715E" w:rsidRDefault="00EB715E" w:rsidP="00671703">
      <w:pPr>
        <w:tabs>
          <w:tab w:val="left" w:pos="0"/>
        </w:tabs>
      </w:pPr>
      <w:r>
        <w:tab/>
        <w:t xml:space="preserve">A metodologia utilizada para determinação das zonas homogêneas de risco climático no Brasil considera técnicas de </w:t>
      </w:r>
      <w:r w:rsidR="00835517">
        <w:t>padronização das séries temporais de precipitação</w:t>
      </w:r>
      <w:r>
        <w:t xml:space="preserve">, através do </w:t>
      </w:r>
      <w:r>
        <w:rPr>
          <w:i/>
          <w:iCs/>
        </w:rPr>
        <w:t xml:space="preserve">Standard </w:t>
      </w:r>
      <w:proofErr w:type="spellStart"/>
      <w:r>
        <w:rPr>
          <w:i/>
          <w:iCs/>
        </w:rPr>
        <w:t>Precipitation</w:t>
      </w:r>
      <w:proofErr w:type="spellEnd"/>
      <w:r>
        <w:rPr>
          <w:i/>
          <w:iCs/>
        </w:rPr>
        <w:t xml:space="preserve"> Index</w:t>
      </w:r>
      <w:r w:rsidR="00835517">
        <w:t xml:space="preserve"> (SPI)</w:t>
      </w:r>
      <w:r>
        <w:rPr>
          <w:i/>
          <w:iCs/>
        </w:rPr>
        <w:t xml:space="preserve">, </w:t>
      </w:r>
      <w:r>
        <w:t xml:space="preserve">Transformada em </w:t>
      </w:r>
      <w:proofErr w:type="spellStart"/>
      <w:r>
        <w:t>Ondeletas</w:t>
      </w:r>
      <w:proofErr w:type="spellEnd"/>
      <w:r w:rsidR="00835517">
        <w:t xml:space="preserve"> (T.O)</w:t>
      </w:r>
      <w:r>
        <w:t xml:space="preserve"> para </w:t>
      </w:r>
      <w:r w:rsidR="00835517">
        <w:t xml:space="preserve">decomposição </w:t>
      </w:r>
      <w:r>
        <w:t>das bandas de alta, média e baixa frequência</w:t>
      </w:r>
      <w:r w:rsidR="00835517">
        <w:t>, reconstrução dessas bandas de frequência no domínio do tempo e a determinação dos agrupamentos para as séries de precipitação padronizada e para cada uma das séries temporais reconstruídas utilizando k-</w:t>
      </w:r>
      <w:proofErr w:type="spellStart"/>
      <w:r w:rsidR="00835517">
        <w:t>means</w:t>
      </w:r>
      <w:proofErr w:type="spellEnd"/>
      <w:r w:rsidR="00835517">
        <w:t>. A Figura 1 apresenta um fluxograma esquemático que sintetiza os procedimentos supracitados.</w:t>
      </w:r>
    </w:p>
    <w:p w14:paraId="453EB9CA" w14:textId="40A11FB7" w:rsidR="00835517" w:rsidRDefault="00835517" w:rsidP="00671703">
      <w:pPr>
        <w:pStyle w:val="Legenda"/>
        <w:keepNext/>
        <w:tabs>
          <w:tab w:val="left" w:pos="0"/>
        </w:tabs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</w:t>
      </w:r>
    </w:p>
    <w:p w14:paraId="62221021" w14:textId="77777777" w:rsidR="006B177D" w:rsidRPr="006B177D" w:rsidRDefault="00EB715E" w:rsidP="00671703">
      <w:pPr>
        <w:tabs>
          <w:tab w:val="left" w:pos="0"/>
        </w:tabs>
      </w:pPr>
      <w:r>
        <w:rPr>
          <w:noProof/>
        </w:rPr>
        <w:drawing>
          <wp:inline distT="0" distB="0" distL="0" distR="0" wp14:anchorId="58672453" wp14:editId="6803E9BD">
            <wp:extent cx="5612130" cy="310515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2E46" w14:textId="08C3A698" w:rsidR="00571D1D" w:rsidRDefault="00571D1D" w:rsidP="00671703">
      <w:pPr>
        <w:pStyle w:val="Ttulo2"/>
        <w:tabs>
          <w:tab w:val="left" w:pos="0"/>
        </w:tabs>
      </w:pPr>
      <w:r>
        <w:t>Área de Estudo</w:t>
      </w:r>
    </w:p>
    <w:p w14:paraId="54DABBCE" w14:textId="3A8C592B" w:rsidR="00571D1D" w:rsidRPr="00571D1D" w:rsidRDefault="00571D1D" w:rsidP="00671703">
      <w:pPr>
        <w:tabs>
          <w:tab w:val="left" w:pos="0"/>
        </w:tabs>
      </w:pPr>
      <w:r>
        <w:tab/>
      </w:r>
      <w:r w:rsidRPr="00571D1D">
        <w:rPr>
          <w:color w:val="FF0000"/>
        </w:rPr>
        <w:t>Falar um pouco sobre a variabilidade climática do Brasil.</w:t>
      </w:r>
      <w:r>
        <w:t xml:space="preserve"> A área de estudo do presente trabalho é apresentada na Figura 1. </w:t>
      </w:r>
    </w:p>
    <w:p w14:paraId="0DFFA252" w14:textId="24CDC8AD" w:rsidR="00571D1D" w:rsidRDefault="00571D1D" w:rsidP="00671703">
      <w:pPr>
        <w:pStyle w:val="Ttulo2"/>
        <w:tabs>
          <w:tab w:val="left" w:pos="0"/>
        </w:tabs>
      </w:pPr>
      <w:r>
        <w:t>Dados Utilizados</w:t>
      </w:r>
    </w:p>
    <w:p w14:paraId="44B7C8E6" w14:textId="6C45C1CE" w:rsidR="00722502" w:rsidRDefault="00EA5A84" w:rsidP="00671703">
      <w:pPr>
        <w:tabs>
          <w:tab w:val="left" w:pos="0"/>
        </w:tabs>
      </w:pPr>
      <w:r>
        <w:tab/>
        <w:t>A</w:t>
      </w:r>
      <w:r w:rsidR="00B5115E">
        <w:t>s informações de precipitação ao longo de todo o território brasileiro foram obtidas</w:t>
      </w:r>
      <w:r>
        <w:t xml:space="preserve"> da versão 2022 </w:t>
      </w:r>
      <w:r w:rsidR="00722502">
        <w:t>do</w:t>
      </w:r>
      <w:r w:rsidR="00B5115E">
        <w:t xml:space="preserve"> </w:t>
      </w:r>
      <w:r w:rsidR="00B5115E">
        <w:rPr>
          <w:i/>
          <w:iCs/>
        </w:rPr>
        <w:t>grid</w:t>
      </w:r>
      <w:r w:rsidR="00B5115E">
        <w:t xml:space="preserve"> global de precipitações</w:t>
      </w:r>
      <w:r>
        <w:t xml:space="preserve"> mensais</w:t>
      </w:r>
      <w:r w:rsidR="00B5115E">
        <w:t xml:space="preserve"> sob a superfície terrestre</w:t>
      </w:r>
      <w:r>
        <w:t xml:space="preserve"> </w:t>
      </w:r>
      <w:r w:rsidR="00B87F23">
        <w:t>fornecido</w:t>
      </w:r>
      <w:r w:rsidR="00B5115E">
        <w:t xml:space="preserve"> pelo </w:t>
      </w:r>
      <w:r w:rsidR="00B5115E">
        <w:rPr>
          <w:i/>
          <w:iCs/>
        </w:rPr>
        <w:t xml:space="preserve">Global </w:t>
      </w:r>
      <w:proofErr w:type="spellStart"/>
      <w:r w:rsidR="00B5115E">
        <w:rPr>
          <w:i/>
          <w:iCs/>
        </w:rPr>
        <w:t>Precipitation</w:t>
      </w:r>
      <w:proofErr w:type="spellEnd"/>
      <w:r w:rsidR="00B5115E">
        <w:rPr>
          <w:i/>
          <w:iCs/>
        </w:rPr>
        <w:t xml:space="preserve"> </w:t>
      </w:r>
      <w:proofErr w:type="spellStart"/>
      <w:r w:rsidR="00B5115E">
        <w:rPr>
          <w:i/>
          <w:iCs/>
        </w:rPr>
        <w:t>Climatology</w:t>
      </w:r>
      <w:proofErr w:type="spellEnd"/>
      <w:r w:rsidR="00B5115E">
        <w:rPr>
          <w:i/>
          <w:iCs/>
        </w:rPr>
        <w:t xml:space="preserve"> Center </w:t>
      </w:r>
      <w:r w:rsidR="00B5115E">
        <w:t xml:space="preserve">(GPCC). </w:t>
      </w:r>
      <w:r>
        <w:t xml:space="preserve">Nessa versão, são disponibilizadas séries históricas de precipitação que abrangem o período entre os anos de 1891 e 2020 para diferentes resoluções de grade: 0.25°, </w:t>
      </w:r>
      <w:r>
        <w:lastRenderedPageBreak/>
        <w:t>0.5°, 1.0° e 2.5°. Adotou-se uma resolução de grade de 1° no presente trabalho</w:t>
      </w:r>
      <w:commentRangeStart w:id="0"/>
      <w:r>
        <w:t xml:space="preserve">. (Schneider </w:t>
      </w:r>
      <w:r>
        <w:rPr>
          <w:i/>
          <w:iCs/>
        </w:rPr>
        <w:t>et al.,</w:t>
      </w:r>
      <w:r>
        <w:t xml:space="preserve"> 2022).</w:t>
      </w:r>
      <w:commentRangeEnd w:id="0"/>
      <w:r>
        <w:rPr>
          <w:rStyle w:val="Refdecomentrio"/>
        </w:rPr>
        <w:commentReference w:id="0"/>
      </w:r>
    </w:p>
    <w:p w14:paraId="4517E8E2" w14:textId="0A91E536" w:rsidR="00A60606" w:rsidRDefault="00A60606" w:rsidP="00671703">
      <w:pPr>
        <w:tabs>
          <w:tab w:val="left" w:pos="0"/>
        </w:tabs>
      </w:pPr>
      <w:r>
        <w:tab/>
        <w:t>Na versão de 2022, o grid de precipitações sobre a superfície terrestre é estimado com base em</w:t>
      </w:r>
      <w:r w:rsidR="00B87F23">
        <w:t xml:space="preserve">, </w:t>
      </w:r>
      <w:r>
        <w:t>aproximadamente</w:t>
      </w:r>
      <w:r w:rsidR="00B87F23">
        <w:t xml:space="preserve">, </w:t>
      </w:r>
      <w:r>
        <w:t xml:space="preserve">86.000 estações nas mais diversas regiões do planeta, as quais apresentam pelo menos 10 anos de registros (Schneider </w:t>
      </w:r>
      <w:r>
        <w:rPr>
          <w:i/>
          <w:iCs/>
        </w:rPr>
        <w:t>et al.,</w:t>
      </w:r>
      <w:r>
        <w:t xml:space="preserve"> 2022). </w:t>
      </w:r>
    </w:p>
    <w:p w14:paraId="42FD410E" w14:textId="01F9C710" w:rsidR="00B5115E" w:rsidRDefault="00A60606" w:rsidP="00671703">
      <w:pPr>
        <w:tabs>
          <w:tab w:val="left" w:pos="0"/>
        </w:tabs>
      </w:pPr>
      <w:r>
        <w:tab/>
        <w:t xml:space="preserve">Para </w:t>
      </w:r>
      <w:r w:rsidR="00B5115E">
        <w:t xml:space="preserve">períodos mais antigos, onde não há registro de precipitação em algumas regiões, </w:t>
      </w:r>
      <w:r w:rsidR="00B5115E" w:rsidRPr="009E3FA5">
        <w:t xml:space="preserve">o GPCC atribui a precipitação climatológica da região </w:t>
      </w:r>
      <w:r w:rsidR="00B5115E">
        <w:t>em caso de ausência de dados</w:t>
      </w:r>
      <w:r w:rsidR="00B5115E" w:rsidRPr="009E3FA5">
        <w:t>, garantindo que não haja anomalias entre esse período preenchido e o restante da série temporal</w:t>
      </w:r>
      <w:r>
        <w:t xml:space="preserve"> (Schneider </w:t>
      </w:r>
      <w:r>
        <w:rPr>
          <w:i/>
          <w:iCs/>
        </w:rPr>
        <w:t>et al.</w:t>
      </w:r>
      <w:r>
        <w:t>, 2018)</w:t>
      </w:r>
      <w:r w:rsidR="00B5115E" w:rsidRPr="009E3FA5">
        <w:t xml:space="preserve">. </w:t>
      </w:r>
      <w:r>
        <w:tab/>
      </w:r>
      <w:r w:rsidR="00EA5A84">
        <w:t xml:space="preserve">Dessa forma, para evitar os períodos preenchidos com a climatologia da precipitação, </w:t>
      </w:r>
      <w:r w:rsidR="00B5115E" w:rsidRPr="009E3FA5">
        <w:t>optou-se por adotar as séries de precipitação a partir de 19</w:t>
      </w:r>
      <w:r w:rsidR="00B5115E">
        <w:t>5</w:t>
      </w:r>
      <w:r w:rsidR="00AB7C83">
        <w:t>1</w:t>
      </w:r>
      <w:r w:rsidR="00B5115E" w:rsidRPr="009E3FA5">
        <w:t xml:space="preserve"> até 20</w:t>
      </w:r>
      <w:r w:rsidR="00AB7C83">
        <w:t>20</w:t>
      </w:r>
      <w:r w:rsidR="00B5115E" w:rsidRPr="009E3FA5">
        <w:t>.</w:t>
      </w:r>
    </w:p>
    <w:p w14:paraId="18D90F7E" w14:textId="77777777" w:rsidR="001E516C" w:rsidRDefault="00010885" w:rsidP="00671703">
      <w:pPr>
        <w:tabs>
          <w:tab w:val="left" w:pos="0"/>
        </w:tabs>
      </w:pPr>
      <w:r>
        <w:tab/>
        <w:t xml:space="preserve">A principal motivação para adoção dos dados fornecidos pelo GPCC para determinação da precipitação ao longo do território brasileiro </w:t>
      </w:r>
      <w:r w:rsidR="006D3C09">
        <w:t xml:space="preserve">reside na uniformidade, tanto espacial quanto temporal, da grade em que esses dados são disponibilizados. Além disso, vale destacar que as estações pluviométricas disponibilizadas no </w:t>
      </w:r>
      <w:proofErr w:type="spellStart"/>
      <w:r w:rsidR="006D3C09">
        <w:t>Hidroweb</w:t>
      </w:r>
      <w:proofErr w:type="spellEnd"/>
      <w:r w:rsidR="006D3C09">
        <w:t xml:space="preserve"> da Agência Nacional de Águas (ANA), em geral, apresentam descontinuidades no período observado e diferentes </w:t>
      </w:r>
      <w:r w:rsidR="001E516C">
        <w:t>durações e períodos de observação</w:t>
      </w:r>
      <w:r w:rsidR="006D3C09">
        <w:t>.</w:t>
      </w:r>
    </w:p>
    <w:p w14:paraId="08032811" w14:textId="6A4509F3" w:rsidR="00B87F23" w:rsidRPr="005164F0" w:rsidRDefault="001E516C" w:rsidP="00671703">
      <w:pPr>
        <w:tabs>
          <w:tab w:val="left" w:pos="0"/>
        </w:tabs>
      </w:pPr>
      <w:r>
        <w:tab/>
      </w:r>
      <w:r w:rsidR="00856176">
        <w:t>De maneira adicional às justificativas</w:t>
      </w:r>
      <w:r w:rsidR="005164F0">
        <w:t xml:space="preserve"> supracitadas</w:t>
      </w:r>
      <w:r w:rsidR="00856176">
        <w:t xml:space="preserve"> para utilização das informações de precipitação fornecidas pelo GPCC, vale ressaltar</w:t>
      </w:r>
      <w:r>
        <w:t xml:space="preserve"> </w:t>
      </w:r>
      <w:r w:rsidR="00856176">
        <w:t xml:space="preserve">os </w:t>
      </w:r>
      <w:r>
        <w:t xml:space="preserve">estudos que avaliaram a performance </w:t>
      </w:r>
      <w:r w:rsidR="00856176">
        <w:t>dessas informações</w:t>
      </w:r>
      <w:r>
        <w:t xml:space="preserve"> na representação da variabilidade climática</w:t>
      </w:r>
      <w:r w:rsidR="00856176">
        <w:t xml:space="preserve">, na </w:t>
      </w:r>
      <w:r>
        <w:t xml:space="preserve">estimativa de extremos climáticos, </w:t>
      </w:r>
      <w:r w:rsidR="00856176">
        <w:t>na modelagem hidrológica,</w:t>
      </w:r>
      <w:r w:rsidR="005164F0">
        <w:t xml:space="preserve"> dentre outras aplicações, </w:t>
      </w:r>
      <w:r>
        <w:t xml:space="preserve">tais como: Song </w:t>
      </w:r>
      <w:r>
        <w:rPr>
          <w:i/>
          <w:iCs/>
        </w:rPr>
        <w:t>et al.</w:t>
      </w:r>
      <w:r>
        <w:t xml:space="preserve"> (2022), Tostes </w:t>
      </w:r>
      <w:r>
        <w:rPr>
          <w:i/>
          <w:iCs/>
        </w:rPr>
        <w:t>et al.</w:t>
      </w:r>
      <w:r>
        <w:t xml:space="preserve"> (2017), </w:t>
      </w:r>
      <w:r w:rsidR="00856176">
        <w:t xml:space="preserve">Gomes </w:t>
      </w:r>
      <w:r w:rsidR="00856176">
        <w:rPr>
          <w:i/>
          <w:iCs/>
        </w:rPr>
        <w:t>et al.</w:t>
      </w:r>
      <w:r w:rsidR="00856176">
        <w:t xml:space="preserve"> (2022), </w:t>
      </w:r>
      <w:proofErr w:type="spellStart"/>
      <w:r w:rsidR="00856176" w:rsidRPr="00856176">
        <w:t>Kouakou</w:t>
      </w:r>
      <w:proofErr w:type="spellEnd"/>
      <w:r w:rsidR="00856176">
        <w:t xml:space="preserve"> </w:t>
      </w:r>
      <w:r w:rsidR="00856176">
        <w:rPr>
          <w:i/>
          <w:iCs/>
        </w:rPr>
        <w:t>et al.</w:t>
      </w:r>
      <w:r w:rsidR="00856176">
        <w:t xml:space="preserve"> (2023), </w:t>
      </w:r>
      <w:proofErr w:type="spellStart"/>
      <w:r w:rsidR="00856176" w:rsidRPr="00856176">
        <w:t>Dhungana</w:t>
      </w:r>
      <w:proofErr w:type="spellEnd"/>
      <w:r w:rsidR="00856176">
        <w:t xml:space="preserve"> </w:t>
      </w:r>
      <w:r w:rsidR="00856176">
        <w:rPr>
          <w:i/>
          <w:iCs/>
        </w:rPr>
        <w:t>et al.</w:t>
      </w:r>
      <w:r w:rsidR="00856176">
        <w:t xml:space="preserve"> (2023)</w:t>
      </w:r>
      <w:r w:rsidR="005164F0">
        <w:t xml:space="preserve">, Santos </w:t>
      </w:r>
      <w:r w:rsidR="005164F0">
        <w:rPr>
          <w:i/>
          <w:iCs/>
        </w:rPr>
        <w:t>et al.</w:t>
      </w:r>
      <w:r w:rsidR="005164F0">
        <w:t xml:space="preserve"> (2023). Em geral, esses estudos classificam essa informação como, no mínimo, satisfatória.</w:t>
      </w:r>
    </w:p>
    <w:p w14:paraId="07AD3A61" w14:textId="367F0C1F" w:rsidR="00B5115E" w:rsidRPr="00AB7C83" w:rsidRDefault="00AB7C83" w:rsidP="00671703">
      <w:pPr>
        <w:tabs>
          <w:tab w:val="left" w:pos="0"/>
        </w:tabs>
      </w:pPr>
      <w:r>
        <w:tab/>
      </w:r>
    </w:p>
    <w:p w14:paraId="31217006" w14:textId="759B8CA3" w:rsidR="00571D1D" w:rsidRDefault="00571D1D" w:rsidP="00671703">
      <w:pPr>
        <w:pStyle w:val="Ttulo2"/>
        <w:tabs>
          <w:tab w:val="left" w:pos="0"/>
        </w:tabs>
        <w:rPr>
          <w:lang w:val="en-US"/>
        </w:rPr>
      </w:pPr>
      <w:r w:rsidRPr="00722502">
        <w:rPr>
          <w:lang w:val="en-US"/>
        </w:rPr>
        <w:t>Standard Precipitation Index</w:t>
      </w:r>
    </w:p>
    <w:p w14:paraId="6B6F2F7D" w14:textId="5CD081A4" w:rsidR="005164F0" w:rsidRDefault="00EA0483" w:rsidP="00671703">
      <w:pPr>
        <w:tabs>
          <w:tab w:val="left" w:pos="0"/>
        </w:tabs>
      </w:pPr>
      <w:r>
        <w:rPr>
          <w:lang w:val="en-US"/>
        </w:rPr>
        <w:tab/>
      </w:r>
      <w:r w:rsidRPr="00EA0483">
        <w:rPr>
          <w:lang w:val="en-US"/>
        </w:rPr>
        <w:t xml:space="preserve">O </w:t>
      </w:r>
      <w:r w:rsidRPr="00EA0483">
        <w:t>índice</w:t>
      </w:r>
      <w:r w:rsidRPr="00EA0483">
        <w:rPr>
          <w:lang w:val="en-US"/>
        </w:rPr>
        <w:t xml:space="preserve"> </w:t>
      </w:r>
      <w:r w:rsidRPr="00EA0483">
        <w:rPr>
          <w:i/>
          <w:iCs/>
          <w:lang w:val="en-US"/>
        </w:rPr>
        <w:t>Standard Precipitation Index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(SPI)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proposto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inicialmente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McKee </w:t>
      </w:r>
      <w:r>
        <w:rPr>
          <w:i/>
          <w:iCs/>
          <w:lang w:val="en-US"/>
        </w:rPr>
        <w:t>et al.</w:t>
      </w:r>
      <w:r>
        <w:rPr>
          <w:lang w:val="en-US"/>
        </w:rPr>
        <w:t xml:space="preserve"> (1993), </w:t>
      </w:r>
      <w:r w:rsidR="00504E28" w:rsidRPr="00AC7019">
        <w:t xml:space="preserve">objetivando uma ferramenta versátil para </w:t>
      </w:r>
      <w:proofErr w:type="gramStart"/>
      <w:r w:rsidR="00504E28" w:rsidRPr="00AC7019">
        <w:t>a</w:t>
      </w:r>
      <w:proofErr w:type="gramEnd"/>
      <w:r w:rsidR="00504E28" w:rsidRPr="00AC7019">
        <w:t xml:space="preserve"> análise de secas </w:t>
      </w:r>
      <w:r w:rsidR="00504E28" w:rsidRPr="00AC7019">
        <w:lastRenderedPageBreak/>
        <w:t>meteorológicas</w:t>
      </w:r>
      <w:r w:rsidR="00504E28">
        <w:t xml:space="preserve">, visto que utiliza apenas </w:t>
      </w:r>
      <w:r w:rsidR="00504E28" w:rsidRPr="00AC7019">
        <w:t>dados de precipitação para sua determinação</w:t>
      </w:r>
      <w:r w:rsidR="00504E28">
        <w:t>.</w:t>
      </w:r>
    </w:p>
    <w:p w14:paraId="460A5462" w14:textId="72E97E4D" w:rsidR="00504E28" w:rsidRDefault="00504E28" w:rsidP="00671703">
      <w:pPr>
        <w:tabs>
          <w:tab w:val="left" w:pos="0"/>
        </w:tabs>
      </w:pPr>
      <w:r>
        <w:tab/>
      </w:r>
      <w:r w:rsidR="00FB46A5">
        <w:t xml:space="preserve">Como apresentado por </w:t>
      </w:r>
      <w:proofErr w:type="spellStart"/>
      <w:r w:rsidR="00FB46A5">
        <w:t>McKee</w:t>
      </w:r>
      <w:proofErr w:type="spellEnd"/>
      <w:r w:rsidR="00FB46A5">
        <w:t xml:space="preserve"> </w:t>
      </w:r>
      <w:r w:rsidR="00FB46A5">
        <w:rPr>
          <w:i/>
          <w:iCs/>
        </w:rPr>
        <w:t>et al.</w:t>
      </w:r>
      <w:r w:rsidR="00FB46A5">
        <w:t xml:space="preserve"> (1993), esse índice pode ser determinado para uma variedade de escalas temporais na qual a precipitação mensal é agregada. Isso se apresenta como um ponto positivo, pois permite uma</w:t>
      </w:r>
      <w:r>
        <w:t xml:space="preserve"> flexibilidade na avaliação dos efeitos dos déficits de precipitação</w:t>
      </w:r>
      <w:r w:rsidR="00FB46A5">
        <w:t xml:space="preserve"> em diferentes escalas </w:t>
      </w:r>
      <w:r>
        <w:t>nos recursos hídricos,</w:t>
      </w:r>
      <w:r w:rsidR="00FB46A5">
        <w:t xml:space="preserve"> por exemplo, </w:t>
      </w:r>
      <w:r>
        <w:t>escalas temporais curtas e longas</w:t>
      </w:r>
      <w:r w:rsidR="00FB46A5">
        <w:t xml:space="preserve"> acarretam impactos, respectivamente, </w:t>
      </w:r>
      <w:r>
        <w:t>na umidade do solo e na disponibilidade hídrica superficial.</w:t>
      </w:r>
    </w:p>
    <w:p w14:paraId="4A858DE8" w14:textId="512AD5B5" w:rsidR="00FB46A5" w:rsidRDefault="00FB46A5" w:rsidP="00671703">
      <w:pPr>
        <w:tabs>
          <w:tab w:val="left" w:pos="0"/>
        </w:tabs>
      </w:pPr>
      <w:r>
        <w:tab/>
        <w:t xml:space="preserve">O procedimento para determinação do SPI consiste na aproximação da série temporal de precipitação agregada em uma escala de n-meses a uma distribuição de probabilidade acumulada, geralmente do tipo </w:t>
      </w:r>
      <w:proofErr w:type="spellStart"/>
      <w:r>
        <w:t>Gamma</w:t>
      </w:r>
      <w:proofErr w:type="spellEnd"/>
      <w:r>
        <w:t>, possibilitando a determinação da probabilidade de não excedência das precipitações agregadas</w:t>
      </w:r>
      <w:r w:rsidR="005E71BC">
        <w:t xml:space="preserve"> </w:t>
      </w:r>
      <w:r>
        <w:t>que compõem a série temporal supracitada. Essa</w:t>
      </w:r>
      <w:r w:rsidR="005E71BC">
        <w:t>s</w:t>
      </w:r>
      <w:r>
        <w:t xml:space="preserve"> probabilidade</w:t>
      </w:r>
      <w:r w:rsidR="005E71BC">
        <w:t>s</w:t>
      </w:r>
      <w:r>
        <w:t>, então, d</w:t>
      </w:r>
      <w:r w:rsidR="005E71BC">
        <w:t>ão</w:t>
      </w:r>
      <w:r>
        <w:t xml:space="preserve"> origem ao SPI através da função inversa da distribuição normal padrão (Equação 1) </w:t>
      </w:r>
      <w:r w:rsidRPr="00AC7019">
        <w:t xml:space="preserve">(ROCHA </w:t>
      </w:r>
      <w:r w:rsidRPr="00AC7019">
        <w:rPr>
          <w:i/>
          <w:iCs/>
        </w:rPr>
        <w:t>et al.</w:t>
      </w:r>
      <w:r w:rsidRPr="00AC7019">
        <w:t xml:space="preserve">, 2019; GUENANG e KAMGA, 2014; MCKEE </w:t>
      </w:r>
      <w:r w:rsidRPr="00AC7019">
        <w:rPr>
          <w:i/>
          <w:iCs/>
        </w:rPr>
        <w:t>et al.,</w:t>
      </w:r>
      <w:r w:rsidRPr="00AC7019">
        <w:t xml:space="preserve"> 1993).</w:t>
      </w:r>
    </w:p>
    <w:p w14:paraId="697D6030" w14:textId="03D60DBE" w:rsidR="00FB46A5" w:rsidRPr="00FB46A5" w:rsidRDefault="00FB46A5" w:rsidP="00671703">
      <w:pPr>
        <w:tabs>
          <w:tab w:val="left" w:pos="0"/>
        </w:tabs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SPI=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                                                   (1)</m:t>
          </m:r>
        </m:oMath>
      </m:oMathPara>
    </w:p>
    <w:p w14:paraId="45D9D457" w14:textId="12BBE21A" w:rsidR="00FB46A5" w:rsidRDefault="00FB46A5" w:rsidP="00671703">
      <w:pPr>
        <w:tabs>
          <w:tab w:val="left" w:pos="0"/>
        </w:tabs>
        <w:rPr>
          <w:rFonts w:eastAsiaTheme="minorEastAsia"/>
        </w:rPr>
      </w:pPr>
      <w:r>
        <w:rPr>
          <w:rFonts w:eastAsiaTheme="minorEastAsia"/>
        </w:rPr>
        <w:tab/>
      </w:r>
      <w:r w:rsidRPr="00AC7019">
        <w:rPr>
          <w:rFonts w:eastAsiaTheme="minorEastAsia"/>
        </w:rPr>
        <w:t>Em que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é a precipitação agregada na escala adotada para o SPI;</w:t>
      </w:r>
      <w:r w:rsidRPr="00AC701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AC7019">
        <w:rPr>
          <w:rFonts w:eastAsiaTheme="minorEastAsia"/>
        </w:rPr>
        <w:t xml:space="preserve"> é a função Gamma, que retornar à probabilidade de não excedência do evento </w:t>
      </w:r>
      <m:oMath>
        <m:r>
          <w:rPr>
            <w:rFonts w:ascii="Cambria Math" w:eastAsiaTheme="minorEastAsia" w:hAnsi="Cambria Math"/>
          </w:rPr>
          <m:t>x</m:t>
        </m:r>
      </m:oMath>
      <w:r w:rsidRPr="00AC7019">
        <w:rPr>
          <w:rFonts w:eastAsiaTheme="minorEastAsia"/>
        </w:rPr>
        <w:t xml:space="preserve">;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AC7019">
        <w:rPr>
          <w:rFonts w:eastAsiaTheme="minorEastAsia"/>
        </w:rPr>
        <w:t xml:space="preserve"> é a função inversa da distribuição normal padrão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  <w:r w:rsidRPr="00AC7019">
        <w:rPr>
          <w:rFonts w:eastAsiaTheme="minorEastAsia"/>
        </w:rPr>
        <w:t>, a qual possui média igual a zero e desvio padrão unitário.</w:t>
      </w:r>
    </w:p>
    <w:p w14:paraId="4CDDAE6D" w14:textId="730B45BD" w:rsidR="00671703" w:rsidRDefault="00671703" w:rsidP="00671703">
      <w:pPr>
        <w:tabs>
          <w:tab w:val="left" w:pos="0"/>
        </w:tabs>
      </w:pPr>
      <w:r>
        <w:rPr>
          <w:rFonts w:eastAsiaTheme="minorEastAsia"/>
        </w:rPr>
        <w:tab/>
      </w:r>
      <w:r w:rsidRPr="005E71BC">
        <w:t>Por definição, o SPI representa a quantidade de desvios</w:t>
      </w:r>
      <w:r w:rsidR="005E71BC">
        <w:t xml:space="preserve"> padrões</w:t>
      </w:r>
      <w:r w:rsidRPr="005E71BC">
        <w:t xml:space="preserve"> que um evento específico de precipitação </w:t>
      </w:r>
      <w:r w:rsidR="005E71BC">
        <w:t>mensal agregada</w:t>
      </w:r>
      <w:r w:rsidRPr="005E71BC">
        <w:t xml:space="preserve"> em uma janela de n-meses</w:t>
      </w:r>
      <w:r w:rsidR="005E71BC" w:rsidRPr="005E71BC">
        <w:t xml:space="preserve"> </w:t>
      </w:r>
      <w:r w:rsidRPr="005E71BC">
        <w:t>possui em relação à média de uma distribuição normal padronizada oriunda da série temporal</w:t>
      </w:r>
      <w:r w:rsidR="005E71BC">
        <w:t xml:space="preserve"> de longo prazo</w:t>
      </w:r>
      <w:r w:rsidRPr="005E71BC">
        <w:t xml:space="preserve"> de </w:t>
      </w:r>
      <w:r w:rsidR="005E71BC">
        <w:t>precipitações mensais agregadas</w:t>
      </w:r>
      <w:r w:rsidRPr="005E71BC">
        <w:t xml:space="preserve"> nessa mesma janela.</w:t>
      </w:r>
      <w:r>
        <w:t xml:space="preserve"> De acordo com o valor do SPI, pode-se classificar o evento de seca em 7 categorias, como apresentado na Tabela</w:t>
      </w:r>
      <w:r w:rsidR="005E71BC">
        <w:t> </w:t>
      </w:r>
      <w:r>
        <w:t xml:space="preserve">1. </w:t>
      </w:r>
    </w:p>
    <w:p w14:paraId="094A8F38" w14:textId="77777777" w:rsidR="00671703" w:rsidRPr="009E3FA5" w:rsidRDefault="00671703" w:rsidP="00671703">
      <w:pPr>
        <w:pStyle w:val="Legenda"/>
        <w:keepNext/>
        <w:tabs>
          <w:tab w:val="left" w:pos="0"/>
        </w:tabs>
        <w:rPr>
          <w:i/>
          <w:iCs w:val="0"/>
          <w:szCs w:val="20"/>
        </w:rPr>
      </w:pPr>
      <w:r>
        <w:tab/>
      </w:r>
      <w:r w:rsidRPr="009E3FA5">
        <w:rPr>
          <w:bCs/>
          <w:iCs w:val="0"/>
          <w:szCs w:val="20"/>
        </w:rPr>
        <w:t xml:space="preserve">Tabela </w:t>
      </w:r>
      <w:r w:rsidRPr="009E3FA5">
        <w:rPr>
          <w:b w:val="0"/>
          <w:bCs/>
          <w:i/>
          <w:iCs w:val="0"/>
          <w:szCs w:val="20"/>
        </w:rPr>
        <w:fldChar w:fldCharType="begin"/>
      </w:r>
      <w:r w:rsidRPr="009E3FA5">
        <w:rPr>
          <w:bCs/>
          <w:iCs w:val="0"/>
          <w:szCs w:val="20"/>
        </w:rPr>
        <w:instrText xml:space="preserve"> SEQ Tabela \* ARABIC </w:instrText>
      </w:r>
      <w:r w:rsidRPr="009E3FA5">
        <w:rPr>
          <w:b w:val="0"/>
          <w:bCs/>
          <w:i/>
          <w:iCs w:val="0"/>
          <w:szCs w:val="20"/>
        </w:rPr>
        <w:fldChar w:fldCharType="separate"/>
      </w:r>
      <w:r>
        <w:rPr>
          <w:bCs/>
          <w:iCs w:val="0"/>
          <w:noProof/>
          <w:szCs w:val="20"/>
        </w:rPr>
        <w:t>1</w:t>
      </w:r>
      <w:r w:rsidRPr="009E3FA5">
        <w:rPr>
          <w:b w:val="0"/>
          <w:bCs/>
          <w:i/>
          <w:iCs w:val="0"/>
          <w:szCs w:val="20"/>
        </w:rPr>
        <w:fldChar w:fldCharType="end"/>
      </w:r>
      <w:r w:rsidRPr="009E3FA5">
        <w:rPr>
          <w:bCs/>
          <w:iCs w:val="0"/>
          <w:szCs w:val="20"/>
        </w:rPr>
        <w:t xml:space="preserve"> –</w:t>
      </w:r>
      <w:r w:rsidRPr="009E3FA5">
        <w:rPr>
          <w:iCs w:val="0"/>
          <w:szCs w:val="20"/>
        </w:rPr>
        <w:t xml:space="preserve"> Classificação dos valores do SPI e os limites de probabilidade correspondentes (Adaptado de BAZRAFSHAN </w:t>
      </w:r>
      <w:r w:rsidRPr="009E3FA5">
        <w:rPr>
          <w:szCs w:val="20"/>
        </w:rPr>
        <w:t>et al.</w:t>
      </w:r>
      <w:r w:rsidRPr="009E3FA5">
        <w:rPr>
          <w:iCs w:val="0"/>
          <w:szCs w:val="20"/>
        </w:rPr>
        <w:t>, 2014).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2685"/>
        <w:gridCol w:w="2818"/>
      </w:tblGrid>
      <w:tr w:rsidR="00671703" w:rsidRPr="009E3FA5" w14:paraId="418CE08A" w14:textId="77777777" w:rsidTr="00FB2685">
        <w:trPr>
          <w:jc w:val="center"/>
        </w:trPr>
        <w:tc>
          <w:tcPr>
            <w:tcW w:w="0" w:type="auto"/>
          </w:tcPr>
          <w:p w14:paraId="0C651C22" w14:textId="77777777" w:rsidR="00671703" w:rsidRPr="009E3FA5" w:rsidRDefault="00671703" w:rsidP="00671703">
            <w:pPr>
              <w:tabs>
                <w:tab w:val="left" w:pos="0"/>
              </w:tabs>
              <w:jc w:val="center"/>
            </w:pPr>
            <w:r w:rsidRPr="009E3FA5">
              <w:t>Valor do SPI</w:t>
            </w:r>
          </w:p>
        </w:tc>
        <w:tc>
          <w:tcPr>
            <w:tcW w:w="0" w:type="auto"/>
          </w:tcPr>
          <w:p w14:paraId="1DF4EE17" w14:textId="77777777" w:rsidR="00671703" w:rsidRPr="009E3FA5" w:rsidRDefault="00671703" w:rsidP="00671703">
            <w:pPr>
              <w:tabs>
                <w:tab w:val="left" w:pos="0"/>
              </w:tabs>
              <w:jc w:val="center"/>
            </w:pPr>
            <w:r w:rsidRPr="009E3FA5">
              <w:t>Categoria</w:t>
            </w:r>
          </w:p>
        </w:tc>
        <w:tc>
          <w:tcPr>
            <w:tcW w:w="0" w:type="auto"/>
          </w:tcPr>
          <w:p w14:paraId="585EA280" w14:textId="77777777" w:rsidR="00671703" w:rsidRPr="009E3FA5" w:rsidRDefault="00671703" w:rsidP="00671703">
            <w:pPr>
              <w:tabs>
                <w:tab w:val="left" w:pos="0"/>
              </w:tabs>
              <w:jc w:val="center"/>
            </w:pPr>
            <w:r w:rsidRPr="009E3FA5">
              <w:t>Limites de probabilidade</w:t>
            </w:r>
          </w:p>
        </w:tc>
      </w:tr>
      <w:tr w:rsidR="00671703" w:rsidRPr="009E3FA5" w14:paraId="52B5E7DE" w14:textId="77777777" w:rsidTr="00FB2685">
        <w:trPr>
          <w:jc w:val="center"/>
        </w:trPr>
        <w:tc>
          <w:tcPr>
            <w:tcW w:w="0" w:type="auto"/>
          </w:tcPr>
          <w:p w14:paraId="548EF861" w14:textId="77777777" w:rsidR="00671703" w:rsidRPr="009E3FA5" w:rsidRDefault="00671703" w:rsidP="00671703">
            <w:pPr>
              <w:tabs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SPI≥2.00</m:t>
                </m:r>
              </m:oMath>
            </m:oMathPara>
          </w:p>
        </w:tc>
        <w:tc>
          <w:tcPr>
            <w:tcW w:w="0" w:type="auto"/>
          </w:tcPr>
          <w:p w14:paraId="0BDB90CF" w14:textId="77777777" w:rsidR="00671703" w:rsidRPr="009E3FA5" w:rsidRDefault="00671703" w:rsidP="00671703">
            <w:pPr>
              <w:tabs>
                <w:tab w:val="left" w:pos="0"/>
              </w:tabs>
            </w:pPr>
            <w:r w:rsidRPr="009E3FA5">
              <w:t>Extremamente úmido</w:t>
            </w:r>
          </w:p>
        </w:tc>
        <w:tc>
          <w:tcPr>
            <w:tcW w:w="0" w:type="auto"/>
          </w:tcPr>
          <w:p w14:paraId="014F1A70" w14:textId="77777777" w:rsidR="00671703" w:rsidRPr="009E3FA5" w:rsidRDefault="00671703" w:rsidP="00671703">
            <w:pPr>
              <w:tabs>
                <w:tab w:val="left" w:pos="0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≥97%</m:t>
                </m:r>
              </m:oMath>
            </m:oMathPara>
          </w:p>
        </w:tc>
      </w:tr>
      <w:tr w:rsidR="00671703" w:rsidRPr="009E3FA5" w14:paraId="5F3D4356" w14:textId="77777777" w:rsidTr="00FB2685">
        <w:trPr>
          <w:jc w:val="center"/>
        </w:trPr>
        <w:tc>
          <w:tcPr>
            <w:tcW w:w="0" w:type="auto"/>
          </w:tcPr>
          <w:p w14:paraId="278D1DCC" w14:textId="77777777" w:rsidR="00671703" w:rsidRPr="009E3FA5" w:rsidRDefault="00671703" w:rsidP="00671703">
            <w:pPr>
              <w:tabs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1.50≤SPI≤1.99</m:t>
                </m:r>
              </m:oMath>
            </m:oMathPara>
          </w:p>
        </w:tc>
        <w:tc>
          <w:tcPr>
            <w:tcW w:w="0" w:type="auto"/>
          </w:tcPr>
          <w:p w14:paraId="6BBCDA7F" w14:textId="77777777" w:rsidR="00671703" w:rsidRPr="009E3FA5" w:rsidRDefault="00671703" w:rsidP="00671703">
            <w:pPr>
              <w:tabs>
                <w:tab w:val="left" w:pos="0"/>
              </w:tabs>
            </w:pPr>
            <w:r w:rsidRPr="009E3FA5">
              <w:t>Severamente úmido</w:t>
            </w:r>
          </w:p>
        </w:tc>
        <w:tc>
          <w:tcPr>
            <w:tcW w:w="0" w:type="auto"/>
          </w:tcPr>
          <w:p w14:paraId="47172D9A" w14:textId="77777777" w:rsidR="00671703" w:rsidRPr="009E3FA5" w:rsidRDefault="00671703" w:rsidP="00671703">
            <w:pPr>
              <w:tabs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93,3%-97.7%</m:t>
                </m:r>
              </m:oMath>
            </m:oMathPara>
          </w:p>
        </w:tc>
      </w:tr>
      <w:tr w:rsidR="00671703" w:rsidRPr="009E3FA5" w14:paraId="6D8F44D2" w14:textId="77777777" w:rsidTr="00FB2685">
        <w:trPr>
          <w:jc w:val="center"/>
        </w:trPr>
        <w:tc>
          <w:tcPr>
            <w:tcW w:w="0" w:type="auto"/>
          </w:tcPr>
          <w:p w14:paraId="4C4D24A4" w14:textId="77777777" w:rsidR="00671703" w:rsidRPr="009E3FA5" w:rsidRDefault="00671703" w:rsidP="00671703">
            <w:pPr>
              <w:tabs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1.00≤SPI≤1.49</m:t>
                </m:r>
              </m:oMath>
            </m:oMathPara>
          </w:p>
        </w:tc>
        <w:tc>
          <w:tcPr>
            <w:tcW w:w="0" w:type="auto"/>
          </w:tcPr>
          <w:p w14:paraId="46837EB8" w14:textId="77777777" w:rsidR="00671703" w:rsidRPr="009E3FA5" w:rsidRDefault="00671703" w:rsidP="00671703">
            <w:pPr>
              <w:tabs>
                <w:tab w:val="left" w:pos="0"/>
              </w:tabs>
            </w:pPr>
            <w:r w:rsidRPr="009E3FA5">
              <w:t>Moderadamente úmido</w:t>
            </w:r>
          </w:p>
        </w:tc>
        <w:tc>
          <w:tcPr>
            <w:tcW w:w="0" w:type="auto"/>
          </w:tcPr>
          <w:p w14:paraId="3DA13C33" w14:textId="77777777" w:rsidR="00671703" w:rsidRPr="009E3FA5" w:rsidRDefault="00671703" w:rsidP="00671703">
            <w:pPr>
              <w:tabs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84.1%-93.3%</m:t>
                </m:r>
              </m:oMath>
            </m:oMathPara>
          </w:p>
        </w:tc>
      </w:tr>
      <w:tr w:rsidR="00671703" w:rsidRPr="009E3FA5" w14:paraId="197D9623" w14:textId="77777777" w:rsidTr="00FB2685">
        <w:trPr>
          <w:jc w:val="center"/>
        </w:trPr>
        <w:tc>
          <w:tcPr>
            <w:tcW w:w="0" w:type="auto"/>
          </w:tcPr>
          <w:p w14:paraId="2C501364" w14:textId="77777777" w:rsidR="00671703" w:rsidRPr="009E3FA5" w:rsidRDefault="00671703" w:rsidP="00671703">
            <w:pPr>
              <w:tabs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-0.99≤SPI≤0.99</m:t>
                </m:r>
              </m:oMath>
            </m:oMathPara>
          </w:p>
        </w:tc>
        <w:tc>
          <w:tcPr>
            <w:tcW w:w="0" w:type="auto"/>
          </w:tcPr>
          <w:p w14:paraId="1704BAC6" w14:textId="77777777" w:rsidR="00671703" w:rsidRPr="009E3FA5" w:rsidRDefault="00671703" w:rsidP="00671703">
            <w:pPr>
              <w:tabs>
                <w:tab w:val="left" w:pos="0"/>
              </w:tabs>
            </w:pPr>
            <w:r w:rsidRPr="009E3FA5">
              <w:t>Normal</w:t>
            </w:r>
          </w:p>
        </w:tc>
        <w:tc>
          <w:tcPr>
            <w:tcW w:w="0" w:type="auto"/>
          </w:tcPr>
          <w:p w14:paraId="2B7DF06F" w14:textId="77777777" w:rsidR="00671703" w:rsidRPr="009E3FA5" w:rsidRDefault="00671703" w:rsidP="00671703">
            <w:pPr>
              <w:tabs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15.9%-84.1%</m:t>
                </m:r>
              </m:oMath>
            </m:oMathPara>
          </w:p>
        </w:tc>
      </w:tr>
      <w:tr w:rsidR="00671703" w:rsidRPr="009E3FA5" w14:paraId="6DBB8381" w14:textId="77777777" w:rsidTr="00FB2685">
        <w:trPr>
          <w:jc w:val="center"/>
        </w:trPr>
        <w:tc>
          <w:tcPr>
            <w:tcW w:w="0" w:type="auto"/>
          </w:tcPr>
          <w:p w14:paraId="01F57EF5" w14:textId="77777777" w:rsidR="00671703" w:rsidRPr="009E3FA5" w:rsidRDefault="00671703" w:rsidP="00671703">
            <w:pPr>
              <w:tabs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-1.49≤SPI≤-1.00</m:t>
                </m:r>
              </m:oMath>
            </m:oMathPara>
          </w:p>
        </w:tc>
        <w:tc>
          <w:tcPr>
            <w:tcW w:w="0" w:type="auto"/>
          </w:tcPr>
          <w:p w14:paraId="42141FFF" w14:textId="77777777" w:rsidR="00671703" w:rsidRPr="009E3FA5" w:rsidRDefault="00671703" w:rsidP="00671703">
            <w:pPr>
              <w:tabs>
                <w:tab w:val="left" w:pos="0"/>
              </w:tabs>
            </w:pPr>
            <w:r w:rsidRPr="009E3FA5">
              <w:t>Moderadamente seco</w:t>
            </w:r>
          </w:p>
        </w:tc>
        <w:tc>
          <w:tcPr>
            <w:tcW w:w="0" w:type="auto"/>
          </w:tcPr>
          <w:p w14:paraId="191C4CD0" w14:textId="77777777" w:rsidR="00671703" w:rsidRPr="009E3FA5" w:rsidRDefault="00671703" w:rsidP="00671703">
            <w:pPr>
              <w:tabs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6.7%-15.9%</m:t>
                </m:r>
              </m:oMath>
            </m:oMathPara>
          </w:p>
        </w:tc>
      </w:tr>
      <w:tr w:rsidR="00671703" w:rsidRPr="009E3FA5" w14:paraId="566A4273" w14:textId="77777777" w:rsidTr="00FB2685">
        <w:trPr>
          <w:jc w:val="center"/>
        </w:trPr>
        <w:tc>
          <w:tcPr>
            <w:tcW w:w="0" w:type="auto"/>
          </w:tcPr>
          <w:p w14:paraId="4DB0D1B1" w14:textId="77777777" w:rsidR="00671703" w:rsidRPr="009E3FA5" w:rsidRDefault="00671703" w:rsidP="00671703">
            <w:pPr>
              <w:tabs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-1.99≤SPI≤1.50</m:t>
                </m:r>
              </m:oMath>
            </m:oMathPara>
          </w:p>
        </w:tc>
        <w:tc>
          <w:tcPr>
            <w:tcW w:w="0" w:type="auto"/>
          </w:tcPr>
          <w:p w14:paraId="13694773" w14:textId="77777777" w:rsidR="00671703" w:rsidRPr="009E3FA5" w:rsidRDefault="00671703" w:rsidP="00671703">
            <w:pPr>
              <w:tabs>
                <w:tab w:val="left" w:pos="0"/>
              </w:tabs>
            </w:pPr>
            <w:r w:rsidRPr="009E3FA5">
              <w:t>Severamente seco</w:t>
            </w:r>
          </w:p>
        </w:tc>
        <w:tc>
          <w:tcPr>
            <w:tcW w:w="0" w:type="auto"/>
          </w:tcPr>
          <w:p w14:paraId="48E6B994" w14:textId="77777777" w:rsidR="00671703" w:rsidRPr="009E3FA5" w:rsidRDefault="00671703" w:rsidP="00671703">
            <w:pPr>
              <w:tabs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2.3%-6.7%</m:t>
                </m:r>
              </m:oMath>
            </m:oMathPara>
          </w:p>
        </w:tc>
      </w:tr>
      <w:tr w:rsidR="00671703" w:rsidRPr="009E3FA5" w14:paraId="5953C52C" w14:textId="77777777" w:rsidTr="00FB2685">
        <w:trPr>
          <w:jc w:val="center"/>
        </w:trPr>
        <w:tc>
          <w:tcPr>
            <w:tcW w:w="0" w:type="auto"/>
          </w:tcPr>
          <w:p w14:paraId="45840DE5" w14:textId="77777777" w:rsidR="00671703" w:rsidRPr="009E3FA5" w:rsidRDefault="00671703" w:rsidP="00671703">
            <w:pPr>
              <w:tabs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SPI≤-2.00</m:t>
                </m:r>
              </m:oMath>
            </m:oMathPara>
          </w:p>
        </w:tc>
        <w:tc>
          <w:tcPr>
            <w:tcW w:w="0" w:type="auto"/>
          </w:tcPr>
          <w:p w14:paraId="7615D50B" w14:textId="77777777" w:rsidR="00671703" w:rsidRPr="009E3FA5" w:rsidRDefault="00671703" w:rsidP="00671703">
            <w:pPr>
              <w:tabs>
                <w:tab w:val="left" w:pos="0"/>
              </w:tabs>
            </w:pPr>
            <w:r w:rsidRPr="009E3FA5">
              <w:t>Extremamente seco</w:t>
            </w:r>
          </w:p>
        </w:tc>
        <w:tc>
          <w:tcPr>
            <w:tcW w:w="0" w:type="auto"/>
          </w:tcPr>
          <w:p w14:paraId="3E9AF272" w14:textId="77777777" w:rsidR="00671703" w:rsidRPr="009E3FA5" w:rsidRDefault="00671703" w:rsidP="00671703">
            <w:pPr>
              <w:tabs>
                <w:tab w:val="left" w:pos="0"/>
              </w:tabs>
            </w:pPr>
            <m:oMathPara>
              <m:oMath>
                <m:r>
                  <w:rPr>
                    <w:rFonts w:ascii="Cambria Math" w:hAnsi="Cambria Math"/>
                  </w:rPr>
                  <m:t>≤2.3%</m:t>
                </m:r>
              </m:oMath>
            </m:oMathPara>
          </w:p>
        </w:tc>
      </w:tr>
    </w:tbl>
    <w:p w14:paraId="40E09B66" w14:textId="7DC006F1" w:rsidR="00671703" w:rsidRDefault="00671703" w:rsidP="00671703">
      <w:pPr>
        <w:tabs>
          <w:tab w:val="left" w:pos="0"/>
        </w:tabs>
        <w:rPr>
          <w:rFonts w:eastAsiaTheme="minorEastAsia"/>
        </w:rPr>
      </w:pPr>
    </w:p>
    <w:p w14:paraId="5EE0B57B" w14:textId="77777777" w:rsidR="00DA75BA" w:rsidRDefault="00FB46A5" w:rsidP="00671703">
      <w:pPr>
        <w:tabs>
          <w:tab w:val="left" w:pos="0"/>
        </w:tabs>
        <w:rPr>
          <w:rFonts w:eastAsiaTheme="minorEastAsia"/>
        </w:rPr>
      </w:pPr>
      <w:r>
        <w:rPr>
          <w:rFonts w:eastAsiaTheme="minorEastAsia"/>
        </w:rPr>
        <w:tab/>
      </w:r>
      <w:r w:rsidR="00671703">
        <w:rPr>
          <w:rFonts w:eastAsiaTheme="minorEastAsia"/>
        </w:rPr>
        <w:t>No presente trabalho, adotou-se o SPI para uma escala de 12 meses (SPI-12)</w:t>
      </w:r>
      <w:r w:rsidR="00DA75BA">
        <w:rPr>
          <w:rFonts w:eastAsiaTheme="minorEastAsia"/>
        </w:rPr>
        <w:t>, calculando-o para cada um dos pontos da grade do GPCC contidos no território brasileiro</w:t>
      </w:r>
      <w:r w:rsidR="00671703">
        <w:rPr>
          <w:rFonts w:eastAsiaTheme="minorEastAsia"/>
        </w:rPr>
        <w:t xml:space="preserve">. </w:t>
      </w:r>
    </w:p>
    <w:p w14:paraId="64A8F238" w14:textId="43A2DD8E" w:rsidR="00B75657" w:rsidRDefault="00DA75BA" w:rsidP="00671703">
      <w:pPr>
        <w:tabs>
          <w:tab w:val="left" w:pos="0"/>
        </w:tabs>
        <w:rPr>
          <w:rFonts w:eastAsiaTheme="minorEastAsia"/>
        </w:rPr>
      </w:pPr>
      <w:r>
        <w:rPr>
          <w:rFonts w:eastAsiaTheme="minorEastAsia"/>
        </w:rPr>
        <w:tab/>
      </w:r>
      <w:r w:rsidR="005E71BC">
        <w:rPr>
          <w:rFonts w:eastAsiaTheme="minorEastAsia"/>
        </w:rPr>
        <w:t>Os procedimentos</w:t>
      </w:r>
      <w:r w:rsidR="00671703">
        <w:rPr>
          <w:rFonts w:eastAsiaTheme="minorEastAsia"/>
        </w:rPr>
        <w:t xml:space="preserve"> supracitad</w:t>
      </w:r>
      <w:r w:rsidR="005E71BC">
        <w:rPr>
          <w:rFonts w:eastAsiaTheme="minorEastAsia"/>
        </w:rPr>
        <w:t>os para determinação</w:t>
      </w:r>
      <w:r w:rsidR="00671703">
        <w:rPr>
          <w:rFonts w:eastAsiaTheme="minorEastAsia"/>
        </w:rPr>
        <w:t xml:space="preserve"> do SPI retorna</w:t>
      </w:r>
      <w:r w:rsidR="005E71BC">
        <w:rPr>
          <w:rFonts w:eastAsiaTheme="minorEastAsia"/>
        </w:rPr>
        <w:t>m</w:t>
      </w:r>
      <w:r w:rsidR="00671703">
        <w:rPr>
          <w:rFonts w:eastAsiaTheme="minorEastAsia"/>
        </w:rPr>
        <w:t xml:space="preserve"> uma série mensal contínua desse índice</w:t>
      </w:r>
      <w:r w:rsidR="00617BC7">
        <w:rPr>
          <w:rFonts w:eastAsiaTheme="minorEastAsia"/>
        </w:rPr>
        <w:t>, a qual apresenta uma dependência entre seus valores</w:t>
      </w:r>
      <w:r w:rsidR="00B75657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B75657">
        <w:rPr>
          <w:rFonts w:eastAsiaTheme="minorEastAsia"/>
        </w:rPr>
        <w:t xml:space="preserve">Como apontado por </w:t>
      </w:r>
      <w:r w:rsidR="00B75657" w:rsidRPr="00B75657">
        <w:t>Estácio</w:t>
      </w:r>
      <w:r w:rsidR="00B75657">
        <w:t xml:space="preserve"> </w:t>
      </w:r>
      <w:r w:rsidR="00B75657">
        <w:rPr>
          <w:i/>
          <w:iCs/>
        </w:rPr>
        <w:t>et al.</w:t>
      </w:r>
      <w:r w:rsidR="00B75657">
        <w:t xml:space="preserve"> (2021), as precipitações mensais agregadas para determinação do SPI-12 para dois meses</w:t>
      </w:r>
      <w:r w:rsidR="00617BC7">
        <w:rPr>
          <w:rFonts w:eastAsiaTheme="minorEastAsia"/>
        </w:rPr>
        <w:t xml:space="preserve"> consecutivos</w:t>
      </w:r>
      <w:r w:rsidR="00B75657">
        <w:rPr>
          <w:rFonts w:eastAsiaTheme="minorEastAsia"/>
        </w:rPr>
        <w:t xml:space="preserve"> se diferenciam apenas em 1 dos 12 valores agregados. Dessa forma, objetivando a remoção dessa dependência, optou-se por utilizar apenas o último mês de cada um dos anos que compunham a série temporal mensal do SPI-12, dando origem a uma série anual de SPI-12.</w:t>
      </w:r>
      <w:r w:rsidR="00B75657">
        <w:rPr>
          <w:rFonts w:eastAsiaTheme="minorEastAsia"/>
        </w:rPr>
        <w:tab/>
      </w:r>
    </w:p>
    <w:p w14:paraId="1D968B61" w14:textId="73FDA362" w:rsidR="00B9134B" w:rsidRPr="00671703" w:rsidRDefault="00E45C2F" w:rsidP="00671703">
      <w:pPr>
        <w:tabs>
          <w:tab w:val="left" w:pos="0"/>
        </w:tabs>
      </w:pPr>
      <w:r>
        <w:tab/>
      </w:r>
    </w:p>
    <w:p w14:paraId="662D8246" w14:textId="4D158BEF" w:rsidR="00571D1D" w:rsidRDefault="00E45C2F" w:rsidP="00671703">
      <w:pPr>
        <w:pStyle w:val="Ttulo2"/>
        <w:tabs>
          <w:tab w:val="left" w:pos="0"/>
        </w:tabs>
      </w:pPr>
      <w:r>
        <w:t xml:space="preserve">Transformada em </w:t>
      </w:r>
      <w:proofErr w:type="spellStart"/>
      <w:r>
        <w:t>Ondeletas</w:t>
      </w:r>
      <w:proofErr w:type="spellEnd"/>
    </w:p>
    <w:p w14:paraId="5A2E6321" w14:textId="6E9373DD" w:rsidR="00E45C2F" w:rsidRDefault="00E45C2F" w:rsidP="00E45C2F">
      <w:r>
        <w:tab/>
      </w:r>
      <w:r w:rsidR="005A189F">
        <w:t xml:space="preserve">A Transformada em </w:t>
      </w:r>
      <w:proofErr w:type="spellStart"/>
      <w:r w:rsidR="005A189F">
        <w:t>Ondeletas</w:t>
      </w:r>
      <w:proofErr w:type="spellEnd"/>
      <w:r w:rsidR="005A189F">
        <w:t xml:space="preserve"> (TO) foi utilizada para analisar os modos de variabilidade das séries anuais de SPI-12 para cada um dos pontos de grid do GPCC contidos no território brasileiro.</w:t>
      </w:r>
    </w:p>
    <w:p w14:paraId="29D0D036" w14:textId="0E9BB17F" w:rsidR="005A189F" w:rsidRDefault="005A189F" w:rsidP="00E45C2F">
      <w:r>
        <w:tab/>
        <w:t xml:space="preserve">A TO permite a análise dos padrões de </w:t>
      </w:r>
      <w:proofErr w:type="spellStart"/>
      <w:r>
        <w:t>multifrequência</w:t>
      </w:r>
      <w:r w:rsidR="00533471">
        <w:t>s</w:t>
      </w:r>
      <w:proofErr w:type="spellEnd"/>
      <w:r>
        <w:t xml:space="preserve"> que compõem a série temporal original, sendo uma metodologia bastante utilizada para determinação </w:t>
      </w:r>
      <w:r w:rsidR="00533471">
        <w:t>dos modos de variabilidade dominantes e da variação desses modos ao longo de uma série temporal não estacionária. A decomposição do sinal original no domínio do tempo-frequência é feita através da translação e dilatação de uma função geradora base</w:t>
      </w:r>
      <w:r w:rsidR="00A93175">
        <w:t xml:space="preserve"> (</w:t>
      </w:r>
      <w:proofErr w:type="spellStart"/>
      <w:r w:rsidR="00A93175">
        <w:t>ondeleta</w:t>
      </w:r>
      <w:proofErr w:type="spellEnd"/>
      <w:r w:rsidR="00A93175">
        <w:t xml:space="preserve"> mãe)</w:t>
      </w:r>
      <w:r w:rsidR="00533471">
        <w:t xml:space="preserve"> que gera um conjunto de funções</w:t>
      </w:r>
      <w:r w:rsidR="00A93175">
        <w:t xml:space="preserve"> (</w:t>
      </w:r>
      <w:proofErr w:type="spellStart"/>
      <w:r w:rsidR="00A93175">
        <w:t>ondeletas</w:t>
      </w:r>
      <w:proofErr w:type="spellEnd"/>
      <w:r w:rsidR="00A93175">
        <w:t xml:space="preserve"> filhas)</w:t>
      </w:r>
      <w:r w:rsidR="00533471">
        <w:t xml:space="preserve"> de frequência variada,</w:t>
      </w:r>
      <w:r w:rsidR="00A93175">
        <w:t xml:space="preserve"> devido a dilatação, e de posicionamento variado ao longo do sinal, devido a translação</w:t>
      </w:r>
      <w:r w:rsidR="00533471">
        <w:t xml:space="preserve"> </w:t>
      </w:r>
      <w:r w:rsidR="00A93175">
        <w:t xml:space="preserve">(Rocha e Souza Filho, 2020; Lima </w:t>
      </w:r>
      <w:r w:rsidR="00A93175">
        <w:rPr>
          <w:i/>
          <w:iCs/>
        </w:rPr>
        <w:t>et al.</w:t>
      </w:r>
      <w:r w:rsidR="00A93175">
        <w:t xml:space="preserve"> 2021; </w:t>
      </w:r>
      <w:proofErr w:type="spellStart"/>
      <w:r w:rsidR="00A93175">
        <w:t>Torrence</w:t>
      </w:r>
      <w:proofErr w:type="spellEnd"/>
      <w:r w:rsidR="00A93175">
        <w:t xml:space="preserve"> e </w:t>
      </w:r>
      <w:proofErr w:type="spellStart"/>
      <w:r w:rsidR="00A93175">
        <w:t>Compo</w:t>
      </w:r>
      <w:proofErr w:type="spellEnd"/>
      <w:r w:rsidR="00A93175">
        <w:t>, 1998).</w:t>
      </w:r>
    </w:p>
    <w:p w14:paraId="05F50492" w14:textId="1BF735B0" w:rsidR="003737A3" w:rsidRDefault="003737A3" w:rsidP="00E45C2F">
      <w:r>
        <w:lastRenderedPageBreak/>
        <w:tab/>
        <w:t xml:space="preserve">Como apontado por Alves </w:t>
      </w:r>
      <w:r>
        <w:rPr>
          <w:i/>
          <w:iCs/>
        </w:rPr>
        <w:t>et al.</w:t>
      </w:r>
      <w:r>
        <w:t xml:space="preserve"> (2013), </w:t>
      </w:r>
      <w:r w:rsidR="00793EC5">
        <w:t xml:space="preserve">a função geradora, ou </w:t>
      </w:r>
      <w:proofErr w:type="spellStart"/>
      <w:r w:rsidR="00793EC5">
        <w:t>ondeleta</w:t>
      </w:r>
      <w:proofErr w:type="spellEnd"/>
      <w:r w:rsidR="00793EC5">
        <w:t xml:space="preserve"> mãe, pode ser do tipo discreta ou contínua. Para cada um desses tipos de </w:t>
      </w:r>
      <w:proofErr w:type="spellStart"/>
      <w:r w:rsidR="00793EC5">
        <w:t>ondeleta</w:t>
      </w:r>
      <w:proofErr w:type="spellEnd"/>
      <w:r w:rsidR="00793EC5">
        <w:t>, há uma variedade de funções base, cada qual com suas especificidades e mais adequadas para determinadas aplicações.</w:t>
      </w:r>
    </w:p>
    <w:p w14:paraId="541AA75B" w14:textId="28E9CE19" w:rsidR="00793EC5" w:rsidRDefault="00793EC5" w:rsidP="00E45C2F">
      <w:r>
        <w:tab/>
        <w:t xml:space="preserve">No presente trabalhou, adotou-se </w:t>
      </w:r>
      <w:r w:rsidR="0099487D">
        <w:t xml:space="preserve">a </w:t>
      </w:r>
      <w:proofErr w:type="spellStart"/>
      <w:r w:rsidR="0099487D">
        <w:t>ondeleta</w:t>
      </w:r>
      <w:proofErr w:type="spellEnd"/>
      <w:r w:rsidR="0099487D">
        <w:t xml:space="preserve"> contínua de </w:t>
      </w:r>
      <w:proofErr w:type="spellStart"/>
      <w:r w:rsidR="0099487D">
        <w:t>Morlet</w:t>
      </w:r>
      <w:proofErr w:type="spellEnd"/>
      <w:r w:rsidR="00C93DB1">
        <w:t xml:space="preserve"> como função base geradora das </w:t>
      </w:r>
      <w:proofErr w:type="spellStart"/>
      <w:r w:rsidR="00C93DB1">
        <w:t>ondeletas</w:t>
      </w:r>
      <w:proofErr w:type="spellEnd"/>
      <w:r w:rsidR="00C93DB1">
        <w:t xml:space="preserve"> filhas. A escolha da </w:t>
      </w:r>
      <w:proofErr w:type="spellStart"/>
      <w:r w:rsidR="00C93DB1">
        <w:t>ondeleta</w:t>
      </w:r>
      <w:proofErr w:type="spellEnd"/>
      <w:r w:rsidR="00C93DB1">
        <w:t xml:space="preserve"> de </w:t>
      </w:r>
      <w:proofErr w:type="spellStart"/>
      <w:r w:rsidR="00C93DB1">
        <w:t>Morlet</w:t>
      </w:r>
      <w:proofErr w:type="spellEnd"/>
      <w:r w:rsidR="00C93DB1">
        <w:t xml:space="preserve"> se </w:t>
      </w:r>
      <w:r w:rsidR="0099487D">
        <w:t xml:space="preserve">baseia em sua recorrente aplicação na análise de variabilidade de séries </w:t>
      </w:r>
      <w:proofErr w:type="spellStart"/>
      <w:r w:rsidR="0099487D">
        <w:t>hidrometeorológicas</w:t>
      </w:r>
      <w:proofErr w:type="spellEnd"/>
      <w:r w:rsidR="0099487D">
        <w:t xml:space="preserve">, tais como: Rocha e Souza Filho (2020), Lima </w:t>
      </w:r>
      <w:r w:rsidR="0099487D">
        <w:rPr>
          <w:i/>
          <w:iCs/>
        </w:rPr>
        <w:t>et al.</w:t>
      </w:r>
      <w:r w:rsidR="0099487D">
        <w:t xml:space="preserve"> (2021), Alves</w:t>
      </w:r>
      <w:r w:rsidR="0099487D">
        <w:rPr>
          <w:i/>
          <w:iCs/>
        </w:rPr>
        <w:t xml:space="preserve"> et al.</w:t>
      </w:r>
      <w:r w:rsidR="0099487D">
        <w:t xml:space="preserve"> (2013) e </w:t>
      </w:r>
      <w:proofErr w:type="spellStart"/>
      <w:r w:rsidR="0099487D" w:rsidRPr="0099487D">
        <w:t>Kömüşcü</w:t>
      </w:r>
      <w:proofErr w:type="spellEnd"/>
      <w:r w:rsidR="0099487D">
        <w:t xml:space="preserve"> e </w:t>
      </w:r>
      <w:proofErr w:type="spellStart"/>
      <w:r w:rsidR="0099487D">
        <w:t>Aksoy</w:t>
      </w:r>
      <w:proofErr w:type="spellEnd"/>
      <w:r w:rsidR="0099487D">
        <w:t xml:space="preserve"> (2023). Além disso, </w:t>
      </w:r>
      <w:proofErr w:type="spellStart"/>
      <w:r w:rsidR="0099487D">
        <w:t>Torrence</w:t>
      </w:r>
      <w:proofErr w:type="spellEnd"/>
      <w:r w:rsidR="0099487D">
        <w:t xml:space="preserve"> e </w:t>
      </w:r>
      <w:proofErr w:type="spellStart"/>
      <w:r w:rsidR="0099487D">
        <w:t>Compo</w:t>
      </w:r>
      <w:proofErr w:type="spellEnd"/>
      <w:r w:rsidR="0099487D">
        <w:t xml:space="preserve"> (1998) recomendam a sua utilização para análise de variáveis geofísicas. A </w:t>
      </w:r>
      <w:proofErr w:type="spellStart"/>
      <w:r w:rsidR="0099487D">
        <w:t>ondeleta</w:t>
      </w:r>
      <w:proofErr w:type="spellEnd"/>
      <w:r w:rsidR="0099487D">
        <w:t xml:space="preserve"> contínua de </w:t>
      </w:r>
      <w:proofErr w:type="spellStart"/>
      <w:r w:rsidR="0099487D">
        <w:t>Morlet</w:t>
      </w:r>
      <w:proofErr w:type="spellEnd"/>
      <w:r w:rsidR="0099487D">
        <w:t xml:space="preserve"> é dada pela Equação 2. </w:t>
      </w:r>
    </w:p>
    <w:p w14:paraId="0F17A495" w14:textId="56FEFF3C" w:rsidR="0099487D" w:rsidRPr="0099487D" w:rsidRDefault="0099487D" w:rsidP="00E45C2F"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η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-η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                                                         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)</m:t>
          </m:r>
        </m:oMath>
      </m:oMathPara>
    </w:p>
    <w:p w14:paraId="43D3D9FB" w14:textId="361D79A2" w:rsidR="00A93175" w:rsidRDefault="003737A3" w:rsidP="00E45C2F">
      <w:r>
        <w:tab/>
      </w:r>
      <w:r w:rsidR="0099487D" w:rsidRPr="0099487D">
        <w:rPr>
          <w:highlight w:val="red"/>
        </w:rPr>
        <w:t>DESCREVER VARIÁVEIS.</w:t>
      </w:r>
    </w:p>
    <w:p w14:paraId="0479D3DE" w14:textId="3D4A9A89" w:rsidR="00C97EE1" w:rsidRDefault="0099487D" w:rsidP="00E45C2F">
      <w:r>
        <w:tab/>
      </w:r>
      <w:r w:rsidR="00D171C7">
        <w:t xml:space="preserve">Após a decomposição do sinal original em um conjunto de </w:t>
      </w:r>
      <w:proofErr w:type="spellStart"/>
      <w:r w:rsidR="00D171C7">
        <w:t>ondeletas</w:t>
      </w:r>
      <w:proofErr w:type="spellEnd"/>
      <w:r w:rsidR="00D171C7">
        <w:t xml:space="preserve"> filhas originadas</w:t>
      </w:r>
      <w:r w:rsidR="00C97EE1">
        <w:t xml:space="preserve"> </w:t>
      </w:r>
      <w:r w:rsidR="00D171C7">
        <w:t xml:space="preserve">da </w:t>
      </w:r>
      <w:proofErr w:type="spellStart"/>
      <w:r w:rsidR="00D171C7">
        <w:t>ondeleta</w:t>
      </w:r>
      <w:proofErr w:type="spellEnd"/>
      <w:r w:rsidR="00D171C7">
        <w:t xml:space="preserve"> de </w:t>
      </w:r>
      <w:proofErr w:type="spellStart"/>
      <w:r w:rsidR="00D171C7">
        <w:t>Morlet</w:t>
      </w:r>
      <w:proofErr w:type="spellEnd"/>
      <w:r w:rsidR="00D171C7">
        <w:t xml:space="preserve">, em outras palavras, a obtenção dos coeficientes das </w:t>
      </w:r>
      <w:proofErr w:type="spellStart"/>
      <w:r w:rsidR="00D171C7">
        <w:t>ondeletas</w:t>
      </w:r>
      <w:proofErr w:type="spellEnd"/>
      <w:r w:rsidR="00D171C7">
        <w:t xml:space="preserve"> no domínio da frequência, </w:t>
      </w:r>
      <w:r w:rsidR="00C97EE1">
        <w:t>filtrou-se</w:t>
      </w:r>
      <w:r w:rsidR="00D171C7">
        <w:t xml:space="preserve"> o sinal decomposto em </w:t>
      </w:r>
      <w:r w:rsidR="00C97EE1">
        <w:t>duas</w:t>
      </w:r>
      <w:r w:rsidR="00D171C7">
        <w:t xml:space="preserve"> diferentes bandas de frequência: Alta Frequência (2 a 8 anos)</w:t>
      </w:r>
      <w:r w:rsidR="00C97EE1">
        <w:t xml:space="preserve"> e</w:t>
      </w:r>
      <w:r w:rsidR="00D171C7">
        <w:t xml:space="preserve"> Média Frequência (9 até 40 anos)</w:t>
      </w:r>
      <w:r w:rsidR="00C97EE1">
        <w:t>, para uma posterior reconstrução dessas bandas no domínio do tempo</w:t>
      </w:r>
      <w:r w:rsidR="00D171C7">
        <w:t>.</w:t>
      </w:r>
    </w:p>
    <w:p w14:paraId="16D1FB91" w14:textId="794818C2" w:rsidR="00C97EE1" w:rsidRDefault="00C97EE1" w:rsidP="00E45C2F">
      <w:r>
        <w:tab/>
      </w:r>
      <w:r w:rsidR="00670CF8">
        <w:t>No</w:t>
      </w:r>
      <w:r>
        <w:t xml:space="preserve"> processo de reconstrução sinal, considerou-se uma terceira banda</w:t>
      </w:r>
      <w:r w:rsidR="00670CF8">
        <w:t xml:space="preserve">, </w:t>
      </w:r>
      <w:r>
        <w:t>a de</w:t>
      </w:r>
      <w:r>
        <w:t xml:space="preserve"> Baixa Frequência (+40 anos),</w:t>
      </w:r>
      <w:r>
        <w:t xml:space="preserve"> interpretada como resíduo. Como apontado por Lima </w:t>
      </w:r>
      <w:r>
        <w:rPr>
          <w:i/>
          <w:iCs/>
        </w:rPr>
        <w:t>et al.</w:t>
      </w:r>
      <w:r>
        <w:t xml:space="preserve"> (2021), tendo em vista a ortogonalidade das </w:t>
      </w:r>
      <w:proofErr w:type="spellStart"/>
      <w:r>
        <w:t>ondeletas</w:t>
      </w:r>
      <w:proofErr w:type="spellEnd"/>
      <w:r>
        <w:t xml:space="preserve"> e de suas bandas, logo uma correlação insignificante, </w:t>
      </w:r>
      <w:r w:rsidR="00670CF8">
        <w:t>pode-se determinar o sinal da banda de baixa frequência reconstruído no domínio do tempo através da Equação 3.</w:t>
      </w:r>
    </w:p>
    <w:p w14:paraId="5DEAD205" w14:textId="77777777" w:rsidR="00670CF8" w:rsidRDefault="00670CF8" w:rsidP="00E45C2F"/>
    <w:p w14:paraId="0F4CF32B" w14:textId="145AC519" w:rsidR="00670CF8" w:rsidRPr="00670CF8" w:rsidRDefault="00670CF8" w:rsidP="00E45C2F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SPI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                                     (3)</m:t>
          </m:r>
        </m:oMath>
      </m:oMathPara>
    </w:p>
    <w:p w14:paraId="3F998EA6" w14:textId="77777777" w:rsidR="00670CF8" w:rsidRDefault="00670CF8" w:rsidP="00E45C2F">
      <w:r>
        <w:tab/>
      </w:r>
    </w:p>
    <w:p w14:paraId="0EE73873" w14:textId="4BF6E0B1" w:rsidR="00670CF8" w:rsidRPr="00C97EE1" w:rsidRDefault="00670CF8" w:rsidP="00E45C2F">
      <w:r>
        <w:tab/>
        <w:t xml:space="preserve">Em que: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eastAsiaTheme="minorEastAsia"/>
        </w:rPr>
        <w:t>, respectivamente, o i-</w:t>
      </w:r>
      <w:proofErr w:type="spellStart"/>
      <w:r>
        <w:rPr>
          <w:rFonts w:eastAsiaTheme="minorEastAsia"/>
        </w:rPr>
        <w:t>ésimo</w:t>
      </w:r>
      <w:proofErr w:type="spellEnd"/>
      <w:r>
        <w:rPr>
          <w:rFonts w:eastAsiaTheme="minorEastAsia"/>
        </w:rPr>
        <w:t xml:space="preserve"> valor reconstruído no domínio do tempo das bandas de alta, média e baixa frequência; </w:t>
      </w:r>
      <m:oMath>
        <m:r>
          <w:rPr>
            <w:rFonts w:ascii="Cambria Math" w:eastAsiaTheme="minorEastAsia" w:hAnsi="Cambria Math"/>
          </w:rPr>
          <m:t>SPI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o i-</w:t>
      </w:r>
      <w:proofErr w:type="spellStart"/>
      <w:r>
        <w:rPr>
          <w:rFonts w:eastAsiaTheme="minorEastAsia"/>
        </w:rPr>
        <w:t>ésimo</w:t>
      </w:r>
      <w:proofErr w:type="spellEnd"/>
      <w:r>
        <w:rPr>
          <w:rFonts w:eastAsiaTheme="minorEastAsia"/>
        </w:rPr>
        <w:t xml:space="preserve"> valor do sinal original, no caso, da série temporal anual do SPI-12 de determinado ponto de grade selecionado.</w:t>
      </w:r>
    </w:p>
    <w:p w14:paraId="4764A582" w14:textId="7B5371EC" w:rsidR="00685D9C" w:rsidRPr="00FB262C" w:rsidRDefault="00C97EE1" w:rsidP="00E45C2F">
      <w:r>
        <w:lastRenderedPageBreak/>
        <w:tab/>
      </w:r>
      <w:r w:rsidR="00FB262C">
        <w:t xml:space="preserve">A escolha dessas bandas de frequência se baseou nos trabalhos de Lima </w:t>
      </w:r>
      <w:r w:rsidR="00FB262C">
        <w:rPr>
          <w:i/>
          <w:iCs/>
        </w:rPr>
        <w:t>et al.</w:t>
      </w:r>
      <w:r w:rsidR="00FB262C">
        <w:t xml:space="preserve"> (2021), Alves </w:t>
      </w:r>
      <w:r w:rsidR="00FB262C">
        <w:rPr>
          <w:i/>
          <w:iCs/>
        </w:rPr>
        <w:t>et al.</w:t>
      </w:r>
      <w:r w:rsidR="00FB262C">
        <w:t xml:space="preserve"> (2013). </w:t>
      </w:r>
      <w:r w:rsidR="00685D9C">
        <w:t xml:space="preserve">Uma justificativa para a escolha dessas bandas pode ser dada à luz dos mecanismos de variabilidade climática. Nesse contexto, pode-se associar os mecanismos de variabilidade interanual à banda de alta frequência, os de variabilidade </w:t>
      </w:r>
      <w:proofErr w:type="spellStart"/>
      <w:r w:rsidR="00685D9C">
        <w:t>decadal</w:t>
      </w:r>
      <w:proofErr w:type="spellEnd"/>
      <w:r w:rsidR="00685D9C">
        <w:t xml:space="preserve"> à banda de média frequência e os de variabilidade </w:t>
      </w:r>
      <w:proofErr w:type="spellStart"/>
      <w:r w:rsidR="00685D9C">
        <w:t>multidecadal</w:t>
      </w:r>
      <w:proofErr w:type="spellEnd"/>
      <w:r w:rsidR="00685D9C">
        <w:t xml:space="preserve"> às bandas de média e baixa frequência. Ademais, a banda de baixa frequência também pode ser associada às tendências de crescimento ou decrescimento da série temporal, </w:t>
      </w:r>
      <w:r w:rsidR="00670CF8">
        <w:t>relacionadas</w:t>
      </w:r>
      <w:r w:rsidR="00685D9C">
        <w:t>, por exemplo, aos impactos das mudanças climáticas.</w:t>
      </w:r>
      <w:r>
        <w:t xml:space="preserve"> </w:t>
      </w:r>
    </w:p>
    <w:p w14:paraId="3CD377D7" w14:textId="17A934E5" w:rsidR="00A93175" w:rsidRPr="00A93175" w:rsidRDefault="00A93175" w:rsidP="00E45C2F">
      <w:r>
        <w:tab/>
      </w:r>
    </w:p>
    <w:p w14:paraId="1C07F28D" w14:textId="77F0DE77" w:rsidR="005A189F" w:rsidRPr="00E45C2F" w:rsidRDefault="005A189F" w:rsidP="00E45C2F">
      <w:r>
        <w:tab/>
      </w:r>
    </w:p>
    <w:p w14:paraId="22FCBA69" w14:textId="30D94D63" w:rsidR="00571D1D" w:rsidRDefault="00571D1D" w:rsidP="00671703">
      <w:pPr>
        <w:pStyle w:val="Ttulo2"/>
        <w:tabs>
          <w:tab w:val="left" w:pos="0"/>
        </w:tabs>
        <w:rPr>
          <w:lang w:val="en-US"/>
        </w:rPr>
      </w:pPr>
      <w:r w:rsidRPr="00722502">
        <w:rPr>
          <w:lang w:val="en-US"/>
        </w:rPr>
        <w:t>K-means</w:t>
      </w:r>
    </w:p>
    <w:p w14:paraId="1B7A90FB" w14:textId="4818A1A2" w:rsidR="00E45C2F" w:rsidRPr="00E45C2F" w:rsidRDefault="00E45C2F" w:rsidP="00E45C2F">
      <w:pPr>
        <w:rPr>
          <w:lang w:val="en-US"/>
        </w:rPr>
      </w:pPr>
      <w:r>
        <w:rPr>
          <w:lang w:val="en-US"/>
        </w:rPr>
        <w:tab/>
      </w:r>
    </w:p>
    <w:p w14:paraId="56610057" w14:textId="03CC18A8" w:rsidR="00571D1D" w:rsidRPr="00722502" w:rsidRDefault="00571D1D" w:rsidP="00671703">
      <w:pPr>
        <w:pStyle w:val="Ttulo1"/>
        <w:tabs>
          <w:tab w:val="left" w:pos="0"/>
        </w:tabs>
        <w:rPr>
          <w:lang w:val="en-US"/>
        </w:rPr>
      </w:pPr>
      <w:r w:rsidRPr="00722502">
        <w:rPr>
          <w:lang w:val="en-US"/>
        </w:rPr>
        <w:t>resultados</w:t>
      </w:r>
    </w:p>
    <w:p w14:paraId="47DA96EF" w14:textId="3C50FED0" w:rsidR="00571D1D" w:rsidRDefault="00571D1D" w:rsidP="00671703">
      <w:pPr>
        <w:pStyle w:val="Ttulo1"/>
        <w:tabs>
          <w:tab w:val="left" w:pos="0"/>
        </w:tabs>
      </w:pPr>
      <w:r>
        <w:t>Discussões</w:t>
      </w:r>
    </w:p>
    <w:p w14:paraId="0A4C5080" w14:textId="0F4693DA" w:rsidR="00571D1D" w:rsidRDefault="00571D1D" w:rsidP="00671703">
      <w:pPr>
        <w:pStyle w:val="Ttulo1"/>
        <w:tabs>
          <w:tab w:val="left" w:pos="0"/>
        </w:tabs>
      </w:pPr>
      <w:r>
        <w:t>conclusões</w:t>
      </w:r>
    </w:p>
    <w:p w14:paraId="3DB176A5" w14:textId="5C2168F0" w:rsidR="00571D1D" w:rsidRPr="00571D1D" w:rsidRDefault="00571D1D" w:rsidP="00671703">
      <w:pPr>
        <w:pStyle w:val="Ttulo1"/>
        <w:tabs>
          <w:tab w:val="left" w:pos="0"/>
        </w:tabs>
      </w:pPr>
      <w:r>
        <w:t>referências</w:t>
      </w:r>
    </w:p>
    <w:sectPr w:rsidR="00571D1D" w:rsidRPr="00571D1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duardo Lima" w:date="2023-06-26T14:59:00Z" w:initials="EL">
    <w:p w14:paraId="3D590DE5" w14:textId="37EEED3C" w:rsidR="00EA5A84" w:rsidRDefault="00EA5A84">
      <w:pPr>
        <w:pStyle w:val="Textodecomentrio"/>
      </w:pPr>
      <w:r>
        <w:rPr>
          <w:rStyle w:val="Refdecomentrio"/>
        </w:rPr>
        <w:annotationRef/>
      </w:r>
      <w:r w:rsidRPr="00EA5A84">
        <w:rPr>
          <w:rFonts w:ascii="Verdana" w:hAnsi="Verdana"/>
          <w:color w:val="000000"/>
          <w:sz w:val="18"/>
          <w:szCs w:val="18"/>
          <w:shd w:val="clear" w:color="auto" w:fill="FBFBFB"/>
          <w:lang w:val="en-US"/>
        </w:rPr>
        <w:t xml:space="preserve">Schneider, Udo; Hänsel, Stephanie; Finger, Peter; Rustemeier, Elke; Ziese, Markus (2022): GPCC Full Data Monthly Product Version 2022 at 1.0°: Monthly Land-Surface Precipitation from Rain-Gauges built on GTS-based and Historical Data. </w:t>
      </w:r>
      <w:r>
        <w:rPr>
          <w:rFonts w:ascii="Verdana" w:hAnsi="Verdana"/>
          <w:color w:val="000000"/>
          <w:sz w:val="18"/>
          <w:szCs w:val="18"/>
          <w:shd w:val="clear" w:color="auto" w:fill="FBFBFB"/>
        </w:rPr>
        <w:t>DOI: </w:t>
      </w:r>
      <w:hyperlink r:id="rId1" w:tgtFrame="_blank" w:history="1">
        <w:r>
          <w:rPr>
            <w:rStyle w:val="Hyperlink"/>
            <w:rFonts w:ascii="Verdana" w:hAnsi="Verdana"/>
            <w:b/>
            <w:bCs/>
            <w:color w:val="467EB8"/>
            <w:sz w:val="18"/>
            <w:szCs w:val="18"/>
          </w:rPr>
          <w:t>10.5676/DWD_GPCC/FD_M_V2022_100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590D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42648" w16cex:dateUtc="2023-06-26T17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590DE5" w16cid:durableId="284426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16DEC"/>
    <w:multiLevelType w:val="multilevel"/>
    <w:tmpl w:val="B30EC4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1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125928565">
    <w:abstractNumId w:val="0"/>
  </w:num>
  <w:num w:numId="2" w16cid:durableId="761688207">
    <w:abstractNumId w:val="0"/>
  </w:num>
  <w:num w:numId="3" w16cid:durableId="1632638390">
    <w:abstractNumId w:val="0"/>
  </w:num>
  <w:num w:numId="4" w16cid:durableId="153460932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uardo Lima">
    <w15:presenceInfo w15:providerId="None" w15:userId="Eduardo Li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17"/>
    <w:rsid w:val="00010885"/>
    <w:rsid w:val="000826CF"/>
    <w:rsid w:val="001D7BC5"/>
    <w:rsid w:val="001E516C"/>
    <w:rsid w:val="002226D8"/>
    <w:rsid w:val="003737A3"/>
    <w:rsid w:val="00504E28"/>
    <w:rsid w:val="005164F0"/>
    <w:rsid w:val="00533471"/>
    <w:rsid w:val="00571D1D"/>
    <w:rsid w:val="005A189F"/>
    <w:rsid w:val="005E71BC"/>
    <w:rsid w:val="00617BC7"/>
    <w:rsid w:val="00670CF8"/>
    <w:rsid w:val="00671703"/>
    <w:rsid w:val="00685D9C"/>
    <w:rsid w:val="006B177D"/>
    <w:rsid w:val="006D3C09"/>
    <w:rsid w:val="00703217"/>
    <w:rsid w:val="00722502"/>
    <w:rsid w:val="00793EC5"/>
    <w:rsid w:val="00835517"/>
    <w:rsid w:val="00856176"/>
    <w:rsid w:val="008B5CEB"/>
    <w:rsid w:val="008F7A90"/>
    <w:rsid w:val="0099487D"/>
    <w:rsid w:val="00A24FC3"/>
    <w:rsid w:val="00A31D2B"/>
    <w:rsid w:val="00A60606"/>
    <w:rsid w:val="00A93175"/>
    <w:rsid w:val="00AB7C83"/>
    <w:rsid w:val="00B5115E"/>
    <w:rsid w:val="00B75657"/>
    <w:rsid w:val="00B87F23"/>
    <w:rsid w:val="00B9134B"/>
    <w:rsid w:val="00C93DB1"/>
    <w:rsid w:val="00C97EE1"/>
    <w:rsid w:val="00D171C7"/>
    <w:rsid w:val="00DA75BA"/>
    <w:rsid w:val="00E45C2F"/>
    <w:rsid w:val="00EA0483"/>
    <w:rsid w:val="00EA3672"/>
    <w:rsid w:val="00EA5A84"/>
    <w:rsid w:val="00EB715E"/>
    <w:rsid w:val="00FB262C"/>
    <w:rsid w:val="00FB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1DD1"/>
  <w15:chartTrackingRefBased/>
  <w15:docId w15:val="{6B8E4E0C-0391-43EB-A117-CBDB9F2D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C2F"/>
    <w:pPr>
      <w:spacing w:after="0" w:line="360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PargrafodaLista"/>
    <w:next w:val="Normal"/>
    <w:link w:val="Ttulo1Char"/>
    <w:autoRedefine/>
    <w:uiPriority w:val="9"/>
    <w:qFormat/>
    <w:rsid w:val="00571D1D"/>
    <w:pPr>
      <w:ind w:left="0"/>
      <w:outlineLvl w:val="0"/>
    </w:pPr>
    <w:rPr>
      <w:rFonts w:cs="Times New Roman"/>
      <w:b/>
      <w:bCs/>
      <w:caps/>
      <w:szCs w:val="24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rsid w:val="00571D1D"/>
    <w:pPr>
      <w:ind w:left="0"/>
      <w:outlineLvl w:val="1"/>
    </w:pPr>
    <w:rPr>
      <w:rFonts w:cs="Times New Roman"/>
      <w:b/>
      <w:bCs/>
      <w:szCs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rsid w:val="00571D1D"/>
    <w:pPr>
      <w:ind w:left="0"/>
      <w:outlineLvl w:val="2"/>
    </w:pPr>
    <w:rPr>
      <w:rFonts w:cs="Times New Roman"/>
      <w:b/>
      <w:bCs/>
      <w:i/>
      <w:szCs w:val="24"/>
    </w:rPr>
  </w:style>
  <w:style w:type="paragraph" w:styleId="Ttulo4">
    <w:name w:val="heading 4"/>
    <w:basedOn w:val="PargrafodaLista"/>
    <w:next w:val="Normal"/>
    <w:link w:val="Ttulo4Char"/>
    <w:autoRedefine/>
    <w:uiPriority w:val="9"/>
    <w:unhideWhenUsed/>
    <w:qFormat/>
    <w:rsid w:val="00571D1D"/>
    <w:pPr>
      <w:ind w:left="0"/>
      <w:outlineLvl w:val="3"/>
    </w:pPr>
    <w:rPr>
      <w:rFonts w:cs="Times New Roman"/>
      <w:bCs/>
      <w:i/>
      <w:szCs w:val="24"/>
    </w:rPr>
  </w:style>
  <w:style w:type="paragraph" w:styleId="Ttulo5">
    <w:name w:val="heading 5"/>
    <w:basedOn w:val="PargrafodaLista"/>
    <w:next w:val="Normal"/>
    <w:link w:val="Ttulo5Char"/>
    <w:autoRedefine/>
    <w:uiPriority w:val="9"/>
    <w:unhideWhenUsed/>
    <w:qFormat/>
    <w:rsid w:val="00EA3672"/>
    <w:pPr>
      <w:ind w:left="0"/>
      <w:outlineLvl w:val="4"/>
    </w:pPr>
    <w:rPr>
      <w:rFonts w:cs="Times New Roman"/>
      <w:b/>
      <w:bCs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3672"/>
    <w:rPr>
      <w:rFonts w:ascii="Arial" w:hAnsi="Arial" w:cs="Times New Roman"/>
      <w:b/>
      <w:bCs/>
      <w:caps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EA367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A3672"/>
    <w:rPr>
      <w:rFonts w:ascii="Arial" w:hAnsi="Arial" w:cs="Times New Roman"/>
      <w:b/>
      <w:bCs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571D1D"/>
    <w:rPr>
      <w:rFonts w:ascii="Arial" w:hAnsi="Arial" w:cs="Times New Roman"/>
      <w:b/>
      <w:bCs/>
      <w:i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EA3672"/>
    <w:rPr>
      <w:rFonts w:ascii="Arial" w:hAnsi="Arial" w:cs="Times New Roman"/>
      <w:bCs/>
      <w:i/>
      <w:sz w:val="24"/>
      <w:szCs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EA3672"/>
    <w:rPr>
      <w:rFonts w:ascii="Arial" w:hAnsi="Arial" w:cs="Times New Roman"/>
      <w:b/>
      <w:bCs/>
      <w:sz w:val="24"/>
      <w:szCs w:val="24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EA3672"/>
  </w:style>
  <w:style w:type="paragraph" w:styleId="Legenda">
    <w:name w:val="caption"/>
    <w:basedOn w:val="Normal"/>
    <w:next w:val="Normal"/>
    <w:uiPriority w:val="35"/>
    <w:unhideWhenUsed/>
    <w:qFormat/>
    <w:rsid w:val="00835517"/>
    <w:pPr>
      <w:spacing w:line="240" w:lineRule="auto"/>
    </w:pPr>
    <w:rPr>
      <w:b/>
      <w:iCs/>
      <w:sz w:val="20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EA5A8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A5A8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A5A84"/>
    <w:rPr>
      <w:rFonts w:ascii="Arial" w:hAnsi="Arial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A5A8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A5A84"/>
    <w:rPr>
      <w:rFonts w:ascii="Arial" w:hAnsi="Arial"/>
      <w:b/>
      <w:bCs/>
      <w:sz w:val="20"/>
      <w:szCs w:val="20"/>
      <w:lang w:val="pt-BR"/>
    </w:rPr>
  </w:style>
  <w:style w:type="paragraph" w:styleId="Reviso">
    <w:name w:val="Revision"/>
    <w:hidden/>
    <w:uiPriority w:val="99"/>
    <w:semiHidden/>
    <w:rsid w:val="00EA5A84"/>
    <w:pPr>
      <w:spacing w:after="0" w:line="240" w:lineRule="auto"/>
    </w:pPr>
    <w:rPr>
      <w:rFonts w:ascii="Arial" w:hAnsi="Arial"/>
      <w:sz w:val="24"/>
      <w:lang w:val="pt-BR"/>
    </w:rPr>
  </w:style>
  <w:style w:type="character" w:styleId="Hyperlink">
    <w:name w:val="Hyperlink"/>
    <w:basedOn w:val="Fontepargpadro"/>
    <w:uiPriority w:val="99"/>
    <w:semiHidden/>
    <w:unhideWhenUsed/>
    <w:rsid w:val="00EA5A84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FB46A5"/>
    <w:rPr>
      <w:color w:val="808080"/>
    </w:rPr>
  </w:style>
  <w:style w:type="table" w:styleId="Tabelacomgrade">
    <w:name w:val="Table Grid"/>
    <w:basedOn w:val="Tabelanormal"/>
    <w:uiPriority w:val="39"/>
    <w:rsid w:val="00671703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dx.doi.org/10.5676/DWD_GPCC/FD_M_V2022_100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6</Pages>
  <Words>1489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</dc:creator>
  <cp:keywords/>
  <dc:description/>
  <cp:lastModifiedBy>Eduardo Lima</cp:lastModifiedBy>
  <cp:revision>6</cp:revision>
  <dcterms:created xsi:type="dcterms:W3CDTF">2023-06-19T23:29:00Z</dcterms:created>
  <dcterms:modified xsi:type="dcterms:W3CDTF">2023-06-28T23:40:00Z</dcterms:modified>
</cp:coreProperties>
</file>