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A2540"/>
          <w:sz w:val="80"/>
          <w:szCs w:val="80"/>
        </w:rPr>
        <w:t xml:space="preserve">AequorOS</w:t>
      </w:r>
    </w:p>
    <w:p>
      <w:pPr>
        <w:spacing w:after="600" w:before="0"/>
      </w:pPr>
      <w:r>
        <w:rPr>
          <w:b/>
          <w:bCs/>
          <w:color w:val="0A2540"/>
          <w:sz w:val="30"/>
          <w:szCs w:val="30"/>
        </w:rPr>
        <w:t xml:space="preserve">MVP BUILD SPECIFICATION</w:t>
      </w:r>
    </w:p>
    <w:p>
      <w:pPr>
        <w:spacing w:after="120" w:before="0"/>
      </w:pPr>
      <w:r>
        <w:rPr>
          <w:b/>
          <w:bCs/>
          <w:color w:val="1F2937"/>
          <w:sz w:val="32"/>
          <w:szCs w:val="32"/>
        </w:rPr>
        <w:t xml:space="preserve">Three-Module Minimum Viable Product</w:t>
      </w:r>
    </w:p>
    <w:p>
      <w:pPr>
        <w:spacing w:after="600" w:before="0"/>
      </w:pPr>
      <w:r>
        <w:rPr>
          <w:color w:val="5A6776"/>
          <w:sz w:val="24"/>
          <w:szCs w:val="24"/>
        </w:rPr>
        <w:t xml:space="preserve">Liquidity Risk  ·  Basel Capital  ·  Balance Sheet Forecasting</w:t>
      </w:r>
    </w:p>
    <w:p>
      <w:pPr>
        <w:spacing w:after="80" w:before="800"/>
      </w:pPr>
      <w:r>
        <w:rPr>
          <w:color w:val="1F2937"/>
          <w:sz w:val="22"/>
          <w:szCs w:val="22"/>
        </w:rPr>
        <w:t xml:space="preserve">Prepared for: AequorOS engineering build</w:t>
      </w:r>
    </w:p>
    <w:p>
      <w:pPr>
        <w:spacing w:after="80" w:before="40"/>
      </w:pPr>
      <w:r>
        <w:rPr>
          <w:color w:val="1F2937"/>
          <w:sz w:val="22"/>
          <w:szCs w:val="22"/>
        </w:rPr>
        <w:t xml:space="preserve">Founder: Eric Inkoom Danso  ·  eric@aequoros.com</w:t>
      </w:r>
    </w:p>
    <w:p>
      <w:pPr>
        <w:spacing w:after="80" w:before="40"/>
      </w:pPr>
      <w:r>
        <w:rPr>
          <w:color w:val="5A6776"/>
          <w:sz w:val="22"/>
          <w:szCs w:val="22"/>
        </w:rPr>
        <w:t xml:space="preserve">Status: Pre-build specification  ·  Target: MVP live in 4-6 months</w:t>
      </w:r>
    </w:p>
    <w:p>
      <w:r>
        <w:br w:type="page"/>
      </w:r>
    </w:p>
    <w:p>
      <w:pPr>
        <w:pStyle w:val="Heading1"/>
      </w:pPr>
      <w:r>
        <w:rPr>
          <w:b/>
          <w:bCs/>
        </w:rPr>
        <w:t xml:space="preserve">Contents</w:t>
      </w:r>
    </w:p>
    <w:p>
      <w:r>
        <w:rPr>
          <w:sz w:val="2"/>
          <w:szCs w:val="2"/>
        </w:rP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1. Document Purpose</w:t>
      </w:r>
    </w:p>
    <w:p>
      <w:pPr>
        <w:spacing w:after="80" w:before="80"/>
      </w:pPr>
      <w:r>
        <w:rPr>
          <w:b w:val="false"/>
          <w:bCs w:val="false"/>
          <w:i w:val="false"/>
          <w:iCs w:val="false"/>
          <w:color w:val="1F2937"/>
          <w:sz w:val="22"/>
          <w:szCs w:val="22"/>
        </w:rPr>
        <w:t xml:space="preserve">This document is the build specification for the AequorOS Minimum Viable Product. It defines what gets built, how it behaves, and the calculations behind it, in enough detail that an engineer can execute from it directly.</w:t>
      </w:r>
    </w:p>
    <w:p>
      <w:pPr>
        <w:spacing w:after="80" w:before="80"/>
      </w:pPr>
      <w:r>
        <w:rPr>
          <w:b w:val="false"/>
          <w:bCs w:val="false"/>
          <w:i w:val="false"/>
          <w:iCs w:val="false"/>
          <w:color w:val="1F2937"/>
          <w:sz w:val="22"/>
          <w:szCs w:val="22"/>
        </w:rPr>
        <w:t xml:space="preserve">This is a build spec, not a strategy document. The strategic and full-product context lives in the separate Treasury_ALM_System.docx, which specifies all six AequorOS modules. This MVP spec narrows that scope to the three modules that will be built first.</w:t>
      </w:r>
    </w:p>
    <w:p>
      <w:pPr>
        <w:pStyle w:val="Heading2"/>
      </w:pPr>
      <w:r>
        <w:rPr>
          <w:b/>
          <w:bCs/>
        </w:rPr>
        <w:t xml:space="preserve">Who this is for</w:t>
      </w:r>
    </w:p>
    <w:p>
      <w:pPr>
        <w:pStyle w:val="ListParagraph"/>
        <w:numPr>
          <w:ilvl w:val="0"/>
          <w:numId w:val="2"/>
        </w:numPr>
        <w:spacing w:after="40" w:before="40"/>
      </w:pPr>
      <w:r>
        <w:rPr>
          <w:color w:val="1F2937"/>
          <w:sz w:val="22"/>
          <w:szCs w:val="22"/>
        </w:rPr>
        <w:t xml:space="preserve">The engineer (or engineers) building the MVP. Primary audience.</w:t>
      </w:r>
    </w:p>
    <w:p>
      <w:pPr>
        <w:pStyle w:val="ListParagraph"/>
        <w:numPr>
          <w:ilvl w:val="0"/>
          <w:numId w:val="2"/>
        </w:numPr>
        <w:spacing w:after="40" w:before="40"/>
      </w:pPr>
      <w:r>
        <w:rPr>
          <w:color w:val="1F2937"/>
          <w:sz w:val="22"/>
          <w:szCs w:val="22"/>
        </w:rPr>
        <w:t xml:space="preserve">Eric Inkoom Danso, as the product owner verifying scope and calculations.</w:t>
      </w:r>
    </w:p>
    <w:p>
      <w:pPr>
        <w:pStyle w:val="ListParagraph"/>
        <w:numPr>
          <w:ilvl w:val="0"/>
          <w:numId w:val="2"/>
        </w:numPr>
        <w:spacing w:after="40" w:before="40"/>
      </w:pPr>
      <w:r>
        <w:rPr>
          <w:color w:val="1F2937"/>
          <w:sz w:val="22"/>
          <w:szCs w:val="22"/>
        </w:rPr>
        <w:t xml:space="preserve">Investors, as evidence that the build is concretely scoped and sequenced.</w:t>
      </w:r>
    </w:p>
    <w:p>
      <w:pPr>
        <w:pStyle w:val="ListParagraph"/>
        <w:numPr>
          <w:ilvl w:val="0"/>
          <w:numId w:val="2"/>
        </w:numPr>
        <w:spacing w:after="40" w:before="40"/>
      </w:pPr>
      <w:r>
        <w:rPr>
          <w:color w:val="1F2937"/>
          <w:sz w:val="22"/>
          <w:szCs w:val="22"/>
        </w:rPr>
        <w:t xml:space="preserve">Prospective bank customers, as a reference for what the pilot product will do.</w:t>
      </w:r>
    </w:p>
    <w:p>
      <w:pPr>
        <w:pStyle w:val="Heading2"/>
      </w:pPr>
      <w:r>
        <w:rPr>
          <w:b/>
          <w:bCs/>
        </w:rPr>
        <w:t xml:space="preserve">How the MVP got scoped</w:t>
      </w:r>
    </w:p>
    <w:p>
      <w:pPr>
        <w:spacing w:after="80" w:before="80"/>
      </w:pPr>
      <w:r>
        <w:rPr>
          <w:b w:val="false"/>
          <w:bCs w:val="false"/>
          <w:i w:val="false"/>
          <w:iCs w:val="false"/>
          <w:color w:val="1F2937"/>
          <w:sz w:val="22"/>
          <w:szCs w:val="22"/>
        </w:rPr>
        <w:t xml:space="preserve">Multiple venture investors indicated they want to see a working MVP rather than slides or a clickable prototype. The co-founder, Dela Anthonio (CTO), agrees. The MVP is being built specifically to generate market traction and convert prospective bank customers into Letters of Intent to pilot and subsequently purchase.</w:t>
      </w:r>
    </w:p>
    <w:p>
      <w:pPr>
        <w:spacing w:after="80" w:before="80"/>
      </w:pPr>
      <w:r>
        <w:rPr>
          <w:b w:val="false"/>
          <w:bCs w:val="false"/>
          <w:i w:val="false"/>
          <w:iCs w:val="false"/>
          <w:color w:val="1F2937"/>
          <w:sz w:val="22"/>
          <w:szCs w:val="22"/>
        </w:rPr>
        <w:t xml:space="preserve">That goal shapes every scoping decision in this document. The MVP is not the full product. It is the smallest build that is credible enough for a bank Treasurer or CFO to evaluate seriously and sign an LOI on.</w:t>
      </w:r>
    </w:p>
    <w:p>
      <w:r>
        <w:br w:type="page"/>
      </w:r>
    </w:p>
    <w:p>
      <w:pPr>
        <w:pStyle w:val="Heading1"/>
      </w:pPr>
      <w:r>
        <w:rPr>
          <w:b/>
          <w:bCs/>
        </w:rPr>
        <w:t xml:space="preserve">2. MVP Strategy and Scope</w:t>
      </w:r>
    </w:p>
    <w:p>
      <w:pPr>
        <w:pStyle w:val="Heading2"/>
      </w:pPr>
      <w:r>
        <w:rPr>
          <w:b/>
          <w:bCs/>
        </w:rPr>
        <w:t xml:space="preserve">What the MVP is</w:t>
      </w:r>
    </w:p>
    <w:p>
      <w:pPr>
        <w:spacing w:after="80" w:before="80"/>
      </w:pPr>
      <w:r>
        <w:rPr>
          <w:b w:val="false"/>
          <w:bCs w:val="false"/>
          <w:i w:val="false"/>
          <w:iCs w:val="false"/>
          <w:color w:val="1F2937"/>
          <w:sz w:val="22"/>
          <w:szCs w:val="22"/>
        </w:rPr>
        <w:t xml:space="preserve">Three production-grade modules, demonstrated on a realistic synthetic dataset for a mid-tier Ghanaian universal bank:</w:t>
      </w:r>
    </w:p>
    <w:p>
      <w:pPr>
        <w:pStyle w:val="ListParagraph"/>
        <w:numPr>
          <w:ilvl w:val="0"/>
          <w:numId w:val="2"/>
        </w:numPr>
        <w:spacing w:after="40" w:before="40"/>
      </w:pPr>
      <w:r>
        <w:rPr>
          <w:b/>
          <w:bCs/>
          <w:i w:val="false"/>
          <w:iCs w:val="false"/>
          <w:color w:val="1F2937"/>
          <w:sz w:val="22"/>
          <w:szCs w:val="22"/>
        </w:rPr>
        <w:t xml:space="preserve">Module 1: Liquidity Risk</w:t>
      </w:r>
      <w:r>
        <w:rPr>
          <w:b w:val="false"/>
          <w:bCs w:val="false"/>
          <w:i w:val="false"/>
          <w:iCs w:val="false"/>
          <w:color w:val="1F2937"/>
          <w:sz w:val="22"/>
          <w:szCs w:val="22"/>
        </w:rPr>
        <w:t xml:space="preserve"> — LCR, NSFR, cash flow forecasting, stress scenarios, Bank of Ghana liquidity submission preview.</w:t>
      </w:r>
    </w:p>
    <w:p>
      <w:pPr>
        <w:pStyle w:val="ListParagraph"/>
        <w:numPr>
          <w:ilvl w:val="0"/>
          <w:numId w:val="2"/>
        </w:numPr>
        <w:spacing w:after="40" w:before="40"/>
      </w:pPr>
      <w:r>
        <w:rPr>
          <w:b/>
          <w:bCs/>
          <w:i w:val="false"/>
          <w:iCs w:val="false"/>
          <w:color w:val="1F2937"/>
          <w:sz w:val="22"/>
          <w:szCs w:val="22"/>
        </w:rPr>
        <w:t xml:space="preserve">Module 2: Basel Capital</w:t>
      </w:r>
      <w:r>
        <w:rPr>
          <w:b w:val="false"/>
          <w:bCs w:val="false"/>
          <w:i w:val="false"/>
          <w:iCs w:val="false"/>
          <w:color w:val="1F2937"/>
          <w:sz w:val="22"/>
          <w:szCs w:val="22"/>
        </w:rPr>
        <w:t xml:space="preserve"> — risk-weighted assets, capital adequacy ratios, capital structure, stress testing, Bank of Ghana prudential return preview.</w:t>
      </w:r>
    </w:p>
    <w:p>
      <w:pPr>
        <w:pStyle w:val="ListParagraph"/>
        <w:numPr>
          <w:ilvl w:val="0"/>
          <w:numId w:val="2"/>
        </w:numPr>
        <w:spacing w:after="40" w:before="40"/>
      </w:pPr>
      <w:r>
        <w:rPr>
          <w:b/>
          <w:bCs/>
          <w:i w:val="false"/>
          <w:iCs w:val="false"/>
          <w:color w:val="1F2937"/>
          <w:sz w:val="22"/>
          <w:szCs w:val="22"/>
        </w:rPr>
        <w:t xml:space="preserve">Module 3: Balance Sheet Forecasting</w:t>
      </w:r>
      <w:r>
        <w:rPr>
          <w:b w:val="false"/>
          <w:bCs w:val="false"/>
          <w:i w:val="false"/>
          <w:iCs w:val="false"/>
          <w:color w:val="1F2937"/>
          <w:sz w:val="22"/>
          <w:szCs w:val="22"/>
        </w:rPr>
        <w:t xml:space="preserve"> — multi-period balance sheet and P&amp;L projection, scenario analysis, strategic optimization.</w:t>
      </w:r>
    </w:p>
    <w:p>
      <w:pPr>
        <w:spacing w:after="80" w:before="80"/>
      </w:pPr>
      <w:r>
        <w:rPr>
          <w:b w:val="false"/>
          <w:bCs w:val="false"/>
          <w:i w:val="false"/>
          <w:iCs w:val="false"/>
          <w:color w:val="1F2937"/>
          <w:sz w:val="22"/>
          <w:szCs w:val="22"/>
        </w:rPr>
        <w:t xml:space="preserve">"Production-grade" here means the calculation engines are real and correct, the interfaces are polished to the standard a bank would expect, and the output matches what a Treasurer would recognize from their regulatory work. It does not mean the MVP connects to a real bank's core system. The MVP runs entirely on synthetic data.</w:t>
      </w:r>
    </w:p>
    <w:p>
      <w:pPr>
        <w:pStyle w:val="Heading2"/>
      </w:pPr>
      <w:r>
        <w:rPr>
          <w:b/>
          <w:bCs/>
        </w:rPr>
        <w:t xml:space="preserve">Why these three modules</w:t>
      </w:r>
    </w:p>
    <w:p>
      <w:pPr>
        <w:spacing w:after="80" w:before="80"/>
      </w:pPr>
      <w:r>
        <w:rPr>
          <w:b w:val="false"/>
          <w:bCs w:val="false"/>
          <w:i w:val="false"/>
          <w:iCs w:val="false"/>
          <w:color w:val="1F2937"/>
          <w:sz w:val="22"/>
          <w:szCs w:val="22"/>
        </w:rPr>
        <w:t xml:space="preserve">Liquidity and Basel Capital are the two modules tied directly to Bank of Ghana regulatory deadlines. They prove the product keeps a bank compliant. Balance Sheet Forecasting proves the product helps a bank decide, not just report. Together they tell a complete story: AequorOS handles the compliance burden and improves strategic planning. That combination is what justifies a purchase LOI.</w:t>
      </w:r>
    </w:p>
    <w:p>
      <w:pPr>
        <w:spacing w:after="80" w:before="80"/>
      </w:pPr>
      <w:r>
        <w:rPr>
          <w:b w:val="false"/>
          <w:bCs w:val="false"/>
          <w:i w:val="false"/>
          <w:iCs w:val="false"/>
          <w:color w:val="1F2937"/>
          <w:sz w:val="22"/>
          <w:szCs w:val="22"/>
        </w:rPr>
        <w:t xml:space="preserve">The remaining three modules from the full product (Interest Rate Risk, FX Risk, Funds Transfer Pricing) are deferred to post-MVP. They are valuable but not required to get a bank to LOI stage.</w:t>
      </w:r>
    </w:p>
    <w:p>
      <w:pPr>
        <w:pStyle w:val="Heading2"/>
      </w:pPr>
      <w:r>
        <w:rPr>
          <w:b/>
          <w:bCs/>
        </w:rPr>
        <w:t xml:space="preserve">Who the MVP serves in the next six months</w:t>
      </w:r>
    </w:p>
    <w:p>
      <w:pPr>
        <w:spacing w:after="80" w:before="80"/>
      </w:pPr>
      <w:r>
        <w:rPr>
          <w:b w:val="false"/>
          <w:bCs w:val="false"/>
          <w:i w:val="false"/>
          <w:iCs w:val="false"/>
          <w:color w:val="1F2937"/>
          <w:sz w:val="22"/>
          <w:szCs w:val="22"/>
        </w:rPr>
        <w:t xml:space="preserve">Prospective bank customers evaluating AequorOS on synthetic data. The MVP is a demonstration and evaluation tool. Banks will not run their own data through it during this phase. That comes during the paid pilot, after an LOI is signed.</w:t>
      </w:r>
    </w:p>
    <w:p>
      <w:pPr>
        <w:pStyle w:val="Heading2"/>
      </w:pPr>
      <w:r>
        <w:rPr>
          <w:b/>
          <w:bCs/>
        </w:rPr>
        <w:t xml:space="preserve">Success criteria</w:t>
      </w:r>
    </w:p>
    <w:p>
      <w:pPr>
        <w:spacing w:after="80" w:before="80"/>
      </w:pPr>
      <w:r>
        <w:rPr>
          <w:b w:val="false"/>
          <w:bCs w:val="false"/>
          <w:i w:val="false"/>
          <w:iCs w:val="false"/>
          <w:color w:val="1F2937"/>
          <w:sz w:val="22"/>
          <w:szCs w:val="22"/>
        </w:rPr>
        <w:t xml:space="preserve">The MVP succeeds if it converts bank evaluation meetings into signed Letters of Intent. The target LOI commits a bank to pilot AequorOS first, then purchase if the pilot succeeds. Concretely, the MVP build is successful when:</w:t>
      </w:r>
    </w:p>
    <w:p>
      <w:pPr>
        <w:pStyle w:val="ListParagraph"/>
        <w:numPr>
          <w:ilvl w:val="0"/>
          <w:numId w:val="3"/>
        </w:numPr>
        <w:spacing w:after="40" w:before="40"/>
      </w:pPr>
      <w:r>
        <w:rPr>
          <w:color w:val="1F2937"/>
          <w:sz w:val="22"/>
          <w:szCs w:val="22"/>
        </w:rPr>
        <w:t xml:space="preserve">A bank Treasurer or Head of ALM can be walked through all three modules in a 45-60 minute demo without the product breaking or producing implausible numbers.</w:t>
      </w:r>
    </w:p>
    <w:p>
      <w:pPr>
        <w:pStyle w:val="ListParagraph"/>
        <w:numPr>
          <w:ilvl w:val="0"/>
          <w:numId w:val="3"/>
        </w:numPr>
        <w:spacing w:after="40" w:before="40"/>
      </w:pPr>
      <w:r>
        <w:rPr>
          <w:color w:val="1F2937"/>
          <w:sz w:val="22"/>
          <w:szCs w:val="22"/>
        </w:rPr>
        <w:t xml:space="preserve">The calculations visibly match figures the bank already knows from its own regulatory submissions, establishing credibility.</w:t>
      </w:r>
    </w:p>
    <w:p>
      <w:pPr>
        <w:pStyle w:val="ListParagraph"/>
        <w:numPr>
          <w:ilvl w:val="0"/>
          <w:numId w:val="3"/>
        </w:numPr>
        <w:spacing w:after="40" w:before="40"/>
      </w:pPr>
      <w:r>
        <w:rPr>
          <w:color w:val="1F2937"/>
          <w:sz w:val="22"/>
          <w:szCs w:val="22"/>
        </w:rPr>
        <w:t xml:space="preserve">At least 3-5 banks sign a pilot-then-buy LOI after seeing the MVP.</w:t>
      </w:r>
    </w:p>
    <w:p>
      <w:pPr>
        <w:pStyle w:val="ListParagraph"/>
        <w:numPr>
          <w:ilvl w:val="0"/>
          <w:numId w:val="3"/>
        </w:numPr>
        <w:spacing w:after="40" w:before="40"/>
      </w:pPr>
      <w:r>
        <w:rPr>
          <w:color w:val="1F2937"/>
          <w:sz w:val="22"/>
          <w:szCs w:val="22"/>
        </w:rPr>
        <w:t xml:space="preserve">The MVP provides a concrete enough artifact that venture investors treat the build risk as substantially reduced.</w:t>
      </w:r>
    </w:p>
    <w:p>
      <w:pPr>
        <w:pStyle w:val="Heading2"/>
      </w:pPr>
      <w:r>
        <w:rPr>
          <w:b/>
          <w:bCs/>
        </w:rPr>
        <w:t xml:space="preserve">What the MVP explicitly is NOT</w:t>
      </w:r>
    </w:p>
    <w:p>
      <w:pPr>
        <w:pStyle w:val="ListParagraph"/>
        <w:numPr>
          <w:ilvl w:val="0"/>
          <w:numId w:val="2"/>
        </w:numPr>
        <w:spacing w:after="40" w:before="40"/>
      </w:pPr>
      <w:r>
        <w:rPr>
          <w:color w:val="1F2937"/>
          <w:sz w:val="22"/>
          <w:szCs w:val="22"/>
        </w:rPr>
        <w:t xml:space="preserve">Not a multi-tenant production SaaS. It is a single demonstration instance.</w:t>
      </w:r>
    </w:p>
    <w:p>
      <w:pPr>
        <w:pStyle w:val="ListParagraph"/>
        <w:numPr>
          <w:ilvl w:val="0"/>
          <w:numId w:val="2"/>
        </w:numPr>
        <w:spacing w:after="40" w:before="40"/>
      </w:pPr>
      <w:r>
        <w:rPr>
          <w:color w:val="1F2937"/>
          <w:sz w:val="22"/>
          <w:szCs w:val="22"/>
        </w:rPr>
        <w:t xml:space="preserve">Not integrated with Temenos T24 or any core banking system. Synthetic data only.</w:t>
      </w:r>
    </w:p>
    <w:p>
      <w:pPr>
        <w:pStyle w:val="ListParagraph"/>
        <w:numPr>
          <w:ilvl w:val="0"/>
          <w:numId w:val="2"/>
        </w:numPr>
        <w:spacing w:after="40" w:before="40"/>
      </w:pPr>
      <w:r>
        <w:rPr>
          <w:color w:val="1F2937"/>
          <w:sz w:val="22"/>
          <w:szCs w:val="22"/>
        </w:rPr>
        <w:t xml:space="preserve">Not a system that files real regulatory submissions. It produces formatted previews of Bank of Ghana returns, not live submissions.</w:t>
      </w:r>
    </w:p>
    <w:p>
      <w:pPr>
        <w:pStyle w:val="ListParagraph"/>
        <w:numPr>
          <w:ilvl w:val="0"/>
          <w:numId w:val="2"/>
        </w:numPr>
        <w:spacing w:after="40" w:before="40"/>
      </w:pPr>
      <w:r>
        <w:rPr>
          <w:color w:val="1F2937"/>
          <w:sz w:val="22"/>
          <w:szCs w:val="22"/>
        </w:rPr>
        <w:t xml:space="preserve">Not security-hardened to banking production standard. Authentication is minimal, suitable for demo and evaluation only.</w:t>
      </w:r>
    </w:p>
    <w:p>
      <w:pPr>
        <w:pStyle w:val="ListParagraph"/>
        <w:numPr>
          <w:ilvl w:val="0"/>
          <w:numId w:val="2"/>
        </w:numPr>
        <w:spacing w:after="40" w:before="40"/>
      </w:pPr>
      <w:r>
        <w:rPr>
          <w:color w:val="1F2937"/>
          <w:sz w:val="22"/>
          <w:szCs w:val="22"/>
        </w:rPr>
        <w:t xml:space="preserve">Not the full six-module product. Three modules only.</w:t>
      </w:r>
    </w:p>
    <w:p>
      <w:pPr>
        <w:pStyle w:val="ListParagraph"/>
        <w:numPr>
          <w:ilvl w:val="0"/>
          <w:numId w:val="2"/>
        </w:numPr>
        <w:spacing w:after="40" w:before="40"/>
      </w:pPr>
      <w:r>
        <w:rPr>
          <w:color w:val="1F2937"/>
          <w:sz w:val="22"/>
          <w:szCs w:val="22"/>
        </w:rPr>
        <w:t xml:space="preserve">Not running real Deep Reinforcement Learning. The Balance Sheet Forecasting optimizer uses a constrained scenario search for the MVP; full reinforcement learning is post-MVP. This distinction is detailed in Section 7.</w:t>
      </w:r>
    </w:p>
    <w:p>
      <w:r>
        <w:br w:type="page"/>
      </w:r>
    </w:p>
    <w:p>
      <w:pPr>
        <w:pStyle w:val="Heading1"/>
      </w:pPr>
      <w:r>
        <w:rPr>
          <w:b/>
          <w:bCs/>
        </w:rPr>
        <w:t xml:space="preserve">3. Target User and Demo Context</w:t>
      </w:r>
    </w:p>
    <w:p>
      <w:pPr>
        <w:pStyle w:val="Heading2"/>
      </w:pPr>
      <w:r>
        <w:rPr>
          <w:b/>
          <w:bCs/>
        </w:rPr>
        <w:t xml:space="preserve">Primary users</w:t>
      </w:r>
    </w:p>
    <w:p>
      <w:pPr>
        <w:spacing w:after="80" w:before="80"/>
      </w:pPr>
      <w:r>
        <w:rPr>
          <w:b w:val="false"/>
          <w:bCs w:val="false"/>
          <w:i w:val="false"/>
          <w:iCs w:val="false"/>
          <w:color w:val="1F2937"/>
          <w:sz w:val="22"/>
          <w:szCs w:val="22"/>
        </w:rPr>
        <w:t xml:space="preserve">The MVP is designed around four bank roles. The build should make sense to all four when demonstrated.</w:t>
      </w:r>
    </w:p>
    <w:p>
      <w:pPr>
        <w:pStyle w:val="ListParagraph"/>
        <w:numPr>
          <w:ilvl w:val="0"/>
          <w:numId w:val="2"/>
        </w:numPr>
        <w:spacing w:after="40" w:before="40"/>
      </w:pPr>
      <w:r>
        <w:rPr>
          <w:b/>
          <w:bCs/>
          <w:i w:val="false"/>
          <w:iCs w:val="false"/>
          <w:color w:val="1F2937"/>
          <w:sz w:val="22"/>
          <w:szCs w:val="22"/>
        </w:rPr>
        <w:t xml:space="preserve">Treasurer / Head of ALM</w:t>
      </w:r>
      <w:r>
        <w:rPr>
          <w:b w:val="false"/>
          <w:bCs w:val="false"/>
          <w:i w:val="false"/>
          <w:iCs w:val="false"/>
          <w:color w:val="1F2937"/>
          <w:sz w:val="22"/>
          <w:szCs w:val="22"/>
        </w:rPr>
        <w:t xml:space="preserve"> — primary buyer and primary user. Runs liquidity, capital, and balance sheet analysis day to day.</w:t>
      </w:r>
    </w:p>
    <w:p>
      <w:pPr>
        <w:pStyle w:val="ListParagraph"/>
        <w:numPr>
          <w:ilvl w:val="0"/>
          <w:numId w:val="2"/>
        </w:numPr>
        <w:spacing w:after="40" w:before="40"/>
      </w:pPr>
      <w:r>
        <w:rPr>
          <w:b/>
          <w:bCs/>
          <w:i w:val="false"/>
          <w:iCs w:val="false"/>
          <w:color w:val="1F2937"/>
          <w:sz w:val="22"/>
          <w:szCs w:val="22"/>
        </w:rPr>
        <w:t xml:space="preserve">Chief Risk Officer</w:t>
      </w:r>
      <w:r>
        <w:rPr>
          <w:b w:val="false"/>
          <w:bCs w:val="false"/>
          <w:i w:val="false"/>
          <w:iCs w:val="false"/>
          <w:color w:val="1F2937"/>
          <w:sz w:val="22"/>
          <w:szCs w:val="22"/>
        </w:rPr>
        <w:t xml:space="preserve"> — reviews risk position, approves stress test results, signs off on regulatory submissions.</w:t>
      </w:r>
    </w:p>
    <w:p>
      <w:pPr>
        <w:pStyle w:val="ListParagraph"/>
        <w:numPr>
          <w:ilvl w:val="0"/>
          <w:numId w:val="2"/>
        </w:numPr>
        <w:spacing w:after="40" w:before="40"/>
      </w:pPr>
      <w:r>
        <w:rPr>
          <w:b/>
          <w:bCs/>
          <w:i w:val="false"/>
          <w:iCs w:val="false"/>
          <w:color w:val="1F2937"/>
          <w:sz w:val="22"/>
          <w:szCs w:val="22"/>
        </w:rPr>
        <w:t xml:space="preserve">Chief Financial Officer</w:t>
      </w:r>
      <w:r>
        <w:rPr>
          <w:b w:val="false"/>
          <w:bCs w:val="false"/>
          <w:i w:val="false"/>
          <w:iCs w:val="false"/>
          <w:color w:val="1F2937"/>
          <w:sz w:val="22"/>
          <w:szCs w:val="22"/>
        </w:rPr>
        <w:t xml:space="preserve"> — primary audience for Balance Sheet Forecasting and strategic planning output.</w:t>
      </w:r>
    </w:p>
    <w:p>
      <w:pPr>
        <w:pStyle w:val="ListParagraph"/>
        <w:numPr>
          <w:ilvl w:val="0"/>
          <w:numId w:val="2"/>
        </w:numPr>
        <w:spacing w:after="40" w:before="40"/>
      </w:pPr>
      <w:r>
        <w:rPr>
          <w:b/>
          <w:bCs/>
          <w:i w:val="false"/>
          <w:iCs w:val="false"/>
          <w:color w:val="1F2937"/>
          <w:sz w:val="22"/>
          <w:szCs w:val="22"/>
        </w:rPr>
        <w:t xml:space="preserve">Regulatory reporting team</w:t>
      </w:r>
      <w:r>
        <w:rPr>
          <w:b w:val="false"/>
          <w:bCs w:val="false"/>
          <w:i w:val="false"/>
          <w:iCs w:val="false"/>
          <w:color w:val="1F2937"/>
          <w:sz w:val="22"/>
          <w:szCs w:val="22"/>
        </w:rPr>
        <w:t xml:space="preserve"> — operational users who prepare Bank of Ghana submissions.</w:t>
      </w:r>
    </w:p>
    <w:p>
      <w:pPr>
        <w:pStyle w:val="Heading2"/>
      </w:pPr>
      <w:r>
        <w:rPr>
          <w:b/>
          <w:bCs/>
        </w:rPr>
        <w:t xml:space="preserve">The demo scenario</w:t>
      </w:r>
    </w:p>
    <w:p>
      <w:pPr>
        <w:spacing w:after="80" w:before="80"/>
      </w:pPr>
      <w:r>
        <w:rPr>
          <w:b w:val="false"/>
          <w:bCs w:val="false"/>
          <w:i w:val="false"/>
          <w:iCs w:val="false"/>
          <w:color w:val="1F2937"/>
          <w:sz w:val="22"/>
          <w:szCs w:val="22"/>
        </w:rPr>
        <w:t xml:space="preserve">The MVP is demonstrated as if the user is the Treasurer of a mid-tier Ghanaian universal bank on a normal working day. They open the platform, review their liquidity and capital position, run a stress scenario, generate a regulatory submission preview, and model a strategic decision. The demo should feel like a real working session, not a slideshow.</w:t>
      </w:r>
    </w:p>
    <w:p>
      <w:pPr>
        <w:pStyle w:val="Heading2"/>
      </w:pPr>
      <w:r>
        <w:rPr>
          <w:b/>
          <w:bCs/>
        </w:rPr>
        <w:t xml:space="preserve">Synthetic bank profile</w:t>
      </w:r>
    </w:p>
    <w:p>
      <w:pPr>
        <w:spacing w:after="80" w:before="80"/>
      </w:pPr>
      <w:r>
        <w:rPr>
          <w:b w:val="false"/>
          <w:bCs w:val="false"/>
          <w:i w:val="false"/>
          <w:iCs w:val="false"/>
          <w:color w:val="1F2937"/>
          <w:sz w:val="22"/>
          <w:szCs w:val="22"/>
        </w:rPr>
        <w:t xml:space="preserve">The MVP uses one consistent synthetic bank throughout. All three modules draw from the same balance sheet. The bank is a mid-tier Ghanaian universal bank, referred to in the product as "Sample Bank Ltd" or a similar generic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Attribute</w:t>
            </w:r>
          </w:p>
        </w:tc>
        <w:tc>
          <w:tcPr>
            <w:tcW w:type="dxa" w:w="288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Value</w:t>
            </w:r>
          </w:p>
        </w:tc>
        <w:tc>
          <w:tcPr>
            <w:tcW w:type="dxa" w:w="288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Notes</w:t>
            </w:r>
          </w:p>
        </w:tc>
      </w:tr>
      <w:tr>
        <w:tc>
          <w:tcPr>
            <w:tcW w:type="dxa" w:w="3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Total assets</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GHS 2.40 billion</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~USD 192M at GHS/USD 12.5</w:t>
            </w:r>
          </w:p>
        </w:tc>
      </w:tr>
      <w:tr>
        <w:tc>
          <w:tcPr>
            <w:tcW w:type="dxa" w:w="3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Total deposits</w:t>
            </w:r>
          </w:p>
        </w:tc>
        <w:tc>
          <w:tcPr>
            <w:tcW w:type="dxa" w:w="28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GHS 1.90 billion</w:t>
            </w:r>
          </w:p>
        </w:tc>
        <w:tc>
          <w:tcPr>
            <w:tcW w:type="dxa" w:w="28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Retail and wholesale mix</w:t>
            </w:r>
          </w:p>
        </w:tc>
      </w:tr>
      <w:tr>
        <w:tc>
          <w:tcPr>
            <w:tcW w:type="dxa" w:w="3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Total gross loans</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GHS 1.40 billion</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Across retail, SME, corporate</w:t>
            </w:r>
          </w:p>
        </w:tc>
      </w:tr>
      <w:tr>
        <w:tc>
          <w:tcPr>
            <w:tcW w:type="dxa" w:w="3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Investment securities</w:t>
            </w:r>
          </w:p>
        </w:tc>
        <w:tc>
          <w:tcPr>
            <w:tcW w:type="dxa" w:w="28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GHS 0.62 billion</w:t>
            </w:r>
          </w:p>
        </w:tc>
        <w:tc>
          <w:tcPr>
            <w:tcW w:type="dxa" w:w="28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BoG bills, GoG securities</w:t>
            </w:r>
          </w:p>
        </w:tc>
      </w:tr>
      <w:tr>
        <w:tc>
          <w:tcPr>
            <w:tcW w:type="dxa" w:w="3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Total regulatory capital</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GHS 0.34 billion</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Tier 1 + Tier 2</w:t>
            </w:r>
          </w:p>
        </w:tc>
      </w:tr>
      <w:tr>
        <w:tc>
          <w:tcPr>
            <w:tcW w:type="dxa" w:w="3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Branches</w:t>
            </w:r>
          </w:p>
        </w:tc>
        <w:tc>
          <w:tcPr>
            <w:tcW w:type="dxa" w:w="28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18</w:t>
            </w:r>
          </w:p>
        </w:tc>
        <w:tc>
          <w:tcPr>
            <w:tcW w:type="dxa" w:w="28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Across Ghana</w:t>
            </w:r>
          </w:p>
        </w:tc>
      </w:tr>
      <w:tr>
        <w:tc>
          <w:tcPr>
            <w:tcW w:type="dxa" w:w="3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Customers</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~85,000</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Retail and business</w:t>
            </w:r>
          </w:p>
        </w:tc>
      </w:tr>
      <w:tr>
        <w:tc>
          <w:tcPr>
            <w:tcW w:type="dxa" w:w="3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Employees</w:t>
            </w:r>
          </w:p>
        </w:tc>
        <w:tc>
          <w:tcPr>
            <w:tcW w:type="dxa" w:w="28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~420</w:t>
            </w:r>
          </w:p>
        </w:tc>
        <w:tc>
          <w:tcPr>
            <w:tcW w:type="dxa" w:w="28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
            </w:r>
          </w:p>
        </w:tc>
      </w:tr>
      <w:tr>
        <w:tc>
          <w:tcPr>
            <w:tcW w:type="dxa" w:w="3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Regulatory tier</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Universal bank</w:t>
            </w:r>
          </w:p>
        </w:tc>
        <w:tc>
          <w:tcPr>
            <w:tcW w:type="dxa" w:w="28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Bank of Ghana licensed</w:t>
            </w:r>
          </w:p>
        </w:tc>
      </w:tr>
    </w:tbl>
    <w:p>
      <w:pPr>
        <w:spacing w:after="60" w:before="60"/>
      </w:pPr>
    </w:p>
    <w:p>
      <w:pPr>
        <w:spacing w:after="80" w:before="80"/>
      </w:pPr>
      <w:r>
        <w:rPr>
          <w:b w:val="false"/>
          <w:bCs w:val="false"/>
          <w:i w:val="false"/>
          <w:iCs w:val="false"/>
          <w:color w:val="1F2937"/>
          <w:sz w:val="22"/>
          <w:szCs w:val="22"/>
        </w:rPr>
        <w:t xml:space="preserve">The detailed synthetic balance sheet, deposit composition, loan book breakdown, and securities portfolio are specified in Section 10. Every module's calculations must tie back to this single dataset so that figures are internally consistent across modules. A Treasurer who checks the LCR HQLA against the Basel Capital securities holdings should find them consistent.</w:t>
      </w:r>
    </w:p>
    <w:p>
      <w:r>
        <w:br w:type="page"/>
      </w:r>
    </w:p>
    <w:p>
      <w:pPr>
        <w:pStyle w:val="Heading1"/>
      </w:pPr>
      <w:r>
        <w:rPr>
          <w:b/>
          <w:bCs/>
        </w:rPr>
        <w:t xml:space="preserve">4. Product Architecture Overview</w:t>
      </w:r>
    </w:p>
    <w:p>
      <w:pPr>
        <w:pStyle w:val="Heading2"/>
      </w:pPr>
      <w:r>
        <w:rPr>
          <w:b/>
          <w:bCs/>
        </w:rPr>
        <w:t xml:space="preserve">Structure</w:t>
      </w:r>
    </w:p>
    <w:p>
      <w:pPr>
        <w:spacing w:after="80" w:before="80"/>
      </w:pPr>
      <w:r>
        <w:rPr>
          <w:b w:val="false"/>
          <w:bCs w:val="false"/>
          <w:i w:val="false"/>
          <w:iCs w:val="false"/>
          <w:color w:val="1F2937"/>
          <w:sz w:val="22"/>
          <w:szCs w:val="22"/>
        </w:rPr>
        <w:t xml:space="preserve">The MVP has a shared platform shell and three modules. The shell provides navigation, the synthetic bank context, a common header, and shared UI components. Each module is a distinct section with its own screens.</w:t>
      </w:r>
    </w:p>
    <w:p>
      <w:pPr>
        <w:pStyle w:val="Heading2"/>
      </w:pPr>
      <w:r>
        <w:rPr>
          <w:b/>
          <w:bCs/>
        </w:rPr>
        <w:t xml:space="preserve">Information architecture</w:t>
      </w:r>
    </w:p>
    <w:p>
      <w:pPr>
        <w:spacing w:after="80" w:before="80"/>
      </w:pPr>
      <w:r>
        <w:rPr>
          <w:b w:val="false"/>
          <w:bCs w:val="false"/>
          <w:i w:val="false"/>
          <w:iCs w:val="false"/>
          <w:color w:val="1F2937"/>
          <w:sz w:val="22"/>
          <w:szCs w:val="22"/>
        </w:rPr>
        <w:t xml:space="preserve">Left-side persistent navigation:</w:t>
      </w:r>
    </w:p>
    <w:p>
      <w:pPr>
        <w:pStyle w:val="ListParagraph"/>
        <w:numPr>
          <w:ilvl w:val="0"/>
          <w:numId w:val="2"/>
        </w:numPr>
        <w:spacing w:after="40" w:before="40"/>
      </w:pPr>
      <w:r>
        <w:rPr>
          <w:color w:val="1F2937"/>
          <w:sz w:val="22"/>
          <w:szCs w:val="22"/>
        </w:rPr>
        <w:t xml:space="preserve">Overview (cross-module home dashboard)</w:t>
      </w:r>
    </w:p>
    <w:p>
      <w:pPr>
        <w:pStyle w:val="ListParagraph"/>
        <w:numPr>
          <w:ilvl w:val="0"/>
          <w:numId w:val="2"/>
        </w:numPr>
        <w:spacing w:after="40" w:before="40"/>
      </w:pPr>
      <w:r>
        <w:rPr>
          <w:color w:val="1F2937"/>
          <w:sz w:val="22"/>
          <w:szCs w:val="22"/>
        </w:rPr>
        <w:t xml:space="preserve">Liquidity Risk</w:t>
      </w:r>
    </w:p>
    <w:p>
      <w:pPr>
        <w:pStyle w:val="ListParagraph"/>
        <w:numPr>
          <w:ilvl w:val="0"/>
          <w:numId w:val="2"/>
        </w:numPr>
        <w:spacing w:after="40" w:before="40"/>
      </w:pPr>
      <w:r>
        <w:rPr>
          <w:color w:val="1F2937"/>
          <w:sz w:val="22"/>
          <w:szCs w:val="22"/>
        </w:rPr>
        <w:t xml:space="preserve">Basel Capital</w:t>
      </w:r>
    </w:p>
    <w:p>
      <w:pPr>
        <w:pStyle w:val="ListParagraph"/>
        <w:numPr>
          <w:ilvl w:val="0"/>
          <w:numId w:val="2"/>
        </w:numPr>
        <w:spacing w:after="40" w:before="40"/>
      </w:pPr>
      <w:r>
        <w:rPr>
          <w:color w:val="1F2937"/>
          <w:sz w:val="22"/>
          <w:szCs w:val="22"/>
        </w:rPr>
        <w:t xml:space="preserve">Balance Sheet Forecasting</w:t>
      </w:r>
    </w:p>
    <w:p>
      <w:pPr>
        <w:pStyle w:val="ListParagraph"/>
        <w:numPr>
          <w:ilvl w:val="0"/>
          <w:numId w:val="2"/>
        </w:numPr>
        <w:spacing w:after="40" w:before="40"/>
      </w:pPr>
      <w:r>
        <w:rPr>
          <w:color w:val="1F2937"/>
          <w:sz w:val="22"/>
          <w:szCs w:val="22"/>
        </w:rPr>
        <w:t xml:space="preserve">Regulatory Submissions (cross-module preview library)</w:t>
      </w:r>
    </w:p>
    <w:p>
      <w:pPr>
        <w:spacing w:after="80" w:before="80"/>
      </w:pPr>
      <w:r>
        <w:rPr>
          <w:b w:val="false"/>
          <w:bCs w:val="false"/>
          <w:i w:val="false"/>
          <w:iCs w:val="false"/>
          <w:color w:val="1F2937"/>
          <w:sz w:val="22"/>
          <w:szCs w:val="22"/>
        </w:rPr>
        <w:t xml:space="preserve">Within each module, top tabs separate the screens. The header shows the bank name, the as-of date selector, and a user menu. The as-of date matters: most figures are reported as of a specific date, and changing it should change the data shown.</w:t>
      </w:r>
    </w:p>
    <w:p>
      <w:pPr>
        <w:pStyle w:val="Heading2"/>
      </w:pPr>
      <w:r>
        <w:rPr>
          <w:b/>
          <w:bCs/>
        </w:rPr>
        <w:t xml:space="preserve">Screen inventory</w:t>
      </w:r>
    </w:p>
    <w:p>
      <w:pPr>
        <w:spacing w:after="80" w:before="80"/>
      </w:pPr>
      <w:r>
        <w:rPr>
          <w:b w:val="false"/>
          <w:bCs w:val="false"/>
          <w:i w:val="false"/>
          <w:iCs w:val="false"/>
          <w:color w:val="1F2937"/>
          <w:sz w:val="22"/>
          <w:szCs w:val="22"/>
        </w:rPr>
        <w:t xml:space="preserve">The MVP comprises the following screens. Detailed specifications follow in Sections 5 through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Module</w:t>
            </w:r>
          </w:p>
        </w:tc>
        <w:tc>
          <w:tcPr>
            <w:tcW w:type="dxa" w:w="516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Screens</w:t>
            </w:r>
          </w:p>
        </w:tc>
        <w:tc>
          <w:tcPr>
            <w:tcW w:type="dxa" w:w="16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Count</w:t>
            </w:r>
          </w:p>
        </w:tc>
      </w:tr>
      <w:tr>
        <w:tc>
          <w:tcPr>
            <w:tcW w:type="dxa" w:w="2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Shared</w:t>
            </w:r>
          </w:p>
        </w:tc>
        <w:tc>
          <w:tcPr>
            <w:tcW w:type="dxa" w:w="51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Overview dashboard, Regulatory Submissions library, Login</w:t>
            </w:r>
          </w:p>
        </w:tc>
        <w:tc>
          <w:tcPr>
            <w:tcW w:type="dxa" w:w="1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3</w:t>
            </w:r>
          </w:p>
        </w:tc>
      </w:tr>
      <w:tr>
        <w:tc>
          <w:tcPr>
            <w:tcW w:type="dxa" w:w="2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Liquidity Risk</w:t>
            </w:r>
          </w:p>
        </w:tc>
        <w:tc>
          <w:tcPr>
            <w:tcW w:type="dxa" w:w="51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LCR Dashboard, NSFR Dashboard, Cash Flow Forecast, Stress Scenarios, BoG Submission Preview</w:t>
            </w:r>
          </w:p>
        </w:tc>
        <w:tc>
          <w:tcPr>
            <w:tcW w:type="dxa" w:w="1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5</w:t>
            </w:r>
          </w:p>
        </w:tc>
      </w:tr>
      <w:tr>
        <w:tc>
          <w:tcPr>
            <w:tcW w:type="dxa" w:w="2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Basel Capital</w:t>
            </w:r>
          </w:p>
        </w:tc>
        <w:tc>
          <w:tcPr>
            <w:tcW w:type="dxa" w:w="51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Capital Dashboard, RWA Breakdown, Capital Structure, Stress Testing, BoG Submission Preview</w:t>
            </w:r>
          </w:p>
        </w:tc>
        <w:tc>
          <w:tcPr>
            <w:tcW w:type="dxa" w:w="1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5</w:t>
            </w:r>
          </w:p>
        </w:tc>
      </w:tr>
      <w:tr>
        <w:tc>
          <w:tcPr>
            <w:tcW w:type="dxa" w:w="2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Balance Sheet Forecasting</w:t>
            </w:r>
          </w:p>
        </w:tc>
        <w:tc>
          <w:tcPr>
            <w:tcW w:type="dxa" w:w="51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Forecast Dashboard, Scenario Builder, Strategic Optimizer, What-If Analysis</w:t>
            </w:r>
          </w:p>
        </w:tc>
        <w:tc>
          <w:tcPr>
            <w:tcW w:type="dxa" w:w="1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4</w:t>
            </w:r>
          </w:p>
        </w:tc>
      </w:tr>
    </w:tbl>
    <w:p>
      <w:pPr>
        <w:spacing w:after="60" w:before="60"/>
      </w:pPr>
    </w:p>
    <w:p>
      <w:pPr>
        <w:spacing w:after="80" w:before="80"/>
      </w:pPr>
      <w:r>
        <w:rPr>
          <w:b w:val="false"/>
          <w:bCs w:val="false"/>
          <w:i w:val="false"/>
          <w:iCs w:val="false"/>
          <w:color w:val="1F2937"/>
          <w:sz w:val="22"/>
          <w:szCs w:val="22"/>
        </w:rPr>
        <w:t xml:space="preserve">Seventeen screens total. This is a deliberately bounded build. No screen outside this list is in MVP scope.</w:t>
      </w:r>
    </w:p>
    <w:p>
      <w:r>
        <w:br w:type="page"/>
      </w:r>
    </w:p>
    <w:p>
      <w:pPr>
        <w:pStyle w:val="Heading1"/>
      </w:pPr>
      <w:r>
        <w:rPr>
          <w:b/>
          <w:bCs/>
        </w:rPr>
        <w:t xml:space="preserve">5. Module 1: Liquidity Risk</w:t>
      </w:r>
    </w:p>
    <w:p>
      <w:pPr>
        <w:pStyle w:val="Heading2"/>
      </w:pPr>
      <w:r>
        <w:rPr>
          <w:b/>
          <w:bCs/>
        </w:rPr>
        <w:t xml:space="preserve">Purpose and value</w:t>
      </w:r>
    </w:p>
    <w:p>
      <w:pPr>
        <w:spacing w:after="80" w:before="80"/>
      </w:pPr>
      <w:r>
        <w:rPr>
          <w:b w:val="false"/>
          <w:bCs w:val="false"/>
          <w:i w:val="false"/>
          <w:iCs w:val="false"/>
          <w:color w:val="1F2937"/>
          <w:sz w:val="22"/>
          <w:szCs w:val="22"/>
        </w:rPr>
        <w:t xml:space="preserve">The Liquidity Risk module calculates the Liquidity Coverage Ratio and Net Stable Funding Ratio, forecasts cash flow over 30 to 90 days, runs liquidity stress scenarios, and produces a Bank of Ghana liquidity submission preview. This is the wedge module. Bank of Ghana mandates monthly liquidity submissions, so the pain is immediate and the value is concrete.</w:t>
      </w:r>
    </w:p>
    <w:p>
      <w:pPr>
        <w:pStyle w:val="Heading2"/>
      </w:pPr>
      <w:r>
        <w:rPr>
          <w:b/>
          <w:bCs/>
        </w:rPr>
        <w:t xml:space="preserve">Screens</w:t>
      </w:r>
    </w:p>
    <w:p>
      <w:pPr>
        <w:pStyle w:val="Heading3"/>
      </w:pPr>
      <w:r>
        <w:rPr>
          <w:b/>
          <w:bCs/>
        </w:rPr>
        <w:t xml:space="preserve">5.1 LCR Dashboard</w:t>
      </w:r>
    </w:p>
    <w:p>
      <w:pPr>
        <w:spacing w:after="80" w:before="80"/>
      </w:pPr>
      <w:r>
        <w:rPr>
          <w:b w:val="false"/>
          <w:bCs w:val="false"/>
          <w:i w:val="false"/>
          <w:iCs w:val="false"/>
          <w:color w:val="1F2937"/>
          <w:sz w:val="22"/>
          <w:szCs w:val="22"/>
        </w:rPr>
        <w:t xml:space="preserve">The default landing screen for the module. Shows the bank's current Liquidity Coverage Ratio with a traffic-light status indicator.</w:t>
      </w:r>
    </w:p>
    <w:p>
      <w:pPr>
        <w:pStyle w:val="ListParagraph"/>
        <w:numPr>
          <w:ilvl w:val="0"/>
          <w:numId w:val="2"/>
        </w:numPr>
        <w:spacing w:after="40" w:before="40"/>
      </w:pPr>
      <w:r>
        <w:rPr>
          <w:color w:val="1F2937"/>
          <w:sz w:val="22"/>
          <w:szCs w:val="22"/>
        </w:rPr>
        <w:t xml:space="preserve">Large LCR ratio display with current value, the 100% regulatory threshold, and variance.</w:t>
      </w:r>
    </w:p>
    <w:p>
      <w:pPr>
        <w:pStyle w:val="ListParagraph"/>
        <w:numPr>
          <w:ilvl w:val="0"/>
          <w:numId w:val="2"/>
        </w:numPr>
        <w:spacing w:after="40" w:before="40"/>
      </w:pPr>
      <w:r>
        <w:rPr>
          <w:color w:val="1F2937"/>
          <w:sz w:val="22"/>
          <w:szCs w:val="22"/>
        </w:rPr>
        <w:t xml:space="preserve">Traffic-light status: green if LCR is at or above 100%, amber if between 90% and 100%, red if below 90%.</w:t>
      </w:r>
    </w:p>
    <w:p>
      <w:pPr>
        <w:pStyle w:val="ListParagraph"/>
        <w:numPr>
          <w:ilvl w:val="0"/>
          <w:numId w:val="2"/>
        </w:numPr>
        <w:spacing w:after="40" w:before="40"/>
      </w:pPr>
      <w:r>
        <w:rPr>
          <w:color w:val="1F2937"/>
          <w:sz w:val="22"/>
          <w:szCs w:val="22"/>
        </w:rPr>
        <w:t xml:space="preserve">HQLA composition: a stacked breakdown showing Level 1, Level 2A, and Level 2B high-quality liquid assets.</w:t>
      </w:r>
    </w:p>
    <w:p>
      <w:pPr>
        <w:pStyle w:val="ListParagraph"/>
        <w:numPr>
          <w:ilvl w:val="0"/>
          <w:numId w:val="2"/>
        </w:numPr>
        <w:spacing w:after="40" w:before="40"/>
      </w:pPr>
      <w:r>
        <w:rPr>
          <w:color w:val="1F2937"/>
          <w:sz w:val="22"/>
          <w:szCs w:val="22"/>
        </w:rPr>
        <w:t xml:space="preserve">30-day net cash outflow breakdown, showing gross outflows, gross inflows (capped at 75% of outflows per Basel rules), and net outflow.</w:t>
      </w:r>
    </w:p>
    <w:p>
      <w:pPr>
        <w:pStyle w:val="ListParagraph"/>
        <w:numPr>
          <w:ilvl w:val="0"/>
          <w:numId w:val="2"/>
        </w:numPr>
        <w:spacing w:after="40" w:before="40"/>
      </w:pPr>
      <w:r>
        <w:rPr>
          <w:color w:val="1F2937"/>
          <w:sz w:val="22"/>
          <w:szCs w:val="22"/>
        </w:rPr>
        <w:t xml:space="preserve">A 12-month trend chart of the LCR ratio.</w:t>
      </w:r>
    </w:p>
    <w:p>
      <w:pPr>
        <w:pStyle w:val="Heading3"/>
      </w:pPr>
      <w:r>
        <w:rPr>
          <w:b/>
          <w:bCs/>
        </w:rPr>
        <w:t xml:space="preserve">5.2 NSFR Dashboard</w:t>
      </w:r>
    </w:p>
    <w:p>
      <w:pPr>
        <w:spacing w:after="80" w:before="80"/>
      </w:pPr>
      <w:r>
        <w:rPr>
          <w:b w:val="false"/>
          <w:bCs w:val="false"/>
          <w:i w:val="false"/>
          <w:iCs w:val="false"/>
          <w:color w:val="1F2937"/>
          <w:sz w:val="22"/>
          <w:szCs w:val="22"/>
        </w:rPr>
        <w:t xml:space="preserve">Shows the Net Stable Funding Ratio, the structural liquidity metric over a one-year horizon.</w:t>
      </w:r>
    </w:p>
    <w:p>
      <w:pPr>
        <w:pStyle w:val="ListParagraph"/>
        <w:numPr>
          <w:ilvl w:val="0"/>
          <w:numId w:val="2"/>
        </w:numPr>
        <w:spacing w:after="40" w:before="40"/>
      </w:pPr>
      <w:r>
        <w:rPr>
          <w:color w:val="1F2937"/>
          <w:sz w:val="22"/>
          <w:szCs w:val="22"/>
        </w:rPr>
        <w:t xml:space="preserve">Large NSFR ratio display with current value, 100% threshold, variance, and traffic-light status.</w:t>
      </w:r>
    </w:p>
    <w:p>
      <w:pPr>
        <w:pStyle w:val="ListParagraph"/>
        <w:numPr>
          <w:ilvl w:val="0"/>
          <w:numId w:val="2"/>
        </w:numPr>
        <w:spacing w:after="40" w:before="40"/>
      </w:pPr>
      <w:r>
        <w:rPr>
          <w:color w:val="1F2937"/>
          <w:sz w:val="22"/>
          <w:szCs w:val="22"/>
        </w:rPr>
        <w:t xml:space="preserve">Available Stable Funding breakdown by category, with applied ASF weights.</w:t>
      </w:r>
    </w:p>
    <w:p>
      <w:pPr>
        <w:pStyle w:val="ListParagraph"/>
        <w:numPr>
          <w:ilvl w:val="0"/>
          <w:numId w:val="2"/>
        </w:numPr>
        <w:spacing w:after="40" w:before="40"/>
      </w:pPr>
      <w:r>
        <w:rPr>
          <w:color w:val="1F2937"/>
          <w:sz w:val="22"/>
          <w:szCs w:val="22"/>
        </w:rPr>
        <w:t xml:space="preserve">Required Stable Funding breakdown by category, with applied RSF weights.</w:t>
      </w:r>
    </w:p>
    <w:p>
      <w:pPr>
        <w:pStyle w:val="ListParagraph"/>
        <w:numPr>
          <w:ilvl w:val="0"/>
          <w:numId w:val="2"/>
        </w:numPr>
        <w:spacing w:after="40" w:before="40"/>
      </w:pPr>
      <w:r>
        <w:rPr>
          <w:color w:val="1F2937"/>
          <w:sz w:val="22"/>
          <w:szCs w:val="22"/>
        </w:rPr>
        <w:t xml:space="preserve">ASF versus RSF comparison visual.</w:t>
      </w:r>
    </w:p>
    <w:p>
      <w:pPr>
        <w:pStyle w:val="Heading3"/>
      </w:pPr>
      <w:r>
        <w:rPr>
          <w:b/>
          <w:bCs/>
        </w:rPr>
        <w:t xml:space="preserve">5.3 Cash Flow Forecast</w:t>
      </w:r>
    </w:p>
    <w:p>
      <w:pPr>
        <w:spacing w:after="80" w:before="80"/>
      </w:pPr>
      <w:r>
        <w:rPr>
          <w:b w:val="false"/>
          <w:bCs w:val="false"/>
          <w:i w:val="false"/>
          <w:iCs w:val="false"/>
          <w:color w:val="1F2937"/>
          <w:sz w:val="22"/>
          <w:szCs w:val="22"/>
        </w:rPr>
        <w:t xml:space="preserve">The forecasting screen. Projects daily net cash flow 30, 60, and 90 days forward.</w:t>
      </w:r>
    </w:p>
    <w:p>
      <w:pPr>
        <w:pStyle w:val="ListParagraph"/>
        <w:numPr>
          <w:ilvl w:val="0"/>
          <w:numId w:val="2"/>
        </w:numPr>
        <w:spacing w:after="40" w:before="40"/>
      </w:pPr>
      <w:r>
        <w:rPr>
          <w:color w:val="1F2937"/>
          <w:sz w:val="22"/>
          <w:szCs w:val="22"/>
        </w:rPr>
        <w:t xml:space="preserve">Forecast chart showing projected daily cash position over the selected horizon.</w:t>
      </w:r>
    </w:p>
    <w:p>
      <w:pPr>
        <w:pStyle w:val="ListParagraph"/>
        <w:numPr>
          <w:ilvl w:val="0"/>
          <w:numId w:val="2"/>
        </w:numPr>
        <w:spacing w:after="40" w:before="40"/>
      </w:pPr>
      <w:r>
        <w:rPr>
          <w:color w:val="1F2937"/>
          <w:sz w:val="22"/>
          <w:szCs w:val="22"/>
        </w:rPr>
        <w:t xml:space="preserve">A toggle between two forecasting methods: the LSTM neural network forecast and a static behavioral assumption forecast. Showing both side by side demonstrates the AI value: the LSTM should visibly track deposit behavior patterns the static method misses.</w:t>
      </w:r>
    </w:p>
    <w:p>
      <w:pPr>
        <w:pStyle w:val="ListParagraph"/>
        <w:numPr>
          <w:ilvl w:val="0"/>
          <w:numId w:val="2"/>
        </w:numPr>
        <w:spacing w:after="40" w:before="40"/>
      </w:pPr>
      <w:r>
        <w:rPr>
          <w:color w:val="1F2937"/>
          <w:sz w:val="22"/>
          <w:szCs w:val="22"/>
        </w:rPr>
        <w:t xml:space="preserve">Confidence bands around the LSTM forecast.</w:t>
      </w:r>
    </w:p>
    <w:p>
      <w:pPr>
        <w:pStyle w:val="ListParagraph"/>
        <w:numPr>
          <w:ilvl w:val="0"/>
          <w:numId w:val="2"/>
        </w:numPr>
        <w:spacing w:after="40" w:before="40"/>
      </w:pPr>
      <w:r>
        <w:rPr>
          <w:color w:val="1F2937"/>
          <w:sz w:val="22"/>
          <w:szCs w:val="22"/>
        </w:rPr>
        <w:t xml:space="preserve">A panel showing the model's historical accuracy (predicted versus actual for the trailing period).</w:t>
      </w:r>
    </w:p>
    <w:p>
      <w:pPr>
        <w:pStyle w:val="Heading3"/>
      </w:pPr>
      <w:r>
        <w:rPr>
          <w:b/>
          <w:bCs/>
        </w:rPr>
        <w:t xml:space="preserve">5.4 Stress Scenarios</w:t>
      </w:r>
    </w:p>
    <w:p>
      <w:pPr>
        <w:spacing w:after="80" w:before="80"/>
      </w:pPr>
      <w:r>
        <w:rPr>
          <w:b w:val="false"/>
          <w:bCs w:val="false"/>
          <w:i w:val="false"/>
          <w:iCs w:val="false"/>
          <w:color w:val="1F2937"/>
          <w:sz w:val="22"/>
          <w:szCs w:val="22"/>
        </w:rPr>
        <w:t xml:space="preserve">Applies liquidity stress scenarios and recalculates LCR and NSFR under stress.</w:t>
      </w:r>
    </w:p>
    <w:p>
      <w:pPr>
        <w:pStyle w:val="ListParagraph"/>
        <w:numPr>
          <w:ilvl w:val="0"/>
          <w:numId w:val="2"/>
        </w:numPr>
        <w:spacing w:after="40" w:before="40"/>
      </w:pPr>
      <w:r>
        <w:rPr>
          <w:color w:val="1F2937"/>
          <w:sz w:val="22"/>
          <w:szCs w:val="22"/>
        </w:rPr>
        <w:t xml:space="preserve">Three preset scenarios: idiosyncratic stress (bank-specific), market-wide stress, and combined stress.</w:t>
      </w:r>
    </w:p>
    <w:p>
      <w:pPr>
        <w:pStyle w:val="ListParagraph"/>
        <w:numPr>
          <w:ilvl w:val="0"/>
          <w:numId w:val="2"/>
        </w:numPr>
        <w:spacing w:after="40" w:before="40"/>
      </w:pPr>
      <w:r>
        <w:rPr>
          <w:color w:val="1F2937"/>
          <w:sz w:val="22"/>
          <w:szCs w:val="22"/>
        </w:rPr>
        <w:t xml:space="preserve">Each scenario shows LCR and NSFR under stress versus the baseline.</w:t>
      </w:r>
    </w:p>
    <w:p>
      <w:pPr>
        <w:pStyle w:val="ListParagraph"/>
        <w:numPr>
          <w:ilvl w:val="0"/>
          <w:numId w:val="2"/>
        </w:numPr>
        <w:spacing w:after="40" w:before="40"/>
      </w:pPr>
      <w:r>
        <w:rPr>
          <w:color w:val="1F2937"/>
          <w:sz w:val="22"/>
          <w:szCs w:val="22"/>
        </w:rPr>
        <w:t xml:space="preserve">Run-off rate assumptions adjust under stress: for example, retail stable deposit run-off rises from 5% to 15% under severe stress. These adjusted assumptions should be visible.</w:t>
      </w:r>
    </w:p>
    <w:p>
      <w:pPr>
        <w:pStyle w:val="Heading3"/>
      </w:pPr>
      <w:r>
        <w:rPr>
          <w:b/>
          <w:bCs/>
        </w:rPr>
        <w:t xml:space="preserve">5.5 BoG Submission Preview</w:t>
      </w:r>
    </w:p>
    <w:p>
      <w:pPr>
        <w:spacing w:after="80" w:before="80"/>
      </w:pPr>
      <w:r>
        <w:rPr>
          <w:b w:val="false"/>
          <w:bCs w:val="false"/>
          <w:i w:val="false"/>
          <w:iCs w:val="false"/>
          <w:color w:val="1F2937"/>
          <w:sz w:val="22"/>
          <w:szCs w:val="22"/>
        </w:rPr>
        <w:t xml:space="preserve">Generates a preview of the Bank of Ghana liquidity prudential return, structured to match the BSD 3 return format.</w:t>
      </w:r>
    </w:p>
    <w:p>
      <w:pPr>
        <w:pStyle w:val="ListParagraph"/>
        <w:numPr>
          <w:ilvl w:val="0"/>
          <w:numId w:val="2"/>
        </w:numPr>
        <w:spacing w:after="40" w:before="40"/>
      </w:pPr>
      <w:r>
        <w:rPr>
          <w:color w:val="1F2937"/>
          <w:sz w:val="22"/>
          <w:szCs w:val="22"/>
        </w:rPr>
        <w:t xml:space="preserve">A formatted return showing the LCR and NSFR calculations laid out as the bank would submit them.</w:t>
      </w:r>
    </w:p>
    <w:p>
      <w:pPr>
        <w:pStyle w:val="ListParagraph"/>
        <w:numPr>
          <w:ilvl w:val="0"/>
          <w:numId w:val="2"/>
        </w:numPr>
        <w:spacing w:after="40" w:before="40"/>
      </w:pPr>
      <w:r>
        <w:rPr>
          <w:color w:val="1F2937"/>
          <w:sz w:val="22"/>
          <w:szCs w:val="22"/>
        </w:rPr>
        <w:t xml:space="preserve">Validation checks flagging any business-rule failures (for example, LCR below the 100% minimum).</w:t>
      </w:r>
    </w:p>
    <w:p>
      <w:pPr>
        <w:pStyle w:val="ListParagraph"/>
        <w:numPr>
          <w:ilvl w:val="0"/>
          <w:numId w:val="2"/>
        </w:numPr>
        <w:spacing w:after="40" w:before="40"/>
      </w:pPr>
      <w:r>
        <w:rPr>
          <w:color w:val="1F2937"/>
          <w:sz w:val="22"/>
          <w:szCs w:val="22"/>
        </w:rPr>
        <w:t xml:space="preserve">A clearly labeled note that this is a preview only; the MVP does not file submissions.</w:t>
      </w:r>
    </w:p>
    <w:p>
      <w:pPr>
        <w:pStyle w:val="Heading2"/>
      </w:pPr>
      <w:r>
        <w:rPr>
          <w:b/>
          <w:bCs/>
        </w:rPr>
        <w:t xml:space="preserve">5.6 Calculation engine</w:t>
      </w:r>
    </w:p>
    <w:p>
      <w:pPr>
        <w:pStyle w:val="Heading3"/>
      </w:pPr>
      <w:r>
        <w:rPr>
          <w:b/>
          <w:bCs/>
        </w:rPr>
        <w:t xml:space="preserve">LCR</w:t>
      </w:r>
    </w:p>
    <w:p>
      <w:pPr>
        <w:spacing w:after="80" w:before="80"/>
      </w:pPr>
      <w:r>
        <w:rPr>
          <w:b w:val="false"/>
          <w:bCs w:val="false"/>
          <w:i w:val="false"/>
          <w:iCs w:val="false"/>
          <w:color w:val="1F2937"/>
          <w:sz w:val="22"/>
          <w:szCs w:val="22"/>
        </w:rPr>
        <w:t xml:space="preserve">LCR = Stock of High-Quality Liquid Assets divided by Total Net Cash Outflows over 30 days. Regulatory minimum is 100%.</w:t>
      </w:r>
    </w:p>
    <w:p>
      <w:pPr>
        <w:spacing w:after="80" w:before="80"/>
      </w:pPr>
      <w:r>
        <w:rPr>
          <w:b w:val="false"/>
          <w:bCs w:val="false"/>
          <w:i w:val="false"/>
          <w:iCs w:val="false"/>
          <w:color w:val="1F2937"/>
          <w:sz w:val="22"/>
          <w:szCs w:val="22"/>
        </w:rPr>
        <w:t xml:space="preserve">Net cash outflows are total expected outflows minus total expected inflows, where inflows are capped at 75% of outflows. Outflows are computed by applying run-off rates to liability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860"/>
        <w:gridCol w:w="2100"/>
      </w:tblGrid>
      <w:tr>
        <w:trPr>
          <w:tblHeader/>
        </w:trPr>
        <w:tc>
          <w:tcPr>
            <w:tcW w:type="dxa" w:w="54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Category</w:t>
            </w:r>
          </w:p>
        </w:tc>
        <w:tc>
          <w:tcPr>
            <w:tcW w:type="dxa" w:w="186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Run-off rate</w:t>
            </w:r>
          </w:p>
        </w:tc>
        <w:tc>
          <w:tcPr>
            <w:tcW w:type="dxa" w:w="21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Stressed rate</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Retail deposits - stable</w:t>
            </w:r>
          </w:p>
        </w:tc>
        <w:tc>
          <w:tcPr>
            <w:tcW w:type="dxa" w:w="18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5%</w:t>
            </w:r>
          </w:p>
        </w:tc>
        <w:tc>
          <w:tcPr>
            <w:tcW w:type="dxa" w:w="21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15%</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Retail deposits - less stable</w:t>
            </w:r>
          </w:p>
        </w:tc>
        <w:tc>
          <w:tcPr>
            <w:tcW w:type="dxa" w:w="18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10%</w:t>
            </w:r>
          </w:p>
        </w:tc>
        <w:tc>
          <w:tcPr>
            <w:tcW w:type="dxa" w:w="21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20%</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Unsecured wholesale - operational</w:t>
            </w:r>
          </w:p>
        </w:tc>
        <w:tc>
          <w:tcPr>
            <w:tcW w:type="dxa" w:w="18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25%</w:t>
            </w:r>
          </w:p>
        </w:tc>
        <w:tc>
          <w:tcPr>
            <w:tcW w:type="dxa" w:w="21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40%</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Unsecured wholesale - non-operational (SME)</w:t>
            </w:r>
          </w:p>
        </w:tc>
        <w:tc>
          <w:tcPr>
            <w:tcW w:type="dxa" w:w="18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40%</w:t>
            </w:r>
          </w:p>
        </w:tc>
        <w:tc>
          <w:tcPr>
            <w:tcW w:type="dxa" w:w="21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60%</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Unsecured wholesale - non-operational (corporate)</w:t>
            </w:r>
          </w:p>
        </w:tc>
        <w:tc>
          <w:tcPr>
            <w:tcW w:type="dxa" w:w="18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100%</w:t>
            </w:r>
          </w:p>
        </w:tc>
        <w:tc>
          <w:tcPr>
            <w:tcW w:type="dxa" w:w="21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100%</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Secured funding - Level 1 collateral</w:t>
            </w:r>
          </w:p>
        </w:tc>
        <w:tc>
          <w:tcPr>
            <w:tcW w:type="dxa" w:w="18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0%</w:t>
            </w:r>
          </w:p>
        </w:tc>
        <w:tc>
          <w:tcPr>
            <w:tcW w:type="dxa" w:w="21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0%</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Committed credit facilities - retail</w:t>
            </w:r>
          </w:p>
        </w:tc>
        <w:tc>
          <w:tcPr>
            <w:tcW w:type="dxa" w:w="18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10%</w:t>
            </w:r>
          </w:p>
        </w:tc>
        <w:tc>
          <w:tcPr>
            <w:tcW w:type="dxa" w:w="21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20%</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Committed credit facilities - non-financial corporate</w:t>
            </w:r>
          </w:p>
        </w:tc>
        <w:tc>
          <w:tcPr>
            <w:tcW w:type="dxa" w:w="18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30%</w:t>
            </w:r>
          </w:p>
        </w:tc>
        <w:tc>
          <w:tcPr>
            <w:tcW w:type="dxa" w:w="21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50%</w:t>
            </w:r>
          </w:p>
        </w:tc>
      </w:tr>
    </w:tbl>
    <w:p>
      <w:pPr>
        <w:spacing w:after="60" w:before="60"/>
      </w:pPr>
    </w:p>
    <w:p>
      <w:pPr>
        <w:pStyle w:val="Heading3"/>
      </w:pPr>
      <w:r>
        <w:rPr>
          <w:b/>
          <w:bCs/>
        </w:rPr>
        <w:t xml:space="preserve">NSFR</w:t>
      </w:r>
    </w:p>
    <w:p>
      <w:pPr>
        <w:spacing w:after="80" w:before="80"/>
      </w:pPr>
      <w:r>
        <w:rPr>
          <w:b w:val="false"/>
          <w:bCs w:val="false"/>
          <w:i w:val="false"/>
          <w:iCs w:val="false"/>
          <w:color w:val="1F2937"/>
          <w:sz w:val="22"/>
          <w:szCs w:val="22"/>
        </w:rPr>
        <w:t xml:space="preserve">NSFR = Available Stable Funding divided by Required Stable Funding. Regulatory minimum is 100%.</w:t>
      </w:r>
    </w:p>
    <w:p>
      <w:pPr>
        <w:spacing w:after="80" w:before="80"/>
      </w:pPr>
      <w:r>
        <w:rPr>
          <w:b w:val="false"/>
          <w:bCs w:val="false"/>
          <w:i w:val="false"/>
          <w:iCs w:val="false"/>
          <w:color w:val="1F2937"/>
          <w:sz w:val="22"/>
          <w:szCs w:val="22"/>
        </w:rPr>
        <w:t xml:space="preserve">ASF weights: regulatory capital 100%, retail and SME deposits 90-95%, wholesale funding 50%. RSF weights: cash 0%, Level 1 HQLA 5%, corporate loans 85%, residential mortgages 65%. The engine applies these weights to the synthetic balance sheet categories.</w:t>
      </w:r>
    </w:p>
    <w:p>
      <w:pPr>
        <w:pStyle w:val="Heading2"/>
      </w:pPr>
      <w:r>
        <w:rPr>
          <w:b/>
          <w:bCs/>
        </w:rPr>
        <w:t xml:space="preserve">5.7 LSTM cash flow forecasting</w:t>
      </w:r>
    </w:p>
    <w:p>
      <w:pPr>
        <w:spacing w:after="80" w:before="80"/>
      </w:pPr>
      <w:r>
        <w:rPr>
          <w:b w:val="false"/>
          <w:bCs w:val="false"/>
          <w:i w:val="false"/>
          <w:iCs w:val="false"/>
          <w:color w:val="1F2937"/>
          <w:sz w:val="22"/>
          <w:szCs w:val="22"/>
        </w:rPr>
        <w:t xml:space="preserve">The cash flow forecast uses a Long Short-Term Memory neural network to predict daily deposit flows and loan disbursements 30 to 90 days forward.</w:t>
      </w:r>
    </w:p>
    <w:p>
      <w:pPr>
        <w:spacing w:after="60" w:before="60"/>
      </w:pPr>
      <w:r>
        <w:rPr>
          <w:b/>
          <w:bCs/>
          <w:color w:val="0A2540"/>
          <w:sz w:val="22"/>
          <w:szCs w:val="22"/>
        </w:rPr>
        <w:t xml:space="preserve">Architecture: </w:t>
      </w:r>
      <w:r>
        <w:rPr>
          <w:color w:val="1F2937"/>
          <w:sz w:val="22"/>
          <w:szCs w:val="22"/>
        </w:rPr>
        <w:t xml:space="preserve">Two-layer LSTM (64 and 32 units) followed by a dense output layer. Loss function: mean squared error.</w:t>
      </w:r>
    </w:p>
    <w:p>
      <w:pPr>
        <w:spacing w:after="60" w:before="60"/>
      </w:pPr>
      <w:r>
        <w:rPr>
          <w:b/>
          <w:bCs/>
          <w:color w:val="0A2540"/>
          <w:sz w:val="22"/>
          <w:szCs w:val="22"/>
        </w:rPr>
        <w:t xml:space="preserve">Features: </w:t>
      </w:r>
      <w:r>
        <w:rPr>
          <w:color w:val="1F2937"/>
          <w:sz w:val="22"/>
          <w:szCs w:val="22"/>
        </w:rPr>
        <w:t xml:space="preserve">Historical daily balances, day of week, month-end effects, payroll-date proximity, seasonal patterns, and customer-segment behavior.</w:t>
      </w:r>
    </w:p>
    <w:p>
      <w:pPr>
        <w:spacing w:after="60" w:before="60"/>
      </w:pPr>
      <w:r>
        <w:rPr>
          <w:b/>
          <w:bCs/>
          <w:color w:val="0A2540"/>
          <w:sz w:val="22"/>
          <w:szCs w:val="22"/>
        </w:rPr>
        <w:t xml:space="preserve">Training data: </w:t>
      </w:r>
      <w:r>
        <w:rPr>
          <w:color w:val="1F2937"/>
          <w:sz w:val="22"/>
          <w:szCs w:val="22"/>
        </w:rPr>
        <w:t xml:space="preserve">For the MVP, the LSTM is trained on synthetic historical daily balance data generated to contain realistic patterns (month-end spikes, payroll cycles, seasonal drift). This proves the capability on demonstrable data.</w:t>
      </w:r>
    </w:p>
    <w:p>
      <w:pPr>
        <w:spacing w:after="60" w:before="60"/>
      </w:pPr>
      <w:r>
        <w:rPr>
          <w:b/>
          <w:bCs/>
          <w:color w:val="0A2540"/>
          <w:sz w:val="22"/>
          <w:szCs w:val="22"/>
        </w:rPr>
        <w:t xml:space="preserve">Benchmark: </w:t>
      </w:r>
      <w:r>
        <w:rPr>
          <w:color w:val="1F2937"/>
          <w:sz w:val="22"/>
          <w:szCs w:val="22"/>
        </w:rPr>
        <w:t xml:space="preserve">The LSTM forecast should show a meaningfully lower mean absolute percentage error than the static behavioral method, in line with the 30-40% error reduction documented in the literature. The static method is the comparison baseline shown in the toggle.</w:t>
      </w:r>
    </w:p>
    <w:p>
      <w:pPr>
        <w:spacing w:after="80" w:before="80"/>
      </w:pPr>
      <w:r>
        <w:rPr>
          <w:b w:val="false"/>
          <w:bCs w:val="false"/>
          <w:i w:val="false"/>
          <w:iCs w:val="false"/>
          <w:color w:val="1F2937"/>
          <w:sz w:val="22"/>
          <w:szCs w:val="22"/>
        </w:rPr>
        <w:t xml:space="preserve">Honest scoping note: the MVP LSTM is trained on synthetic data, so its accuracy claims are demonstrative, not validated on real bank data. Validation on real data happens during paid pilots. The demo and any investor materials should describe it accurately as such.</w:t>
      </w:r>
    </w:p>
    <w:p>
      <w:pPr>
        <w:pStyle w:val="Heading2"/>
      </w:pPr>
      <w:r>
        <w:rPr>
          <w:b/>
          <w:bCs/>
        </w:rPr>
        <w:t xml:space="preserve">5.8 Acceptance criteria</w:t>
      </w:r>
    </w:p>
    <w:p>
      <w:pPr>
        <w:pStyle w:val="ListParagraph"/>
        <w:numPr>
          <w:ilvl w:val="0"/>
          <w:numId w:val="3"/>
        </w:numPr>
        <w:spacing w:after="40" w:before="40"/>
      </w:pPr>
      <w:r>
        <w:rPr>
          <w:color w:val="1F2937"/>
          <w:sz w:val="22"/>
          <w:szCs w:val="22"/>
        </w:rPr>
        <w:t xml:space="preserve">LCR and NSFR compute correctly from the synthetic balance sheet and match hand-calculated values.</w:t>
      </w:r>
    </w:p>
    <w:p>
      <w:pPr>
        <w:pStyle w:val="ListParagraph"/>
        <w:numPr>
          <w:ilvl w:val="0"/>
          <w:numId w:val="3"/>
        </w:numPr>
        <w:spacing w:after="40" w:before="40"/>
      </w:pPr>
      <w:r>
        <w:rPr>
          <w:color w:val="1F2937"/>
          <w:sz w:val="22"/>
          <w:szCs w:val="22"/>
        </w:rPr>
        <w:t xml:space="preserve">Traffic-light status changes correctly as ratios cross the 100% and 90% thresholds.</w:t>
      </w:r>
    </w:p>
    <w:p>
      <w:pPr>
        <w:pStyle w:val="ListParagraph"/>
        <w:numPr>
          <w:ilvl w:val="0"/>
          <w:numId w:val="3"/>
        </w:numPr>
        <w:spacing w:after="40" w:before="40"/>
      </w:pPr>
      <w:r>
        <w:rPr>
          <w:color w:val="1F2937"/>
          <w:sz w:val="22"/>
          <w:szCs w:val="22"/>
        </w:rPr>
        <w:t xml:space="preserve">The cash flow forecast toggle visibly shows a difference between LSTM and static methods.</w:t>
      </w:r>
    </w:p>
    <w:p>
      <w:pPr>
        <w:pStyle w:val="ListParagraph"/>
        <w:numPr>
          <w:ilvl w:val="0"/>
          <w:numId w:val="3"/>
        </w:numPr>
        <w:spacing w:after="40" w:before="40"/>
      </w:pPr>
      <w:r>
        <w:rPr>
          <w:color w:val="1F2937"/>
          <w:sz w:val="22"/>
          <w:szCs w:val="22"/>
        </w:rPr>
        <w:t xml:space="preserve">All three stress scenarios recompute LCR and NSFR with adjusted run-off rates.</w:t>
      </w:r>
    </w:p>
    <w:p>
      <w:pPr>
        <w:pStyle w:val="ListParagraph"/>
        <w:numPr>
          <w:ilvl w:val="0"/>
          <w:numId w:val="3"/>
        </w:numPr>
        <w:spacing w:after="40" w:before="40"/>
      </w:pPr>
      <w:r>
        <w:rPr>
          <w:color w:val="1F2937"/>
          <w:sz w:val="22"/>
          <w:szCs w:val="22"/>
        </w:rPr>
        <w:t xml:space="preserve">The BoG submission preview renders in a format a Ghanaian bank Treasurer recognizes.</w:t>
      </w:r>
    </w:p>
    <w:p>
      <w:r>
        <w:br w:type="page"/>
      </w:r>
    </w:p>
    <w:p>
      <w:pPr>
        <w:pStyle w:val="Heading1"/>
      </w:pPr>
      <w:r>
        <w:rPr>
          <w:b/>
          <w:bCs/>
        </w:rPr>
        <w:t xml:space="preserve">6. Module 2: Basel Capital</w:t>
      </w:r>
    </w:p>
    <w:p>
      <w:pPr>
        <w:pStyle w:val="Heading2"/>
      </w:pPr>
      <w:r>
        <w:rPr>
          <w:b/>
          <w:bCs/>
        </w:rPr>
        <w:t xml:space="preserve">Purpose and value</w:t>
      </w:r>
    </w:p>
    <w:p>
      <w:pPr>
        <w:spacing w:after="80" w:before="80"/>
      </w:pPr>
      <w:r>
        <w:rPr>
          <w:b w:val="false"/>
          <w:bCs w:val="false"/>
          <w:i w:val="false"/>
          <w:iCs w:val="false"/>
          <w:color w:val="1F2937"/>
          <w:sz w:val="22"/>
          <w:szCs w:val="22"/>
        </w:rPr>
        <w:t xml:space="preserve">The Basel Capital module calculates risk-weighted assets, capital adequacy ratios, and the capital structure, runs capital stress tests, and produces a Bank of Ghana prudential return preview. It proves AequorOS handles the capital side of the regulatory burden, which Bank of Ghana requires monthly.</w:t>
      </w:r>
    </w:p>
    <w:p>
      <w:pPr>
        <w:pStyle w:val="Heading2"/>
      </w:pPr>
      <w:r>
        <w:rPr>
          <w:b/>
          <w:bCs/>
        </w:rPr>
        <w:t xml:space="preserve">Screens</w:t>
      </w:r>
    </w:p>
    <w:p>
      <w:pPr>
        <w:pStyle w:val="Heading3"/>
      </w:pPr>
      <w:r>
        <w:rPr>
          <w:b/>
          <w:bCs/>
        </w:rPr>
        <w:t xml:space="preserve">6.1 Capital Dashboard</w:t>
      </w:r>
    </w:p>
    <w:p>
      <w:pPr>
        <w:spacing w:after="80" w:before="80"/>
      </w:pPr>
      <w:r>
        <w:rPr>
          <w:b w:val="false"/>
          <w:bCs w:val="false"/>
          <w:i w:val="false"/>
          <w:iCs w:val="false"/>
          <w:color w:val="1F2937"/>
          <w:sz w:val="22"/>
          <w:szCs w:val="22"/>
        </w:rPr>
        <w:t xml:space="preserve">Default landing screen. Shows the bank's capital adequacy position.</w:t>
      </w:r>
    </w:p>
    <w:p>
      <w:pPr>
        <w:pStyle w:val="ListParagraph"/>
        <w:numPr>
          <w:ilvl w:val="0"/>
          <w:numId w:val="2"/>
        </w:numPr>
        <w:spacing w:after="40" w:before="40"/>
      </w:pPr>
      <w:r>
        <w:rPr>
          <w:color w:val="1F2937"/>
          <w:sz w:val="22"/>
          <w:szCs w:val="22"/>
        </w:rPr>
        <w:t xml:space="preserve">Large displays for Capital Adequacy Ratio, Tier 1 ratio, and CET1 ratio, each with current value, regulatory minimum, and traffic-light status.</w:t>
      </w:r>
    </w:p>
    <w:p>
      <w:pPr>
        <w:pStyle w:val="ListParagraph"/>
        <w:numPr>
          <w:ilvl w:val="0"/>
          <w:numId w:val="2"/>
        </w:numPr>
        <w:spacing w:after="40" w:before="40"/>
      </w:pPr>
      <w:r>
        <w:rPr>
          <w:color w:val="1F2937"/>
          <w:sz w:val="22"/>
          <w:szCs w:val="22"/>
        </w:rPr>
        <w:t xml:space="preserve">Capital conservation buffer status.</w:t>
      </w:r>
    </w:p>
    <w:p>
      <w:pPr>
        <w:pStyle w:val="ListParagraph"/>
        <w:numPr>
          <w:ilvl w:val="0"/>
          <w:numId w:val="2"/>
        </w:numPr>
        <w:spacing w:after="40" w:before="40"/>
      </w:pPr>
      <w:r>
        <w:rPr>
          <w:color w:val="1F2937"/>
          <w:sz w:val="22"/>
          <w:szCs w:val="22"/>
        </w:rPr>
        <w:t xml:space="preserve">A 12-month trend chart of the CAR.</w:t>
      </w:r>
    </w:p>
    <w:p>
      <w:pPr>
        <w:pStyle w:val="ListParagraph"/>
        <w:numPr>
          <w:ilvl w:val="0"/>
          <w:numId w:val="2"/>
        </w:numPr>
        <w:spacing w:after="40" w:before="40"/>
      </w:pPr>
      <w:r>
        <w:rPr>
          <w:color w:val="1F2937"/>
          <w:sz w:val="22"/>
          <w:szCs w:val="22"/>
        </w:rPr>
        <w:t xml:space="preserve">Quick summary of total RWA and total regulatory capital.</w:t>
      </w:r>
    </w:p>
    <w:p>
      <w:pPr>
        <w:pStyle w:val="Heading3"/>
      </w:pPr>
      <w:r>
        <w:rPr>
          <w:b/>
          <w:bCs/>
        </w:rPr>
        <w:t xml:space="preserve">6.2 RWA Breakdown</w:t>
      </w:r>
    </w:p>
    <w:p>
      <w:pPr>
        <w:spacing w:after="80" w:before="80"/>
      </w:pPr>
      <w:r>
        <w:rPr>
          <w:b w:val="false"/>
          <w:bCs w:val="false"/>
          <w:i w:val="false"/>
          <w:iCs w:val="false"/>
          <w:color w:val="1F2937"/>
          <w:sz w:val="22"/>
          <w:szCs w:val="22"/>
        </w:rPr>
        <w:t xml:space="preserve">Shows risk-weighted assets decomposed by risk type and exposure category.</w:t>
      </w:r>
    </w:p>
    <w:p>
      <w:pPr>
        <w:pStyle w:val="ListParagraph"/>
        <w:numPr>
          <w:ilvl w:val="0"/>
          <w:numId w:val="2"/>
        </w:numPr>
        <w:spacing w:after="40" w:before="40"/>
      </w:pPr>
      <w:r>
        <w:rPr>
          <w:color w:val="1F2937"/>
          <w:sz w:val="22"/>
          <w:szCs w:val="22"/>
        </w:rPr>
        <w:t xml:space="preserve">RWA split across credit risk, market risk, and operational risk.</w:t>
      </w:r>
    </w:p>
    <w:p>
      <w:pPr>
        <w:pStyle w:val="ListParagraph"/>
        <w:numPr>
          <w:ilvl w:val="0"/>
          <w:numId w:val="2"/>
        </w:numPr>
        <w:spacing w:after="40" w:before="40"/>
      </w:pPr>
      <w:r>
        <w:rPr>
          <w:color w:val="1F2937"/>
          <w:sz w:val="22"/>
          <w:szCs w:val="22"/>
        </w:rPr>
        <w:t xml:space="preserve">Credit risk RWA broken down by exposure category with the applied risk weight visible.</w:t>
      </w:r>
    </w:p>
    <w:p>
      <w:pPr>
        <w:pStyle w:val="ListParagraph"/>
        <w:numPr>
          <w:ilvl w:val="0"/>
          <w:numId w:val="2"/>
        </w:numPr>
        <w:spacing w:after="40" w:before="40"/>
      </w:pPr>
      <w:r>
        <w:rPr>
          <w:color w:val="1F2937"/>
          <w:sz w:val="22"/>
          <w:szCs w:val="22"/>
        </w:rPr>
        <w:t xml:space="preserve">Drill-down from each category to the underlying exposure amount.</w:t>
      </w:r>
    </w:p>
    <w:p>
      <w:pPr>
        <w:pStyle w:val="Heading3"/>
      </w:pPr>
      <w:r>
        <w:rPr>
          <w:b/>
          <w:bCs/>
        </w:rPr>
        <w:t xml:space="preserve">6.3 Capital Structure</w:t>
      </w:r>
    </w:p>
    <w:p>
      <w:pPr>
        <w:spacing w:after="80" w:before="80"/>
      </w:pPr>
      <w:r>
        <w:rPr>
          <w:b w:val="false"/>
          <w:bCs w:val="false"/>
          <w:i w:val="false"/>
          <w:iCs w:val="false"/>
          <w:color w:val="1F2937"/>
          <w:sz w:val="22"/>
          <w:szCs w:val="22"/>
        </w:rPr>
        <w:t xml:space="preserve">Shows the composition of regulatory capital.</w:t>
      </w:r>
    </w:p>
    <w:p>
      <w:pPr>
        <w:pStyle w:val="ListParagraph"/>
        <w:numPr>
          <w:ilvl w:val="0"/>
          <w:numId w:val="2"/>
        </w:numPr>
        <w:spacing w:after="40" w:before="40"/>
      </w:pPr>
      <w:r>
        <w:rPr>
          <w:color w:val="1F2937"/>
          <w:sz w:val="22"/>
          <w:szCs w:val="22"/>
        </w:rPr>
        <w:t xml:space="preserve">CET1 capital components: paid-up capital, retained earnings, reserves, minus regulatory deductions.</w:t>
      </w:r>
    </w:p>
    <w:p>
      <w:pPr>
        <w:pStyle w:val="ListParagraph"/>
        <w:numPr>
          <w:ilvl w:val="0"/>
          <w:numId w:val="2"/>
        </w:numPr>
        <w:spacing w:after="40" w:before="40"/>
      </w:pPr>
      <w:r>
        <w:rPr>
          <w:color w:val="1F2937"/>
          <w:sz w:val="22"/>
          <w:szCs w:val="22"/>
        </w:rPr>
        <w:t xml:space="preserve">Additional Tier 1 and Tier 2 capital components.</w:t>
      </w:r>
    </w:p>
    <w:p>
      <w:pPr>
        <w:pStyle w:val="ListParagraph"/>
        <w:numPr>
          <w:ilvl w:val="0"/>
          <w:numId w:val="2"/>
        </w:numPr>
        <w:spacing w:after="40" w:before="40"/>
      </w:pPr>
      <w:r>
        <w:rPr>
          <w:color w:val="1F2937"/>
          <w:sz w:val="22"/>
          <w:szCs w:val="22"/>
        </w:rPr>
        <w:t xml:space="preserve">Regulatory adjustments and deductions itemized.</w:t>
      </w:r>
    </w:p>
    <w:p>
      <w:pPr>
        <w:pStyle w:val="Heading3"/>
      </w:pPr>
      <w:r>
        <w:rPr>
          <w:b/>
          <w:bCs/>
        </w:rPr>
        <w:t xml:space="preserve">6.4 Stress Testing</w:t>
      </w:r>
    </w:p>
    <w:p>
      <w:pPr>
        <w:spacing w:after="80" w:before="80"/>
      </w:pPr>
      <w:r>
        <w:rPr>
          <w:b w:val="false"/>
          <w:bCs w:val="false"/>
          <w:i w:val="false"/>
          <w:iCs w:val="false"/>
          <w:color w:val="1F2937"/>
          <w:sz w:val="22"/>
          <w:szCs w:val="22"/>
        </w:rPr>
        <w:t xml:space="preserve">Applies capital stress scenarios and recalculates ratios.</w:t>
      </w:r>
    </w:p>
    <w:p>
      <w:pPr>
        <w:pStyle w:val="ListParagraph"/>
        <w:numPr>
          <w:ilvl w:val="0"/>
          <w:numId w:val="2"/>
        </w:numPr>
        <w:spacing w:after="40" w:before="40"/>
      </w:pPr>
      <w:r>
        <w:rPr>
          <w:color w:val="1F2937"/>
          <w:sz w:val="22"/>
          <w:szCs w:val="22"/>
        </w:rPr>
        <w:t xml:space="preserve">Three scenarios: mild, moderate, and severe stress, consistent with ICAAP-style stress testing.</w:t>
      </w:r>
    </w:p>
    <w:p>
      <w:pPr>
        <w:pStyle w:val="ListParagraph"/>
        <w:numPr>
          <w:ilvl w:val="0"/>
          <w:numId w:val="2"/>
        </w:numPr>
        <w:spacing w:after="40" w:before="40"/>
      </w:pPr>
      <w:r>
        <w:rPr>
          <w:color w:val="1F2937"/>
          <w:sz w:val="22"/>
          <w:szCs w:val="22"/>
        </w:rPr>
        <w:t xml:space="preserve">Each scenario shows projected CAR, Tier 1, and CET1 over a 12-month horizon.</w:t>
      </w:r>
    </w:p>
    <w:p>
      <w:pPr>
        <w:pStyle w:val="ListParagraph"/>
        <w:numPr>
          <w:ilvl w:val="0"/>
          <w:numId w:val="2"/>
        </w:numPr>
        <w:spacing w:after="40" w:before="40"/>
      </w:pPr>
      <w:r>
        <w:rPr>
          <w:color w:val="1F2937"/>
          <w:sz w:val="22"/>
          <w:szCs w:val="22"/>
        </w:rPr>
        <w:t xml:space="preserve">Capital action triggers: the screen flags when stressed ratios breach early-warning (CAR below 10.5%), breach (below 10%), or critical (below 9%) thresholds, with the recommended action for each.</w:t>
      </w:r>
    </w:p>
    <w:p>
      <w:pPr>
        <w:pStyle w:val="Heading3"/>
      </w:pPr>
      <w:r>
        <w:rPr>
          <w:b/>
          <w:bCs/>
        </w:rPr>
        <w:t xml:space="preserve">6.5 BoG Submission Preview</w:t>
      </w:r>
    </w:p>
    <w:p>
      <w:pPr>
        <w:spacing w:after="80" w:before="80"/>
      </w:pPr>
      <w:r>
        <w:rPr>
          <w:b w:val="false"/>
          <w:bCs w:val="false"/>
          <w:i w:val="false"/>
          <w:iCs w:val="false"/>
          <w:color w:val="1F2937"/>
          <w:sz w:val="22"/>
          <w:szCs w:val="22"/>
        </w:rPr>
        <w:t xml:space="preserve">Generates a preview of the Bank of Ghana capital adequacy prudential return, structured to match the BSD 2 return format.</w:t>
      </w:r>
    </w:p>
    <w:p>
      <w:pPr>
        <w:pStyle w:val="ListParagraph"/>
        <w:numPr>
          <w:ilvl w:val="0"/>
          <w:numId w:val="2"/>
        </w:numPr>
        <w:spacing w:after="40" w:before="40"/>
      </w:pPr>
      <w:r>
        <w:rPr>
          <w:color w:val="1F2937"/>
          <w:sz w:val="22"/>
          <w:szCs w:val="22"/>
        </w:rPr>
        <w:t xml:space="preserve">Formatted return showing RWA and capital ratio calculations.</w:t>
      </w:r>
    </w:p>
    <w:p>
      <w:pPr>
        <w:pStyle w:val="ListParagraph"/>
        <w:numPr>
          <w:ilvl w:val="0"/>
          <w:numId w:val="2"/>
        </w:numPr>
        <w:spacing w:after="40" w:before="40"/>
      </w:pPr>
      <w:r>
        <w:rPr>
          <w:color w:val="1F2937"/>
          <w:sz w:val="22"/>
          <w:szCs w:val="22"/>
        </w:rPr>
        <w:t xml:space="preserve">Validation checks against Bank of Ghana business rules, principally the 10% CAR minimum.</w:t>
      </w:r>
    </w:p>
    <w:p>
      <w:pPr>
        <w:pStyle w:val="ListParagraph"/>
        <w:numPr>
          <w:ilvl w:val="0"/>
          <w:numId w:val="2"/>
        </w:numPr>
        <w:spacing w:after="40" w:before="40"/>
      </w:pPr>
      <w:r>
        <w:rPr>
          <w:color w:val="1F2937"/>
          <w:sz w:val="22"/>
          <w:szCs w:val="22"/>
        </w:rPr>
        <w:t xml:space="preserve">Clearly labeled as a preview only.</w:t>
      </w:r>
    </w:p>
    <w:p>
      <w:pPr>
        <w:pStyle w:val="Heading2"/>
      </w:pPr>
      <w:r>
        <w:rPr>
          <w:b/>
          <w:bCs/>
        </w:rPr>
        <w:t xml:space="preserve">6.6 Calculation engine</w:t>
      </w:r>
    </w:p>
    <w:p>
      <w:pPr>
        <w:pStyle w:val="Heading3"/>
      </w:pPr>
      <w:r>
        <w:rPr>
          <w:b/>
          <w:bCs/>
        </w:rPr>
        <w:t xml:space="preserve">Risk-weighted assets - standardized approach</w:t>
      </w:r>
    </w:p>
    <w:p>
      <w:pPr>
        <w:spacing w:after="80" w:before="80"/>
      </w:pPr>
      <w:r>
        <w:rPr>
          <w:b w:val="false"/>
          <w:bCs w:val="false"/>
          <w:i w:val="false"/>
          <w:iCs w:val="false"/>
          <w:color w:val="1F2937"/>
          <w:sz w:val="22"/>
          <w:szCs w:val="22"/>
        </w:rPr>
        <w:t xml:space="preserve">Credit risk RWA is computed by applying standardized risk weights to exposures: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Exposure category</w:t>
            </w:r>
          </w:p>
        </w:tc>
        <w:tc>
          <w:tcPr>
            <w:tcW w:type="dxa" w:w="396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Risk weight</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Cash, gold, sovereign (Bank of Ghana)</w:t>
            </w:r>
          </w:p>
        </w:tc>
        <w:tc>
          <w:tcPr>
            <w:tcW w:type="dxa" w:w="39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0%</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Multilateral development banks</w:t>
            </w:r>
          </w:p>
        </w:tc>
        <w:tc>
          <w:tcPr>
            <w:tcW w:type="dxa" w:w="39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0%</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Banks (OECD)</w:t>
            </w:r>
          </w:p>
        </w:tc>
        <w:tc>
          <w:tcPr>
            <w:tcW w:type="dxa" w:w="39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20%</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Banks (non-OECD)</w:t>
            </w:r>
          </w:p>
        </w:tc>
        <w:tc>
          <w:tcPr>
            <w:tcW w:type="dxa" w:w="39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50-100%</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Corporates (rated AAA to AA-)</w:t>
            </w:r>
          </w:p>
        </w:tc>
        <w:tc>
          <w:tcPr>
            <w:tcW w:type="dxa" w:w="39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20%</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Corporates (unrated)</w:t>
            </w:r>
          </w:p>
        </w:tc>
        <w:tc>
          <w:tcPr>
            <w:tcW w:type="dxa" w:w="39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100%</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Retail exposures</w:t>
            </w:r>
          </w:p>
        </w:tc>
        <w:tc>
          <w:tcPr>
            <w:tcW w:type="dxa" w:w="39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75%</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Residential mortgages</w:t>
            </w:r>
          </w:p>
        </w:tc>
        <w:tc>
          <w:tcPr>
            <w:tcW w:type="dxa" w:w="39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35%</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Commercial real estate</w:t>
            </w:r>
          </w:p>
        </w:tc>
        <w:tc>
          <w:tcPr>
            <w:tcW w:type="dxa" w:w="39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100%</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Past due (over 90 days)</w:t>
            </w:r>
          </w:p>
        </w:tc>
        <w:tc>
          <w:tcPr>
            <w:tcW w:type="dxa" w:w="39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150%</w:t>
            </w:r>
          </w:p>
        </w:tc>
      </w:tr>
    </w:tbl>
    <w:p>
      <w:pPr>
        <w:spacing w:after="60" w:before="60"/>
      </w:pPr>
    </w:p>
    <w:p>
      <w:pPr>
        <w:spacing w:after="80" w:before="80"/>
      </w:pPr>
      <w:r>
        <w:rPr>
          <w:b w:val="false"/>
          <w:bCs w:val="false"/>
          <w:i w:val="false"/>
          <w:iCs w:val="false"/>
          <w:color w:val="1F2937"/>
          <w:sz w:val="22"/>
          <w:szCs w:val="22"/>
        </w:rPr>
        <w:t xml:space="preserve">Market risk RWA uses the standardized approach: foreign exchange position risk at 8% of the larger of the net long or net short position. Operational risk RWA uses the Basic Indicator Approach: a capital charge of 15% of average gross income over the prior three years, excluding negative years.</w:t>
      </w:r>
    </w:p>
    <w:p>
      <w:pPr>
        <w:pStyle w:val="Heading3"/>
      </w:pPr>
      <w:r>
        <w:rPr>
          <w:b/>
          <w:bCs/>
        </w:rPr>
        <w:t xml:space="preserve">Capital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Ratio</w:t>
            </w:r>
          </w:p>
        </w:tc>
        <w:tc>
          <w:tcPr>
            <w:tcW w:type="dxa" w:w="516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Definition and minimum</w:t>
            </w:r>
          </w:p>
        </w:tc>
      </w:tr>
      <w:tr>
        <w:tc>
          <w:tcPr>
            <w:tcW w:type="dxa" w:w="42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CET1 ratio</w:t>
            </w:r>
          </w:p>
        </w:tc>
        <w:tc>
          <w:tcPr>
            <w:tcW w:type="dxa" w:w="51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CET1 capital / total RWA, minimum 6.5%</w:t>
            </w:r>
          </w:p>
        </w:tc>
      </w:tr>
      <w:tr>
        <w:tc>
          <w:tcPr>
            <w:tcW w:type="dxa" w:w="42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Tier 1 ratio</w:t>
            </w:r>
          </w:p>
        </w:tc>
        <w:tc>
          <w:tcPr>
            <w:tcW w:type="dxa" w:w="51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(CET1 + AT1) / total RWA, minimum 8.0%</w:t>
            </w:r>
          </w:p>
        </w:tc>
      </w:tr>
      <w:tr>
        <w:tc>
          <w:tcPr>
            <w:tcW w:type="dxa" w:w="42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Capital Adequacy Ratio</w:t>
            </w:r>
          </w:p>
        </w:tc>
        <w:tc>
          <w:tcPr>
            <w:tcW w:type="dxa" w:w="51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(Tier 1 + Tier 2) / total RWA, minimum 10.0%</w:t>
            </w:r>
          </w:p>
        </w:tc>
      </w:tr>
      <w:tr>
        <w:tc>
          <w:tcPr>
            <w:tcW w:type="dxa" w:w="42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Leverage ratio</w:t>
            </w:r>
          </w:p>
        </w:tc>
        <w:tc>
          <w:tcPr>
            <w:tcW w:type="dxa" w:w="51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Tier 1 / total exposure, minimum 3.0%</w:t>
            </w:r>
          </w:p>
        </w:tc>
      </w:tr>
    </w:tbl>
    <w:p>
      <w:pPr>
        <w:spacing w:after="60" w:before="60"/>
      </w:pPr>
    </w:p>
    <w:p>
      <w:pPr>
        <w:pStyle w:val="Heading2"/>
      </w:pPr>
      <w:r>
        <w:rPr>
          <w:b/>
          <w:bCs/>
        </w:rPr>
        <w:t xml:space="preserve">6.7 Acceptance criteria</w:t>
      </w:r>
    </w:p>
    <w:p>
      <w:pPr>
        <w:pStyle w:val="ListParagraph"/>
        <w:numPr>
          <w:ilvl w:val="0"/>
          <w:numId w:val="3"/>
        </w:numPr>
        <w:spacing w:after="40" w:before="40"/>
      </w:pPr>
      <w:r>
        <w:rPr>
          <w:color w:val="1F2937"/>
          <w:sz w:val="22"/>
          <w:szCs w:val="22"/>
        </w:rPr>
        <w:t xml:space="preserve">RWA computes correctly across credit, market, and operational risk from the synthetic balance sheet.</w:t>
      </w:r>
    </w:p>
    <w:p>
      <w:pPr>
        <w:pStyle w:val="ListParagraph"/>
        <w:numPr>
          <w:ilvl w:val="0"/>
          <w:numId w:val="3"/>
        </w:numPr>
        <w:spacing w:after="40" w:before="40"/>
      </w:pPr>
      <w:r>
        <w:rPr>
          <w:color w:val="1F2937"/>
          <w:sz w:val="22"/>
          <w:szCs w:val="22"/>
        </w:rPr>
        <w:t xml:space="preserve">CAR, Tier 1, CET1, and leverage ratios compute correctly and match hand calculations.</w:t>
      </w:r>
    </w:p>
    <w:p>
      <w:pPr>
        <w:pStyle w:val="ListParagraph"/>
        <w:numPr>
          <w:ilvl w:val="0"/>
          <w:numId w:val="3"/>
        </w:numPr>
        <w:spacing w:after="40" w:before="40"/>
      </w:pPr>
      <w:r>
        <w:rPr>
          <w:color w:val="1F2937"/>
          <w:sz w:val="22"/>
          <w:szCs w:val="22"/>
        </w:rPr>
        <w:t xml:space="preserve">Traffic-light status and capital action triggers fire at the correct thresholds.</w:t>
      </w:r>
    </w:p>
    <w:p>
      <w:pPr>
        <w:pStyle w:val="ListParagraph"/>
        <w:numPr>
          <w:ilvl w:val="0"/>
          <w:numId w:val="3"/>
        </w:numPr>
        <w:spacing w:after="40" w:before="40"/>
      </w:pPr>
      <w:r>
        <w:rPr>
          <w:color w:val="1F2937"/>
          <w:sz w:val="22"/>
          <w:szCs w:val="22"/>
        </w:rPr>
        <w:t xml:space="preserve">All three stress scenarios recompute capital ratios over a 12-month horizon.</w:t>
      </w:r>
    </w:p>
    <w:p>
      <w:pPr>
        <w:pStyle w:val="ListParagraph"/>
        <w:numPr>
          <w:ilvl w:val="0"/>
          <w:numId w:val="3"/>
        </w:numPr>
        <w:spacing w:after="40" w:before="40"/>
      </w:pPr>
      <w:r>
        <w:rPr>
          <w:color w:val="1F2937"/>
          <w:sz w:val="22"/>
          <w:szCs w:val="22"/>
        </w:rPr>
        <w:t xml:space="preserve">The BoG submission preview renders in BSD 2 format.</w:t>
      </w:r>
    </w:p>
    <w:p>
      <w:pPr>
        <w:pStyle w:val="ListParagraph"/>
        <w:numPr>
          <w:ilvl w:val="0"/>
          <w:numId w:val="3"/>
        </w:numPr>
        <w:spacing w:after="40" w:before="40"/>
      </w:pPr>
      <w:r>
        <w:rPr>
          <w:color w:val="1F2937"/>
          <w:sz w:val="22"/>
          <w:szCs w:val="22"/>
        </w:rPr>
        <w:t xml:space="preserve">Securities and exposure figures are consistent with the Liquidity module's view of the same balance sheet.</w:t>
      </w:r>
    </w:p>
    <w:p>
      <w:r>
        <w:br w:type="page"/>
      </w:r>
    </w:p>
    <w:p>
      <w:pPr>
        <w:pStyle w:val="Heading1"/>
      </w:pPr>
      <w:r>
        <w:rPr>
          <w:b/>
          <w:bCs/>
        </w:rPr>
        <w:t xml:space="preserve">7. Module 3: Balance Sheet Forecasting</w:t>
      </w:r>
    </w:p>
    <w:p>
      <w:pPr>
        <w:pStyle w:val="Heading2"/>
      </w:pPr>
      <w:r>
        <w:rPr>
          <w:b/>
          <w:bCs/>
        </w:rPr>
        <w:t xml:space="preserve">Purpose and value</w:t>
      </w:r>
    </w:p>
    <w:p>
      <w:pPr>
        <w:spacing w:after="80" w:before="80"/>
      </w:pPr>
      <w:r>
        <w:rPr>
          <w:b w:val="false"/>
          <w:bCs w:val="false"/>
          <w:i w:val="false"/>
          <w:iCs w:val="false"/>
          <w:color w:val="1F2937"/>
          <w:sz w:val="22"/>
          <w:szCs w:val="22"/>
        </w:rPr>
        <w:t xml:space="preserve">The Balance Sheet Forecasting module projects the bank's balance sheet and P&amp;L forward, runs scenario analysis, and recommends strategic balance sheet decisions. This is the module that moves AequorOS from a compliance tool to a strategic planning tool. It is the reason a CFO, not just a regulatory team, cares about the product.</w:t>
      </w:r>
    </w:p>
    <w:p>
      <w:pPr>
        <w:pStyle w:val="Heading2"/>
      </w:pPr>
      <w:r>
        <w:rPr>
          <w:b/>
          <w:bCs/>
        </w:rPr>
        <w:t xml:space="preserve">Screens</w:t>
      </w:r>
    </w:p>
    <w:p>
      <w:pPr>
        <w:pStyle w:val="Heading3"/>
      </w:pPr>
      <w:r>
        <w:rPr>
          <w:b/>
          <w:bCs/>
        </w:rPr>
        <w:t xml:space="preserve">7.1 Forecast Dashboard</w:t>
      </w:r>
    </w:p>
    <w:p>
      <w:pPr>
        <w:spacing w:after="80" w:before="80"/>
      </w:pPr>
      <w:r>
        <w:rPr>
          <w:b w:val="false"/>
          <w:bCs w:val="false"/>
          <w:i w:val="false"/>
          <w:iCs w:val="false"/>
          <w:color w:val="1F2937"/>
          <w:sz w:val="22"/>
          <w:szCs w:val="22"/>
        </w:rPr>
        <w:t xml:space="preserve">Default landing screen. Shows the projected balance sheet and P&amp;L.</w:t>
      </w:r>
    </w:p>
    <w:p>
      <w:pPr>
        <w:pStyle w:val="ListParagraph"/>
        <w:numPr>
          <w:ilvl w:val="0"/>
          <w:numId w:val="2"/>
        </w:numPr>
        <w:spacing w:after="40" w:before="40"/>
      </w:pPr>
      <w:r>
        <w:rPr>
          <w:color w:val="1F2937"/>
          <w:sz w:val="22"/>
          <w:szCs w:val="22"/>
        </w:rPr>
        <w:t xml:space="preserve">Multi-period projection of total assets, liabilities, and equity, at monthly granularity for 12 months and quarterly thereafter to three years.</w:t>
      </w:r>
    </w:p>
    <w:p>
      <w:pPr>
        <w:pStyle w:val="ListParagraph"/>
        <w:numPr>
          <w:ilvl w:val="0"/>
          <w:numId w:val="2"/>
        </w:numPr>
        <w:spacing w:after="40" w:before="40"/>
      </w:pPr>
      <w:r>
        <w:rPr>
          <w:color w:val="1F2937"/>
          <w:sz w:val="22"/>
          <w:szCs w:val="22"/>
        </w:rPr>
        <w:t xml:space="preserve">Projected net interest income, operating expenses, credit losses, and net income.</w:t>
      </w:r>
    </w:p>
    <w:p>
      <w:pPr>
        <w:pStyle w:val="ListParagraph"/>
        <w:numPr>
          <w:ilvl w:val="0"/>
          <w:numId w:val="2"/>
        </w:numPr>
        <w:spacing w:after="40" w:before="40"/>
      </w:pPr>
      <w:r>
        <w:rPr>
          <w:color w:val="1F2937"/>
          <w:sz w:val="22"/>
          <w:szCs w:val="22"/>
        </w:rPr>
        <w:t xml:space="preserve">Projected capital and liquidity ratios over the horizon, so the user sees whether the plan stays compliant.</w:t>
      </w:r>
    </w:p>
    <w:p>
      <w:pPr>
        <w:pStyle w:val="ListParagraph"/>
        <w:numPr>
          <w:ilvl w:val="0"/>
          <w:numId w:val="2"/>
        </w:numPr>
        <w:spacing w:after="40" w:before="40"/>
      </w:pPr>
      <w:r>
        <w:rPr>
          <w:color w:val="1F2937"/>
          <w:sz w:val="22"/>
          <w:szCs w:val="22"/>
        </w:rPr>
        <w:t xml:space="preserve">Comparison against the bank's stated strategic plan.</w:t>
      </w:r>
    </w:p>
    <w:p>
      <w:pPr>
        <w:pStyle w:val="Heading3"/>
      </w:pPr>
      <w:r>
        <w:rPr>
          <w:b/>
          <w:bCs/>
        </w:rPr>
        <w:t xml:space="preserve">7.2 Scenario Builder</w:t>
      </w:r>
    </w:p>
    <w:p>
      <w:pPr>
        <w:spacing w:after="80" w:before="80"/>
      </w:pPr>
      <w:r>
        <w:rPr>
          <w:b w:val="false"/>
          <w:bCs w:val="false"/>
          <w:i w:val="false"/>
          <w:iCs w:val="false"/>
          <w:color w:val="1F2937"/>
          <w:sz w:val="22"/>
          <w:szCs w:val="22"/>
        </w:rPr>
        <w:t xml:space="preserve">Lets the user define and run scenarios.</w:t>
      </w:r>
    </w:p>
    <w:p>
      <w:pPr>
        <w:pStyle w:val="ListParagraph"/>
        <w:numPr>
          <w:ilvl w:val="0"/>
          <w:numId w:val="2"/>
        </w:numPr>
        <w:spacing w:after="40" w:before="40"/>
      </w:pPr>
      <w:r>
        <w:rPr>
          <w:color w:val="1F2937"/>
          <w:sz w:val="22"/>
          <w:szCs w:val="22"/>
        </w:rPr>
        <w:t xml:space="preserve">Adjustable assumptions: loan growth rate, deposit growth rate, net interest margin, cost-to-income ratio, and credit loss rate.</w:t>
      </w:r>
    </w:p>
    <w:p>
      <w:pPr>
        <w:pStyle w:val="ListParagraph"/>
        <w:numPr>
          <w:ilvl w:val="0"/>
          <w:numId w:val="2"/>
        </w:numPr>
        <w:spacing w:after="40" w:before="40"/>
      </w:pPr>
      <w:r>
        <w:rPr>
          <w:color w:val="1F2937"/>
          <w:sz w:val="22"/>
          <w:szCs w:val="22"/>
        </w:rPr>
        <w:t xml:space="preserve">Three preset scenarios: base case, adverse, and severely adverse, with defined parameters (detailed below).</w:t>
      </w:r>
    </w:p>
    <w:p>
      <w:pPr>
        <w:pStyle w:val="ListParagraph"/>
        <w:numPr>
          <w:ilvl w:val="0"/>
          <w:numId w:val="2"/>
        </w:numPr>
        <w:spacing w:after="40" w:before="40"/>
      </w:pPr>
      <w:r>
        <w:rPr>
          <w:color w:val="1F2937"/>
          <w:sz w:val="22"/>
          <w:szCs w:val="22"/>
        </w:rPr>
        <w:t xml:space="preserve">Custom scenario capability where the user sets their own assumption values.</w:t>
      </w:r>
    </w:p>
    <w:p>
      <w:pPr>
        <w:pStyle w:val="ListParagraph"/>
        <w:numPr>
          <w:ilvl w:val="0"/>
          <w:numId w:val="2"/>
        </w:numPr>
        <w:spacing w:after="40" w:before="40"/>
      </w:pPr>
      <w:r>
        <w:rPr>
          <w:color w:val="1F2937"/>
          <w:sz w:val="22"/>
          <w:szCs w:val="22"/>
        </w:rPr>
        <w:t xml:space="preserve">Each scenario produces a full balance sheet, P&amp;L, and capital and liquidity projection.</w:t>
      </w:r>
    </w:p>
    <w:p>
      <w:pPr>
        <w:pStyle w:val="Heading3"/>
      </w:pPr>
      <w:r>
        <w:rPr>
          <w:b/>
          <w:bCs/>
        </w:rPr>
        <w:t xml:space="preserve">7.3 Strategic Optimizer</w:t>
      </w:r>
    </w:p>
    <w:p>
      <w:pPr>
        <w:spacing w:after="80" w:before="80"/>
      </w:pPr>
      <w:r>
        <w:rPr>
          <w:b w:val="false"/>
          <w:bCs w:val="false"/>
          <w:i w:val="false"/>
          <w:iCs w:val="false"/>
          <w:color w:val="1F2937"/>
          <w:sz w:val="22"/>
          <w:szCs w:val="22"/>
        </w:rPr>
        <w:t xml:space="preserve">Recommends balance sheet allocation decisions.</w:t>
      </w:r>
    </w:p>
    <w:p>
      <w:pPr>
        <w:pStyle w:val="ListParagraph"/>
        <w:numPr>
          <w:ilvl w:val="0"/>
          <w:numId w:val="2"/>
        </w:numPr>
        <w:spacing w:after="40" w:before="40"/>
      </w:pPr>
      <w:r>
        <w:rPr>
          <w:color w:val="1F2937"/>
          <w:sz w:val="22"/>
          <w:szCs w:val="22"/>
        </w:rPr>
        <w:t xml:space="preserve">Takes the current balance sheet and a set of constraints (CAR at or above 10%, LCR and NSFR at or above 100%).</w:t>
      </w:r>
    </w:p>
    <w:p>
      <w:pPr>
        <w:pStyle w:val="ListParagraph"/>
        <w:numPr>
          <w:ilvl w:val="0"/>
          <w:numId w:val="2"/>
        </w:numPr>
        <w:spacing w:after="40" w:before="40"/>
      </w:pPr>
      <w:r>
        <w:rPr>
          <w:color w:val="1F2937"/>
          <w:sz w:val="22"/>
          <w:szCs w:val="22"/>
        </w:rPr>
        <w:t xml:space="preserve">Searches a constrained space of strategic decisions: loan growth by product, deposit pricing, securities allocation, and capital actions.</w:t>
      </w:r>
    </w:p>
    <w:p>
      <w:pPr>
        <w:pStyle w:val="ListParagraph"/>
        <w:numPr>
          <w:ilvl w:val="0"/>
          <w:numId w:val="2"/>
        </w:numPr>
        <w:spacing w:after="40" w:before="40"/>
      </w:pPr>
      <w:r>
        <w:rPr>
          <w:color w:val="1F2937"/>
          <w:sz w:val="22"/>
          <w:szCs w:val="22"/>
        </w:rPr>
        <w:t xml:space="preserve">Recommends an allocation and shows the projected outcome versus the current trajectory.</w:t>
      </w:r>
    </w:p>
    <w:p>
      <w:pPr>
        <w:pStyle w:val="ListParagraph"/>
        <w:numPr>
          <w:ilvl w:val="0"/>
          <w:numId w:val="2"/>
        </w:numPr>
        <w:spacing w:after="40" w:before="40"/>
      </w:pPr>
      <w:r>
        <w:rPr>
          <w:color w:val="1F2937"/>
          <w:sz w:val="22"/>
          <w:szCs w:val="22"/>
        </w:rPr>
        <w:t xml:space="preserve">Presents recommendations as a ranked list with the expected effect on five-year return on equity and the constraint status of each.</w:t>
      </w:r>
    </w:p>
    <w:p>
      <w:pPr>
        <w:pStyle w:val="Heading3"/>
      </w:pPr>
      <w:r>
        <w:rPr>
          <w:b/>
          <w:bCs/>
        </w:rPr>
        <w:t xml:space="preserve">7.4 What-If Analysis</w:t>
      </w:r>
    </w:p>
    <w:p>
      <w:pPr>
        <w:spacing w:after="80" w:before="80"/>
      </w:pPr>
      <w:r>
        <w:rPr>
          <w:b w:val="false"/>
          <w:bCs w:val="false"/>
          <w:i w:val="false"/>
          <w:iCs w:val="false"/>
          <w:color w:val="1F2937"/>
          <w:sz w:val="22"/>
          <w:szCs w:val="22"/>
        </w:rPr>
        <w:t xml:space="preserve">Pre-built shock analysis.</w:t>
      </w:r>
    </w:p>
    <w:p>
      <w:pPr>
        <w:pStyle w:val="ListParagraph"/>
        <w:numPr>
          <w:ilvl w:val="0"/>
          <w:numId w:val="2"/>
        </w:numPr>
        <w:spacing w:after="40" w:before="40"/>
      </w:pPr>
      <w:r>
        <w:rPr>
          <w:color w:val="1F2937"/>
          <w:sz w:val="22"/>
          <w:szCs w:val="22"/>
        </w:rPr>
        <w:t xml:space="preserve">Pre-built shocks: interest rate shock, cedi depreciation, loan default spike, and a Bank of Ghana policy rate change.</w:t>
      </w:r>
    </w:p>
    <w:p>
      <w:pPr>
        <w:pStyle w:val="ListParagraph"/>
        <w:numPr>
          <w:ilvl w:val="0"/>
          <w:numId w:val="2"/>
        </w:numPr>
        <w:spacing w:after="40" w:before="40"/>
      </w:pPr>
      <w:r>
        <w:rPr>
          <w:color w:val="1F2937"/>
          <w:sz w:val="22"/>
          <w:szCs w:val="22"/>
        </w:rPr>
        <w:t xml:space="preserve">Each shock shows the full balance sheet and capital impact.</w:t>
      </w:r>
    </w:p>
    <w:p>
      <w:pPr>
        <w:pStyle w:val="Heading2"/>
      </w:pPr>
      <w:r>
        <w:rPr>
          <w:b/>
          <w:bCs/>
        </w:rPr>
        <w:t xml:space="preserve">7.5 Calculation engine</w:t>
      </w:r>
    </w:p>
    <w:p>
      <w:pPr>
        <w:pStyle w:val="Heading3"/>
      </w:pPr>
      <w:r>
        <w:rPr>
          <w:b/>
          <w:bCs/>
        </w:rPr>
        <w:t xml:space="preserve">Forecast horizons</w:t>
      </w:r>
    </w:p>
    <w:p>
      <w:pPr>
        <w:pStyle w:val="ListParagraph"/>
        <w:numPr>
          <w:ilvl w:val="0"/>
          <w:numId w:val="2"/>
        </w:numPr>
        <w:spacing w:after="40" w:before="40"/>
      </w:pPr>
      <w:r>
        <w:rPr>
          <w:color w:val="1F2937"/>
          <w:sz w:val="22"/>
          <w:szCs w:val="22"/>
        </w:rPr>
        <w:t xml:space="preserve">Short term: 1-12 months at monthly granularity, for budgeting and liquidity planning.</w:t>
      </w:r>
    </w:p>
    <w:p>
      <w:pPr>
        <w:pStyle w:val="ListParagraph"/>
        <w:numPr>
          <w:ilvl w:val="0"/>
          <w:numId w:val="2"/>
        </w:numPr>
        <w:spacing w:after="40" w:before="40"/>
      </w:pPr>
      <w:r>
        <w:rPr>
          <w:color w:val="1F2937"/>
          <w:sz w:val="22"/>
          <w:szCs w:val="22"/>
        </w:rPr>
        <w:t xml:space="preserve">Medium term: 1-3 years at quarterly granularity, for ICAAP and ILAAP planning.</w:t>
      </w:r>
    </w:p>
    <w:p>
      <w:pPr>
        <w:pStyle w:val="ListParagraph"/>
        <w:numPr>
          <w:ilvl w:val="0"/>
          <w:numId w:val="2"/>
        </w:numPr>
        <w:spacing w:after="40" w:before="40"/>
      </w:pPr>
      <w:r>
        <w:rPr>
          <w:color w:val="1F2937"/>
          <w:sz w:val="22"/>
          <w:szCs w:val="22"/>
        </w:rPr>
        <w:t xml:space="preserve">Long term: 3-5 years at annual granularity, for strategic capital planning.</w:t>
      </w:r>
    </w:p>
    <w:p>
      <w:pPr>
        <w:pStyle w:val="Heading3"/>
      </w:pPr>
      <w:r>
        <w:rPr>
          <w:b/>
          <w:bCs/>
        </w:rPr>
        <w:t xml:space="preserve">Scenario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Scenario</w:t>
            </w:r>
          </w:p>
        </w:tc>
        <w:tc>
          <w:tcPr>
            <w:tcW w:type="dxa" w:w="696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Parameters</w:t>
            </w:r>
          </w:p>
        </w:tc>
      </w:tr>
      <w:tr>
        <w:tc>
          <w:tcPr>
            <w:tcW w:type="dxa" w:w="2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Base case</w:t>
            </w:r>
          </w:p>
        </w:tc>
        <w:tc>
          <w:tcPr>
            <w:tcW w:type="dxa" w:w="69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Management expected case. GDP growth as projected, inflation declining toward target, moderate credit demand.</w:t>
            </w:r>
          </w:p>
        </w:tc>
      </w:tr>
      <w:tr>
        <w:tc>
          <w:tcPr>
            <w:tcW w:type="dxa" w:w="2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Adverse</w:t>
            </w:r>
          </w:p>
        </w:tc>
        <w:tc>
          <w:tcPr>
            <w:tcW w:type="dxa" w:w="69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Moderate stress. GDP growth 2 percentage points below baseline, inflation 3 points higher, GHS depreciation 15%, NPL ratio up 50%.</w:t>
            </w:r>
          </w:p>
        </w:tc>
      </w:tr>
      <w:tr>
        <w:tc>
          <w:tcPr>
            <w:tcW w:type="dxa" w:w="2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Severely adverse</w:t>
            </w:r>
          </w:p>
        </w:tc>
        <w:tc>
          <w:tcPr>
            <w:tcW w:type="dxa" w:w="69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Severe stress. GDP contraction of 3-5%, inflation spike above 20%, GHS depreciation above 40%, deposit outflow 20%, NPL ratio doubles.</w:t>
            </w:r>
          </w:p>
        </w:tc>
      </w:tr>
    </w:tbl>
    <w:p>
      <w:pPr>
        <w:spacing w:after="60" w:before="60"/>
      </w:pPr>
    </w:p>
    <w:p>
      <w:pPr>
        <w:pStyle w:val="Heading3"/>
      </w:pPr>
      <w:r>
        <w:rPr>
          <w:b/>
          <w:bCs/>
        </w:rPr>
        <w:t xml:space="preserve">Projection methodology</w:t>
      </w:r>
    </w:p>
    <w:p>
      <w:pPr>
        <w:spacing w:after="80" w:before="80"/>
      </w:pPr>
      <w:r>
        <w:rPr>
          <w:b w:val="false"/>
          <w:bCs w:val="false"/>
          <w:i w:val="false"/>
          <w:iCs w:val="false"/>
          <w:color w:val="1F2937"/>
          <w:sz w:val="22"/>
          <w:szCs w:val="22"/>
        </w:rPr>
        <w:t xml:space="preserve">Balance sheet projection runs off existing positions per contractual and behavioral maturity, adds new origination based on strategic targets adjusted for the scenario, and applies market value adjustments to securities. P&amp;L projection computes net interest income as the sum of average balance times effective rate per product, scales operating expenses by inflation plus plan, and derives credit losses from probability of default, loss given default, and exposure at default under each scenario. Capital projection evolves RWA with the loan book and computes capital as beginning capital plus net income minus dividends, plus or minus other comprehensive income.</w:t>
      </w:r>
    </w:p>
    <w:p>
      <w:pPr>
        <w:pStyle w:val="Heading2"/>
      </w:pPr>
      <w:r>
        <w:rPr>
          <w:b/>
          <w:bCs/>
        </w:rPr>
        <w:t xml:space="preserve">7.6 Optimizer scope: MVP versus full product</w:t>
      </w:r>
    </w:p>
    <w:p>
      <w:pPr>
        <w:spacing w:after="80" w:before="80"/>
      </w:pPr>
      <w:r>
        <w:rPr>
          <w:b w:val="false"/>
          <w:bCs w:val="false"/>
          <w:i w:val="false"/>
          <w:iCs w:val="false"/>
          <w:color w:val="1F2937"/>
          <w:sz w:val="22"/>
          <w:szCs w:val="22"/>
        </w:rPr>
        <w:t xml:space="preserve">This is the most important honest-scoping point in the document. The full AequorOS product specifies a Deep Reinforcement Learning agent for strategic optimization, exploring more than 10,000 decision combinations across 10,000 Monte Carlo paths.</w:t>
      </w:r>
    </w:p>
    <w:p>
      <w:pPr>
        <w:spacing w:after="80" w:before="80"/>
      </w:pPr>
      <w:r>
        <w:rPr>
          <w:b w:val="false"/>
          <w:bCs w:val="false"/>
          <w:i w:val="false"/>
          <w:iCs w:val="false"/>
          <w:color w:val="1F2937"/>
          <w:sz w:val="22"/>
          <w:szCs w:val="22"/>
        </w:rPr>
        <w:t xml:space="preserve">The MVP does not build full Deep Reinforcement Learning. Building, training, and validating an RL agent is months of specialized work and is not required to get a bank to LOI stage. The MVP optimizer is instead a constrained scenario search: it enumerates a bounded set of strategic decision combinations, projects each forward, filters for those that satisfy the regulatory constraints, and ranks the survivors by projected five-year return on equity.</w:t>
      </w:r>
    </w:p>
    <w:p>
      <w:pPr>
        <w:spacing w:after="80" w:before="80"/>
      </w:pPr>
      <w:r>
        <w:rPr>
          <w:b w:val="false"/>
          <w:bCs w:val="false"/>
          <w:i w:val="false"/>
          <w:iCs w:val="false"/>
          <w:color w:val="1F2937"/>
          <w:sz w:val="22"/>
          <w:szCs w:val="22"/>
        </w:rPr>
        <w:t xml:space="preserve">This produces genuinely useful recommendations and demonstrates the concept convincingly. It is honest to describe it to banks and investors as "a strategic optimizer" or "scenario-based optimization." It is not honest to describe the MVP optimizer as reinforcement learning. The full RL agent is a post-MVP build, funded by the seed round, and should be presented as the roadmap, not the current state.</w:t>
      </w:r>
    </w:p>
    <w:p>
      <w:pPr>
        <w:pStyle w:val="Heading2"/>
      </w:pPr>
      <w:r>
        <w:rPr>
          <w:b/>
          <w:bCs/>
        </w:rPr>
        <w:t xml:space="preserve">7.7 Acceptance criteria</w:t>
      </w:r>
    </w:p>
    <w:p>
      <w:pPr>
        <w:pStyle w:val="ListParagraph"/>
        <w:numPr>
          <w:ilvl w:val="0"/>
          <w:numId w:val="3"/>
        </w:numPr>
        <w:spacing w:after="40" w:before="40"/>
      </w:pPr>
      <w:r>
        <w:rPr>
          <w:color w:val="1F2937"/>
          <w:sz w:val="22"/>
          <w:szCs w:val="22"/>
        </w:rPr>
        <w:t xml:space="preserve">The balance sheet and P&amp;L projections compute correctly and tie to the synthetic starting balance sheet.</w:t>
      </w:r>
    </w:p>
    <w:p>
      <w:pPr>
        <w:pStyle w:val="ListParagraph"/>
        <w:numPr>
          <w:ilvl w:val="0"/>
          <w:numId w:val="3"/>
        </w:numPr>
        <w:spacing w:after="40" w:before="40"/>
      </w:pPr>
      <w:r>
        <w:rPr>
          <w:color w:val="1F2937"/>
          <w:sz w:val="22"/>
          <w:szCs w:val="22"/>
        </w:rPr>
        <w:t xml:space="preserve">All three preset scenarios and the custom scenario produce coherent, internally consistent projections.</w:t>
      </w:r>
    </w:p>
    <w:p>
      <w:pPr>
        <w:pStyle w:val="ListParagraph"/>
        <w:numPr>
          <w:ilvl w:val="0"/>
          <w:numId w:val="3"/>
        </w:numPr>
        <w:spacing w:after="40" w:before="40"/>
      </w:pPr>
      <w:r>
        <w:rPr>
          <w:color w:val="1F2937"/>
          <w:sz w:val="22"/>
          <w:szCs w:val="22"/>
        </w:rPr>
        <w:t xml:space="preserve">Projected capital and liquidity ratios are consistent with how the Basel Capital and Liquidity modules would compute them.</w:t>
      </w:r>
    </w:p>
    <w:p>
      <w:pPr>
        <w:pStyle w:val="ListParagraph"/>
        <w:numPr>
          <w:ilvl w:val="0"/>
          <w:numId w:val="3"/>
        </w:numPr>
        <w:spacing w:after="40" w:before="40"/>
      </w:pPr>
      <w:r>
        <w:rPr>
          <w:color w:val="1F2937"/>
          <w:sz w:val="22"/>
          <w:szCs w:val="22"/>
        </w:rPr>
        <w:t xml:space="preserve">The Strategic Optimizer returns ranked, constraint-satisfying recommendations.</w:t>
      </w:r>
    </w:p>
    <w:p>
      <w:pPr>
        <w:pStyle w:val="ListParagraph"/>
        <w:numPr>
          <w:ilvl w:val="0"/>
          <w:numId w:val="3"/>
        </w:numPr>
        <w:spacing w:after="40" w:before="40"/>
      </w:pPr>
      <w:r>
        <w:rPr>
          <w:color w:val="1F2937"/>
          <w:sz w:val="22"/>
          <w:szCs w:val="22"/>
        </w:rPr>
        <w:t xml:space="preserve">All four what-if shocks produce plausible balance sheet impacts.</w:t>
      </w:r>
    </w:p>
    <w:p>
      <w:r>
        <w:br w:type="page"/>
      </w:r>
    </w:p>
    <w:p>
      <w:pPr>
        <w:pStyle w:val="Heading1"/>
      </w:pPr>
      <w:r>
        <w:rPr>
          <w:b/>
          <w:bCs/>
        </w:rPr>
        <w:t xml:space="preserve">8. Shared Platform Components</w:t>
      </w:r>
    </w:p>
    <w:p>
      <w:pPr>
        <w:pStyle w:val="Heading2"/>
      </w:pPr>
      <w:r>
        <w:rPr>
          <w:b/>
          <w:bCs/>
        </w:rPr>
        <w:t xml:space="preserve">Overview dashboard</w:t>
      </w:r>
    </w:p>
    <w:p>
      <w:pPr>
        <w:spacing w:after="80" w:before="80"/>
      </w:pPr>
      <w:r>
        <w:rPr>
          <w:b w:val="false"/>
          <w:bCs w:val="false"/>
          <w:i w:val="false"/>
          <w:iCs w:val="false"/>
          <w:color w:val="1F2937"/>
          <w:sz w:val="22"/>
          <w:szCs w:val="22"/>
        </w:rPr>
        <w:t xml:space="preserve">A cross-module home screen showing the bank's headline position: current LCR, NSFR, CAR, and a one-line forecast summary. Each metric links into its module. This is the screen a demo opens on.</w:t>
      </w:r>
    </w:p>
    <w:p>
      <w:pPr>
        <w:pStyle w:val="Heading2"/>
      </w:pPr>
      <w:r>
        <w:rPr>
          <w:b/>
          <w:bCs/>
        </w:rPr>
        <w:t xml:space="preserve">Regulatory Submissions library</w:t>
      </w:r>
    </w:p>
    <w:p>
      <w:pPr>
        <w:spacing w:after="80" w:before="80"/>
      </w:pPr>
      <w:r>
        <w:rPr>
          <w:b w:val="false"/>
          <w:bCs w:val="false"/>
          <w:i w:val="false"/>
          <w:iCs w:val="false"/>
          <w:color w:val="1F2937"/>
          <w:sz w:val="22"/>
          <w:szCs w:val="22"/>
        </w:rPr>
        <w:t xml:space="preserve">A cross-module screen collecting the BoG submission previews from the Liquidity and Basel Capital modules in one place, with upcoming submission deadlines and validation status.</w:t>
      </w:r>
    </w:p>
    <w:p>
      <w:pPr>
        <w:pStyle w:val="Heading2"/>
      </w:pPr>
      <w:r>
        <w:rPr>
          <w:b/>
          <w:bCs/>
        </w:rPr>
        <w:t xml:space="preserve">Login</w:t>
      </w:r>
    </w:p>
    <w:p>
      <w:pPr>
        <w:spacing w:after="80" w:before="80"/>
      </w:pPr>
      <w:r>
        <w:rPr>
          <w:b w:val="false"/>
          <w:bCs w:val="false"/>
          <w:i w:val="false"/>
          <w:iCs w:val="false"/>
          <w:color w:val="1F2937"/>
          <w:sz w:val="22"/>
          <w:szCs w:val="22"/>
        </w:rPr>
        <w:t xml:space="preserve">A minimal login screen. For the MVP this is demonstration-grade only: a simple credential entry, no multi-factor authentication, no SSO. Production authentication is deferred (see Section 11).</w:t>
      </w:r>
    </w:p>
    <w:p>
      <w:pPr>
        <w:pStyle w:val="Heading2"/>
      </w:pPr>
      <w:r>
        <w:rPr>
          <w:b/>
          <w:bCs/>
        </w:rPr>
        <w:t xml:space="preserve">Common component library</w:t>
      </w:r>
    </w:p>
    <w:p>
      <w:pPr>
        <w:spacing w:after="80" w:before="80"/>
      </w:pPr>
      <w:r>
        <w:rPr>
          <w:b w:val="false"/>
          <w:bCs w:val="false"/>
          <w:i w:val="false"/>
          <w:iCs w:val="false"/>
          <w:color w:val="1F2937"/>
          <w:sz w:val="22"/>
          <w:szCs w:val="22"/>
        </w:rPr>
        <w:t xml:space="preserve">Build these once and reuse across all three modules:</w:t>
      </w:r>
    </w:p>
    <w:p>
      <w:pPr>
        <w:pStyle w:val="ListParagraph"/>
        <w:numPr>
          <w:ilvl w:val="0"/>
          <w:numId w:val="2"/>
        </w:numPr>
        <w:spacing w:after="40" w:before="40"/>
      </w:pPr>
      <w:r>
        <w:rPr>
          <w:color w:val="1F2937"/>
          <w:sz w:val="22"/>
          <w:szCs w:val="22"/>
        </w:rPr>
        <w:t xml:space="preserve">Ratio display card: large number, label, threshold, variance, traffic-light indicator.</w:t>
      </w:r>
    </w:p>
    <w:p>
      <w:pPr>
        <w:pStyle w:val="ListParagraph"/>
        <w:numPr>
          <w:ilvl w:val="0"/>
          <w:numId w:val="2"/>
        </w:numPr>
        <w:spacing w:after="40" w:before="40"/>
      </w:pPr>
      <w:r>
        <w:rPr>
          <w:color w:val="1F2937"/>
          <w:sz w:val="22"/>
          <w:szCs w:val="22"/>
        </w:rPr>
        <w:t xml:space="preserve">Data table: sortable, dense, with right-aligned numeric columns.</w:t>
      </w:r>
    </w:p>
    <w:p>
      <w:pPr>
        <w:pStyle w:val="ListParagraph"/>
        <w:numPr>
          <w:ilvl w:val="0"/>
          <w:numId w:val="2"/>
        </w:numPr>
        <w:spacing w:after="40" w:before="40"/>
      </w:pPr>
      <w:r>
        <w:rPr>
          <w:color w:val="1F2937"/>
          <w:sz w:val="22"/>
          <w:szCs w:val="22"/>
        </w:rPr>
        <w:t xml:space="preserve">Chart wrapper: consistent container for line, bar, and stacked charts, with title and time-period toggle.</w:t>
      </w:r>
    </w:p>
    <w:p>
      <w:pPr>
        <w:pStyle w:val="ListParagraph"/>
        <w:numPr>
          <w:ilvl w:val="0"/>
          <w:numId w:val="2"/>
        </w:numPr>
        <w:spacing w:after="40" w:before="40"/>
      </w:pPr>
      <w:r>
        <w:rPr>
          <w:color w:val="1F2937"/>
          <w:sz w:val="22"/>
          <w:szCs w:val="22"/>
        </w:rPr>
        <w:t xml:space="preserve">Status pill: compliant (green), approaching (amber), breach (red).</w:t>
      </w:r>
    </w:p>
    <w:p>
      <w:pPr>
        <w:pStyle w:val="ListParagraph"/>
        <w:numPr>
          <w:ilvl w:val="0"/>
          <w:numId w:val="2"/>
        </w:numPr>
        <w:spacing w:after="40" w:before="40"/>
      </w:pPr>
      <w:r>
        <w:rPr>
          <w:color w:val="1F2937"/>
          <w:sz w:val="22"/>
          <w:szCs w:val="22"/>
        </w:rPr>
        <w:t xml:space="preserve">Scenario picker: preset selector plus custom builder.</w:t>
      </w:r>
    </w:p>
    <w:p>
      <w:pPr>
        <w:pStyle w:val="ListParagraph"/>
        <w:numPr>
          <w:ilvl w:val="0"/>
          <w:numId w:val="2"/>
        </w:numPr>
        <w:spacing w:after="40" w:before="40"/>
      </w:pPr>
      <w:r>
        <w:rPr>
          <w:color w:val="1F2937"/>
          <w:sz w:val="22"/>
          <w:szCs w:val="22"/>
        </w:rPr>
        <w:t xml:space="preserve">Submission preview frame: formal, regulatory-form styling for BoG previews.</w:t>
      </w:r>
    </w:p>
    <w:p>
      <w:pPr>
        <w:pStyle w:val="ListParagraph"/>
        <w:numPr>
          <w:ilvl w:val="0"/>
          <w:numId w:val="2"/>
        </w:numPr>
        <w:spacing w:after="40" w:before="40"/>
      </w:pPr>
      <w:r>
        <w:rPr>
          <w:color w:val="1F2937"/>
          <w:sz w:val="22"/>
          <w:szCs w:val="22"/>
        </w:rPr>
        <w:t xml:space="preserve">Page header with as-of date selector.</w:t>
      </w:r>
    </w:p>
    <w:p>
      <w:pPr>
        <w:pStyle w:val="Heading2"/>
      </w:pPr>
      <w:r>
        <w:rPr>
          <w:b/>
          <w:bCs/>
        </w:rPr>
        <w:t xml:space="preserve">Design system</w:t>
      </w:r>
    </w:p>
    <w:p>
      <w:pPr>
        <w:spacing w:after="80" w:before="80"/>
      </w:pPr>
      <w:r>
        <w:rPr>
          <w:b w:val="false"/>
          <w:bCs w:val="false"/>
          <w:i w:val="false"/>
          <w:iCs w:val="false"/>
          <w:color w:val="1F2937"/>
          <w:sz w:val="22"/>
          <w:szCs w:val="22"/>
        </w:rPr>
        <w:t xml:space="preserve">The MVP follows the AequorOS brand: deep navy primary (#0A2540), functional traffic-light colors for regulatory status, Inter for interface text, and a monospaced face for numeric tables. Information density is favored over whitespace; the users are bank professionals who expect dense, Bloomberg-terminal-style displays. The full design reference is the separate AequorOS Figma Design Brief; the MVP build should align to it.</w:t>
      </w:r>
    </w:p>
    <w:p>
      <w:r>
        <w:br w:type="page"/>
      </w:r>
    </w:p>
    <w:p>
      <w:pPr>
        <w:pStyle w:val="Heading1"/>
      </w:pPr>
      <w:r>
        <w:rPr>
          <w:b/>
          <w:bCs/>
        </w:rPr>
        <w:t xml:space="preserve">9. Technical Architecture</w:t>
      </w:r>
    </w:p>
    <w:p>
      <w:pPr>
        <w:pStyle w:val="Heading2"/>
      </w:pPr>
      <w:r>
        <w:rPr>
          <w:b/>
          <w:bCs/>
        </w:rPr>
        <w:t xml:space="preserve">MVP stack</w:t>
      </w:r>
    </w:p>
    <w:p>
      <w:pPr>
        <w:spacing w:after="80" w:before="80"/>
      </w:pPr>
      <w:r>
        <w:rPr>
          <w:b w:val="false"/>
          <w:bCs w:val="false"/>
          <w:i w:val="false"/>
          <w:iCs w:val="false"/>
          <w:color w:val="1F2937"/>
          <w:sz w:val="22"/>
          <w:szCs w:val="22"/>
        </w:rPr>
        <w:t xml:space="preserve">The MVP is deliberately lighter than the full production architecture, because it runs on synthetic data and serves demonstration and evaluation, not live bank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Layer</w:t>
            </w:r>
          </w:p>
        </w:tc>
        <w:tc>
          <w:tcPr>
            <w:tcW w:type="dxa" w:w="676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MVP choice</w:t>
            </w:r>
          </w:p>
        </w:tc>
      </w:tr>
      <w:tr>
        <w:tc>
          <w:tcPr>
            <w:tcW w:type="dxa" w:w="2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Frontend</w:t>
            </w:r>
          </w:p>
        </w:tc>
        <w:tc>
          <w:tcPr>
            <w:tcW w:type="dxa" w:w="67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React 18 with TypeScript. Recharts for data visualization. The interface is the bulk of the MVP build.</w:t>
            </w:r>
          </w:p>
        </w:tc>
      </w:tr>
      <w:tr>
        <w:tc>
          <w:tcPr>
            <w:tcW w:type="dxa" w:w="2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Calculation engines</w:t>
            </w:r>
          </w:p>
        </w:tc>
        <w:tc>
          <w:tcPr>
            <w:tcW w:type="dxa" w:w="67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Implemented in TypeScript, running client-side. LCR, NSFR, RWA, capital ratios, and projections are deterministic calculations that do not need a backend for the MVP.</w:t>
            </w:r>
          </w:p>
        </w:tc>
      </w:tr>
      <w:tr>
        <w:tc>
          <w:tcPr>
            <w:tcW w:type="dxa" w:w="2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ML service</w:t>
            </w:r>
          </w:p>
        </w:tc>
        <w:tc>
          <w:tcPr>
            <w:tcW w:type="dxa" w:w="67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A lightweight Python service (FastAPI) serves the trained LSTM cash flow model. This is the one component that needs a backend.</w:t>
            </w:r>
          </w:p>
        </w:tc>
      </w:tr>
      <w:tr>
        <w:tc>
          <w:tcPr>
            <w:tcW w:type="dxa" w:w="26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Synthetic data</w:t>
            </w:r>
          </w:p>
        </w:tc>
        <w:tc>
          <w:tcPr>
            <w:tcW w:type="dxa" w:w="67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Stored as structured static datasets bundled with the application. No live database needed for the MVP.</w:t>
            </w:r>
          </w:p>
        </w:tc>
      </w:tr>
      <w:tr>
        <w:tc>
          <w:tcPr>
            <w:tcW w:type="dxa" w:w="26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Hosting</w:t>
            </w:r>
          </w:p>
        </w:tc>
        <w:tc>
          <w:tcPr>
            <w:tcW w:type="dxa" w:w="67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Frontend deployed to Vercel on a default subdomain initially (for example aequoros-demo.vercel.app), then a custom subdomain such as demo.aequoros.com once the domain is configured. The ML service deployed alongside as a separate small service.</w:t>
            </w:r>
          </w:p>
        </w:tc>
      </w:tr>
    </w:tbl>
    <w:p>
      <w:pPr>
        <w:spacing w:after="60" w:before="60"/>
      </w:pPr>
    </w:p>
    <w:p>
      <w:pPr>
        <w:pStyle w:val="Heading2"/>
      </w:pPr>
      <w:r>
        <w:rPr>
          <w:b/>
          <w:bCs/>
        </w:rPr>
        <w:t xml:space="preserve">Production hardening path</w:t>
      </w:r>
    </w:p>
    <w:p>
      <w:pPr>
        <w:spacing w:after="80" w:before="80"/>
      </w:pPr>
      <w:r>
        <w:rPr>
          <w:b w:val="false"/>
          <w:bCs w:val="false"/>
          <w:i w:val="false"/>
          <w:iCs w:val="false"/>
          <w:color w:val="1F2937"/>
          <w:sz w:val="22"/>
          <w:szCs w:val="22"/>
        </w:rPr>
        <w:t xml:space="preserve">The MVP is built so the engineer can harden it into the production product without rewriting from scratch. The intended progression:</w:t>
      </w:r>
    </w:p>
    <w:p>
      <w:pPr>
        <w:pStyle w:val="ListParagraph"/>
        <w:numPr>
          <w:ilvl w:val="0"/>
          <w:numId w:val="3"/>
        </w:numPr>
        <w:spacing w:after="40" w:before="40"/>
      </w:pPr>
      <w:r>
        <w:rPr>
          <w:color w:val="1F2937"/>
          <w:sz w:val="22"/>
          <w:szCs w:val="22"/>
        </w:rPr>
        <w:t xml:space="preserve">MVP: client-side calculation engines, synthetic data, demonstration auth, Vercel hosting.</w:t>
      </w:r>
    </w:p>
    <w:p>
      <w:pPr>
        <w:pStyle w:val="ListParagraph"/>
        <w:numPr>
          <w:ilvl w:val="0"/>
          <w:numId w:val="3"/>
        </w:numPr>
        <w:spacing w:after="40" w:before="40"/>
      </w:pPr>
      <w:r>
        <w:rPr>
          <w:color w:val="1F2937"/>
          <w:sz w:val="22"/>
          <w:szCs w:val="22"/>
        </w:rPr>
        <w:t xml:space="preserve">Hardening: move calculation engines server-side behind an API, introduce a real database (PostgreSQL), add real authentication with multi-factor support, add multi-tenancy so each bank has isolated data.</w:t>
      </w:r>
    </w:p>
    <w:p>
      <w:pPr>
        <w:pStyle w:val="ListParagraph"/>
        <w:numPr>
          <w:ilvl w:val="0"/>
          <w:numId w:val="3"/>
        </w:numPr>
        <w:spacing w:after="40" w:before="40"/>
      </w:pPr>
      <w:r>
        <w:rPr>
          <w:color w:val="1F2937"/>
          <w:sz w:val="22"/>
          <w:szCs w:val="22"/>
        </w:rPr>
        <w:t xml:space="preserve">Integration: build the Temenos T24 integration so a bank's real data flows in, replacing synthetic data.</w:t>
      </w:r>
    </w:p>
    <w:p>
      <w:pPr>
        <w:pStyle w:val="ListParagraph"/>
        <w:numPr>
          <w:ilvl w:val="0"/>
          <w:numId w:val="3"/>
        </w:numPr>
        <w:spacing w:after="40" w:before="40"/>
      </w:pPr>
      <w:r>
        <w:rPr>
          <w:color w:val="1F2937"/>
          <w:sz w:val="22"/>
          <w:szCs w:val="22"/>
        </w:rPr>
        <w:t xml:space="preserve">Production deployment: deploy on Google Cloud Platform, using Vertex AI for the ML models and BigQuery for analytical workloads, consistent with the AequorOS cloud strategy.</w:t>
      </w:r>
    </w:p>
    <w:p>
      <w:pPr>
        <w:spacing w:after="80" w:before="80"/>
      </w:pPr>
      <w:r>
        <w:rPr>
          <w:b w:val="false"/>
          <w:bCs w:val="false"/>
          <w:i w:val="false"/>
          <w:iCs w:val="false"/>
          <w:color w:val="1F2937"/>
          <w:sz w:val="22"/>
          <w:szCs w:val="22"/>
        </w:rPr>
        <w:t xml:space="preserve">The MVP calculation engines should be written as pure, well-tested functions so they can move server-side unchanged. That is the single most important architecture decision for making the hardening path smooth.</w:t>
      </w:r>
    </w:p>
    <w:p>
      <w:pPr>
        <w:pStyle w:val="Heading2"/>
      </w:pPr>
      <w:r>
        <w:rPr>
          <w:b/>
          <w:bCs/>
        </w:rPr>
        <w:t xml:space="preserve">Code structure</w:t>
      </w:r>
    </w:p>
    <w:p>
      <w:pPr>
        <w:spacing w:after="80" w:before="80"/>
      </w:pPr>
      <w:r>
        <w:rPr>
          <w:b w:val="false"/>
          <w:bCs w:val="false"/>
          <w:i w:val="false"/>
          <w:iCs w:val="false"/>
          <w:color w:val="1F2937"/>
          <w:sz w:val="22"/>
          <w:szCs w:val="22"/>
        </w:rPr>
        <w:t xml:space="preserve">Organize the codebase so each module is a self-contained area (its own screens, its own calculation engine, its own synthetic data slice) sharing the common component library and platform shell. This mirrors how the team will eventually own and extend modules.</w:t>
      </w:r>
    </w:p>
    <w:p>
      <w:r>
        <w:br w:type="page"/>
      </w:r>
    </w:p>
    <w:p>
      <w:pPr>
        <w:pStyle w:val="Heading1"/>
      </w:pPr>
      <w:r>
        <w:rPr>
          <w:b/>
          <w:bCs/>
        </w:rPr>
        <w:t xml:space="preserve">10. Synthetic Data Specification</w:t>
      </w:r>
    </w:p>
    <w:p>
      <w:pPr>
        <w:spacing w:after="80" w:before="80"/>
      </w:pPr>
      <w:r>
        <w:rPr>
          <w:b w:val="false"/>
          <w:bCs w:val="false"/>
          <w:i w:val="false"/>
          <w:iCs w:val="false"/>
          <w:color w:val="1F2937"/>
          <w:sz w:val="22"/>
          <w:szCs w:val="22"/>
        </w:rPr>
        <w:t xml:space="preserve">All three modules draw from one synthetic bank. The data must be internally consistent: the securities the Liquidity module counts as HQLA are the same securities the Basel Capital module risk-weights, and the balance sheet the Forecasting module projects forward is the same one the other two modules report on.</w:t>
      </w:r>
    </w:p>
    <w:p>
      <w:pPr>
        <w:pStyle w:val="Heading2"/>
      </w:pPr>
      <w:r>
        <w:rPr>
          <w:b/>
          <w:bCs/>
        </w:rPr>
        <w:t xml:space="preserve">Balance sheet - assets (GHS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Asset category</w:t>
            </w:r>
          </w:p>
        </w:tc>
        <w:tc>
          <w:tcPr>
            <w:tcW w:type="dxa" w:w="198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Amount</w:t>
            </w:r>
          </w:p>
        </w:tc>
        <w:tc>
          <w:tcPr>
            <w:tcW w:type="dxa" w:w="198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Share</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Cash and balances with Bank of Ghana</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290</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12%</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Investment securities (BoG bills, GoG securities)</w:t>
            </w:r>
          </w:p>
        </w:tc>
        <w:tc>
          <w:tcPr>
            <w:tcW w:type="dxa" w:w="19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620</w:t>
            </w:r>
          </w:p>
        </w:tc>
        <w:tc>
          <w:tcPr>
            <w:tcW w:type="dxa" w:w="19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26%</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Gross loans and advances</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1,400</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58%</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Other assets (fixed assets, etc.)</w:t>
            </w:r>
          </w:p>
        </w:tc>
        <w:tc>
          <w:tcPr>
            <w:tcW w:type="dxa" w:w="19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90</w:t>
            </w:r>
          </w:p>
        </w:tc>
        <w:tc>
          <w:tcPr>
            <w:tcW w:type="dxa" w:w="19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4%</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Total assets</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2,400</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100%</w:t>
            </w:r>
          </w:p>
        </w:tc>
      </w:tr>
    </w:tbl>
    <w:p>
      <w:pPr>
        <w:spacing w:after="60" w:before="60"/>
      </w:pPr>
    </w:p>
    <w:p>
      <w:pPr>
        <w:pStyle w:val="Heading2"/>
      </w:pPr>
      <w:r>
        <w:rPr>
          <w:b/>
          <w:bCs/>
        </w:rPr>
        <w:t xml:space="preserve">Balance sheet - liabilities and equity (GHS millions)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Category</w:t>
            </w:r>
          </w:p>
        </w:tc>
        <w:tc>
          <w:tcPr>
            <w:tcW w:type="dxa" w:w="198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Amount</w:t>
            </w:r>
          </w:p>
        </w:tc>
        <w:tc>
          <w:tcPr>
            <w:tcW w:type="dxa" w:w="198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Share</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Retail deposits</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1,140</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47%</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Wholesale and corporate deposits</w:t>
            </w:r>
          </w:p>
        </w:tc>
        <w:tc>
          <w:tcPr>
            <w:tcW w:type="dxa" w:w="19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760</w:t>
            </w:r>
          </w:p>
        </w:tc>
        <w:tc>
          <w:tcPr>
            <w:tcW w:type="dxa" w:w="19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32%</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Borrowings and other liabilities</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160</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7%</w:t>
            </w:r>
          </w:p>
        </w:tc>
      </w:tr>
      <w:tr>
        <w:tc>
          <w:tcPr>
            <w:tcW w:type="dxa" w:w="54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Total regulatory capital (Tier 1 + Tier 2)</w:t>
            </w:r>
          </w:p>
        </w:tc>
        <w:tc>
          <w:tcPr>
            <w:tcW w:type="dxa" w:w="19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340</w:t>
            </w:r>
          </w:p>
        </w:tc>
        <w:tc>
          <w:tcPr>
            <w:tcW w:type="dxa" w:w="198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14%</w:t>
            </w:r>
          </w:p>
        </w:tc>
      </w:tr>
      <w:tr>
        <w:tc>
          <w:tcPr>
            <w:tcW w:type="dxa" w:w="54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Total liabilities and equity</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2,400</w:t>
            </w:r>
          </w:p>
        </w:tc>
        <w:tc>
          <w:tcPr>
            <w:tcW w:type="dxa" w:w="198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100%</w:t>
            </w:r>
          </w:p>
        </w:tc>
      </w:tr>
    </w:tbl>
    <w:p>
      <w:pPr>
        <w:spacing w:after="60" w:before="60"/>
      </w:pPr>
    </w:p>
    <w:p>
      <w:pPr>
        <w:pStyle w:val="Heading2"/>
      </w:pPr>
      <w:r>
        <w:rPr>
          <w:b/>
          <w:bCs/>
        </w:rPr>
        <w:t xml:space="preserve">Loan book composition</w:t>
      </w:r>
    </w:p>
    <w:p>
      <w:pPr>
        <w:spacing w:after="80" w:before="80"/>
      </w:pPr>
      <w:r>
        <w:rPr>
          <w:b w:val="false"/>
          <w:bCs w:val="false"/>
          <w:i w:val="false"/>
          <w:iCs w:val="false"/>
          <w:color w:val="1F2937"/>
          <w:sz w:val="22"/>
          <w:szCs w:val="22"/>
        </w:rPr>
        <w:t xml:space="preserve">The GHS 1,400M gross loan book breaks down into retail, SME, corporate, and residential mortgage exposures, each with its associated risk weight for the Basel Capital module and its credit loss assumptions for the Forecasting module. The detailed split should be defined so that the resulting credit risk RWA produces a CAR near 14%, consistent with the synthetic bank profile.</w:t>
      </w:r>
    </w:p>
    <w:p>
      <w:pPr>
        <w:pStyle w:val="Heading2"/>
      </w:pPr>
      <w:r>
        <w:rPr>
          <w:b/>
          <w:bCs/>
        </w:rPr>
        <w:t xml:space="preserve">Securities portfolio</w:t>
      </w:r>
    </w:p>
    <w:p>
      <w:pPr>
        <w:spacing w:after="80" w:before="80"/>
      </w:pPr>
      <w:r>
        <w:rPr>
          <w:b w:val="false"/>
          <w:bCs w:val="false"/>
          <w:i w:val="false"/>
          <w:iCs w:val="false"/>
          <w:color w:val="1F2937"/>
          <w:sz w:val="22"/>
          <w:szCs w:val="22"/>
        </w:rPr>
        <w:t xml:space="preserve">The GHS 620M securities portfolio is composed of Bank of Ghana bills and Government of Ghana securities, which are Level 1 HQLA for the Liquidity module and 0% risk-weighted for the Basel Capital module. This consistency is deliberate and must hold.</w:t>
      </w:r>
    </w:p>
    <w:p>
      <w:pPr>
        <w:pStyle w:val="Heading2"/>
      </w:pPr>
      <w:r>
        <w:rPr>
          <w:b/>
          <w:bCs/>
        </w:rPr>
        <w:t xml:space="preserve">Historical series for the LSTM</w:t>
      </w:r>
    </w:p>
    <w:p>
      <w:pPr>
        <w:spacing w:after="80" w:before="80"/>
      </w:pPr>
      <w:r>
        <w:rPr>
          <w:b w:val="false"/>
          <w:bCs w:val="false"/>
          <w:i w:val="false"/>
          <w:iCs w:val="false"/>
          <w:color w:val="1F2937"/>
          <w:sz w:val="22"/>
          <w:szCs w:val="22"/>
        </w:rPr>
        <w:t xml:space="preserve">The cash flow forecasting model needs synthetic historical daily balance data, ideally two years, generated with realistic structure: month-end spikes, payroll-cycle patterns, seasonal drift, and a modest noise component. This series is what the LSTM trains on and what the static behavioral baseline is computed from.</w:t>
      </w:r>
    </w:p>
    <w:p>
      <w:pPr>
        <w:pStyle w:val="Heading2"/>
      </w:pPr>
      <w:r>
        <w:rPr>
          <w:b/>
          <w:bCs/>
        </w:rPr>
        <w:t xml:space="preserve">Deposit behavioral segmentation</w:t>
      </w:r>
    </w:p>
    <w:p>
      <w:pPr>
        <w:spacing w:after="80" w:before="80"/>
      </w:pPr>
      <w:r>
        <w:rPr>
          <w:b w:val="false"/>
          <w:bCs w:val="false"/>
          <w:i w:val="false"/>
          <w:iCs w:val="false"/>
          <w:color w:val="1F2937"/>
          <w:sz w:val="22"/>
          <w:szCs w:val="22"/>
        </w:rPr>
        <w:t xml:space="preserve">Retail deposits should be segmented into stable and less stable, and into core and volatile, to drive the LCR run-off calculations and the NSFR ASF weights. A typical Ghanaian bank split of roughly 60-70% core and 30-40% volatile is a reasonable basis.</w:t>
      </w:r>
    </w:p>
    <w:p>
      <w:r>
        <w:br w:type="page"/>
      </w:r>
    </w:p>
    <w:p>
      <w:pPr>
        <w:pStyle w:val="Heading1"/>
      </w:pPr>
      <w:r>
        <w:rPr>
          <w:b/>
          <w:bCs/>
        </w:rPr>
        <w:t xml:space="preserve">11. Non-Functional Requirements</w:t>
      </w:r>
    </w:p>
    <w:p>
      <w:pPr>
        <w:pStyle w:val="Heading2"/>
      </w:pPr>
      <w:r>
        <w:rPr>
          <w:b/>
          <w:bCs/>
        </w:rPr>
        <w:t xml:space="preserve">In scope for the MVP</w:t>
      </w:r>
    </w:p>
    <w:p>
      <w:pPr>
        <w:pStyle w:val="ListParagraph"/>
        <w:numPr>
          <w:ilvl w:val="0"/>
          <w:numId w:val="2"/>
        </w:numPr>
        <w:spacing w:after="40" w:before="40"/>
      </w:pPr>
      <w:r>
        <w:rPr>
          <w:color w:val="1F2937"/>
          <w:sz w:val="22"/>
          <w:szCs w:val="22"/>
        </w:rPr>
        <w:t xml:space="preserve">Performance: dashboards load in under 2 seconds; recalculations and scenario runs complete in under 5 seconds.</w:t>
      </w:r>
    </w:p>
    <w:p>
      <w:pPr>
        <w:pStyle w:val="ListParagraph"/>
        <w:numPr>
          <w:ilvl w:val="0"/>
          <w:numId w:val="2"/>
        </w:numPr>
        <w:spacing w:after="40" w:before="40"/>
      </w:pPr>
      <w:r>
        <w:rPr>
          <w:color w:val="1F2937"/>
          <w:sz w:val="22"/>
          <w:szCs w:val="22"/>
        </w:rPr>
        <w:t xml:space="preserve">Usability: the interface is clear enough that a bank Treasurer can be walked through it without training.</w:t>
      </w:r>
    </w:p>
    <w:p>
      <w:pPr>
        <w:pStyle w:val="ListParagraph"/>
        <w:numPr>
          <w:ilvl w:val="0"/>
          <w:numId w:val="2"/>
        </w:numPr>
        <w:spacing w:after="40" w:before="40"/>
      </w:pPr>
      <w:r>
        <w:rPr>
          <w:color w:val="1F2937"/>
          <w:sz w:val="22"/>
          <w:szCs w:val="22"/>
        </w:rPr>
        <w:t xml:space="preserve">Browser support: current versions of Chrome, Edge, Safari, and Firefox on desktop. Desktop-first; tablet usable but not optimized.</w:t>
      </w:r>
    </w:p>
    <w:p>
      <w:pPr>
        <w:pStyle w:val="ListParagraph"/>
        <w:numPr>
          <w:ilvl w:val="0"/>
          <w:numId w:val="2"/>
        </w:numPr>
        <w:spacing w:after="40" w:before="40"/>
      </w:pPr>
      <w:r>
        <w:rPr>
          <w:color w:val="1F2937"/>
          <w:sz w:val="22"/>
          <w:szCs w:val="22"/>
        </w:rPr>
        <w:t xml:space="preserve">Visual quality: polished to the standard a bank evaluating enterprise software expects. This is a sales tool; it cannot look unfinished.</w:t>
      </w:r>
    </w:p>
    <w:p>
      <w:pPr>
        <w:pStyle w:val="ListParagraph"/>
        <w:numPr>
          <w:ilvl w:val="0"/>
          <w:numId w:val="2"/>
        </w:numPr>
        <w:spacing w:after="40" w:before="40"/>
      </w:pPr>
      <w:r>
        <w:rPr>
          <w:color w:val="1F2937"/>
          <w:sz w:val="22"/>
          <w:szCs w:val="22"/>
        </w:rPr>
        <w:t xml:space="preserve">Calculation correctness: every regulatory metric must be correct and verifiable against hand calculations. This is non-negotiable. A wrong number in front of a Treasurer kills credibility instantly.</w:t>
      </w:r>
    </w:p>
    <w:p>
      <w:pPr>
        <w:pStyle w:val="Heading2"/>
      </w:pPr>
      <w:r>
        <w:rPr>
          <w:b/>
          <w:bCs/>
        </w:rPr>
        <w:t xml:space="preserve">Explicitly deferred</w:t>
      </w:r>
    </w:p>
    <w:p>
      <w:pPr>
        <w:spacing w:after="80" w:before="80"/>
      </w:pPr>
      <w:r>
        <w:rPr>
          <w:b w:val="false"/>
          <w:bCs w:val="false"/>
          <w:i w:val="false"/>
          <w:iCs w:val="false"/>
          <w:color w:val="1F2937"/>
          <w:sz w:val="22"/>
          <w:szCs w:val="22"/>
        </w:rPr>
        <w:t xml:space="preserve">These are real production requirements that the MVP deliberately does not meet, because the MVP runs on synthetic data for evaluation, not on real bank data in production:</w:t>
      </w:r>
    </w:p>
    <w:p>
      <w:pPr>
        <w:pStyle w:val="ListParagraph"/>
        <w:numPr>
          <w:ilvl w:val="0"/>
          <w:numId w:val="2"/>
        </w:numPr>
        <w:spacing w:after="40" w:before="40"/>
      </w:pPr>
      <w:r>
        <w:rPr>
          <w:color w:val="1F2937"/>
          <w:sz w:val="22"/>
          <w:szCs w:val="22"/>
        </w:rPr>
        <w:t xml:space="preserve">Multi-tenancy and per-bank data isolation.</w:t>
      </w:r>
    </w:p>
    <w:p>
      <w:pPr>
        <w:pStyle w:val="ListParagraph"/>
        <w:numPr>
          <w:ilvl w:val="0"/>
          <w:numId w:val="2"/>
        </w:numPr>
        <w:spacing w:after="40" w:before="40"/>
      </w:pPr>
      <w:r>
        <w:rPr>
          <w:color w:val="1F2937"/>
          <w:sz w:val="22"/>
          <w:szCs w:val="22"/>
        </w:rPr>
        <w:t xml:space="preserve">Production-grade authentication: multi-factor authentication, SSO, session management.</w:t>
      </w:r>
    </w:p>
    <w:p>
      <w:pPr>
        <w:pStyle w:val="ListParagraph"/>
        <w:numPr>
          <w:ilvl w:val="0"/>
          <w:numId w:val="2"/>
        </w:numPr>
        <w:spacing w:after="40" w:before="40"/>
      </w:pPr>
      <w:r>
        <w:rPr>
          <w:color w:val="1F2937"/>
          <w:sz w:val="22"/>
          <w:szCs w:val="22"/>
        </w:rPr>
        <w:t xml:space="preserve">Encryption at rest, key management, and the full security posture.</w:t>
      </w:r>
    </w:p>
    <w:p>
      <w:pPr>
        <w:pStyle w:val="ListParagraph"/>
        <w:numPr>
          <w:ilvl w:val="0"/>
          <w:numId w:val="2"/>
        </w:numPr>
        <w:spacing w:after="40" w:before="40"/>
      </w:pPr>
      <w:r>
        <w:rPr>
          <w:color w:val="1F2937"/>
          <w:sz w:val="22"/>
          <w:szCs w:val="22"/>
        </w:rPr>
        <w:t xml:space="preserve">Audit trails, calculation versioning, and point-in-time reproduction.</w:t>
      </w:r>
    </w:p>
    <w:p>
      <w:pPr>
        <w:pStyle w:val="ListParagraph"/>
        <w:numPr>
          <w:ilvl w:val="0"/>
          <w:numId w:val="2"/>
        </w:numPr>
        <w:spacing w:after="40" w:before="40"/>
      </w:pPr>
      <w:r>
        <w:rPr>
          <w:color w:val="1F2937"/>
          <w:sz w:val="22"/>
          <w:szCs w:val="22"/>
        </w:rPr>
        <w:t xml:space="preserve">Model risk management framework and independent model validation.</w:t>
      </w:r>
    </w:p>
    <w:p>
      <w:pPr>
        <w:pStyle w:val="ListParagraph"/>
        <w:numPr>
          <w:ilvl w:val="0"/>
          <w:numId w:val="2"/>
        </w:numPr>
        <w:spacing w:after="40" w:before="40"/>
      </w:pPr>
      <w:r>
        <w:rPr>
          <w:color w:val="1F2937"/>
          <w:sz w:val="22"/>
          <w:szCs w:val="22"/>
        </w:rPr>
        <w:t xml:space="preserve">High-availability infrastructure, disaster recovery, and uptime SLAs.</w:t>
      </w:r>
    </w:p>
    <w:p>
      <w:pPr>
        <w:pStyle w:val="ListParagraph"/>
        <w:numPr>
          <w:ilvl w:val="0"/>
          <w:numId w:val="2"/>
        </w:numPr>
        <w:spacing w:after="40" w:before="40"/>
      </w:pPr>
      <w:r>
        <w:rPr>
          <w:color w:val="1F2937"/>
          <w:sz w:val="22"/>
          <w:szCs w:val="22"/>
        </w:rPr>
        <w:t xml:space="preserve">Real Temenos T24 integration.</w:t>
      </w:r>
    </w:p>
    <w:p>
      <w:pPr>
        <w:spacing w:after="80" w:before="80"/>
      </w:pPr>
      <w:r>
        <w:rPr>
          <w:b w:val="false"/>
          <w:bCs w:val="false"/>
          <w:i w:val="false"/>
          <w:iCs w:val="false"/>
          <w:color w:val="1F2937"/>
          <w:sz w:val="22"/>
          <w:szCs w:val="22"/>
        </w:rPr>
        <w:t xml:space="preserve">Each of these is specified in the full Treasury_ALM_System.docx and is part of the post-MVP production build, funded by the seed round.</w:t>
      </w:r>
    </w:p>
    <w:p>
      <w:r>
        <w:br w:type="page"/>
      </w:r>
    </w:p>
    <w:p>
      <w:pPr>
        <w:pStyle w:val="Heading1"/>
      </w:pPr>
      <w:r>
        <w:rPr>
          <w:b/>
          <w:bCs/>
        </w:rPr>
        <w:t xml:space="preserve">12. Build Plan and Timeline</w:t>
      </w:r>
    </w:p>
    <w:p>
      <w:pPr>
        <w:spacing w:after="80" w:before="80"/>
      </w:pPr>
      <w:r>
        <w:rPr>
          <w:b w:val="false"/>
          <w:bCs w:val="false"/>
          <w:i w:val="false"/>
          <w:iCs w:val="false"/>
          <w:color w:val="1F2937"/>
          <w:sz w:val="22"/>
          <w:szCs w:val="22"/>
        </w:rPr>
        <w:t xml:space="preserve">The MVP target is live in 4-6 months. The plan below assumes Claude builds the initial prototype of each module and the engineering hire hardens and extends it, consistent with the chosen build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Month</w:t>
            </w:r>
          </w:p>
        </w:tc>
        <w:tc>
          <w:tcPr>
            <w:tcW w:type="dxa" w:w="320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Focus</w:t>
            </w:r>
          </w:p>
        </w:tc>
        <w:tc>
          <w:tcPr>
            <w:tcW w:type="dxa" w:w="4660"/>
            <w:tcBorders>
              <w:top w:val="single" w:color="D0D7DE" w:sz="4"/>
              <w:left w:val="single" w:color="D0D7DE" w:sz="4"/>
              <w:bottom w:val="single" w:color="D0D7DE" w:sz="4"/>
              <w:right w:val="single" w:color="D0D7DE" w:sz="4"/>
            </w:tcBorders>
            <w:shd w:fill="0A2540" w:val="clear"/>
            <w:tcMar>
              <w:top w:type="dxa" w:w="90"/>
              <w:left w:type="dxa" w:w="120"/>
              <w:bottom w:type="dxa" w:w="90"/>
              <w:right w:type="dxa" w:w="120"/>
            </w:tcMar>
          </w:tcPr>
          <w:p>
            <w:pPr>
              <w:jc w:val="left"/>
            </w:pPr>
            <w:r>
              <w:rPr>
                <w:b/>
                <w:bCs/>
                <w:color w:val="FFFFFF"/>
                <w:sz w:val="19"/>
                <w:szCs w:val="19"/>
              </w:rPr>
              <w:t xml:space="preserve">Deliverable</w:t>
            </w:r>
          </w:p>
        </w:tc>
      </w:tr>
      <w:tr>
        <w:tc>
          <w:tcPr>
            <w:tcW w:type="dxa" w:w="15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1</w:t>
            </w:r>
          </w:p>
        </w:tc>
        <w:tc>
          <w:tcPr>
            <w:tcW w:type="dxa" w:w="32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Foundation</w:t>
            </w:r>
          </w:p>
        </w:tc>
        <w:tc>
          <w:tcPr>
            <w:tcW w:type="dxa" w:w="46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Platform shell, left navigation, header, common component library, design system, synthetic data layer, Overview dashboard. The shared base everything else sits on.</w:t>
            </w:r>
          </w:p>
        </w:tc>
      </w:tr>
      <w:tr>
        <w:tc>
          <w:tcPr>
            <w:tcW w:type="dxa" w:w="15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2</w:t>
            </w:r>
          </w:p>
        </w:tc>
        <w:tc>
          <w:tcPr>
            <w:tcW w:type="dxa" w:w="32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Liquidity Risk module</w:t>
            </w:r>
          </w:p>
        </w:tc>
        <w:tc>
          <w:tcPr>
            <w:tcW w:type="dxa" w:w="46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All five Liquidity screens, the LCR and NSFR calculation engines, stress scenarios, BoG submission preview. LSTM model trained on synthetic data.</w:t>
            </w:r>
          </w:p>
        </w:tc>
      </w:tr>
      <w:tr>
        <w:tc>
          <w:tcPr>
            <w:tcW w:type="dxa" w:w="15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3</w:t>
            </w:r>
          </w:p>
        </w:tc>
        <w:tc>
          <w:tcPr>
            <w:tcW w:type="dxa" w:w="32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Basel Capital module</w:t>
            </w:r>
          </w:p>
        </w:tc>
        <w:tc>
          <w:tcPr>
            <w:tcW w:type="dxa" w:w="46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All five Basel Capital screens, the RWA engine, capital ratio calculations, capital stress testing, BoG submission preview.</w:t>
            </w:r>
          </w:p>
        </w:tc>
      </w:tr>
      <w:tr>
        <w:tc>
          <w:tcPr>
            <w:tcW w:type="dxa" w:w="15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4</w:t>
            </w:r>
          </w:p>
        </w:tc>
        <w:tc>
          <w:tcPr>
            <w:tcW w:type="dxa" w:w="32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Balance Sheet Forecasting module</w:t>
            </w:r>
          </w:p>
        </w:tc>
        <w:tc>
          <w:tcPr>
            <w:tcW w:type="dxa" w:w="46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All four Forecasting screens, the projection engine, scenario definitions, the constrained-search Strategic Optimizer, what-if analysis.</w:t>
            </w:r>
          </w:p>
        </w:tc>
      </w:tr>
      <w:tr>
        <w:tc>
          <w:tcPr>
            <w:tcW w:type="dxa" w:w="15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5</w:t>
            </w:r>
          </w:p>
        </w:tc>
        <w:tc>
          <w:tcPr>
            <w:tcW w:type="dxa" w:w="320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Integration and polish</w:t>
            </w:r>
          </w:p>
        </w:tc>
        <w:tc>
          <w:tcPr>
            <w:tcW w:type="dxa" w:w="4660"/>
            <w:tcBorders>
              <w:top w:val="single" w:color="D0D7DE" w:sz="4"/>
              <w:left w:val="single" w:color="D0D7DE" w:sz="4"/>
              <w:bottom w:val="single" w:color="D0D7DE" w:sz="4"/>
              <w:right w:val="single" w:color="D0D7DE" w:sz="4"/>
            </w:tcBorders>
            <w:tcMar>
              <w:top w:type="dxa" w:w="90"/>
              <w:left w:type="dxa" w:w="120"/>
              <w:bottom w:type="dxa" w:w="90"/>
              <w:right w:type="dxa" w:w="120"/>
            </w:tcMar>
          </w:tcPr>
          <w:p>
            <w:pPr>
              <w:jc w:val="left"/>
            </w:pPr>
            <w:r>
              <w:rPr>
                <w:b w:val="false"/>
                <w:bCs w:val="false"/>
                <w:color w:val="1F2937"/>
                <w:sz w:val="19"/>
                <w:szCs w:val="19"/>
              </w:rPr>
              <w:t xml:space="preserve">Cross-module consistency checks, the Regulatory Submissions library, visual polish to demo standard, the LSTM service deployed and integrated.</w:t>
            </w:r>
          </w:p>
        </w:tc>
      </w:tr>
      <w:tr>
        <w:tc>
          <w:tcPr>
            <w:tcW w:type="dxa" w:w="15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6</w:t>
            </w:r>
          </w:p>
        </w:tc>
        <w:tc>
          <w:tcPr>
            <w:tcW w:type="dxa" w:w="320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Demo hardening and pilot prep</w:t>
            </w:r>
          </w:p>
        </w:tc>
        <w:tc>
          <w:tcPr>
            <w:tcW w:type="dxa" w:w="4660"/>
            <w:tcBorders>
              <w:top w:val="single" w:color="D0D7DE" w:sz="4"/>
              <w:left w:val="single" w:color="D0D7DE" w:sz="4"/>
              <w:bottom w:val="single" w:color="D0D7DE" w:sz="4"/>
              <w:right w:val="single" w:color="D0D7DE" w:sz="4"/>
            </w:tcBorders>
            <w:shd w:fill="F5F7FA" w:val="clear"/>
            <w:tcMar>
              <w:top w:type="dxa" w:w="90"/>
              <w:left w:type="dxa" w:w="120"/>
              <w:bottom w:type="dxa" w:w="90"/>
              <w:right w:type="dxa" w:w="120"/>
            </w:tcMar>
          </w:tcPr>
          <w:p>
            <w:pPr>
              <w:jc w:val="left"/>
            </w:pPr>
            <w:r>
              <w:rPr>
                <w:b w:val="false"/>
                <w:bCs w:val="false"/>
                <w:color w:val="1F2937"/>
                <w:sz w:val="19"/>
                <w:szCs w:val="19"/>
              </w:rPr>
              <w:t xml:space="preserve">End-to-end demo rehearsal, bug fixing, deployment to a stable URL, preparation of the bank evaluation and LOI process.</w:t>
            </w:r>
          </w:p>
        </w:tc>
      </w:tr>
    </w:tbl>
    <w:p>
      <w:pPr>
        <w:spacing w:after="60" w:before="60"/>
      </w:pPr>
    </w:p>
    <w:p>
      <w:pPr>
        <w:pStyle w:val="Heading2"/>
      </w:pPr>
      <w:r>
        <w:rPr>
          <w:b/>
          <w:bCs/>
        </w:rPr>
        <w:t xml:space="preserve">Critical-path note</w:t>
      </w:r>
    </w:p>
    <w:p>
      <w:pPr>
        <w:spacing w:after="80" w:before="80"/>
      </w:pPr>
      <w:r>
        <w:rPr>
          <w:b w:val="false"/>
          <w:bCs w:val="false"/>
          <w:i w:val="false"/>
          <w:iCs w:val="false"/>
          <w:color w:val="1F2937"/>
          <w:sz w:val="22"/>
          <w:szCs w:val="22"/>
        </w:rPr>
        <w:t xml:space="preserve">Month 1 is the foundation and cannot be compressed; the common components and synthetic data layer block all three modules. Months 2 through 4 are the three modules and can be partially parallelized if a second engineer joins. Months 5 and 6 are integration, polish, and demo readiness, and should not be cut. A demo that breaks in front of a Treasurer is worse than a demo that arrives a month later.</w:t>
      </w:r>
    </w:p>
    <w:p>
      <w:pPr>
        <w:pStyle w:val="Heading2"/>
      </w:pPr>
      <w:r>
        <w:rPr>
          <w:b/>
          <w:bCs/>
        </w:rPr>
        <w:t xml:space="preserve">What "live in 4-6 months" means for VCs</w:t>
      </w:r>
    </w:p>
    <w:p>
      <w:pPr>
        <w:spacing w:after="80" w:before="80"/>
      </w:pPr>
      <w:r>
        <w:rPr>
          <w:b w:val="false"/>
          <w:bCs w:val="false"/>
          <w:i w:val="false"/>
          <w:iCs w:val="false"/>
          <w:color w:val="1F2937"/>
          <w:sz w:val="22"/>
          <w:szCs w:val="22"/>
        </w:rPr>
        <w:t xml:space="preserve">When telling investors the MVP is live in 4-6 months, be precise about what "live" means: a working, demonstrable three-module product running on synthetic data, suitable for bank evaluation. It does not mean a bank is running its own data through it in production. That follows during paid pilots after LOIs are signed. Stating this accurately protects credibility when the timeline is checked later.</w:t>
      </w:r>
    </w:p>
    <w:p>
      <w:r>
        <w:br w:type="page"/>
      </w:r>
    </w:p>
    <w:p>
      <w:pPr>
        <w:pStyle w:val="Heading1"/>
      </w:pPr>
      <w:r>
        <w:rPr>
          <w:b/>
          <w:bCs/>
        </w:rPr>
        <w:t xml:space="preserve">13. Path to Market Traction and LOIs</w:t>
      </w:r>
    </w:p>
    <w:p>
      <w:pPr>
        <w:spacing w:after="80" w:before="80"/>
      </w:pPr>
      <w:r>
        <w:rPr>
          <w:b w:val="false"/>
          <w:bCs w:val="false"/>
          <w:i w:val="false"/>
          <w:iCs w:val="false"/>
          <w:color w:val="1F2937"/>
          <w:sz w:val="22"/>
          <w:szCs w:val="22"/>
        </w:rPr>
        <w:t xml:space="preserve">The MVP exists to convert bank interest into signed Letters of Intent. This section defines how the build connects to that outcome.</w:t>
      </w:r>
    </w:p>
    <w:p>
      <w:pPr>
        <w:pStyle w:val="Heading2"/>
      </w:pPr>
      <w:r>
        <w:rPr>
          <w:b/>
          <w:bCs/>
        </w:rPr>
        <w:t xml:space="preserve">The evaluation-to-LOI sequence</w:t>
      </w:r>
    </w:p>
    <w:p>
      <w:pPr>
        <w:pStyle w:val="ListParagraph"/>
        <w:numPr>
          <w:ilvl w:val="0"/>
          <w:numId w:val="3"/>
        </w:numPr>
        <w:spacing w:after="40" w:before="40"/>
      </w:pPr>
      <w:r>
        <w:rPr>
          <w:color w:val="1F2937"/>
          <w:sz w:val="22"/>
          <w:szCs w:val="22"/>
        </w:rPr>
        <w:t xml:space="preserve">Demo: walk a bank's treasury and risk team through all three modules in a 45-60 minute session on the synthetic bank. The Overview dashboard opens, then Liquidity, then Basel Capital, then Balance Sheet Forecasting.</w:t>
      </w:r>
    </w:p>
    <w:p>
      <w:pPr>
        <w:pStyle w:val="ListParagraph"/>
        <w:numPr>
          <w:ilvl w:val="0"/>
          <w:numId w:val="3"/>
        </w:numPr>
        <w:spacing w:after="40" w:before="40"/>
      </w:pPr>
      <w:r>
        <w:rPr>
          <w:color w:val="1F2937"/>
          <w:sz w:val="22"/>
          <w:szCs w:val="22"/>
        </w:rPr>
        <w:t xml:space="preserve">Credibility check: invite the bank to compare the MVP's calculations against figures they already know from their own regulatory submissions. Because the calculation engines are real and correct, the numbers hold up. This is the trust-building moment.</w:t>
      </w:r>
    </w:p>
    <w:p>
      <w:pPr>
        <w:pStyle w:val="ListParagraph"/>
        <w:numPr>
          <w:ilvl w:val="0"/>
          <w:numId w:val="3"/>
        </w:numPr>
        <w:spacing w:after="40" w:before="40"/>
      </w:pPr>
      <w:r>
        <w:rPr>
          <w:color w:val="1F2937"/>
          <w:sz w:val="22"/>
          <w:szCs w:val="22"/>
        </w:rPr>
        <w:t xml:space="preserve">Scoped evaluation: give interested banks supervised access to the MVP to explore on their own, still on synthetic data.</w:t>
      </w:r>
    </w:p>
    <w:p>
      <w:pPr>
        <w:pStyle w:val="ListParagraph"/>
        <w:numPr>
          <w:ilvl w:val="0"/>
          <w:numId w:val="3"/>
        </w:numPr>
        <w:spacing w:after="40" w:before="40"/>
      </w:pPr>
      <w:r>
        <w:rPr>
          <w:color w:val="1F2937"/>
          <w:sz w:val="22"/>
          <w:szCs w:val="22"/>
        </w:rPr>
        <w:t xml:space="preserve">Pilot proposal: propose a paid pilot in which AequorOS is configured with the bank's real data, supervised, over a defined period.</w:t>
      </w:r>
    </w:p>
    <w:p>
      <w:pPr>
        <w:pStyle w:val="ListParagraph"/>
        <w:numPr>
          <w:ilvl w:val="0"/>
          <w:numId w:val="3"/>
        </w:numPr>
        <w:spacing w:after="40" w:before="40"/>
      </w:pPr>
      <w:r>
        <w:rPr>
          <w:color w:val="1F2937"/>
          <w:sz w:val="22"/>
          <w:szCs w:val="22"/>
        </w:rPr>
        <w:t xml:space="preserve">LOI: the bank signs a Letter of Intent committing to the pilot and to purchasing AequorOS if the pilot meets defined success criteria.</w:t>
      </w:r>
    </w:p>
    <w:p>
      <w:pPr>
        <w:pStyle w:val="Heading2"/>
      </w:pPr>
      <w:r>
        <w:rPr>
          <w:b/>
          <w:bCs/>
        </w:rPr>
        <w:t xml:space="preserve">Why the three-module MVP is sufficient for an LOI</w:t>
      </w:r>
    </w:p>
    <w:p>
      <w:pPr>
        <w:spacing w:after="80" w:before="80"/>
      </w:pPr>
      <w:r>
        <w:rPr>
          <w:b w:val="false"/>
          <w:bCs w:val="false"/>
          <w:i w:val="false"/>
          <w:iCs w:val="false"/>
          <w:color w:val="1F2937"/>
          <w:sz w:val="22"/>
          <w:szCs w:val="22"/>
        </w:rPr>
        <w:t xml:space="preserve">A bank does not need to see all six modules to commit to a pilot. It needs to see that the product is real, the calculations are correct, the regulatory outputs match what Bank of Ghana expects, and the team can build. Three working modules covering compliance (Liquidity, Basel Capital) and strategy (Balance Sheet Forecasting) demonstrate all of that.</w:t>
      </w:r>
    </w:p>
    <w:p>
      <w:pPr>
        <w:pStyle w:val="Heading2"/>
      </w:pPr>
      <w:r>
        <w:rPr>
          <w:b/>
          <w:bCs/>
        </w:rPr>
        <w:t xml:space="preserve">The LOI itself</w:t>
      </w:r>
    </w:p>
    <w:p>
      <w:pPr>
        <w:spacing w:after="80" w:before="80"/>
      </w:pPr>
      <w:r>
        <w:rPr>
          <w:b w:val="false"/>
          <w:bCs w:val="false"/>
          <w:i w:val="false"/>
          <w:iCs w:val="false"/>
          <w:color w:val="1F2937"/>
          <w:sz w:val="22"/>
          <w:szCs w:val="22"/>
        </w:rPr>
        <w:t xml:space="preserve">The target LOI commits a bank to pilot first, then purchase if the pilot succeeds. A dedicated LOI template is a separate deliverable from this build specification. At a minimum the LOI should state: the intent to enter a paid pilot, the pilot's scope and duration, the success criteria that would trigger a purchase, the indicative pricing for the post-pilot purchase, and that the LOI is non-binding on the purchase until the pilot succeeds. Drafting that template is a recommended next step once the MVP build is underway.</w:t>
      </w:r>
    </w:p>
    <w:p>
      <w:pPr>
        <w:pStyle w:val="Heading2"/>
      </w:pPr>
      <w:r>
        <w:rPr>
          <w:b/>
          <w:bCs/>
        </w:rPr>
        <w:t xml:space="preserve">Connecting to the BISA validation work</w:t>
      </w:r>
    </w:p>
    <w:p>
      <w:pPr>
        <w:spacing w:after="80" w:before="80"/>
      </w:pPr>
      <w:r>
        <w:rPr>
          <w:b w:val="false"/>
          <w:bCs w:val="false"/>
          <w:i w:val="false"/>
          <w:iCs w:val="false"/>
          <w:color w:val="1F2937"/>
          <w:sz w:val="22"/>
          <w:szCs w:val="22"/>
        </w:rPr>
        <w:t xml:space="preserve">The BISA Research Consulting interviews with senior bank executives run in parallel with the MVP build. Those interviews surface what banks actually need and which banks are warmest. The MVP demo is the natural follow-up to a BISA interview: the interview establishes the problem, the demo shows the solution. Sequence them deliberately.</w:t>
      </w:r>
    </w:p>
    <w:p>
      <w:r>
        <w:br w:type="page"/>
      </w:r>
    </w:p>
    <w:p>
      <w:pPr>
        <w:pStyle w:val="Heading1"/>
      </w:pPr>
      <w:r>
        <w:rPr>
          <w:b/>
          <w:bCs/>
        </w:rPr>
        <w:t xml:space="preserve">14. Explicit Out-of-Scope</w:t>
      </w:r>
    </w:p>
    <w:p>
      <w:pPr>
        <w:spacing w:after="80" w:before="80"/>
      </w:pPr>
      <w:r>
        <w:rPr>
          <w:b w:val="false"/>
          <w:bCs w:val="false"/>
          <w:i w:val="false"/>
          <w:iCs w:val="false"/>
          <w:color w:val="1F2937"/>
          <w:sz w:val="22"/>
          <w:szCs w:val="22"/>
        </w:rPr>
        <w:t xml:space="preserve">Stated plainly so there is no ambiguity during the build. The following are not part of the MVP:</w:t>
      </w:r>
    </w:p>
    <w:p>
      <w:pPr>
        <w:pStyle w:val="ListParagraph"/>
        <w:numPr>
          <w:ilvl w:val="0"/>
          <w:numId w:val="2"/>
        </w:numPr>
        <w:spacing w:after="40" w:before="40"/>
      </w:pPr>
      <w:r>
        <w:rPr>
          <w:color w:val="1F2937"/>
          <w:sz w:val="22"/>
          <w:szCs w:val="22"/>
        </w:rPr>
        <w:t xml:space="preserve">The three deferred modules: Interest Rate Risk, FX Risk, and Funds Transfer Pricing.</w:t>
      </w:r>
    </w:p>
    <w:p>
      <w:pPr>
        <w:pStyle w:val="ListParagraph"/>
        <w:numPr>
          <w:ilvl w:val="0"/>
          <w:numId w:val="2"/>
        </w:numPr>
        <w:spacing w:after="40" w:before="40"/>
      </w:pPr>
      <w:r>
        <w:rPr>
          <w:color w:val="1F2937"/>
          <w:sz w:val="22"/>
          <w:szCs w:val="22"/>
        </w:rPr>
        <w:t xml:space="preserve">Real Deep Reinforcement Learning. The Strategic Optimizer uses constrained scenario search; full RL is post-MVP.</w:t>
      </w:r>
    </w:p>
    <w:p>
      <w:pPr>
        <w:pStyle w:val="ListParagraph"/>
        <w:numPr>
          <w:ilvl w:val="0"/>
          <w:numId w:val="2"/>
        </w:numPr>
        <w:spacing w:after="40" w:before="40"/>
      </w:pPr>
      <w:r>
        <w:rPr>
          <w:color w:val="1F2937"/>
          <w:sz w:val="22"/>
          <w:szCs w:val="22"/>
        </w:rPr>
        <w:t xml:space="preserve">Temenos T24 or any core banking system integration.</w:t>
      </w:r>
    </w:p>
    <w:p>
      <w:pPr>
        <w:pStyle w:val="ListParagraph"/>
        <w:numPr>
          <w:ilvl w:val="0"/>
          <w:numId w:val="2"/>
        </w:numPr>
        <w:spacing w:after="40" w:before="40"/>
      </w:pPr>
      <w:r>
        <w:rPr>
          <w:color w:val="1F2937"/>
          <w:sz w:val="22"/>
          <w:szCs w:val="22"/>
        </w:rPr>
        <w:t xml:space="preserve">Real regulatory submission filing. The MVP previews Bank of Ghana returns; it does not file them.</w:t>
      </w:r>
    </w:p>
    <w:p>
      <w:pPr>
        <w:pStyle w:val="ListParagraph"/>
        <w:numPr>
          <w:ilvl w:val="0"/>
          <w:numId w:val="2"/>
        </w:numPr>
        <w:spacing w:after="40" w:before="40"/>
      </w:pPr>
      <w:r>
        <w:rPr>
          <w:color w:val="1F2937"/>
          <w:sz w:val="22"/>
          <w:szCs w:val="22"/>
        </w:rPr>
        <w:t xml:space="preserve">Multi-tenancy, production authentication, encryption, audit trails, and model risk management infrastructure.</w:t>
      </w:r>
    </w:p>
    <w:p>
      <w:pPr>
        <w:pStyle w:val="ListParagraph"/>
        <w:numPr>
          <w:ilvl w:val="0"/>
          <w:numId w:val="2"/>
        </w:numPr>
        <w:spacing w:after="40" w:before="40"/>
      </w:pPr>
      <w:r>
        <w:rPr>
          <w:color w:val="1F2937"/>
          <w:sz w:val="22"/>
          <w:szCs w:val="22"/>
        </w:rPr>
        <w:t xml:space="preserve">High-availability infrastructure, disaster recovery, and uptime guarantees.</w:t>
      </w:r>
    </w:p>
    <w:p>
      <w:pPr>
        <w:pStyle w:val="ListParagraph"/>
        <w:numPr>
          <w:ilvl w:val="0"/>
          <w:numId w:val="2"/>
        </w:numPr>
        <w:spacing w:after="40" w:before="40"/>
      </w:pPr>
      <w:r>
        <w:rPr>
          <w:color w:val="1F2937"/>
          <w:sz w:val="22"/>
          <w:szCs w:val="22"/>
        </w:rPr>
        <w:t xml:space="preserve">Any screen not listed in the Section 4 screen inventory.</w:t>
      </w:r>
    </w:p>
    <w:p>
      <w:pPr>
        <w:pStyle w:val="ListParagraph"/>
        <w:numPr>
          <w:ilvl w:val="0"/>
          <w:numId w:val="2"/>
        </w:numPr>
        <w:spacing w:after="40" w:before="40"/>
      </w:pPr>
      <w:r>
        <w:rPr>
          <w:color w:val="1F2937"/>
          <w:sz w:val="22"/>
          <w:szCs w:val="22"/>
        </w:rPr>
        <w:t xml:space="preserve">Mobile-optimized layouts beyond basic tablet usability.</w:t>
      </w:r>
    </w:p>
    <w:p>
      <w:pPr>
        <w:spacing w:after="80" w:before="80"/>
      </w:pPr>
      <w:r>
        <w:rPr>
          <w:b w:val="false"/>
          <w:bCs w:val="false"/>
          <w:i w:val="false"/>
          <w:iCs w:val="false"/>
          <w:color w:val="1F2937"/>
          <w:sz w:val="22"/>
          <w:szCs w:val="22"/>
        </w:rPr>
        <w:t xml:space="preserve">Anything in this list that becomes tempting to add mid-build should be resisted. The MVP's value comes from being finished and demonstrable in 4-6 months, not from being comprehensive.</w:t>
      </w:r>
    </w:p>
    <w:p>
      <w:r>
        <w:br w:type="page"/>
      </w:r>
    </w:p>
    <w:p>
      <w:pPr>
        <w:pStyle w:val="Heading1"/>
      </w:pPr>
      <w:r>
        <w:rPr>
          <w:b/>
          <w:bCs/>
        </w:rPr>
        <w:t xml:space="preserve">15. Appendix: Calculation Reference</w:t>
      </w:r>
    </w:p>
    <w:p>
      <w:pPr>
        <w:spacing w:after="80" w:before="80"/>
      </w:pPr>
      <w:r>
        <w:rPr>
          <w:b w:val="false"/>
          <w:bCs w:val="false"/>
          <w:i w:val="false"/>
          <w:iCs w:val="false"/>
          <w:color w:val="1F2937"/>
          <w:sz w:val="22"/>
          <w:szCs w:val="22"/>
        </w:rPr>
        <w:t xml:space="preserve">Key formulas consolidated for the engineer. Full methodology is in the module sections above and in Treasury_ALM_System.docx.</w:t>
      </w:r>
    </w:p>
    <w:p>
      <w:pPr>
        <w:pStyle w:val="Heading2"/>
      </w:pPr>
      <w:r>
        <w:rPr>
          <w:b/>
          <w:bCs/>
        </w:rPr>
        <w:t xml:space="preserve">Liquidity</w:t>
      </w:r>
    </w:p>
    <w:p>
      <w:pPr>
        <w:spacing w:after="60" w:before="60"/>
      </w:pPr>
      <w:r>
        <w:rPr>
          <w:b/>
          <w:bCs/>
          <w:color w:val="0A2540"/>
          <w:sz w:val="22"/>
          <w:szCs w:val="22"/>
        </w:rPr>
        <w:t xml:space="preserve">LCR: </w:t>
      </w:r>
      <w:r>
        <w:rPr>
          <w:color w:val="1F2937"/>
          <w:sz w:val="22"/>
          <w:szCs w:val="22"/>
        </w:rPr>
        <w:t xml:space="preserve">Stock of HQLA / Total net cash outflows over 30 days. Minimum 100%.</w:t>
      </w:r>
    </w:p>
    <w:p>
      <w:pPr>
        <w:spacing w:after="60" w:before="60"/>
      </w:pPr>
      <w:r>
        <w:rPr>
          <w:b/>
          <w:bCs/>
          <w:color w:val="0A2540"/>
          <w:sz w:val="22"/>
          <w:szCs w:val="22"/>
        </w:rPr>
        <w:t xml:space="preserve">Net cash outflows: </w:t>
      </w:r>
      <w:r>
        <w:rPr>
          <w:color w:val="1F2937"/>
          <w:sz w:val="22"/>
          <w:szCs w:val="22"/>
        </w:rPr>
        <w:t xml:space="preserve">Total expected outflows minus total expected inflows, with inflows capped at 75% of outflows.</w:t>
      </w:r>
    </w:p>
    <w:p>
      <w:pPr>
        <w:spacing w:after="60" w:before="60"/>
      </w:pPr>
      <w:r>
        <w:rPr>
          <w:b/>
          <w:bCs/>
          <w:color w:val="0A2540"/>
          <w:sz w:val="22"/>
          <w:szCs w:val="22"/>
        </w:rPr>
        <w:t xml:space="preserve">NSFR: </w:t>
      </w:r>
      <w:r>
        <w:rPr>
          <w:color w:val="1F2937"/>
          <w:sz w:val="22"/>
          <w:szCs w:val="22"/>
        </w:rPr>
        <w:t xml:space="preserve">Available Stable Funding / Required Stable Funding. Minimum 100%.</w:t>
      </w:r>
    </w:p>
    <w:p>
      <w:pPr>
        <w:pStyle w:val="Heading2"/>
      </w:pPr>
      <w:r>
        <w:rPr>
          <w:b/>
          <w:bCs/>
        </w:rPr>
        <w:t xml:space="preserve">Basel Capital</w:t>
      </w:r>
    </w:p>
    <w:p>
      <w:pPr>
        <w:spacing w:after="60" w:before="60"/>
      </w:pPr>
      <w:r>
        <w:rPr>
          <w:b/>
          <w:bCs/>
          <w:color w:val="0A2540"/>
          <w:sz w:val="22"/>
          <w:szCs w:val="22"/>
        </w:rPr>
        <w:t xml:space="preserve">CET1 ratio: </w:t>
      </w:r>
      <w:r>
        <w:rPr>
          <w:color w:val="1F2937"/>
          <w:sz w:val="22"/>
          <w:szCs w:val="22"/>
        </w:rPr>
        <w:t xml:space="preserve">CET1 capital / total RWA. Minimum 6.5%.</w:t>
      </w:r>
    </w:p>
    <w:p>
      <w:pPr>
        <w:spacing w:after="60" w:before="60"/>
      </w:pPr>
      <w:r>
        <w:rPr>
          <w:b/>
          <w:bCs/>
          <w:color w:val="0A2540"/>
          <w:sz w:val="22"/>
          <w:szCs w:val="22"/>
        </w:rPr>
        <w:t xml:space="preserve">Tier 1 ratio: </w:t>
      </w:r>
      <w:r>
        <w:rPr>
          <w:color w:val="1F2937"/>
          <w:sz w:val="22"/>
          <w:szCs w:val="22"/>
        </w:rPr>
        <w:t xml:space="preserve">(CET1 + AT1) / total RWA. Minimum 8.0%.</w:t>
      </w:r>
    </w:p>
    <w:p>
      <w:pPr>
        <w:spacing w:after="60" w:before="60"/>
      </w:pPr>
      <w:r>
        <w:rPr>
          <w:b/>
          <w:bCs/>
          <w:color w:val="0A2540"/>
          <w:sz w:val="22"/>
          <w:szCs w:val="22"/>
        </w:rPr>
        <w:t xml:space="preserve">Capital Adequacy Ratio: </w:t>
      </w:r>
      <w:r>
        <w:rPr>
          <w:color w:val="1F2937"/>
          <w:sz w:val="22"/>
          <w:szCs w:val="22"/>
        </w:rPr>
        <w:t xml:space="preserve">(Tier 1 + Tier 2) / total RWA. Minimum 10.0%.</w:t>
      </w:r>
    </w:p>
    <w:p>
      <w:pPr>
        <w:spacing w:after="60" w:before="60"/>
      </w:pPr>
      <w:r>
        <w:rPr>
          <w:b/>
          <w:bCs/>
          <w:color w:val="0A2540"/>
          <w:sz w:val="22"/>
          <w:szCs w:val="22"/>
        </w:rPr>
        <w:t xml:space="preserve">Leverage ratio: </w:t>
      </w:r>
      <w:r>
        <w:rPr>
          <w:color w:val="1F2937"/>
          <w:sz w:val="22"/>
          <w:szCs w:val="22"/>
        </w:rPr>
        <w:t xml:space="preserve">Tier 1 / total exposure. Minimum 3.0%.</w:t>
      </w:r>
    </w:p>
    <w:p>
      <w:pPr>
        <w:spacing w:after="60" w:before="60"/>
      </w:pPr>
      <w:r>
        <w:rPr>
          <w:b/>
          <w:bCs/>
          <w:color w:val="0A2540"/>
          <w:sz w:val="22"/>
          <w:szCs w:val="22"/>
        </w:rPr>
        <w:t xml:space="preserve">Operational risk charge: </w:t>
      </w:r>
      <w:r>
        <w:rPr>
          <w:color w:val="1F2937"/>
          <w:sz w:val="22"/>
          <w:szCs w:val="22"/>
        </w:rPr>
        <w:t xml:space="preserve">15% of average gross income over the prior three years, excluding negative years (Basic Indicator Approach).</w:t>
      </w:r>
    </w:p>
    <w:p>
      <w:pPr>
        <w:spacing w:after="60" w:before="60"/>
      </w:pPr>
      <w:r>
        <w:rPr>
          <w:b/>
          <w:bCs/>
          <w:color w:val="0A2540"/>
          <w:sz w:val="22"/>
          <w:szCs w:val="22"/>
        </w:rPr>
        <w:t xml:space="preserve">Market risk (FX): </w:t>
      </w:r>
      <w:r>
        <w:rPr>
          <w:color w:val="1F2937"/>
          <w:sz w:val="22"/>
          <w:szCs w:val="22"/>
        </w:rPr>
        <w:t xml:space="preserve">8% of the larger of net long or net short FX position.</w:t>
      </w:r>
    </w:p>
    <w:p>
      <w:pPr>
        <w:pStyle w:val="Heading2"/>
      </w:pPr>
      <w:r>
        <w:rPr>
          <w:b/>
          <w:bCs/>
        </w:rPr>
        <w:t xml:space="preserve">Balance Sheet Forecasting</w:t>
      </w:r>
    </w:p>
    <w:p>
      <w:pPr>
        <w:spacing w:after="60" w:before="60"/>
      </w:pPr>
      <w:r>
        <w:rPr>
          <w:b/>
          <w:bCs/>
          <w:color w:val="0A2540"/>
          <w:sz w:val="22"/>
          <w:szCs w:val="22"/>
        </w:rPr>
        <w:t xml:space="preserve">Net interest income: </w:t>
      </w:r>
      <w:r>
        <w:rPr>
          <w:color w:val="1F2937"/>
          <w:sz w:val="22"/>
          <w:szCs w:val="22"/>
        </w:rPr>
        <w:t xml:space="preserve">Sum over products of average balance times effective rate.</w:t>
      </w:r>
    </w:p>
    <w:p>
      <w:pPr>
        <w:spacing w:after="60" w:before="60"/>
      </w:pPr>
      <w:r>
        <w:rPr>
          <w:b/>
          <w:bCs/>
          <w:color w:val="0A2540"/>
          <w:sz w:val="22"/>
          <w:szCs w:val="22"/>
        </w:rPr>
        <w:t xml:space="preserve">Credit losses: </w:t>
      </w:r>
      <w:r>
        <w:rPr>
          <w:color w:val="1F2937"/>
          <w:sz w:val="22"/>
          <w:szCs w:val="22"/>
        </w:rPr>
        <w:t xml:space="preserve">Probability of default times loss given default times exposure at default, under each scenario.</w:t>
      </w:r>
    </w:p>
    <w:p>
      <w:pPr>
        <w:spacing w:after="60" w:before="60"/>
      </w:pPr>
      <w:r>
        <w:rPr>
          <w:b/>
          <w:bCs/>
          <w:color w:val="0A2540"/>
          <w:sz w:val="22"/>
          <w:szCs w:val="22"/>
        </w:rPr>
        <w:t xml:space="preserve">Capital projection: </w:t>
      </w:r>
      <w:r>
        <w:rPr>
          <w:color w:val="1F2937"/>
          <w:sz w:val="22"/>
          <w:szCs w:val="22"/>
        </w:rPr>
        <w:t xml:space="preserve">Beginning capital plus net income minus dividends, plus or minus other comprehensive income.</w:t>
      </w:r>
    </w:p>
    <w:p>
      <w:pPr>
        <w:spacing w:after="60" w:before="60"/>
      </w:pPr>
    </w:p>
    <w:p>
      <w:pPr>
        <w:spacing w:after="60" w:before="60"/>
      </w:pPr>
    </w:p>
    <w:p>
      <w:pPr>
        <w:spacing w:before="400"/>
        <w:jc w:val="center"/>
      </w:pPr>
      <w:r>
        <w:rPr>
          <w:i/>
          <w:iCs/>
          <w:color w:val="5A6776"/>
          <w:sz w:val="22"/>
          <w:szCs w:val="22"/>
        </w:rPr>
        <w:t xml:space="preserve">End of MVP Build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5A1"/>
        <w:sz w:val="18"/>
        <w:szCs w:val="18"/>
      </w:rPr>
      <w:t xml:space="preserve">Page </w:t>
    </w:r>
    <w:r>
      <w:rPr>
        <w:color w:val="8B95A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B95A1"/>
        <w:sz w:val="18"/>
        <w:szCs w:val="18"/>
      </w:rPr>
      <w:t xml:space="preserve">AequorOS — MVP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2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0A254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2026-05-23T14:35:31.251Z</dcterms:created>
  <dcterms:modified xsi:type="dcterms:W3CDTF">2026-05-23T14:35:31.252Z</dcterms:modified>
</cp:coreProperties>
</file>

<file path=docProps/custom.xml><?xml version="1.0" encoding="utf-8"?>
<Properties xmlns="http://schemas.openxmlformats.org/officeDocument/2006/custom-properties" xmlns:vt="http://schemas.openxmlformats.org/officeDocument/2006/docPropsVTypes"/>
</file>