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3C72" w14:textId="77777777" w:rsidR="00D21786" w:rsidRDefault="00D9593E">
      <w:pPr>
        <w:spacing w:after="20"/>
        <w:jc w:val="center"/>
      </w:pPr>
      <w:r>
        <w:rPr>
          <w:b/>
          <w:bCs/>
          <w:caps/>
          <w:color w:val="1F4E79"/>
          <w:sz w:val="36"/>
          <w:szCs w:val="36"/>
        </w:rPr>
        <w:t>AKINSOLA CLEMENT MORAKINYO</w:t>
      </w:r>
    </w:p>
    <w:p w14:paraId="6B78BFCD" w14:textId="77777777" w:rsidR="006D68E7" w:rsidRDefault="006D68E7">
      <w:pPr>
        <w:jc w:val="center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>Bioinformatician | Cancer Genomics, NGS Analysis &amp; AI Model Evaluation</w:t>
      </w:r>
    </w:p>
    <w:p w14:paraId="603832D5" w14:textId="762BC5ED" w:rsidR="00D21786" w:rsidRPr="00011A1A" w:rsidRDefault="00D9593E">
      <w:pPr>
        <w:jc w:val="center"/>
        <w:rPr>
          <w:lang w:val="de-DE"/>
        </w:rPr>
      </w:pPr>
      <w:r>
        <w:rPr>
          <w:color w:val="555555"/>
          <w:sz w:val="18"/>
          <w:szCs w:val="18"/>
          <w:lang w:val="de-DE"/>
        </w:rPr>
        <w:t>Lagos, Nigeria | ceefourme@gmail.com  |  +234-817-422-6011</w:t>
      </w:r>
    </w:p>
    <w:p w14:paraId="6702FFED" w14:textId="77777777" w:rsidR="00D21786" w:rsidRDefault="00A07794">
      <w:pPr>
        <w:spacing w:after="60"/>
        <w:jc w:val="center"/>
      </w:pPr>
      <w:hyperlink r:id="rId7" w:history="1">
        <w:r>
          <w:rPr>
            <w:color w:val="2E75B6"/>
            <w:sz w:val="18"/>
            <w:szCs w:val="18"/>
            <w:u w:val="single"/>
          </w:rPr>
          <w:t>GitHub</w:t>
        </w:r>
      </w:hyperlink>
      <w:r>
        <w:rPr>
          <w:color w:val="555555"/>
          <w:sz w:val="18"/>
          <w:szCs w:val="18"/>
        </w:rPr>
        <w:t xml:space="preserve">  |  </w:t>
      </w:r>
      <w:hyperlink r:id="rId8" w:history="1">
        <w:r>
          <w:rPr>
            <w:color w:val="2E75B6"/>
            <w:sz w:val="18"/>
            <w:szCs w:val="18"/>
            <w:u w:val="single"/>
          </w:rPr>
          <w:t>LinkedIn</w:t>
        </w:r>
      </w:hyperlink>
      <w:r>
        <w:rPr>
          <w:color w:val="555555"/>
          <w:sz w:val="18"/>
          <w:szCs w:val="18"/>
        </w:rPr>
        <w:t xml:space="preserve">  |  </w:t>
      </w:r>
      <w:hyperlink r:id="rId9" w:history="1">
        <w:r>
          <w:rPr>
            <w:color w:val="2E75B6"/>
            <w:sz w:val="18"/>
            <w:szCs w:val="18"/>
            <w:u w:val="single"/>
          </w:rPr>
          <w:t>Portfolio</w:t>
        </w:r>
      </w:hyperlink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Professional Profile</w:t>
      </w:r>
    </w:p>
    <w:p>
      <w:pPr>
        <w:spacing w:before="40" w:after="40"/>
        <w:jc w:val="both"/>
      </w:pPr>
      <w:r>
        <w:rPr>
          <w:color w:val="1A1A1A"/>
          <w:sz w:val="18"/>
          <w:szCs w:val="18"/>
        </w:rPr>
        <w:t xml:space="preserve">Bioinformatician and Clinical Data Scientist with a strong quantitative research background and hands-on experience in NGS and cancer genomics. Experienced in WGS, WES, bulk RNA-seq and scRNA-seq analysis, with practical expertise in GATK4/Mutect2, SAMtools, DESeq2, Seurat and Nextflow/nf-core, and currently extending into spatial transcriptomics. Builds reproducible, containerised workflows and applies clinical research expertise to genomic and biomedical datasets.</w:t>
      </w:r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Technical Skills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Core NGS &amp; Variant Analysis: </w:t>
      </w:r>
      <w:r>
        <w:rPr>
          <w:color w:val="1A1A1A"/>
          <w:sz w:val="18"/>
          <w:szCs w:val="18"/>
        </w:rPr>
        <w:t xml:space="preserve">GATK4/Mutect2 (somatic calling, BQSR), BWA-MEM, SAMtools, bedtools, SnpEff, FastQC, Trimmomatic, BLAST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Transcriptomics &amp; Single-cell: </w:t>
      </w:r>
      <w:r>
        <w:rPr>
          <w:color w:val="1A1A1A"/>
          <w:sz w:val="18"/>
          <w:szCs w:val="18"/>
        </w:rPr>
        <w:t xml:space="preserve">DESeq2, Seurat v5, Harmony, clusterProfiler/GSEA, Scanpy; spatial transcriptomics (in progress)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Workflows &amp; Compute: </w:t>
      </w:r>
      <w:r>
        <w:rPr>
          <w:color w:val="1A1A1A"/>
          <w:sz w:val="18"/>
          <w:szCs w:val="18"/>
        </w:rPr>
        <w:t xml:space="preserve">Nextflow/nf-core, Docker, AWS EC2, HPC, Google Colab, Git/GitHub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Programming: </w:t>
      </w:r>
      <w:r>
        <w:rPr>
          <w:color w:val="1A1A1A"/>
          <w:sz w:val="18"/>
          <w:szCs w:val="18"/>
        </w:rPr>
        <w:t xml:space="preserve">Python (Biopython), R (Bioconductor), Bash/Linux, SQL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Data Types: </w:t>
      </w:r>
      <w:r>
        <w:rPr>
          <w:color w:val="1A1A1A"/>
          <w:sz w:val="18"/>
          <w:szCs w:val="18"/>
        </w:rPr>
        <w:t xml:space="preserve">FASTQ, BAM, VCF, count/expression and single-cell matrices, methylation arrays, MRI, clinical datasets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AI &amp; Machine Learning: </w:t>
      </w:r>
      <w:r>
        <w:rPr>
          <w:color w:val="1A1A1A"/>
          <w:sz w:val="18"/>
          <w:szCs w:val="18"/>
        </w:rPr>
        <w:t xml:space="preserve">LLM and RAG applications, deep learning (3D U-Net), predictive modelling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Also Proficient: </w:t>
      </w:r>
      <w:r>
        <w:rPr>
          <w:color w:val="1A1A1A"/>
          <w:sz w:val="18"/>
          <w:szCs w:val="18"/>
        </w:rPr>
        <w:t xml:space="preserve">GWAS QC, COSMIC mutational signatures, MEGA phylogenetics, survival analysis (Kaplan–Meier, Cox), Streamlit, Power BI, REDCap, SPSS, Stata, Epi Info</w:t>
      </w:r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Professional Experience</w:t>
      </w:r>
    </w:p>
    <w:p>
      <w:pPr>
        <w:tabs>
          <w:tab w:val="right" w:pos="10106"/>
        </w:tabs>
        <w:spacing w:before="80"/>
      </w:pPr>
      <w:r>
        <w:rPr>
          <w:b/>
          <w:bCs/>
          <w:color w:val="1A1A1A"/>
        </w:rPr>
        <w:t xml:space="preserve">Research Intern — Medical Artificial Intelligence Laboratory (MAI Lab)</w:t>
      </w:r>
      <w:r>
        <w:rPr>
          <w:i/>
          <w:iCs/>
          <w:color w:val="555555"/>
          <w:sz w:val="18"/>
          <w:szCs w:val="18"/>
        </w:rPr>
        <w:tab/>
        <w:t>2026 – Present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Lagos, Nigeria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Curated brain MRI data for medical AI: organised multi-sequence scans and segmentation labels, checked image–label consistency and quality, and prepared standardised datasets for model training and evaluation.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Built and deployed a BraTS-Africa 3D U-Net brain tumour segmentation model on African glioma MRI data (SPARK dataset), with a live Streamlit demo and transparent reporting of performance and limitations.</w:t>
      </w:r>
    </w:p>
    <w:p>
      <w:pPr>
        <w:tabs>
          <w:tab w:val="right" w:pos="10106"/>
        </w:tabs>
        <w:spacing w:before="80"/>
      </w:pPr>
      <w:r>
        <w:rPr>
          <w:b/>
          <w:bCs/>
          <w:color w:val="1A1A1A"/>
        </w:rPr>
        <w:t xml:space="preserve">Independent Clinical Data Scientist &amp; Bioinformatics Analyst</w:t>
      </w:r>
      <w:r>
        <w:rPr>
          <w:i/>
          <w:iCs/>
          <w:color w:val="555555"/>
          <w:sz w:val="18"/>
          <w:szCs w:val="18"/>
        </w:rPr>
        <w:tab/>
        <w:t>March 2016 – Present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Remote — serving academic medical centres, hospital research departments, and clinical investigators across Nigeria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Built end-to-end predictive models and ML pipelines on clinical datasets spanning epidemiology, endocrinology, radiology, and internal medicine, including a logistic regression mortality model (hold-out ROC AUC 0.974).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Developed LLM and RAG-based biomedical research applications, including a clinically grounded hMPV question-answering chatbot; built interactive analytical dashboards using Streamlit and Python.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Created reproducible bioinformatics workflows for somatic variant calling, TP53 mutation profiling, protein characterisation, and TCGA cancer transcriptomic and survival analysis.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Cleaned, validated, and restructured raw clinical datasets, and authored step-by-step results write-ups with traceable outputs for dissertations and manuscripts.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Collaborated with multidisciplinary clinical teams on research design, data analysis, and manuscript preparation, contributing to 7 peer-reviewed publications.</w:t>
      </w:r>
    </w:p>
    <w:p>
      <w:pPr>
        <w:tabs>
          <w:tab w:val="right" w:pos="10106"/>
        </w:tabs>
        <w:spacing w:before="80"/>
      </w:pPr>
      <w:r>
        <w:rPr>
          <w:b/>
          <w:bCs/>
          <w:color w:val="1A1A1A"/>
        </w:rPr>
        <w:t xml:space="preserve">Invited Resource Person — Biostatistics &amp; Research Methodology</w:t>
      </w:r>
      <w:r>
        <w:rPr>
          <w:i/>
          <w:iCs/>
          <w:color w:val="555555"/>
          <w:sz w:val="18"/>
          <w:szCs w:val="18"/>
        </w:rPr>
        <w:tab/>
        <w:t>2018 – Present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Lagos University Teaching Hospital (LUTH) &amp; Lagos State University Teaching Hospital (LASUTH), Lagos, Nigeria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Designed and delivered biostatistics and research methodology training for 150+ postgraduate medical candidates preparing for WACP, WACS, and NPMCN fellowship examinations.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Facilitated capacity-building sessions in-person and remotely covering study design, hypothesis testing, sample size calculation, and statistical interpretation.</w:t>
      </w:r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Education</w:t>
      </w:r>
    </w:p>
    <w:p>
      <w:pPr>
        <w:tabs>
          <w:tab w:val="right" w:pos="10106"/>
        </w:tabs>
        <w:spacing w:after="40"/>
      </w:pPr>
      <w:r>
        <w:rPr>
          <w:b/>
          <w:bCs/>
          <w:color w:val="1A1A1A"/>
          <w:sz w:val="18"/>
          <w:szCs w:val="18"/>
        </w:rPr>
        <w:t xml:space="preserve">MSc Cell and Molecular Biology</w:t>
      </w:r>
      <w:r>
        <w:rPr>
          <w:color w:val="555555"/>
          <w:sz w:val="18"/>
          <w:szCs w:val="18"/>
        </w:rPr>
        <w:t xml:space="preserve"> — University of Lagos, Nigeria</w:t>
      </w:r>
      <w:r>
        <w:rPr>
          <w:i/>
          <w:iCs/>
          <w:color w:val="555555"/>
          <w:sz w:val="18"/>
          <w:szCs w:val="18"/>
        </w:rPr>
        <w:tab/>
        <w:t>Expected 2027</w:t>
      </w:r>
    </w:p>
    <w:p>
      <w:pPr>
        <w:tabs>
          <w:tab w:val="right" w:pos="10106"/>
        </w:tabs>
        <w:spacing w:after="40"/>
      </w:pPr>
      <w:r>
        <w:rPr>
          <w:b/>
          <w:bCs/>
          <w:color w:val="1A1A1A"/>
          <w:sz w:val="18"/>
          <w:szCs w:val="18"/>
        </w:rPr>
        <w:t xml:space="preserve">MSc Public Health (Epidemiology)</w:t>
      </w:r>
      <w:r>
        <w:rPr>
          <w:color w:val="555555"/>
          <w:sz w:val="18"/>
          <w:szCs w:val="18"/>
        </w:rPr>
        <w:t xml:space="preserve"> — University of Lagos, Nigeria</w:t>
      </w:r>
      <w:r>
        <w:rPr>
          <w:i/>
          <w:iCs/>
          <w:color w:val="555555"/>
          <w:sz w:val="18"/>
          <w:szCs w:val="18"/>
        </w:rPr>
        <w:tab/>
        <w:t>Coursework completed, 2021</w:t>
      </w:r>
    </w:p>
    <w:p>
      <w:pPr>
        <w:tabs>
          <w:tab w:val="right" w:pos="10106"/>
        </w:tabs>
        <w:spacing w:after="40"/>
      </w:pPr>
      <w:r>
        <w:rPr>
          <w:b/>
          <w:bCs/>
          <w:color w:val="1A1A1A"/>
          <w:sz w:val="18"/>
          <w:szCs w:val="18"/>
        </w:rPr>
        <w:t xml:space="preserve">B.Sc. Microbiology</w:t>
      </w:r>
      <w:r>
        <w:rPr>
          <w:color w:val="555555"/>
          <w:sz w:val="18"/>
          <w:szCs w:val="18"/>
        </w:rPr>
        <w:t xml:space="preserve"> — University of Lagos, Nigeria</w:t>
      </w:r>
      <w:r>
        <w:rPr>
          <w:i/>
          <w:iCs/>
          <w:color w:val="555555"/>
          <w:sz w:val="18"/>
          <w:szCs w:val="18"/>
        </w:rPr>
        <w:tab/>
        <w:t>2016</w:t>
      </w:r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Key Projects</w:t>
      </w:r>
    </w:p>
    <w:p>
      <w:pPr>
        <w:spacing w:before="80" w:after="20"/>
      </w:pPr>
      <w:r>
        <w:rPr>
          <w:b/>
          <w:bCs/>
          <w:color w:val="1A1A1A"/>
          <w:sz w:val="18"/>
          <w:szCs w:val="18"/>
        </w:rPr>
        <w:t xml:space="preserve">Somatic WGS Pipeline — HCC1395 Tumour–Normal, SEQC2 Benchmark</w:t>
      </w:r>
      <w:r>
        <w:rPr>
          <w:color w:val="555555"/>
          <w:sz w:val="18"/>
          <w:szCs w:val="18"/>
        </w:rPr>
        <w:t xml:space="preserve"> | github.com/Ceefour18/Breast_cancer_WGS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Modular 7-stage tumour–normal WGS pipeline (FastQC → BWA-MEM → BQSR → Mutect2 → SnpEff) on 16 vCPU AWS, validated against the SEQC2 v1.2 gold-standard truth set.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Debugged FASTQ read-name mismatches and cut runtime ~3× (48 h → 14 h) by migrating to Colab Pro+; each stage independently re-runnable and auditable.</w:t>
      </w:r>
    </w:p>
    <w:p>
      <w:pPr>
        <w:spacing w:before="80" w:after="20"/>
      </w:pPr>
      <w:r>
        <w:rPr>
          <w:b/>
          <w:bCs/>
          <w:color w:val="1A1A1A"/>
          <w:sz w:val="18"/>
          <w:szCs w:val="18"/>
        </w:rPr>
        <w:t xml:space="preserve">Somatic WES Pipeline — HCC1143 Breast Cancer Cell Line</w:t>
      </w:r>
      <w:r>
        <w:rPr>
          <w:color w:val="555555"/>
          <w:sz w:val="18"/>
          <w:szCs w:val="18"/>
        </w:rPr>
        <w:t xml:space="preserve"> | github.com/Ceefour18/somatic-wes-breast-cancer-gatk4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Docker-based GATK4 Best Practices pipeline targeting chr17 (TP53, BRCA1, ERBB2): 99.47% reads mapped, 1.11% contamination; FilterMutectCalls reduced 182 raw calls to 27 PASS variants.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Recovered the clonal TP53 p.Arg248Gln driver (VAF 98.6%); C&gt;T transitions (52%) consistent with SBS1/SBS5 ageing signatures. Tools: BWA-MEM, GATK4, SAMtools, SnpEff, Docker, Python.</w:t>
      </w:r>
    </w:p>
    <w:p>
      <w:pPr>
        <w:spacing w:before="80" w:after="20"/>
      </w:pPr>
      <w:r>
        <w:rPr>
          <w:b/>
          <w:bCs/>
          <w:color w:val="1A1A1A"/>
          <w:sz w:val="18"/>
          <w:szCs w:val="18"/>
        </w:rPr>
        <w:t xml:space="preserve">TCGA-BRCA RNA-seq — PAM50 Basal-like vs Luminal A</w:t>
      </w:r>
      <w:r>
        <w:rPr>
          <w:color w:val="555555"/>
          <w:sz w:val="18"/>
          <w:szCs w:val="18"/>
        </w:rPr>
        <w:t xml:space="preserve"> | github.com/Ceefour18/tcga-brca-rnaseq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752 tumours via GDC/TCGAbiolinks; DESeq2 + apeglm identified 5,346 DEGs; GO/KEGG and GSEA enrichment; Kaplan–Meier and Cox survival modelling.</w:t>
      </w:r>
    </w:p>
    <w:p>
      <w:pPr>
        <w:spacing w:before="80" w:after="20"/>
      </w:pPr>
      <w:r>
        <w:rPr>
          <w:b/>
          <w:bCs/>
          <w:color w:val="1A1A1A"/>
          <w:sz w:val="18"/>
          <w:szCs w:val="18"/>
        </w:rPr>
        <w:t xml:space="preserve">scRNA-seq Breast Cancer Tumour Microenvironment (GSE176078)</w:t>
      </w:r>
      <w:r>
        <w:rPr>
          <w:color w:val="555555"/>
          <w:sz w:val="18"/>
          <w:szCs w:val="18"/>
        </w:rPr>
        <w:t xml:space="preserve"> | github.com/Ceefour18/scRNA_BreastCA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Docker-containerised Seurat v5 pipeline (Harmony, scDblFinder, SingleR, sccomp, pseudobulk DESeq2) across 9 patients and 3 subtypes; fibroblasts elevated in TNBC (FDR 0.011); 9 T cell subclusters resolved.</w:t>
      </w:r>
    </w:p>
    <w:p>
      <w:pPr>
        <w:spacing w:before="80" w:after="20"/>
      </w:pPr>
      <w:r>
        <w:rPr>
          <w:b/>
          <w:bCs/>
          <w:color w:val="1A1A1A"/>
          <w:sz w:val="18"/>
          <w:szCs w:val="18"/>
        </w:rPr>
        <w:t xml:space="preserve">TP53 Cancer Genomics &amp; In Silico Protein Characterisation</w:t>
      </w:r>
      <w:r>
        <w:rPr>
          <w:color w:val="555555"/>
          <w:sz w:val="18"/>
          <w:szCs w:val="18"/>
        </w:rPr>
        <w:t xml:space="preserve"> | github.com/Ceefour18/tp53-cancer-genomics</w:t>
      </w:r>
    </w:p>
    <w:p>
      <w:pPr>
        <w:pStyle w:val="ListParagraph"/>
        <w:numPr>
          <w:ilvl w:val="0"/>
          <w:numId w:val="2"/>
        </w:numPr>
        <w:spacing w:after="20"/>
        <w:jc w:val="both"/>
      </w:pPr>
      <w:r>
        <w:rPr>
          <w:color w:val="1A1A1A"/>
          <w:sz w:val="18"/>
          <w:szCs w:val="18"/>
        </w:rPr>
        <w:t xml:space="preserve">Processed 2,319 ClinVar variants (335 pathogenic); modelled five TP53 hotspot mutations with BLAST (99.46% identity) and functional domain annotation; MEGA phylogenetic analysis. Tools: Python, Biopython, R.</w:t>
      </w:r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Selected Publications (7 Peer-Reviewed)</w:t>
      </w:r>
    </w:p>
    <w:p>
      <w:pPr>
        <w:spacing w:after="20"/>
      </w:pPr>
      <w:r>
        <w:rPr>
          <w:color w:val="1A1A1A"/>
          <w:sz w:val="17"/>
          <w:szCs w:val="17"/>
        </w:rPr>
        <w:t xml:space="preserve">• Association between Social Support and Glycemic Control among Older Type 2 Diabetes Patients. Nigerian Journal of Clinical Medicine (2024)</w:t>
      </w:r>
    </w:p>
    <w:p>
      <w:pPr>
        <w:spacing w:after="20"/>
      </w:pPr>
      <w:r>
        <w:rPr>
          <w:color w:val="1A1A1A"/>
          <w:sz w:val="17"/>
          <w:szCs w:val="17"/>
        </w:rPr>
        <w:t xml:space="preserve">• Physicians' Knowledge and Barriers in Sepsis Diagnosis and Management. Journal of Clinical Sciences (2023)</w:t>
      </w:r>
    </w:p>
    <w:p>
      <w:pPr>
        <w:spacing w:after="20"/>
      </w:pPr>
      <w:r>
        <w:rPr>
          <w:color w:val="1A1A1A"/>
          <w:sz w:val="17"/>
          <w:szCs w:val="17"/>
        </w:rPr>
        <w:t xml:space="preserve">• Prevalence and Determinants of Peripheral Arterial Disease in Children with Nephrotic Syndrome. PLOS ONE (2022)</w:t>
      </w:r>
    </w:p>
    <w:p>
      <w:pPr>
        <w:spacing w:after="20"/>
      </w:pPr>
      <w:r>
        <w:rPr>
          <w:i/>
          <w:iCs/>
          <w:color w:val="555555"/>
          <w:sz w:val="17"/>
          <w:szCs w:val="17"/>
        </w:rPr>
        <w:t xml:space="preserve">  Full publication list: github.com/Ceefour18/Peer-reviewed-Publication</w:t>
      </w:r>
    </w:p>
    <w:p>
      <w:pPr>
        <w:pBdr>
          <w:bottom w:val="single" w:sz="6" w:space="2" w:color="2E75B6"/>
        </w:pBdr>
        <w:spacing w:before="100" w:after="40"/>
      </w:pPr>
      <w:r>
        <w:rPr>
          <w:b/>
          <w:bCs/>
          <w:caps/>
          <w:color w:val="1F4E79"/>
        </w:rPr>
        <w:t>Key Certifications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Use nf-core (Nextflow) — Seqera, Nextflow Training Week 2026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FAS x CHIP Lecture Series 2026: AI in Medicine — Future African Scientist x Boston Children's Hospital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GWAS (Genome-Wide Association Studies) — ISGlobal, Barcelona Institute for Global Health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Biomedical Data Science — ISGlobal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Research Data Management — H3Africa Consortium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Reproducible Research — World Bank DIME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AWS Cloud Practitioner Essentials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IBM AI Foundations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Generative AI — Sail Innovation Lab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Nigerian National Code for Health Research Ethics — CITI Program (2026)</w:t>
      </w:r>
    </w:p>
    <w:p>
      <w:pPr>
        <w:spacing w:after="20"/>
      </w:pPr>
      <w:r>
        <w:rPr>
          <w:color w:val="1A1A1A"/>
          <w:sz w:val="18"/>
          <w:szCs w:val="18"/>
        </w:rPr>
        <w:t xml:space="preserve">• TCPS 2: CORE 2022, Research Ethics — Panel on Research Ethics, Canada (2026)</w:t>
      </w:r>
    </w:p>
    <w:sectPr w:rsidR="00D21786">
      <w:pgSz w:w="11906" w:h="16838"/>
      <w:pgMar w:top="600" w:right="900" w:bottom="6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D890" w14:textId="77777777" w:rsidR="0006342F" w:rsidRDefault="0006342F" w:rsidP="00011A1A">
      <w:r>
        <w:separator/>
      </w:r>
    </w:p>
  </w:endnote>
  <w:endnote w:type="continuationSeparator" w:id="0">
    <w:p w14:paraId="3167C4D5" w14:textId="77777777" w:rsidR="0006342F" w:rsidRDefault="0006342F" w:rsidP="00011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376F3" w14:textId="77777777" w:rsidR="0006342F" w:rsidRDefault="0006342F" w:rsidP="00011A1A">
      <w:r>
        <w:separator/>
      </w:r>
    </w:p>
  </w:footnote>
  <w:footnote w:type="continuationSeparator" w:id="0">
    <w:p w14:paraId="280DE7AC" w14:textId="77777777" w:rsidR="0006342F" w:rsidRDefault="0006342F" w:rsidP="00011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CDB"/>
    <w:multiLevelType w:val="hybridMultilevel"/>
    <w:tmpl w:val="868E90BC"/>
    <w:lvl w:ilvl="0" w:tplc="17383476">
      <w:start w:val="1"/>
      <w:numFmt w:val="bullet"/>
      <w:lvlText w:val="•"/>
      <w:lvlJc w:val="left"/>
      <w:pPr>
        <w:ind w:left="540" w:hanging="260"/>
      </w:pPr>
    </w:lvl>
    <w:lvl w:ilvl="1" w:tplc="E3DE5B94">
      <w:numFmt w:val="decimal"/>
      <w:lvlText w:val=""/>
      <w:lvlJc w:val="left"/>
    </w:lvl>
    <w:lvl w:ilvl="2" w:tplc="99A0314A">
      <w:numFmt w:val="decimal"/>
      <w:lvlText w:val=""/>
      <w:lvlJc w:val="left"/>
    </w:lvl>
    <w:lvl w:ilvl="3" w:tplc="682A96FC">
      <w:numFmt w:val="decimal"/>
      <w:lvlText w:val=""/>
      <w:lvlJc w:val="left"/>
    </w:lvl>
    <w:lvl w:ilvl="4" w:tplc="CA9C4FA0">
      <w:numFmt w:val="decimal"/>
      <w:lvlText w:val=""/>
      <w:lvlJc w:val="left"/>
    </w:lvl>
    <w:lvl w:ilvl="5" w:tplc="FB5E05B4">
      <w:numFmt w:val="decimal"/>
      <w:lvlText w:val=""/>
      <w:lvlJc w:val="left"/>
    </w:lvl>
    <w:lvl w:ilvl="6" w:tplc="4748E2C2">
      <w:numFmt w:val="decimal"/>
      <w:lvlText w:val=""/>
      <w:lvlJc w:val="left"/>
    </w:lvl>
    <w:lvl w:ilvl="7" w:tplc="C96AA196">
      <w:numFmt w:val="decimal"/>
      <w:lvlText w:val=""/>
      <w:lvlJc w:val="left"/>
    </w:lvl>
    <w:lvl w:ilvl="8" w:tplc="8CEA8170">
      <w:numFmt w:val="decimal"/>
      <w:lvlText w:val=""/>
      <w:lvlJc w:val="left"/>
    </w:lvl>
  </w:abstractNum>
  <w:abstractNum w:abstractNumId="1" w15:restartNumberingAfterBreak="0">
    <w:nsid w:val="43FD051A"/>
    <w:multiLevelType w:val="hybridMultilevel"/>
    <w:tmpl w:val="D0AE2820"/>
    <w:lvl w:ilvl="0" w:tplc="D414AA7A">
      <w:start w:val="1"/>
      <w:numFmt w:val="bullet"/>
      <w:lvlText w:val="●"/>
      <w:lvlJc w:val="left"/>
      <w:pPr>
        <w:ind w:left="720" w:hanging="360"/>
      </w:pPr>
    </w:lvl>
    <w:lvl w:ilvl="1" w:tplc="A1EA3DAA">
      <w:start w:val="1"/>
      <w:numFmt w:val="bullet"/>
      <w:lvlText w:val="○"/>
      <w:lvlJc w:val="left"/>
      <w:pPr>
        <w:ind w:left="1440" w:hanging="360"/>
      </w:pPr>
    </w:lvl>
    <w:lvl w:ilvl="2" w:tplc="FA10B912">
      <w:start w:val="1"/>
      <w:numFmt w:val="bullet"/>
      <w:lvlText w:val="■"/>
      <w:lvlJc w:val="left"/>
      <w:pPr>
        <w:ind w:left="2160" w:hanging="360"/>
      </w:pPr>
    </w:lvl>
    <w:lvl w:ilvl="3" w:tplc="8C447694">
      <w:start w:val="1"/>
      <w:numFmt w:val="bullet"/>
      <w:lvlText w:val="●"/>
      <w:lvlJc w:val="left"/>
      <w:pPr>
        <w:ind w:left="2880" w:hanging="360"/>
      </w:pPr>
    </w:lvl>
    <w:lvl w:ilvl="4" w:tplc="836A0368">
      <w:start w:val="1"/>
      <w:numFmt w:val="bullet"/>
      <w:lvlText w:val="○"/>
      <w:lvlJc w:val="left"/>
      <w:pPr>
        <w:ind w:left="3600" w:hanging="360"/>
      </w:pPr>
    </w:lvl>
    <w:lvl w:ilvl="5" w:tplc="262A9820">
      <w:start w:val="1"/>
      <w:numFmt w:val="bullet"/>
      <w:lvlText w:val="■"/>
      <w:lvlJc w:val="left"/>
      <w:pPr>
        <w:ind w:left="4320" w:hanging="360"/>
      </w:pPr>
    </w:lvl>
    <w:lvl w:ilvl="6" w:tplc="6FC0AA4C">
      <w:start w:val="1"/>
      <w:numFmt w:val="bullet"/>
      <w:lvlText w:val="●"/>
      <w:lvlJc w:val="left"/>
      <w:pPr>
        <w:ind w:left="5040" w:hanging="360"/>
      </w:pPr>
    </w:lvl>
    <w:lvl w:ilvl="7" w:tplc="8F58B34A">
      <w:start w:val="1"/>
      <w:numFmt w:val="bullet"/>
      <w:lvlText w:val="●"/>
      <w:lvlJc w:val="left"/>
      <w:pPr>
        <w:ind w:left="5760" w:hanging="360"/>
      </w:pPr>
    </w:lvl>
    <w:lvl w:ilvl="8" w:tplc="CF2098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462FFA"/>
    <w:multiLevelType w:val="hybridMultilevel"/>
    <w:tmpl w:val="B25E30A0"/>
    <w:lvl w:ilvl="0" w:tplc="F8160D1E">
      <w:start w:val="1"/>
      <w:numFmt w:val="bullet"/>
      <w:lvlText w:val="–"/>
      <w:lvlJc w:val="left"/>
      <w:pPr>
        <w:ind w:left="360" w:hanging="360"/>
      </w:pPr>
    </w:lvl>
    <w:lvl w:ilvl="1" w:tplc="9C90C218">
      <w:numFmt w:val="decimal"/>
      <w:lvlText w:val=""/>
      <w:lvlJc w:val="left"/>
    </w:lvl>
    <w:lvl w:ilvl="2" w:tplc="CD665B06">
      <w:numFmt w:val="decimal"/>
      <w:lvlText w:val=""/>
      <w:lvlJc w:val="left"/>
    </w:lvl>
    <w:lvl w:ilvl="3" w:tplc="64AEE82C">
      <w:numFmt w:val="decimal"/>
      <w:lvlText w:val=""/>
      <w:lvlJc w:val="left"/>
    </w:lvl>
    <w:lvl w:ilvl="4" w:tplc="7924CB6E">
      <w:numFmt w:val="decimal"/>
      <w:lvlText w:val=""/>
      <w:lvlJc w:val="left"/>
    </w:lvl>
    <w:lvl w:ilvl="5" w:tplc="DB5AC9D4">
      <w:numFmt w:val="decimal"/>
      <w:lvlText w:val=""/>
      <w:lvlJc w:val="left"/>
    </w:lvl>
    <w:lvl w:ilvl="6" w:tplc="74101DD8">
      <w:numFmt w:val="decimal"/>
      <w:lvlText w:val=""/>
      <w:lvlJc w:val="left"/>
    </w:lvl>
    <w:lvl w:ilvl="7" w:tplc="575CEAC6">
      <w:numFmt w:val="decimal"/>
      <w:lvlText w:val=""/>
      <w:lvlJc w:val="left"/>
    </w:lvl>
    <w:lvl w:ilvl="8" w:tplc="39F83268">
      <w:numFmt w:val="decimal"/>
      <w:lvlText w:val=""/>
      <w:lvlJc w:val="left"/>
    </w:lvl>
  </w:abstractNum>
  <w:num w:numId="1" w16cid:durableId="308368769">
    <w:abstractNumId w:val="1"/>
    <w:lvlOverride w:ilvl="0">
      <w:startOverride w:val="1"/>
    </w:lvlOverride>
  </w:num>
  <w:num w:numId="2" w16cid:durableId="902106927">
    <w:abstractNumId w:val="2"/>
    <w:lvlOverride w:ilvl="0">
      <w:startOverride w:val="1"/>
    </w:lvlOverride>
  </w:num>
  <w:num w:numId="3" w16cid:durableId="859125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86"/>
    <w:rsid w:val="00011A1A"/>
    <w:rsid w:val="00022FE3"/>
    <w:rsid w:val="0006342F"/>
    <w:rsid w:val="000A6D5B"/>
    <w:rsid w:val="00137EF6"/>
    <w:rsid w:val="0014564D"/>
    <w:rsid w:val="00207B0E"/>
    <w:rsid w:val="00312FD2"/>
    <w:rsid w:val="006722E1"/>
    <w:rsid w:val="006D68E7"/>
    <w:rsid w:val="00804A9A"/>
    <w:rsid w:val="008A601A"/>
    <w:rsid w:val="009D750B"/>
    <w:rsid w:val="00A07794"/>
    <w:rsid w:val="00BF43E6"/>
    <w:rsid w:val="00D21786"/>
    <w:rsid w:val="00D9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83EBB"/>
  <w15:docId w15:val="{DFB7E8BD-9E75-4876-8752-7C73F600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E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EF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11A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1A"/>
  </w:style>
  <w:style w:type="paragraph" w:styleId="Footer">
    <w:name w:val="footer"/>
    <w:basedOn w:val="Normal"/>
    <w:link w:val="FooterChar"/>
    <w:uiPriority w:val="99"/>
    <w:unhideWhenUsed/>
    <w:rsid w:val="00011A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lement-akinsol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eefour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eefour18.github.io/Ceefourmeweb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Clement Akinsola</cp:lastModifiedBy>
  <cp:revision>4</cp:revision>
  <cp:lastPrinted>2026-09-22T02:03:00Z</cp:lastPrinted>
  <dcterms:created xsi:type="dcterms:W3CDTF">2026-07-01T04:06:00Z</dcterms:created>
  <dcterms:modified xsi:type="dcterms:W3CDTF">2026-10-07T08:38:00Z</dcterms:modified>
</cp:coreProperties>
</file>