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keepNext/>
        <w:spacing w:after="120"/>
        <w:jc w:val="left"/>
        <w:rPr>
          <w:rFonts w:hint="default" w:asciiTheme="minorAscii" w:hAnsiTheme="minorAscii"/>
          <w:b/>
          <w:bCs/>
          <w:sz w:val="36"/>
          <w:szCs w:val="36"/>
          <w:lang w:val="en-US" w:eastAsia="zh-CN"/>
        </w:rPr>
      </w:pPr>
      <w:r>
        <w:rPr>
          <w:rFonts w:hint="default" w:asciiTheme="minorAscii" w:hAnsiTheme="minorAscii"/>
          <w:b/>
          <w:bCs/>
          <w:sz w:val="36"/>
          <w:szCs w:val="36"/>
          <w:lang w:val="en-US" w:eastAsia="zh-CN"/>
        </w:rPr>
        <w:t>ETF Rotation Strategy</w:t>
      </w:r>
    </w:p>
    <w:p>
      <w:pPr>
        <w:spacing w:after="120"/>
        <w:jc w:val="left"/>
        <w:rPr>
          <w:rFonts w:hint="default"/>
          <w:lang w:val="en-US" w:eastAsia="zh-CN"/>
        </w:rPr>
      </w:pPr>
    </w:p>
    <w:p>
      <w:pPr>
        <w:keepNext/>
        <w:spacing w:after="120"/>
        <w:jc w:val="left"/>
        <w:rPr>
          <w:rFonts w:hint="eastAsia"/>
          <w:b/>
          <w:bCs/>
          <w:color w:val="0000FF"/>
          <w:sz w:val="24"/>
          <w:szCs w:val="24"/>
          <w:lang w:val="en-US" w:eastAsia="zh-CN"/>
        </w:rPr>
      </w:pPr>
      <w:r>
        <w:rPr>
          <w:rFonts w:hint="eastAsia"/>
          <w:b/>
          <w:bCs/>
          <w:color w:val="0000FF"/>
          <w:sz w:val="24"/>
          <w:szCs w:val="24"/>
          <w:lang w:val="en-US" w:eastAsia="zh-CN"/>
        </w:rPr>
        <w:t>Rotation universe</w:t>
      </w:r>
    </w:p>
    <w:p>
      <w:pPr>
        <w:spacing w:after="120"/>
        <w:jc w:val="left"/>
        <w:rPr>
          <w:rFonts w:hint="eastAsia"/>
          <w:lang w:val="en-US" w:eastAsia="zh-CN"/>
        </w:rPr>
      </w:pPr>
      <w:r>
        <w:rPr>
          <w:rFonts w:hint="eastAsia"/>
          <w:lang w:val="en-US" w:eastAsia="zh-CN"/>
        </w:rPr>
        <w:t>Dividend ETF (510880.SH)</w:t>
      </w:r>
    </w:p>
    <w:p>
      <w:pPr>
        <w:spacing w:after="120"/>
        <w:jc w:val="left"/>
        <w:rPr>
          <w:rFonts w:hint="eastAsia"/>
          <w:lang w:val="en-US" w:eastAsia="zh-CN"/>
        </w:rPr>
      </w:pPr>
      <w:r>
        <w:rPr>
          <w:rFonts w:hint="eastAsia"/>
          <w:lang w:val="en-US" w:eastAsia="zh-CN"/>
        </w:rPr>
        <w:t>ChiNext ETF (519915.SH)</w:t>
      </w:r>
      <w:r>
        <w:rPr>
          <w:rFonts w:hint="default"/>
          <w:lang w:val="en-US" w:eastAsia="zh-CN"/>
        </w:rPr>
        <w:t/>
      </w:r>
      <w:r>
        <w:rPr>
          <w:rFonts w:hint="eastAsia"/>
          <w:lang w:val="en-US" w:eastAsia="zh-CN"/>
        </w:rPr>
        <w:t/>
      </w:r>
    </w:p>
    <w:p>
      <w:pPr>
        <w:spacing w:after="120"/>
        <w:jc w:val="left"/>
        <w:rPr>
          <w:rFonts w:hint="eastAsia"/>
          <w:lang w:val="en-US" w:eastAsia="zh-CN"/>
        </w:rPr>
      </w:pPr>
      <w:r>
        <w:rPr>
          <w:rFonts w:hint="eastAsia"/>
          <w:lang w:val="en-US" w:eastAsia="zh-CN"/>
        </w:rPr>
        <w:t>CSI 300 ETF (510300.SH)</w:t>
      </w:r>
      <w:r>
        <w:rPr>
          <w:rFonts w:hint="default"/>
          <w:lang w:val="en-US" w:eastAsia="zh-CN"/>
        </w:rPr>
        <w:t/>
      </w:r>
      <w:r>
        <w:rPr>
          <w:rFonts w:hint="eastAsia"/>
          <w:lang w:val="en-US" w:eastAsia="zh-CN"/>
        </w:rPr>
        <w:t/>
      </w:r>
    </w:p>
    <w:p>
      <w:pPr>
        <w:spacing w:after="120"/>
        <w:jc w:val="left"/>
        <w:rPr>
          <w:rFonts w:hint="eastAsia"/>
          <w:lang w:val="en-US" w:eastAsia="zh-CN"/>
        </w:rPr>
      </w:pPr>
      <w:r>
        <w:rPr>
          <w:rFonts w:hint="eastAsia"/>
          <w:lang w:val="en-US" w:eastAsia="zh-CN"/>
        </w:rPr>
        <w:t>Gold ETF (518880.SH)</w:t>
      </w:r>
    </w:p>
    <w:p>
      <w:pPr>
        <w:spacing w:after="120"/>
        <w:jc w:val="left"/>
        <w:rPr>
          <w:rFonts w:hint="eastAsia"/>
          <w:lang w:val="en-US" w:eastAsia="zh-CN"/>
        </w:rPr>
      </w:pPr>
    </w:p>
    <w:p>
      <w:pPr>
        <w:keepNext/>
        <w:spacing w:after="120"/>
        <w:jc w:val="left"/>
        <w:rPr>
          <w:rFonts w:hint="eastAsia"/>
          <w:b/>
          <w:bCs/>
          <w:color w:val="0000FF"/>
          <w:sz w:val="24"/>
          <w:szCs w:val="24"/>
          <w:lang w:val="en-US" w:eastAsia="zh-CN"/>
        </w:rPr>
      </w:pPr>
      <w:r>
        <w:rPr>
          <w:rFonts w:hint="eastAsia"/>
          <w:b/>
          <w:bCs/>
          <w:color w:val="0000FF"/>
          <w:sz w:val="24"/>
          <w:szCs w:val="24"/>
          <w:lang w:val="en-US" w:eastAsia="zh-CN"/>
        </w:rPr>
        <w:t>Scoring factors</w:t>
      </w:r>
    </w:p>
    <w:p>
      <w:pPr>
        <w:spacing w:after="120"/>
        <w:jc w:val="left"/>
        <w:rPr>
          <w:rFonts w:hint="eastAsia"/>
          <w:lang w:eastAsia="zh-CN"/>
        </w:rPr>
      </w:pPr>
      <w:r>
        <w:rPr>
          <w:rFonts w:hint="eastAsia"/>
          <w:b/>
          <w:bCs/>
        </w:rPr>
        <w:t>trend_score</w:t>
      </w:r>
      <w:r>
        <w:rPr>
          <w:rFonts w:hint="eastAsia"/>
          <w:lang w:eastAsia="zh-CN"/>
        </w:rPr>
        <w:t>：</w:t>
      </w:r>
    </w:p>
    <w:p>
      <w:pPr>
        <w:spacing w:after="120"/>
        <w:jc w:val="left"/>
        <w:rPr>
          <w:rFonts w:hint="eastAsia"/>
          <w:lang w:val="en-US" w:eastAsia="zh-CN"/>
        </w:rPr>
      </w:pPr>
      <w:r>
        <w:rPr>
          <w:rFonts w:hint="eastAsia"/>
          <w:lang w:val="en-US" w:eastAsia="zh-CN"/>
        </w:rPr>
        <w:t>trend_score = (e^(252 * slope) - 1) * R^2, where slope is the fitted linear regression slope of closing prices over multiple days.</w:t>
      </w:r>
      <w:r>
        <w:rPr>
          <w:rFonts w:hint="default"/>
          <w:lang w:val="en-US" w:eastAsia="zh-CN"/>
        </w:rPr>
        <w:t xml:space="preserve"/>
      </w:r>
      <w:r>
        <w:rPr>
          <w:rFonts w:hint="eastAsia"/>
          <w:lang w:val="en-US" w:eastAsia="zh-CN"/>
        </w:rPr>
        <w:t/>
      </w:r>
      <w:r>
        <w:rPr>
          <w:rFonts w:hint="default"/>
          <w:vertAlign w:val="superscript"/>
          <w:lang w:val="en-US" w:eastAsia="zh-CN"/>
        </w:rPr>
        <w:t/>
      </w:r>
      <w:r>
        <w:rPr>
          <w:rFonts w:hint="eastAsia"/>
          <w:vertAlign w:val="superscript"/>
          <w:lang w:val="en-US" w:eastAsia="zh-CN"/>
        </w:rPr>
        <w:t/>
      </w:r>
      <w:r>
        <w:rPr>
          <w:rFonts w:hint="default"/>
          <w:vertAlign w:val="superscript"/>
          <w:lang w:val="en-US" w:eastAsia="zh-CN"/>
        </w:rPr>
        <w:t/>
      </w:r>
      <w:r>
        <w:rPr>
          <w:rFonts w:hint="eastAsia"/>
          <w:lang w:val="en-US" w:eastAsia="zh-CN"/>
        </w:rPr>
        <w:t/>
      </w:r>
      <w:r>
        <w:rPr>
          <w:rFonts w:hint="default"/>
          <w:lang w:val="en-US" w:eastAsia="zh-CN"/>
        </w:rPr>
        <w:t xml:space="preserve"/>
      </w:r>
      <w:r>
        <w:rPr>
          <w:rFonts w:hint="eastAsia"/>
          <w:lang w:val="en-US" w:eastAsia="zh-CN"/>
        </w:rPr>
        <w:t/>
      </w:r>
      <w:r>
        <w:rPr>
          <w:rFonts w:hint="default"/>
          <w:lang w:val="en-US" w:eastAsia="zh-CN"/>
        </w:rPr>
        <w:t/>
      </w:r>
      <w:r>
        <w:rPr>
          <w:rFonts w:hint="eastAsia"/>
          <w:lang w:val="en-US" w:eastAsia="zh-CN"/>
        </w:rPr>
        <w:t/>
      </w:r>
    </w:p>
    <w:p>
      <w:pPr>
        <w:spacing w:after="120"/>
        <w:jc w:val="left"/>
        <w:rPr>
          <w:rFonts w:hint="default"/>
          <w:lang w:val="en-US" w:eastAsia="zh-CN"/>
        </w:rPr>
      </w:pPr>
      <w:r>
        <w:rPr>
          <w:rFonts w:hint="default"/>
          <w:lang w:val="en-US" w:eastAsia="zh-CN"/>
        </w:rPr>
        <w:t>slope: trend strength; R^2: trend stability.</w:t>
      </w:r>
      <w:r>
        <w:rPr>
          <w:rFonts w:hint="eastAsia"/>
          <w:lang w:val="en-US" w:eastAsia="zh-CN"/>
        </w:rPr>
        <w:t/>
      </w:r>
      <w:r>
        <w:rPr>
          <w:rFonts w:hint="default"/>
          <w:lang w:val="en-US" w:eastAsia="zh-CN"/>
        </w:rPr>
        <w:t/>
      </w:r>
    </w:p>
    <w:p>
      <w:pPr>
        <w:spacing w:after="120"/>
        <w:jc w:val="left"/>
        <w:rPr>
          <w:rFonts w:hint="default"/>
          <w:lang w:val="en-US" w:eastAsia="zh-CN"/>
        </w:rPr>
      </w:pPr>
    </w:p>
    <w:p>
      <w:pPr>
        <w:spacing w:after="120"/>
        <w:jc w:val="left"/>
        <w:rPr>
          <w:rFonts w:hint="eastAsia"/>
          <w:lang w:eastAsia="zh-CN"/>
        </w:rPr>
      </w:pPr>
      <w:r>
        <w:rPr>
          <w:rFonts w:hint="eastAsia"/>
          <w:b/>
          <w:bCs/>
        </w:rPr>
        <w:t>momentum_close (close price) and momentum_open (open price)</w:t>
      </w:r>
      <w:r>
        <w:rPr>
          <w:rFonts w:hint="eastAsia"/>
          <w:b/>
          <w:bCs/>
          <w:lang w:eastAsia="zh-CN"/>
        </w:rPr>
        <w:t/>
      </w:r>
      <w:r>
        <w:rPr>
          <w:rFonts w:hint="eastAsia"/>
          <w:b/>
          <w:bCs/>
          <w:lang w:val="en-US" w:eastAsia="zh-CN"/>
        </w:rPr>
        <w:t/>
      </w:r>
      <w:r>
        <w:rPr>
          <w:rFonts w:hint="eastAsia"/>
          <w:b/>
          <w:bCs/>
          <w:lang w:eastAsia="zh-CN"/>
        </w:rPr>
        <w:t/>
      </w:r>
      <w:r>
        <w:rPr>
          <w:rFonts w:hint="eastAsia"/>
          <w:b/>
          <w:bCs/>
        </w:rPr>
        <w:t/>
      </w:r>
      <w:r>
        <w:rPr>
          <w:rFonts w:hint="eastAsia"/>
          <w:b/>
          <w:bCs/>
          <w:lang w:eastAsia="zh-CN"/>
        </w:rPr>
        <w:t/>
      </w:r>
      <w:r>
        <w:rPr>
          <w:rFonts w:hint="eastAsia"/>
          <w:b/>
          <w:bCs/>
          <w:lang w:val="en-US" w:eastAsia="zh-CN"/>
        </w:rPr>
        <w:t/>
      </w:r>
      <w:r>
        <w:rPr>
          <w:rFonts w:hint="eastAsia"/>
          <w:lang w:eastAsia="zh-CN"/>
        </w:rPr>
        <w:t/>
      </w:r>
    </w:p>
    <w:p>
      <w:pPr>
        <w:keepNext/>
        <w:spacing w:after="120"/>
        <w:jc w:val="left"/>
        <w:rPr>
          <w:rFonts w:hint="default"/>
          <w:lang w:val="en-US" w:eastAsia="zh-CN"/>
        </w:rPr>
      </w:pPr>
      <w:r>
        <w:rPr>
          <w:rFonts w:hint="eastAsia"/>
          <w:lang w:val="en-US" w:eastAsia="zh-CN"/>
        </w:rPr>
        <w:t>Momentum factor:</w:t>
      </w:r>
      <w:r>
        <w:rPr>
          <w:rFonts w:hint="default"/>
          <w:lang w:val="en-US" w:eastAsia="zh-CN"/>
        </w:rPr>
        <w:t xml:space="preserve"/>
      </w:r>
    </w:p>
    <w:p>
      <w:pPr>
        <w:keepNext/>
        <w:spacing w:after="120"/>
        <w:jc w:val="left"/>
        <w:rPr>
          <w:rFonts w:hint="eastAsia"/>
          <w:lang w:val="en-US" w:eastAsia="zh-CN"/>
        </w:rPr>
      </w:pPr>
      <w:r>
        <w:rPr>
          <w:rFonts w:hint="eastAsia"/>
          <w:lang w:val="en-US" w:eastAsia="zh-CN"/>
        </w:rPr>
        <w:t>(P_t - P_(t-win_length)</w:t>
      </w:r>
      <w:r>
        <w:rPr>
          <w:rFonts w:hint="default"/>
          <w:lang w:val="en-US" w:eastAsia="zh-CN"/>
        </w:rPr>
        <w:t>)</w:t>
      </w:r>
      <w:r>
        <w:rPr>
          <w:rFonts w:hint="eastAsia"/>
          <w:lang w:val="en-US" w:eastAsia="zh-CN"/>
        </w:rPr>
        <w:t xml:space="preserve"> / win_length</w:t>
      </w:r>
    </w:p>
    <w:p>
      <w:pPr>
        <w:spacing w:after="120"/>
        <w:jc w:val="left"/>
        <w:rPr>
          <w:rFonts w:hint="eastAsia"/>
          <w:lang w:val="en-US" w:eastAsia="zh-CN"/>
        </w:rPr>
      </w:pPr>
    </w:p>
    <w:p>
      <w:pPr>
        <w:spacing w:after="120"/>
        <w:jc w:val="left"/>
        <w:rPr>
          <w:rFonts w:hint="eastAsia"/>
          <w:lang w:val="en-US" w:eastAsia="zh-CN"/>
        </w:rPr>
      </w:pPr>
      <w:r>
        <w:rPr>
          <w:rFonts w:hint="eastAsia"/>
          <w:b/>
          <w:bCs/>
          <w:lang w:val="en-US" w:eastAsia="zh-CN"/>
        </w:rPr>
        <w:t>trend_score_riskof</w:t>
      </w:r>
      <w:r>
        <w:rPr>
          <w:rFonts w:hint="eastAsia"/>
          <w:lang w:val="en-US" w:eastAsia="zh-CN"/>
        </w:rPr>
        <w:t>f：</w:t>
      </w:r>
    </w:p>
    <w:p>
      <w:pPr>
        <w:spacing w:after="120"/>
        <w:jc w:val="left"/>
        <w:rPr>
          <w:rFonts w:hint="eastAsia"/>
          <w:lang w:val="en-US" w:eastAsia="zh-CN"/>
        </w:rPr>
      </w:pPr>
      <w:r>
        <w:rPr>
          <w:rFonts w:hint="eastAsia"/>
          <w:lang w:val="en-US" w:eastAsia="zh-CN"/>
        </w:rPr>
        <w:t>Trend strength (trend_score) + volatility + stability of trading turnover</w:t>
      </w:r>
      <w:r>
        <w:rPr>
          <w:rFonts w:hint="default"/>
          <w:lang w:val="en-US" w:eastAsia="zh-CN"/>
        </w:rPr>
        <w:t/>
      </w:r>
      <w:r>
        <w:rPr>
          <w:rFonts w:hint="eastAsia"/>
        </w:rPr>
        <w:t/>
      </w:r>
      <w:r>
        <w:rPr>
          <w:rFonts w:hint="default"/>
          <w:lang w:val="en-US"/>
        </w:rPr>
        <w:t/>
      </w:r>
      <w:r>
        <w:rPr>
          <w:rFonts w:hint="eastAsia"/>
          <w:lang w:val="en-US" w:eastAsia="zh-CN"/>
        </w:rPr>
        <w:t xml:space="preserve"/>
      </w:r>
    </w:p>
    <w:p>
      <w:pPr>
        <w:spacing w:after="120"/>
        <w:jc w:val="left"/>
        <w:rPr>
          <w:rFonts w:hint="eastAsia"/>
          <w:lang w:val="en-US" w:eastAsia="zh-CN"/>
        </w:rPr>
      </w:pPr>
    </w:p>
    <w:p>
      <w:pPr>
        <w:keepNext/>
        <w:spacing w:after="120"/>
        <w:jc w:val="left"/>
        <w:rPr>
          <w:rFonts w:hint="eastAsia"/>
          <w:lang w:val="en-US" w:eastAsia="zh-CN"/>
        </w:rPr>
      </w:pPr>
      <w:r>
        <w:rPr>
          <w:rFonts w:hint="default"/>
          <w:b/>
          <w:bCs/>
          <w:lang w:val="en-US" w:eastAsia="zh-CN"/>
        </w:rPr>
        <w:t>sharpe_momentum</w:t>
      </w:r>
      <w:r>
        <w:rPr>
          <w:rFonts w:hint="eastAsia"/>
          <w:lang w:val="en-US" w:eastAsia="zh-CN"/>
        </w:rPr>
        <w:t>：</w:t>
      </w:r>
    </w:p>
    <w:p>
      <w:pPr>
        <w:keepNext/>
        <w:spacing w:after="120"/>
        <w:jc w:val="left"/>
        <w:rPr>
          <w:rFonts w:hint="default"/>
          <w:lang w:val="en-US" w:eastAsia="zh-CN"/>
        </w:rPr>
      </w:pPr>
      <w:r>
        <w:rPr>
          <w:rFonts w:hint="eastAsia"/>
          <w:lang w:val="en-US" w:eastAsia="zh-CN"/>
        </w:rPr>
        <w:t>Momentum + volatility</w:t>
      </w:r>
    </w:p>
    <w:p>
      <w:pPr>
        <w:spacing w:after="120"/>
        <w:jc w:val="left"/>
        <w:rPr>
          <w:rFonts w:hint="eastAsia" w:eastAsiaTheme="minorEastAsia"/>
          <w:lang w:val="en-US" w:eastAsia="zh-CN"/>
        </w:rPr>
      </w:pPr>
    </w:p>
    <w:p>
      <w:pPr>
        <w:keepNext/>
        <w:spacing w:after="120"/>
        <w:jc w:val="left"/>
        <w:rPr>
          <w:rFonts w:hint="eastAsia"/>
          <w:b/>
          <w:bCs/>
          <w:sz w:val="24"/>
          <w:szCs w:val="24"/>
          <w:lang w:val="en-US" w:eastAsia="zh-CN"/>
        </w:rPr>
      </w:pPr>
      <w:r>
        <w:rPr>
          <w:rFonts w:hint="eastAsia"/>
          <w:b/>
          <w:bCs/>
          <w:sz w:val="24"/>
          <w:szCs w:val="24"/>
          <w:lang w:val="en-US" w:eastAsia="zh-CN"/>
        </w:rPr>
        <w:t>Trading logic</w:t>
      </w:r>
    </w:p>
    <w:p>
      <w:pPr>
        <w:numPr>
          <w:ilvl w:val="0"/>
          <w:numId w:val="1"/>
        </w:numPr>
        <w:spacing w:after="120"/>
        <w:jc w:val="left"/>
        <w:rPr>
          <w:rFonts w:hint="eastAsia"/>
          <w:lang w:val="en-US" w:eastAsia="zh-CN"/>
        </w:rPr>
      </w:pPr>
      <w:r>
        <w:rPr>
          <w:rFonts w:hint="eastAsia"/>
          <w:lang w:val="en-US" w:eastAsia="zh-CN"/>
        </w:rPr>
        <w:t>After each daily close, score the ETFs using end-of-day price and volume data. Generate a signal to allocate fully to the highest-scoring ETF.</w:t>
      </w:r>
    </w:p>
    <w:p>
      <w:pPr>
        <w:numPr>
          <w:ilvl w:val="0"/>
          <w:numId w:val="1"/>
        </w:numPr>
        <w:spacing w:after="120"/>
        <w:jc w:val="left"/>
        <w:rPr>
          <w:rFonts w:hint="eastAsia"/>
          <w:lang w:val="en-US" w:eastAsia="zh-CN"/>
        </w:rPr>
      </w:pPr>
      <w:r>
        <w:rPr>
          <w:rFonts w:hint="eastAsia"/>
          <w:lang w:val="en-US" w:eastAsia="zh-CN"/>
        </w:rPr>
        <w:t>At the next day's open, execute using the opening price and the signal stored the previous day.</w:t>
      </w:r>
    </w:p>
    <w:p>
      <w:pPr>
        <w:numPr>
          <w:ilvl w:val="0"/>
          <w:numId w:val="1"/>
        </w:numPr>
        <w:spacing w:after="120"/>
        <w:jc w:val="left"/>
        <w:rPr>
          <w:rFonts w:hint="eastAsia"/>
          <w:lang w:val="en-US" w:eastAsia="zh-CN"/>
        </w:rPr>
      </w:pPr>
      <w:r>
        <w:rPr>
          <w:rFonts w:hint="eastAsia"/>
          <w:lang w:val="en-US" w:eastAsia="zh-CN"/>
        </w:rPr>
        <w:t>Mark the position's net asset value to market at the daily closing price.</w:t>
      </w:r>
    </w:p>
    <w:p>
      <w:pPr>
        <w:widowControl w:val="0"/>
        <w:numPr>
          <w:ilvl w:val="0"/>
          <w:numId w:val="0"/>
        </w:numPr>
        <w:spacing w:after="120"/>
        <w:jc w:val="left"/>
        <w:rPr>
          <w:rFonts w:hint="eastAsia"/>
          <w:lang w:val="en-US" w:eastAsia="zh-CN"/>
        </w:rPr>
      </w:pPr>
    </w:p>
    <w:p>
      <w:pPr>
        <w:keepNext/>
        <w:widowControl w:val="0"/>
        <w:numPr>
          <w:ilvl w:val="0"/>
          <w:numId w:val="0"/>
        </w:numPr>
        <w:spacing w:after="120"/>
        <w:jc w:val="left"/>
        <w:rPr>
          <w:rFonts w:hint="eastAsia"/>
          <w:b/>
          <w:bCs/>
          <w:sz w:val="24"/>
          <w:szCs w:val="24"/>
          <w:lang w:val="en-US" w:eastAsia="zh-CN"/>
        </w:rPr>
      </w:pPr>
      <w:r>
        <w:rPr>
          <w:rFonts w:hint="eastAsia"/>
          <w:b/>
          <w:bCs/>
          <w:sz w:val="24"/>
          <w:szCs w:val="24"/>
          <w:lang w:val="en-US" w:eastAsia="zh-CN"/>
        </w:rPr>
        <w:t>Parameter settings</w:t>
      </w:r>
    </w:p>
    <w:p>
      <w:pPr>
        <w:widowControl w:val="0"/>
        <w:numPr>
          <w:ilvl w:val="0"/>
          <w:numId w:val="0"/>
        </w:numPr>
        <w:spacing w:after="120"/>
        <w:jc w:val="left"/>
        <w:rPr>
          <w:rFonts w:hint="eastAsia"/>
          <w:lang w:val="en-US" w:eastAsia="zh-CN"/>
        </w:rPr>
      </w:pPr>
      <w:r>
        <w:rPr>
          <w:rFonts w:hint="eastAsia"/>
          <w:lang w:val="en-US" w:eastAsia="zh-CN"/>
        </w:rPr>
        <w:t>ETF trading commission: 0.005%</w:t>
      </w:r>
    </w:p>
    <w:p>
      <w:pPr>
        <w:widowControl w:val="0"/>
        <w:numPr>
          <w:ilvl w:val="0"/>
          <w:numId w:val="0"/>
        </w:numPr>
        <w:spacing w:after="120"/>
        <w:jc w:val="left"/>
        <w:rPr>
          <w:rFonts w:hint="eastAsia"/>
          <w:lang w:val="en-US" w:eastAsia="zh-CN"/>
        </w:rPr>
      </w:pPr>
      <w:r>
        <w:rPr>
          <w:rFonts w:hint="eastAsia"/>
          <w:lang w:val="en-US" w:eastAsia="zh-CN"/>
        </w:rPr>
        <w:t>Slippage: 0.5%</w:t>
      </w:r>
    </w:p>
    <w:p>
      <w:pPr>
        <w:widowControl w:val="0"/>
        <w:numPr>
          <w:ilvl w:val="0"/>
          <w:numId w:val="0"/>
        </w:numPr>
        <w:spacing w:after="120"/>
        <w:jc w:val="left"/>
        <w:rPr>
          <w:rFonts w:hint="default"/>
          <w:lang w:val="en-US" w:eastAsia="zh-CN"/>
        </w:rPr>
      </w:pPr>
      <w:r>
        <w:rPr>
          <w:rFonts w:hint="eastAsia"/>
          <w:lang w:val="en-US" w:eastAsia="zh-CN"/>
        </w:rPr>
        <w:t>Initial capital: CNY 1,000,000</w:t>
      </w:r>
      <w:r>
        <w:rPr>
          <w:rFonts w:hint="default"/>
          <w:lang w:val="en-US" w:eastAsia="zh-CN"/>
        </w:rPr>
        <w:t/>
      </w:r>
      <w:r>
        <w:rPr>
          <w:rFonts w:hint="eastAsia"/>
          <w:lang w:val="en-US" w:eastAsia="zh-CN"/>
        </w:rPr>
        <w:t/>
      </w:r>
      <w:r>
        <w:rPr>
          <w:rFonts w:hint="default"/>
          <w:lang w:val="en-US" w:eastAsia="zh-CN"/>
        </w:rPr>
        <w:t/>
      </w:r>
      <w:r>
        <w:rPr>
          <w:rFonts w:hint="eastAsia"/>
          <w:lang w:val="en-US" w:eastAsia="zh-CN"/>
        </w:rPr>
        <w:t/>
      </w:r>
      <w:r>
        <w:rPr>
          <w:rFonts w:hint="default"/>
          <w:lang w:val="en-US" w:eastAsia="zh-CN"/>
        </w:rPr>
        <w:t/>
      </w:r>
      <w:r>
        <w:rPr>
          <w:rFonts w:hint="eastAsia"/>
          <w:lang w:val="en-US" w:eastAsia="zh-CN"/>
        </w:rPr>
        <w:t/>
      </w:r>
    </w:p>
    <w:p>
      <w:pPr>
        <w:spacing w:after="120"/>
        <w:jc w:val="left"/>
        <w:rPr>
          <w:rFonts w:hint="default"/>
          <w:lang w:val="en-US" w:eastAsia="zh-CN"/>
        </w:rPr>
      </w:pPr>
    </w:p>
    <w:p>
      <w:pPr>
        <w:keepNext/>
        <w:spacing w:after="120"/>
        <w:jc w:val="left"/>
        <w:rPr>
          <w:rFonts w:hint="default"/>
          <w:b/>
          <w:bCs/>
          <w:sz w:val="24"/>
          <w:szCs w:val="24"/>
          <w:lang w:val="en-US" w:eastAsia="zh-CN"/>
        </w:rPr>
      </w:pPr>
      <w:r>
        <w:rPr>
          <w:rFonts w:hint="eastAsia"/>
          <w:b/>
          <w:bCs/>
          <w:sz w:val="24"/>
          <w:szCs w:val="24"/>
          <w:lang w:val="en-US" w:eastAsia="zh-CN"/>
        </w:rPr>
        <w:t>Backtest results</w:t>
      </w:r>
    </w:p>
    <w:tbl>
      <w:tblPr>
        <w:tblStyle w:val="6"/>
        <w:tblW w:w="0" w:type="auto"/>
        <w:tblInd w:w="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218"/>
        <w:gridCol w:w="1218"/>
        <w:gridCol w:w="1218"/>
        <w:gridCol w:w="1302"/>
        <w:gridCol w:w="1218"/>
      </w:tblGrid>
      <w:tr>
        <w:trPr>
          <w:cantSplit/>
          <w:tblHeader/>
        </w:trPr>
        <w:tc>
          <w:tcPr>
            <w:tcW w:w="2323" w:type="dxa"/>
            <w:vAlign w:val="top"/>
          </w:tcPr>
          <w:p>
            <w:pPr>
              <w:keepNext/>
              <w:jc w:val="left"/>
              <w:rPr>
                <w:rFonts w:hint="default"/>
                <w:lang w:val="en-US"/>
              </w:rPr>
            </w:pPr>
            <w:r>
              <w:rPr>
                <w:rFonts w:hint="eastAsia" w:ascii="Arial" w:hAnsi="Arial"/>
                <w:sz w:val="18"/>
              </w:rPr>
              <w:t>Factor</w:t>
            </w:r>
          </w:p>
        </w:tc>
        <w:tc>
          <w:tcPr>
            <w:tcW w:w="1218" w:type="dxa"/>
            <w:vAlign w:val="top"/>
          </w:tcPr>
          <w:p>
            <w:pPr>
              <w:keepNext/>
              <w:jc w:val="left"/>
            </w:pPr>
            <w:r>
              <w:rPr>
                <w:rFonts w:hint="eastAsia" w:ascii="Arial" w:hAnsi="Arial"/>
                <w:sz w:val="18"/>
              </w:rPr>
              <w:t>CAGR</w:t>
            </w:r>
          </w:p>
        </w:tc>
        <w:tc>
          <w:tcPr>
            <w:tcW w:w="1218" w:type="dxa"/>
            <w:vAlign w:val="top"/>
          </w:tcPr>
          <w:p>
            <w:pPr>
              <w:keepNext/>
              <w:jc w:val="left"/>
            </w:pPr>
            <w:r>
              <w:rPr>
                <w:rFonts w:hint="eastAsia" w:ascii="Arial" w:hAnsi="Arial"/>
                <w:sz w:val="18"/>
              </w:rPr>
              <w:t>Volatility</w:t>
            </w:r>
          </w:p>
        </w:tc>
        <w:tc>
          <w:tcPr>
            <w:tcW w:w="1218" w:type="dxa"/>
            <w:vAlign w:val="top"/>
          </w:tcPr>
          <w:p>
            <w:pPr>
              <w:keepNext/>
              <w:jc w:val="left"/>
            </w:pPr>
            <w:r>
              <w:rPr>
                <w:rFonts w:hint="eastAsia" w:ascii="Arial" w:hAnsi="Arial"/>
                <w:sz w:val="18"/>
              </w:rPr>
              <w:t>Sharpe</w:t>
            </w:r>
          </w:p>
        </w:tc>
        <w:tc>
          <w:tcPr>
            <w:tcW w:w="1302" w:type="dxa"/>
            <w:vAlign w:val="top"/>
          </w:tcPr>
          <w:p>
            <w:pPr>
              <w:keepNext/>
              <w:jc w:val="left"/>
              <w:rPr>
                <w:rFonts w:hint="default"/>
                <w:lang w:val="en-US"/>
              </w:rPr>
            </w:pPr>
            <w:r>
              <w:rPr>
                <w:rFonts w:hint="eastAsia" w:ascii="Arial" w:hAnsi="Arial"/>
                <w:sz w:val="18"/>
                <w:lang w:val="en-US" w:eastAsia="zh-CN"/>
              </w:rPr>
              <w:t>MDD</w:t>
            </w:r>
          </w:p>
        </w:tc>
        <w:tc>
          <w:tcPr>
            <w:tcW w:w="1218" w:type="dxa"/>
            <w:vAlign w:val="top"/>
          </w:tcPr>
          <w:p>
            <w:pPr>
              <w:keepNext/>
              <w:jc w:val="left"/>
            </w:pPr>
            <w:r>
              <w:rPr>
                <w:rFonts w:hint="eastAsia" w:ascii="Arial" w:hAnsi="Arial"/>
                <w:sz w:val="18"/>
              </w:rPr>
              <w:t>Calmar</w:t>
            </w:r>
          </w:p>
        </w:tc>
      </w:tr>
      <w:tr>
        <w:trPr>
          <w:cantSplit/>
        </w:trPr>
        <w:tc>
          <w:tcPr>
            <w:tcW w:w="2323" w:type="dxa"/>
            <w:vAlign w:val="top"/>
          </w:tcPr>
          <w:p>
            <w:pPr>
              <w:jc w:val="left"/>
              <w:rPr>
                <w:rFonts w:hint="default"/>
                <w:lang w:val="en-US"/>
              </w:rPr>
            </w:pPr>
            <w:r>
              <w:rPr>
                <w:rFonts w:hint="eastAsia" w:ascii="Arial" w:hAnsi="Arial"/>
                <w:sz w:val="18"/>
              </w:rPr>
              <w:t>trend_score</w:t>
            </w:r>
          </w:p>
        </w:tc>
        <w:tc>
          <w:tcPr>
            <w:tcW w:w="1218" w:type="dxa"/>
            <w:vAlign w:val="top"/>
          </w:tcPr>
          <w:p>
            <w:pPr>
              <w:jc w:val="left"/>
            </w:pPr>
            <w:r>
              <w:rPr>
                <w:rFonts w:hint="eastAsia" w:ascii="Arial" w:hAnsi="Arial"/>
                <w:sz w:val="18"/>
              </w:rPr>
              <w:t>33.31%</w:t>
            </w:r>
          </w:p>
        </w:tc>
        <w:tc>
          <w:tcPr>
            <w:tcW w:w="1218" w:type="dxa"/>
            <w:vAlign w:val="top"/>
          </w:tcPr>
          <w:p>
            <w:pPr>
              <w:jc w:val="left"/>
            </w:pPr>
            <w:r>
              <w:rPr>
                <w:rFonts w:hint="eastAsia" w:ascii="Arial" w:hAnsi="Arial"/>
                <w:sz w:val="18"/>
              </w:rPr>
              <w:t>26.09%</w:t>
            </w:r>
          </w:p>
        </w:tc>
        <w:tc>
          <w:tcPr>
            <w:tcW w:w="1218" w:type="dxa"/>
            <w:vAlign w:val="top"/>
          </w:tcPr>
          <w:p>
            <w:pPr>
              <w:jc w:val="left"/>
            </w:pPr>
            <w:r>
              <w:rPr>
                <w:rFonts w:hint="eastAsia" w:ascii="Arial" w:hAnsi="Arial"/>
                <w:sz w:val="18"/>
              </w:rPr>
              <w:t>1.275</w:t>
            </w:r>
          </w:p>
        </w:tc>
        <w:tc>
          <w:tcPr>
            <w:tcW w:w="1302" w:type="dxa"/>
            <w:vAlign w:val="top"/>
          </w:tcPr>
          <w:p>
            <w:pPr>
              <w:jc w:val="left"/>
            </w:pPr>
            <w:r>
              <w:rPr>
                <w:rFonts w:hint="eastAsia" w:ascii="Arial" w:hAnsi="Arial"/>
                <w:sz w:val="18"/>
              </w:rPr>
              <w:t>-30.72%</w:t>
            </w:r>
          </w:p>
        </w:tc>
        <w:tc>
          <w:tcPr>
            <w:tcW w:w="1218" w:type="dxa"/>
            <w:vAlign w:val="top"/>
          </w:tcPr>
          <w:p>
            <w:pPr>
              <w:jc w:val="left"/>
            </w:pPr>
            <w:r>
              <w:rPr>
                <w:rFonts w:hint="eastAsia" w:ascii="Arial" w:hAnsi="Arial"/>
                <w:sz w:val="18"/>
              </w:rPr>
              <w:t>1.084</w:t>
            </w:r>
          </w:p>
        </w:tc>
      </w:tr>
      <w:tr>
        <w:trPr>
          <w:cantSplit/>
        </w:trPr>
        <w:tc>
          <w:tcPr>
            <w:tcW w:w="2323" w:type="dxa"/>
            <w:vAlign w:val="top"/>
          </w:tcPr>
          <w:p>
            <w:pPr>
              <w:jc w:val="left"/>
              <w:rPr>
                <w:rFonts w:hint="default"/>
                <w:lang w:val="en-US"/>
              </w:rPr>
            </w:pPr>
            <w:r>
              <w:rPr>
                <w:rFonts w:hint="eastAsia" w:ascii="Arial" w:hAnsi="Arial"/>
                <w:sz w:val="18"/>
              </w:rPr>
              <w:t>trend_score_riskoff</w:t>
            </w:r>
          </w:p>
        </w:tc>
        <w:tc>
          <w:tcPr>
            <w:tcW w:w="1218" w:type="dxa"/>
            <w:vAlign w:val="top"/>
          </w:tcPr>
          <w:p>
            <w:pPr>
              <w:jc w:val="left"/>
            </w:pPr>
            <w:r>
              <w:rPr>
                <w:rFonts w:hint="eastAsia" w:ascii="Arial" w:hAnsi="Arial"/>
                <w:sz w:val="18"/>
              </w:rPr>
              <w:t>29.30%</w:t>
            </w:r>
          </w:p>
        </w:tc>
        <w:tc>
          <w:tcPr>
            <w:tcW w:w="1218" w:type="dxa"/>
            <w:vAlign w:val="top"/>
          </w:tcPr>
          <w:p>
            <w:pPr>
              <w:jc w:val="left"/>
            </w:pPr>
            <w:r>
              <w:rPr>
                <w:rFonts w:hint="eastAsia" w:ascii="Arial" w:hAnsi="Arial"/>
                <w:sz w:val="18"/>
              </w:rPr>
              <w:t>25.37%</w:t>
            </w:r>
          </w:p>
        </w:tc>
        <w:tc>
          <w:tcPr>
            <w:tcW w:w="1218" w:type="dxa"/>
            <w:vAlign w:val="top"/>
          </w:tcPr>
          <w:p>
            <w:pPr>
              <w:jc w:val="left"/>
            </w:pPr>
            <w:r>
              <w:rPr>
                <w:rFonts w:hint="eastAsia" w:ascii="Arial" w:hAnsi="Arial"/>
                <w:sz w:val="18"/>
              </w:rPr>
              <w:t>1.180</w:t>
            </w:r>
          </w:p>
        </w:tc>
        <w:tc>
          <w:tcPr>
            <w:tcW w:w="1302" w:type="dxa"/>
            <w:vAlign w:val="top"/>
          </w:tcPr>
          <w:p>
            <w:pPr>
              <w:jc w:val="left"/>
            </w:pPr>
            <w:r>
              <w:rPr>
                <w:rFonts w:hint="eastAsia" w:ascii="Arial" w:hAnsi="Arial"/>
                <w:sz w:val="18"/>
              </w:rPr>
              <w:t>-35.50%</w:t>
            </w:r>
          </w:p>
        </w:tc>
        <w:tc>
          <w:tcPr>
            <w:tcW w:w="1218" w:type="dxa"/>
            <w:vAlign w:val="top"/>
          </w:tcPr>
          <w:p>
            <w:pPr>
              <w:jc w:val="left"/>
            </w:pPr>
            <w:r>
              <w:rPr>
                <w:rFonts w:hint="eastAsia" w:ascii="Arial" w:hAnsi="Arial"/>
                <w:sz w:val="18"/>
              </w:rPr>
              <w:t>0.825</w:t>
            </w:r>
          </w:p>
        </w:tc>
      </w:tr>
      <w:tr>
        <w:trPr>
          <w:cantSplit/>
        </w:trPr>
        <w:tc>
          <w:tcPr>
            <w:tcW w:w="2323" w:type="dxa"/>
            <w:vAlign w:val="top"/>
          </w:tcPr>
          <w:p>
            <w:pPr>
              <w:jc w:val="left"/>
              <w:rPr>
                <w:rFonts w:hint="default"/>
                <w:lang w:val="en-US"/>
              </w:rPr>
            </w:pPr>
            <w:r>
              <w:rPr>
                <w:rFonts w:hint="eastAsia" w:ascii="Arial" w:hAnsi="Arial"/>
                <w:sz w:val="18"/>
              </w:rPr>
              <w:t>sharpe_momentum</w:t>
            </w:r>
          </w:p>
        </w:tc>
        <w:tc>
          <w:tcPr>
            <w:tcW w:w="1218" w:type="dxa"/>
            <w:vAlign w:val="top"/>
          </w:tcPr>
          <w:p>
            <w:pPr>
              <w:jc w:val="left"/>
            </w:pPr>
            <w:r>
              <w:rPr>
                <w:rFonts w:hint="eastAsia" w:ascii="Arial" w:hAnsi="Arial"/>
                <w:sz w:val="18"/>
              </w:rPr>
              <w:t>27.41%</w:t>
            </w:r>
          </w:p>
        </w:tc>
        <w:tc>
          <w:tcPr>
            <w:tcW w:w="1218" w:type="dxa"/>
            <w:vAlign w:val="top"/>
          </w:tcPr>
          <w:p>
            <w:pPr>
              <w:jc w:val="left"/>
            </w:pPr>
            <w:r>
              <w:rPr>
                <w:rFonts w:hint="eastAsia" w:ascii="Arial" w:hAnsi="Arial"/>
                <w:sz w:val="18"/>
              </w:rPr>
              <w:t>24.70%</w:t>
            </w:r>
          </w:p>
        </w:tc>
        <w:tc>
          <w:tcPr>
            <w:tcW w:w="1218" w:type="dxa"/>
            <w:vAlign w:val="top"/>
          </w:tcPr>
          <w:p>
            <w:pPr>
              <w:jc w:val="left"/>
            </w:pPr>
            <w:r>
              <w:rPr>
                <w:rFonts w:hint="eastAsia" w:ascii="Arial" w:hAnsi="Arial"/>
                <w:sz w:val="18"/>
              </w:rPr>
              <w:t>1.141</w:t>
            </w:r>
          </w:p>
        </w:tc>
        <w:tc>
          <w:tcPr>
            <w:tcW w:w="1302" w:type="dxa"/>
            <w:vAlign w:val="top"/>
          </w:tcPr>
          <w:p>
            <w:pPr>
              <w:jc w:val="left"/>
            </w:pPr>
            <w:r>
              <w:rPr>
                <w:rFonts w:hint="eastAsia" w:ascii="Arial" w:hAnsi="Arial"/>
                <w:sz w:val="18"/>
              </w:rPr>
              <w:t>-27.45%</w:t>
            </w:r>
          </w:p>
        </w:tc>
        <w:tc>
          <w:tcPr>
            <w:tcW w:w="1218" w:type="dxa"/>
            <w:vAlign w:val="top"/>
          </w:tcPr>
          <w:p>
            <w:pPr>
              <w:jc w:val="left"/>
            </w:pPr>
            <w:r>
              <w:rPr>
                <w:rFonts w:hint="eastAsia" w:ascii="Arial" w:hAnsi="Arial"/>
                <w:sz w:val="18"/>
              </w:rPr>
              <w:t>0.998</w:t>
            </w:r>
          </w:p>
        </w:tc>
      </w:tr>
      <w:tr>
        <w:trPr>
          <w:cantSplit/>
        </w:trPr>
        <w:tc>
          <w:tcPr>
            <w:tcW w:w="2323" w:type="dxa"/>
            <w:vAlign w:val="top"/>
          </w:tcPr>
          <w:p>
            <w:pPr>
              <w:jc w:val="left"/>
              <w:rPr>
                <w:rFonts w:hint="eastAsia"/>
              </w:rPr>
            </w:pPr>
            <w:r>
              <w:rPr>
                <w:rFonts w:hint="eastAsia" w:ascii="Arial" w:hAnsi="Arial"/>
                <w:sz w:val="18"/>
              </w:rPr>
              <w:t>momentum_close</w:t>
            </w:r>
          </w:p>
        </w:tc>
        <w:tc>
          <w:tcPr>
            <w:tcW w:w="1218" w:type="dxa"/>
            <w:vAlign w:val="top"/>
          </w:tcPr>
          <w:p>
            <w:pPr>
              <w:jc w:val="left"/>
              <w:rPr>
                <w:rFonts w:hint="eastAsia"/>
              </w:rPr>
            </w:pPr>
            <w:r>
              <w:rPr>
                <w:rFonts w:hint="eastAsia" w:ascii="Arial" w:hAnsi="Arial"/>
                <w:sz w:val="18"/>
              </w:rPr>
              <w:t>32.12%</w:t>
            </w:r>
          </w:p>
        </w:tc>
        <w:tc>
          <w:tcPr>
            <w:tcW w:w="1218" w:type="dxa"/>
            <w:vAlign w:val="top"/>
          </w:tcPr>
          <w:p>
            <w:pPr>
              <w:jc w:val="left"/>
              <w:rPr>
                <w:rFonts w:hint="eastAsia"/>
              </w:rPr>
            </w:pPr>
            <w:r>
              <w:rPr>
                <w:rFonts w:hint="eastAsia" w:ascii="Arial" w:hAnsi="Arial"/>
                <w:sz w:val="18"/>
              </w:rPr>
              <w:t>26.41%</w:t>
            </w:r>
          </w:p>
        </w:tc>
        <w:tc>
          <w:tcPr>
            <w:tcW w:w="1218" w:type="dxa"/>
            <w:vAlign w:val="top"/>
          </w:tcPr>
          <w:p>
            <w:pPr>
              <w:jc w:val="left"/>
              <w:rPr>
                <w:rFonts w:hint="eastAsia"/>
              </w:rPr>
            </w:pPr>
            <w:r>
              <w:rPr>
                <w:rFonts w:hint="eastAsia" w:ascii="Arial" w:hAnsi="Arial"/>
                <w:sz w:val="18"/>
              </w:rPr>
              <w:t>1.227</w:t>
            </w:r>
          </w:p>
        </w:tc>
        <w:tc>
          <w:tcPr>
            <w:tcW w:w="1302" w:type="dxa"/>
            <w:vAlign w:val="top"/>
          </w:tcPr>
          <w:p>
            <w:pPr>
              <w:jc w:val="left"/>
              <w:rPr>
                <w:rFonts w:hint="eastAsia"/>
              </w:rPr>
            </w:pPr>
            <w:r>
              <w:rPr>
                <w:rFonts w:hint="eastAsia" w:ascii="Arial" w:hAnsi="Arial"/>
                <w:sz w:val="18"/>
              </w:rPr>
              <w:t>-27.77%</w:t>
            </w:r>
          </w:p>
        </w:tc>
        <w:tc>
          <w:tcPr>
            <w:tcW w:w="1218" w:type="dxa"/>
            <w:vAlign w:val="top"/>
          </w:tcPr>
          <w:p>
            <w:pPr>
              <w:jc w:val="left"/>
              <w:rPr>
                <w:rFonts w:hint="eastAsia"/>
              </w:rPr>
            </w:pPr>
            <w:r>
              <w:rPr>
                <w:rFonts w:hint="eastAsia" w:ascii="Arial" w:hAnsi="Arial"/>
                <w:sz w:val="18"/>
              </w:rPr>
              <w:t>1.157</w:t>
            </w:r>
          </w:p>
        </w:tc>
      </w:tr>
      <w:tr>
        <w:trPr>
          <w:cantSplit/>
        </w:trPr>
        <w:tc>
          <w:tcPr>
            <w:tcW w:w="2323" w:type="dxa"/>
            <w:vAlign w:val="top"/>
          </w:tcPr>
          <w:p>
            <w:pPr>
              <w:jc w:val="left"/>
              <w:rPr>
                <w:rFonts w:hint="eastAsia"/>
                <w:lang w:val="en-US" w:eastAsia="zh-CN"/>
              </w:rPr>
            </w:pPr>
            <w:r>
              <w:rPr>
                <w:rFonts w:hint="eastAsia" w:ascii="Arial" w:hAnsi="Arial"/>
                <w:sz w:val="18"/>
              </w:rPr>
              <w:t>momentum_open</w:t>
            </w:r>
          </w:p>
        </w:tc>
        <w:tc>
          <w:tcPr>
            <w:tcW w:w="1218" w:type="dxa"/>
            <w:vAlign w:val="top"/>
          </w:tcPr>
          <w:p>
            <w:pPr>
              <w:jc w:val="left"/>
              <w:rPr>
                <w:rFonts w:hint="eastAsia"/>
                <w:lang w:val="en-US" w:eastAsia="zh-CN"/>
              </w:rPr>
            </w:pPr>
            <w:r>
              <w:rPr>
                <w:rFonts w:hint="eastAsia" w:ascii="Arial" w:hAnsi="Arial"/>
                <w:sz w:val="18"/>
              </w:rPr>
              <w:t>29.61%</w:t>
            </w:r>
          </w:p>
        </w:tc>
        <w:tc>
          <w:tcPr>
            <w:tcW w:w="1218" w:type="dxa"/>
            <w:vAlign w:val="top"/>
          </w:tcPr>
          <w:p>
            <w:pPr>
              <w:jc w:val="left"/>
              <w:rPr>
                <w:rFonts w:hint="eastAsia"/>
                <w:lang w:val="en-US" w:eastAsia="zh-CN"/>
              </w:rPr>
            </w:pPr>
            <w:r>
              <w:rPr>
                <w:rFonts w:hint="eastAsia" w:ascii="Arial" w:hAnsi="Arial"/>
                <w:sz w:val="18"/>
              </w:rPr>
              <w:t>27.02%</w:t>
            </w:r>
          </w:p>
        </w:tc>
        <w:tc>
          <w:tcPr>
            <w:tcW w:w="1218" w:type="dxa"/>
            <w:vAlign w:val="top"/>
          </w:tcPr>
          <w:p>
            <w:pPr>
              <w:jc w:val="left"/>
              <w:rPr>
                <w:rFonts w:hint="eastAsia"/>
                <w:lang w:val="en-US" w:eastAsia="zh-CN"/>
              </w:rPr>
            </w:pPr>
            <w:r>
              <w:rPr>
                <w:rFonts w:hint="eastAsia" w:ascii="Arial" w:hAnsi="Arial"/>
                <w:sz w:val="18"/>
              </w:rPr>
              <w:t>1.131</w:t>
            </w:r>
          </w:p>
        </w:tc>
        <w:tc>
          <w:tcPr>
            <w:tcW w:w="1302" w:type="dxa"/>
            <w:vAlign w:val="top"/>
          </w:tcPr>
          <w:p>
            <w:pPr>
              <w:jc w:val="left"/>
              <w:rPr>
                <w:rFonts w:hint="eastAsia"/>
                <w:lang w:val="en-US" w:eastAsia="zh-CN"/>
              </w:rPr>
            </w:pPr>
            <w:r>
              <w:rPr>
                <w:rFonts w:hint="eastAsia" w:ascii="Arial" w:hAnsi="Arial"/>
                <w:sz w:val="18"/>
              </w:rPr>
              <w:t>-28.50%</w:t>
            </w:r>
          </w:p>
        </w:tc>
        <w:tc>
          <w:tcPr>
            <w:tcW w:w="1218" w:type="dxa"/>
            <w:vAlign w:val="top"/>
          </w:tcPr>
          <w:p>
            <w:pPr>
              <w:jc w:val="left"/>
              <w:rPr>
                <w:rFonts w:hint="eastAsia"/>
                <w:lang w:val="en-US" w:eastAsia="zh-CN"/>
              </w:rPr>
            </w:pPr>
            <w:r>
              <w:rPr>
                <w:rFonts w:hint="eastAsia" w:ascii="Arial" w:hAnsi="Arial"/>
                <w:sz w:val="18"/>
              </w:rPr>
              <w:t>1.039</w:t>
            </w:r>
          </w:p>
        </w:tc>
      </w:tr>
    </w:tbl>
    <w:p>
      <w:pPr>
        <w:spacing w:after="120"/>
        <w:jc w:val="left"/>
        <w:rPr>
          <w:rFonts w:hint="default"/>
          <w:lang w:val="en-US" w:eastAsia="zh-CN"/>
        </w:rPr>
      </w:pPr>
    </w:p>
    <w:p>
      <w:pPr>
        <w:spacing w:after="120"/>
        <w:jc w:val="left"/>
        <w:rPr>
          <w:rFonts w:hint="eastAsia"/>
          <w:lang w:val="en-US" w:eastAsia="zh-CN"/>
        </w:rPr>
      </w:pPr>
      <w:r>
        <w:rPr>
          <w:rFonts w:hint="eastAsia"/>
          <w:lang w:val="en-US" w:eastAsia="zh-CN"/>
        </w:rPr>
        <w:drawing>
          <wp:inline distT="0" distB="0" distL="114300" distR="114300">
            <wp:extent cx="5266690" cy="2633345"/>
            <wp:effectExtent l="0" t="0" r="16510" b="8255"/>
            <wp:docPr id="2" name="图片 2" descr="trend_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rend_score"/>
                    <pic:cNvPicPr>
                      <a:picLocks noChangeAspect="1"/>
                    </pic:cNvPicPr>
                  </pic:nvPicPr>
                  <pic:blipFill>
                    <a:blip r:embed="rId4"/>
                    <a:stretch>
                      <a:fillRect/>
                    </a:stretch>
                  </pic:blipFill>
                  <pic:spPr>
                    <a:xfrm>
                      <a:off x="0" y="0"/>
                      <a:ext cx="5266690" cy="2633345"/>
                    </a:xfrm>
                    <a:prstGeom prst="rect">
                      <a:avLst/>
                    </a:prstGeom>
                  </pic:spPr>
                </pic:pic>
              </a:graphicData>
            </a:graphic>
          </wp:inline>
        </w:drawing>
      </w:r>
      <w:r>
        <w:rPr>
          <w:rFonts w:hint="eastAsia"/>
          <w:lang w:val="en-US" w:eastAsia="zh-CN"/>
        </w:rPr>
        <w:drawing>
          <wp:inline distT="0" distB="0" distL="114300" distR="114300">
            <wp:extent cx="5266690" cy="2633345"/>
            <wp:effectExtent l="0" t="0" r="16510" b="8255"/>
            <wp:docPr id="4" name="图片 4" descr="momentum_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omentum_open"/>
                    <pic:cNvPicPr>
                      <a:picLocks noChangeAspect="1"/>
                    </pic:cNvPicPr>
                  </pic:nvPicPr>
                  <pic:blipFill>
                    <a:blip r:embed="rId5"/>
                    <a:stretch>
                      <a:fillRect/>
                    </a:stretch>
                  </pic:blipFill>
                  <pic:spPr>
                    <a:xfrm>
                      <a:off x="0" y="0"/>
                      <a:ext cx="5266690" cy="2633345"/>
                    </a:xfrm>
                    <a:prstGeom prst="rect">
                      <a:avLst/>
                    </a:prstGeom>
                  </pic:spPr>
                </pic:pic>
              </a:graphicData>
            </a:graphic>
          </wp:inline>
        </w:drawing>
      </w:r>
      <w:r>
        <w:rPr>
          <w:rFonts w:hint="eastAsia"/>
          <w:lang w:val="en-US" w:eastAsia="zh-CN"/>
        </w:rPr>
        <w:drawing>
          <wp:inline distT="0" distB="0" distL="114300" distR="114300">
            <wp:extent cx="5266690" cy="2633345"/>
            <wp:effectExtent l="0" t="0" r="16510" b="8255"/>
            <wp:docPr id="5" name="图片 5" descr="momentum_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momentum_close"/>
                    <pic:cNvPicPr>
                      <a:picLocks noChangeAspect="1"/>
                    </pic:cNvPicPr>
                  </pic:nvPicPr>
                  <pic:blipFill>
                    <a:blip r:embed="rId6"/>
                    <a:stretch>
                      <a:fillRect/>
                    </a:stretch>
                  </pic:blipFill>
                  <pic:spPr>
                    <a:xfrm>
                      <a:off x="0" y="0"/>
                      <a:ext cx="5266690" cy="2633345"/>
                    </a:xfrm>
                    <a:prstGeom prst="rect">
                      <a:avLst/>
                    </a:prstGeom>
                  </pic:spPr>
                </pic:pic>
              </a:graphicData>
            </a:graphic>
          </wp:inline>
        </w:drawing>
      </w: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r>
        <w:rPr>
          <w:rFonts w:hint="eastAsia"/>
          <w:lang w:val="en-US" w:eastAsia="zh-CN"/>
        </w:rPr>
        <w:drawing>
          <wp:inline distT="0" distB="0" distL="114300" distR="114300">
            <wp:extent cx="5266690" cy="2633345"/>
            <wp:effectExtent l="0" t="0" r="16510" b="8255"/>
            <wp:docPr id="3" name="图片 3" descr="trend_score_ris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end_score_riskoff"/>
                    <pic:cNvPicPr>
                      <a:picLocks noChangeAspect="1"/>
                    </pic:cNvPicPr>
                  </pic:nvPicPr>
                  <pic:blipFill>
                    <a:blip r:embed="rId7"/>
                    <a:stretch>
                      <a:fillRect/>
                    </a:stretch>
                  </pic:blipFill>
                  <pic:spPr>
                    <a:xfrm>
                      <a:off x="0" y="0"/>
                      <a:ext cx="5266690" cy="2633345"/>
                    </a:xfrm>
                    <a:prstGeom prst="rect">
                      <a:avLst/>
                    </a:prstGeom>
                  </pic:spPr>
                </pic:pic>
              </a:graphicData>
            </a:graphic>
          </wp:inline>
        </w:drawing>
      </w:r>
    </w:p>
    <w:p>
      <w:pPr>
        <w:spacing w:after="120"/>
        <w:jc w:val="left"/>
        <w:rPr>
          <w:rFonts w:hint="eastAsia"/>
          <w:lang w:val="en-US" w:eastAsia="zh-CN"/>
        </w:rPr>
      </w:pPr>
      <w:r>
        <w:rPr>
          <w:rFonts w:hint="eastAsia"/>
          <w:lang w:val="en-US" w:eastAsia="zh-CN"/>
        </w:rPr>
        <w:drawing>
          <wp:inline distT="0" distB="0" distL="114300" distR="114300">
            <wp:extent cx="5266690" cy="2633345"/>
            <wp:effectExtent l="0" t="0" r="16510" b="8255"/>
            <wp:docPr id="6" name="图片 6" descr="sharpe_mome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harpe_momentum"/>
                    <pic:cNvPicPr>
                      <a:picLocks noChangeAspect="1"/>
                    </pic:cNvPicPr>
                  </pic:nvPicPr>
                  <pic:blipFill>
                    <a:blip r:embed="rId8"/>
                    <a:stretch>
                      <a:fillRect/>
                    </a:stretch>
                  </pic:blipFill>
                  <pic:spPr>
                    <a:xfrm>
                      <a:off x="0" y="0"/>
                      <a:ext cx="5266690" cy="2633345"/>
                    </a:xfrm>
                    <a:prstGeom prst="rect">
                      <a:avLst/>
                    </a:prstGeom>
                  </pic:spPr>
                </pic:pic>
              </a:graphicData>
            </a:graphic>
          </wp:inline>
        </w:drawing>
      </w: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spacing w:after="120"/>
        <w:jc w:val="left"/>
        <w:rPr>
          <w:rFonts w:hint="eastAsia"/>
          <w:lang w:val="en-US" w:eastAsia="zh-CN"/>
        </w:rPr>
      </w:pPr>
    </w:p>
    <w:p>
      <w:pPr>
        <w:keepNext/>
        <w:spacing w:after="120"/>
        <w:jc w:val="left"/>
        <w:rPr>
          <w:rFonts w:hint="eastAsia"/>
          <w:b/>
          <w:bCs/>
          <w:sz w:val="24"/>
          <w:szCs w:val="24"/>
          <w:lang w:val="en-US" w:eastAsia="zh-CN"/>
        </w:rPr>
      </w:pPr>
      <w:r>
        <w:rPr>
          <w:rFonts w:hint="eastAsia"/>
          <w:b/>
          <w:bCs/>
          <w:sz w:val="24"/>
          <w:szCs w:val="24"/>
          <w:lang w:val="en-US" w:eastAsia="zh-CN"/>
        </w:rPr>
        <w:t>Optimization attempt</w:t>
      </w:r>
    </w:p>
    <w:p>
      <w:pPr>
        <w:spacing w:after="120"/>
        <w:jc w:val="left"/>
        <w:rPr>
          <w:rFonts w:hint="eastAsia"/>
          <w:lang w:val="en-US" w:eastAsia="zh-CN"/>
        </w:rPr>
      </w:pPr>
      <w:r>
        <w:rPr>
          <w:rFonts w:hint="eastAsia"/>
          <w:lang w:val="en-US" w:eastAsia="zh-CN"/>
        </w:rPr>
        <w:t>Record a drawdown series from the position NAV history, adding a record whenever a drawdown occurs that day.</w:t>
      </w:r>
    </w:p>
    <w:p>
      <w:pPr>
        <w:spacing w:after="120"/>
        <w:jc w:val="left"/>
        <w:rPr>
          <w:rFonts w:hint="default"/>
          <w:lang w:val="en-US" w:eastAsia="zh-CN"/>
        </w:rPr>
      </w:pPr>
      <w:r>
        <w:rPr>
          <w:rFonts w:hint="eastAsia"/>
          <w:lang w:val="en-US" w:eastAsia="zh-CN"/>
        </w:rPr>
        <w:t>If drawdown exceeds the series' 95th percentile for three consecutive days, force close at the next open and wait three cooldown days before opening again based on the factor.</w:t>
      </w:r>
    </w:p>
    <w:p>
      <w:pPr>
        <w:spacing w:after="120"/>
        <w:jc w:val="left"/>
        <w:rPr>
          <w:rFonts w:hint="default"/>
          <w:lang w:val="en-US" w:eastAsia="zh-CN"/>
        </w:rPr>
      </w:pPr>
    </w:p>
    <w:p>
      <w:pPr>
        <w:keepNext/>
        <w:spacing w:after="120"/>
        <w:jc w:val="left"/>
        <w:rPr>
          <w:rFonts w:hint="default"/>
          <w:b/>
          <w:bCs/>
          <w:lang w:val="en-US" w:eastAsia="zh-CN"/>
        </w:rPr>
      </w:pPr>
      <w:r>
        <w:rPr>
          <w:rFonts w:hint="eastAsia"/>
          <w:b/>
          <w:bCs/>
          <w:lang w:val="en-US" w:eastAsia="zh-CN"/>
        </w:rPr>
        <w:t>Backtest results after optimization</w:t>
      </w:r>
    </w:p>
    <w:tbl>
      <w:tblPr>
        <w:tblStyle w:val="6"/>
        <w:tblW w:w="0" w:type="auto"/>
        <w:tblInd w:w="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9"/>
        <w:gridCol w:w="1217"/>
        <w:gridCol w:w="1218"/>
        <w:gridCol w:w="1227"/>
        <w:gridCol w:w="1304"/>
        <w:gridCol w:w="1221"/>
      </w:tblGrid>
      <w:tr>
        <w:trPr>
          <w:cantSplit/>
          <w:tblHeader/>
        </w:trPr>
        <w:tc>
          <w:tcPr>
            <w:tcW w:w="2309" w:type="dxa"/>
          </w:tcPr>
          <w:p>
            <w:pPr>
              <w:keepNext/>
              <w:jc w:val="both"/>
              <w:rPr>
                <w:rFonts w:hint="default"/>
                <w:lang w:val="en-US"/>
              </w:rPr>
            </w:pPr>
            <w:r>
              <w:rPr>
                <w:rFonts w:hint="eastAsia" w:ascii="Arial" w:hAnsi="Arial"/>
                <w:sz w:val="18"/>
              </w:rPr>
              <w:t>Factor</w:t>
            </w:r>
          </w:p>
        </w:tc>
        <w:tc>
          <w:tcPr>
            <w:tcW w:w="1217" w:type="dxa"/>
            <w:vAlign w:val="center"/>
          </w:tcPr>
          <w:p>
            <w:pPr>
              <w:keepNext/>
              <w:keepLines w:val="0"/>
              <w:widowControl/>
              <w:suppressLineNumbers w:val="0"/>
              <w:jc w:val="both"/>
              <w:textAlignment w:val="center"/>
              <w:rPr>
                <w:rFonts w:hint="default" w:asciiTheme="minorAscii" w:hAnsiTheme="minorAscii"/>
                <w:sz w:val="21"/>
                <w:szCs w:val="21"/>
              </w:rPr>
            </w:pPr>
            <w:r>
              <w:rPr>
                <w:rFonts w:hint="eastAsia" w:ascii="Arial" w:hAnsi="Arial"/>
                <w:sz w:val="18"/>
              </w:rPr>
              <w:t>CAGR</w:t>
            </w:r>
          </w:p>
        </w:tc>
        <w:tc>
          <w:tcPr>
            <w:tcW w:w="1218" w:type="dxa"/>
            <w:vAlign w:val="center"/>
          </w:tcPr>
          <w:p>
            <w:pPr>
              <w:keepNext/>
              <w:keepLines w:val="0"/>
              <w:widowControl/>
              <w:suppressLineNumbers w:val="0"/>
              <w:jc w:val="both"/>
              <w:textAlignment w:val="center"/>
              <w:rPr>
                <w:rFonts w:hint="default" w:asciiTheme="minorAscii" w:hAnsiTheme="minorAscii"/>
                <w:sz w:val="21"/>
                <w:szCs w:val="21"/>
              </w:rPr>
            </w:pPr>
            <w:r>
              <w:rPr>
                <w:rFonts w:hint="eastAsia" w:ascii="Arial" w:hAnsi="Arial"/>
                <w:sz w:val="18"/>
              </w:rPr>
              <w:t>Volatility</w:t>
            </w:r>
          </w:p>
        </w:tc>
        <w:tc>
          <w:tcPr>
            <w:tcW w:w="1227" w:type="dxa"/>
            <w:vAlign w:val="center"/>
          </w:tcPr>
          <w:p>
            <w:pPr>
              <w:keepNext/>
              <w:keepLines w:val="0"/>
              <w:widowControl/>
              <w:suppressLineNumbers w:val="0"/>
              <w:jc w:val="both"/>
              <w:textAlignment w:val="center"/>
              <w:rPr>
                <w:rFonts w:hint="default" w:asciiTheme="minorAscii" w:hAnsiTheme="minorAscii"/>
                <w:sz w:val="21"/>
                <w:szCs w:val="21"/>
              </w:rPr>
            </w:pPr>
            <w:r>
              <w:rPr>
                <w:rFonts w:hint="eastAsia" w:ascii="Arial" w:hAnsi="Arial"/>
                <w:sz w:val="18"/>
              </w:rPr>
              <w:t>Sharpe</w:t>
            </w:r>
          </w:p>
        </w:tc>
        <w:tc>
          <w:tcPr>
            <w:tcW w:w="1304" w:type="dxa"/>
            <w:vAlign w:val="center"/>
          </w:tcPr>
          <w:p>
            <w:pPr>
              <w:keepNext/>
              <w:keepLines w:val="0"/>
              <w:widowControl/>
              <w:suppressLineNumbers w:val="0"/>
              <w:jc w:val="both"/>
              <w:textAlignment w:val="center"/>
              <w:rPr>
                <w:rFonts w:hint="eastAsia" w:asciiTheme="minorAscii" w:hAnsiTheme="minorAscii" w:eastAsiaTheme="minorEastAsia"/>
                <w:sz w:val="21"/>
                <w:szCs w:val="21"/>
                <w:lang w:val="en-US" w:eastAsia="zh-CN"/>
              </w:rPr>
            </w:pPr>
            <w:r>
              <w:rPr>
                <w:rFonts w:hint="eastAsia" w:ascii="Arial" w:hAnsi="Arial"/>
                <w:sz w:val="18"/>
                <w:lang w:val="en-US" w:eastAsia="zh-CN"/>
              </w:rPr>
              <w:t>MDD</w:t>
            </w:r>
          </w:p>
        </w:tc>
        <w:tc>
          <w:tcPr>
            <w:tcW w:w="1221" w:type="dxa"/>
            <w:vAlign w:val="center"/>
          </w:tcPr>
          <w:p>
            <w:pPr>
              <w:keepNext/>
              <w:keepLines w:val="0"/>
              <w:widowControl/>
              <w:suppressLineNumbers w:val="0"/>
              <w:jc w:val="both"/>
              <w:textAlignment w:val="center"/>
              <w:rPr>
                <w:rFonts w:hint="default" w:asciiTheme="minorAscii" w:hAnsiTheme="minorAscii"/>
                <w:sz w:val="21"/>
                <w:szCs w:val="21"/>
              </w:rPr>
            </w:pPr>
            <w:r>
              <w:rPr>
                <w:rFonts w:hint="eastAsia" w:ascii="Arial" w:hAnsi="Arial"/>
                <w:sz w:val="18"/>
              </w:rPr>
              <w:t>Calmar</w:t>
            </w:r>
          </w:p>
        </w:tc>
      </w:tr>
      <w:tr>
        <w:trPr>
          <w:cantSplit/>
        </w:trPr>
        <w:tc>
          <w:tcPr>
            <w:tcW w:w="2309" w:type="dxa"/>
          </w:tcPr>
          <w:p>
            <w:pPr>
              <w:jc w:val="both"/>
              <w:rPr>
                <w:rFonts w:hint="default"/>
                <w:lang w:val="en-US"/>
              </w:rPr>
            </w:pPr>
            <w:r>
              <w:rPr>
                <w:rFonts w:hint="eastAsia" w:ascii="Arial" w:hAnsi="Arial"/>
                <w:sz w:val="18"/>
              </w:rPr>
              <w:t>trend_score</w:t>
            </w:r>
          </w:p>
        </w:tc>
        <w:tc>
          <w:tcPr>
            <w:tcW w:w="1217"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34.21%</w:t>
            </w:r>
          </w:p>
        </w:tc>
        <w:tc>
          <w:tcPr>
            <w:tcW w:w="1218"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25.39%</w:t>
            </w:r>
          </w:p>
        </w:tc>
        <w:tc>
          <w:tcPr>
            <w:tcW w:w="1227"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1.33</w:t>
            </w:r>
          </w:p>
        </w:tc>
        <w:tc>
          <w:tcPr>
            <w:tcW w:w="1304"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-23.71%</w:t>
            </w:r>
          </w:p>
        </w:tc>
        <w:tc>
          <w:tcPr>
            <w:tcW w:w="1221"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1.44</w:t>
            </w:r>
          </w:p>
        </w:tc>
      </w:tr>
      <w:tr>
        <w:trPr>
          <w:cantSplit/>
        </w:trPr>
        <w:tc>
          <w:tcPr>
            <w:tcW w:w="2309" w:type="dxa"/>
          </w:tcPr>
          <w:p>
            <w:pPr>
              <w:jc w:val="both"/>
              <w:rPr>
                <w:rFonts w:hint="default"/>
                <w:lang w:val="en-US"/>
              </w:rPr>
            </w:pPr>
            <w:r>
              <w:rPr>
                <w:rFonts w:hint="eastAsia" w:ascii="Arial" w:hAnsi="Arial"/>
                <w:sz w:val="18"/>
              </w:rPr>
              <w:t>trend_score_riskoff</w:t>
            </w:r>
          </w:p>
        </w:tc>
        <w:tc>
          <w:tcPr>
            <w:tcW w:w="1217"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27.70%</w:t>
            </w:r>
          </w:p>
        </w:tc>
        <w:tc>
          <w:tcPr>
            <w:tcW w:w="1218"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24.81%</w:t>
            </w:r>
          </w:p>
        </w:tc>
        <w:tc>
          <w:tcPr>
            <w:tcW w:w="1227"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1.15</w:t>
            </w:r>
          </w:p>
        </w:tc>
        <w:tc>
          <w:tcPr>
            <w:tcW w:w="1304"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-31.60%</w:t>
            </w:r>
          </w:p>
        </w:tc>
        <w:tc>
          <w:tcPr>
            <w:tcW w:w="1221"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0.88</w:t>
            </w:r>
          </w:p>
        </w:tc>
      </w:tr>
      <w:tr>
        <w:trPr>
          <w:cantSplit/>
        </w:trPr>
        <w:tc>
          <w:tcPr>
            <w:tcW w:w="2309" w:type="dxa"/>
          </w:tcPr>
          <w:p>
            <w:pPr>
              <w:jc w:val="both"/>
              <w:rPr>
                <w:rFonts w:hint="default"/>
                <w:lang w:val="en-US"/>
              </w:rPr>
            </w:pPr>
            <w:r>
              <w:rPr>
                <w:rFonts w:hint="eastAsia" w:ascii="Arial" w:hAnsi="Arial"/>
                <w:sz w:val="18"/>
              </w:rPr>
              <w:t>sharpe_momentum</w:t>
            </w:r>
          </w:p>
        </w:tc>
        <w:tc>
          <w:tcPr>
            <w:tcW w:w="1217"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24.29%</w:t>
            </w:r>
          </w:p>
        </w:tc>
        <w:tc>
          <w:tcPr>
            <w:tcW w:w="1218"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24.09%</w:t>
            </w:r>
          </w:p>
        </w:tc>
        <w:tc>
          <w:tcPr>
            <w:tcW w:w="1227"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1.06</w:t>
            </w:r>
          </w:p>
        </w:tc>
        <w:tc>
          <w:tcPr>
            <w:tcW w:w="1304"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-25.20%</w:t>
            </w:r>
          </w:p>
        </w:tc>
        <w:tc>
          <w:tcPr>
            <w:tcW w:w="1221"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0.96</w:t>
            </w:r>
          </w:p>
        </w:tc>
      </w:tr>
      <w:tr>
        <w:trPr>
          <w:cantSplit/>
        </w:trPr>
        <w:tc>
          <w:tcPr>
            <w:tcW w:w="2309" w:type="dxa"/>
          </w:tcPr>
          <w:p>
            <w:pPr>
              <w:jc w:val="both"/>
              <w:rPr>
                <w:rFonts w:hint="default"/>
                <w:lang w:val="en-US"/>
              </w:rPr>
            </w:pPr>
            <w:r>
              <w:rPr>
                <w:rFonts w:hint="eastAsia" w:ascii="Arial" w:hAnsi="Arial"/>
                <w:sz w:val="18"/>
              </w:rPr>
              <w:t>momentum_close</w:t>
            </w:r>
          </w:p>
        </w:tc>
        <w:tc>
          <w:tcPr>
            <w:tcW w:w="1217" w:type="dxa"/>
            <w:vAlign w:val="center"/>
          </w:tcPr>
          <w:p>
            <w:pPr>
              <w:keepNext w:val="0"/>
              <w:keepLines w:val="0"/>
              <w:widowControl/>
              <w:suppressLineNumbers w:val="0"/>
              <w:jc w:val="both"/>
              <w:textAlignment w:val="center"/>
              <w:rPr>
                <w:rFonts w:hint="default" w:asciiTheme="minorAscii" w:hAnsiTheme="minorAscii"/>
              </w:rPr>
            </w:pPr>
            <w:r>
              <w:rPr>
                <w:rFonts w:hint="eastAsia" w:ascii="Arial" w:hAnsi="Arial"/>
                <w:sz w:val="18"/>
              </w:rPr>
              <w:t>21.57%</w:t>
            </w:r>
          </w:p>
        </w:tc>
        <w:tc>
          <w:tcPr>
            <w:tcW w:w="1218" w:type="dxa"/>
            <w:vAlign w:val="center"/>
          </w:tcPr>
          <w:p>
            <w:pPr>
              <w:keepNext w:val="0"/>
              <w:keepLines w:val="0"/>
              <w:widowControl/>
              <w:suppressLineNumbers w:val="0"/>
              <w:jc w:val="both"/>
              <w:textAlignment w:val="center"/>
              <w:rPr>
                <w:rFonts w:hint="default" w:asciiTheme="minorAscii" w:hAnsiTheme="minorAscii"/>
              </w:rPr>
            </w:pPr>
            <w:r>
              <w:rPr>
                <w:rFonts w:hint="eastAsia" w:ascii="Arial" w:hAnsi="Arial"/>
                <w:sz w:val="18"/>
              </w:rPr>
              <w:t>24.78%</w:t>
            </w:r>
          </w:p>
        </w:tc>
        <w:tc>
          <w:tcPr>
            <w:tcW w:w="1227" w:type="dxa"/>
            <w:vAlign w:val="center"/>
          </w:tcPr>
          <w:p>
            <w:pPr>
              <w:keepNext w:val="0"/>
              <w:keepLines w:val="0"/>
              <w:widowControl/>
              <w:suppressLineNumbers w:val="0"/>
              <w:jc w:val="both"/>
              <w:textAlignment w:val="center"/>
              <w:rPr>
                <w:rFonts w:hint="default" w:asciiTheme="minorAscii" w:hAnsiTheme="minorAscii"/>
              </w:rPr>
            </w:pPr>
            <w:r>
              <w:rPr>
                <w:rFonts w:hint="eastAsia" w:ascii="Arial" w:hAnsi="Arial"/>
                <w:sz w:val="18"/>
              </w:rPr>
              <w:t>0.94</w:t>
            </w:r>
          </w:p>
        </w:tc>
        <w:tc>
          <w:tcPr>
            <w:tcW w:w="1304" w:type="dxa"/>
            <w:vAlign w:val="center"/>
          </w:tcPr>
          <w:p>
            <w:pPr>
              <w:keepNext w:val="0"/>
              <w:keepLines w:val="0"/>
              <w:widowControl/>
              <w:suppressLineNumbers w:val="0"/>
              <w:jc w:val="both"/>
              <w:textAlignment w:val="center"/>
              <w:rPr>
                <w:rFonts w:hint="default" w:asciiTheme="minorAscii" w:hAnsiTheme="minorAscii"/>
              </w:rPr>
            </w:pPr>
            <w:r>
              <w:rPr>
                <w:rFonts w:hint="eastAsia" w:ascii="Arial" w:hAnsi="Arial"/>
                <w:sz w:val="18"/>
              </w:rPr>
              <w:t>-49.54%</w:t>
            </w:r>
          </w:p>
        </w:tc>
        <w:tc>
          <w:tcPr>
            <w:tcW w:w="1221" w:type="dxa"/>
            <w:vAlign w:val="center"/>
          </w:tcPr>
          <w:p>
            <w:pPr>
              <w:keepNext w:val="0"/>
              <w:keepLines w:val="0"/>
              <w:widowControl/>
              <w:suppressLineNumbers w:val="0"/>
              <w:jc w:val="both"/>
              <w:textAlignment w:val="center"/>
              <w:rPr>
                <w:rFonts w:hint="default" w:asciiTheme="minorAscii" w:hAnsiTheme="minorAscii"/>
              </w:rPr>
            </w:pPr>
            <w:r>
              <w:rPr>
                <w:rFonts w:hint="eastAsia" w:ascii="Arial" w:hAnsi="Arial"/>
                <w:sz w:val="18"/>
              </w:rPr>
              <w:t>0.44</w:t>
            </w:r>
          </w:p>
        </w:tc>
      </w:tr>
      <w:tr>
        <w:trPr>
          <w:cantSplit/>
        </w:trPr>
        <w:tc>
          <w:tcPr>
            <w:tcW w:w="2309" w:type="dxa"/>
          </w:tcPr>
          <w:p>
            <w:pPr>
              <w:jc w:val="both"/>
              <w:rPr>
                <w:rFonts w:hint="default" w:asciiTheme="minorAscii" w:hAnsiTheme="minorAscii"/>
                <w:sz w:val="21"/>
                <w:szCs w:val="21"/>
                <w:lang w:val="en-US" w:eastAsia="zh-CN"/>
              </w:rPr>
            </w:pPr>
            <w:r>
              <w:rPr>
                <w:rFonts w:hint="eastAsia" w:ascii="Arial" w:hAnsi="Arial"/>
                <w:sz w:val="18"/>
              </w:rPr>
              <w:t>momentum_open</w:t>
            </w:r>
          </w:p>
        </w:tc>
        <w:tc>
          <w:tcPr>
            <w:tcW w:w="1217" w:type="dxa"/>
            <w:vAlign w:val="center"/>
          </w:tcPr>
          <w:p>
            <w:pPr>
              <w:keepNext w:val="0"/>
              <w:keepLines w:val="0"/>
              <w:widowControl/>
              <w:suppressLineNumbers w:val="0"/>
              <w:jc w:val="both"/>
              <w:textAlignment w:val="center"/>
              <w:rPr>
                <w:rFonts w:hint="default" w:asciiTheme="minorAscii" w:hAnsiTheme="minorAscii"/>
                <w:sz w:val="21"/>
                <w:szCs w:val="21"/>
                <w:lang w:val="en-US" w:eastAsia="zh-CN"/>
              </w:rPr>
            </w:pPr>
            <w:r>
              <w:rPr>
                <w:rFonts w:hint="eastAsia" w:ascii="Arial" w:hAnsi="Arial"/>
                <w:sz w:val="18"/>
              </w:rPr>
              <w:t>28.43%</w:t>
            </w:r>
          </w:p>
        </w:tc>
        <w:tc>
          <w:tcPr>
            <w:tcW w:w="1218" w:type="dxa"/>
            <w:vAlign w:val="center"/>
          </w:tcPr>
          <w:p>
            <w:pPr>
              <w:keepNext w:val="0"/>
              <w:keepLines w:val="0"/>
              <w:widowControl/>
              <w:suppressLineNumbers w:val="0"/>
              <w:jc w:val="both"/>
              <w:textAlignment w:val="center"/>
              <w:rPr>
                <w:rFonts w:hint="default" w:asciiTheme="minorAscii" w:hAnsiTheme="minorAscii"/>
                <w:sz w:val="21"/>
                <w:szCs w:val="21"/>
                <w:lang w:val="en-US" w:eastAsia="zh-CN"/>
              </w:rPr>
            </w:pPr>
            <w:r>
              <w:rPr>
                <w:rFonts w:hint="eastAsia" w:ascii="Arial" w:hAnsi="Arial"/>
                <w:sz w:val="18"/>
              </w:rPr>
              <w:t>26.58%</w:t>
            </w:r>
          </w:p>
        </w:tc>
        <w:tc>
          <w:tcPr>
            <w:tcW w:w="1227" w:type="dxa"/>
            <w:vAlign w:val="center"/>
          </w:tcPr>
          <w:p>
            <w:pPr>
              <w:keepNext w:val="0"/>
              <w:keepLines w:val="0"/>
              <w:widowControl/>
              <w:suppressLineNumbers w:val="0"/>
              <w:jc w:val="both"/>
              <w:textAlignment w:val="center"/>
              <w:rPr>
                <w:rFonts w:hint="default" w:asciiTheme="minorAscii" w:hAnsiTheme="minorAscii"/>
                <w:sz w:val="21"/>
                <w:szCs w:val="21"/>
                <w:lang w:val="en-US" w:eastAsia="zh-CN"/>
              </w:rPr>
            </w:pPr>
            <w:r>
              <w:rPr>
                <w:rFonts w:hint="eastAsia" w:ascii="Arial" w:hAnsi="Arial"/>
                <w:sz w:val="18"/>
              </w:rPr>
              <w:t>1.11</w:t>
            </w:r>
          </w:p>
        </w:tc>
        <w:tc>
          <w:tcPr>
            <w:tcW w:w="1304" w:type="dxa"/>
            <w:vAlign w:val="center"/>
          </w:tcPr>
          <w:p>
            <w:pPr>
              <w:keepNext w:val="0"/>
              <w:keepLines w:val="0"/>
              <w:widowControl/>
              <w:suppressLineNumbers w:val="0"/>
              <w:jc w:val="both"/>
              <w:textAlignment w:val="center"/>
              <w:rPr>
                <w:rFonts w:hint="default" w:asciiTheme="minorAscii" w:hAnsiTheme="minorAscii"/>
                <w:sz w:val="21"/>
                <w:szCs w:val="21"/>
                <w:lang w:val="en-US" w:eastAsia="zh-CN"/>
              </w:rPr>
            </w:pPr>
            <w:r>
              <w:rPr>
                <w:rFonts w:hint="eastAsia" w:ascii="Arial" w:hAnsi="Arial"/>
                <w:sz w:val="18"/>
              </w:rPr>
              <w:t>-27.06%</w:t>
            </w:r>
          </w:p>
        </w:tc>
        <w:tc>
          <w:tcPr>
            <w:tcW w:w="1221" w:type="dxa"/>
            <w:vAlign w:val="center"/>
          </w:tcPr>
          <w:p>
            <w:pPr>
              <w:keepNext w:val="0"/>
              <w:keepLines w:val="0"/>
              <w:widowControl/>
              <w:suppressLineNumbers w:val="0"/>
              <w:jc w:val="both"/>
              <w:textAlignment w:val="center"/>
              <w:rPr>
                <w:rFonts w:hint="default" w:asciiTheme="minorAscii" w:hAnsiTheme="minorAscii"/>
                <w:sz w:val="21"/>
                <w:szCs w:val="21"/>
                <w:lang w:val="en-US" w:eastAsia="zh-CN"/>
              </w:rPr>
            </w:pPr>
            <w:r>
              <w:rPr>
                <w:rFonts w:hint="eastAsia" w:ascii="Arial" w:hAnsi="Arial"/>
                <w:sz w:val="18"/>
              </w:rPr>
              <w:t>1.05</w:t>
            </w:r>
          </w:p>
        </w:tc>
      </w:tr>
    </w:tbl>
    <w:p>
      <w:pPr>
        <w:spacing w:after="120"/>
        <w:jc w:val="left"/>
        <w:rPr>
          <w:rFonts w:hint="default"/>
          <w:lang w:val="en-US" w:eastAsia="zh-CN"/>
        </w:rPr>
      </w:pPr>
    </w:p>
    <w:p>
      <w:pPr>
        <w:spacing w:after="120"/>
        <w:jc w:val="left"/>
        <w:rPr>
          <w:rFonts w:hint="default"/>
          <w:lang w:val="en-US" w:eastAsia="zh-CN"/>
        </w:rPr>
      </w:pPr>
      <w:r>
        <w:rPr>
          <w:rFonts w:hint="default"/>
          <w:lang w:val="en-US" w:eastAsia="zh-CN"/>
        </w:rPr>
        <w:drawing>
          <wp:inline distT="0" distB="0" distL="114300" distR="114300">
            <wp:extent cx="5266690" cy="2633345"/>
            <wp:effectExtent l="0" t="0" r="16510" b="8255"/>
            <wp:docPr id="8" name="图片 8" descr="trend_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rend_score"/>
                    <pic:cNvPicPr>
                      <a:picLocks noChangeAspect="1"/>
                    </pic:cNvPicPr>
                  </pic:nvPicPr>
                  <pic:blipFill>
                    <a:blip r:embed="rId9"/>
                    <a:stretch>
                      <a:fillRect/>
                    </a:stretch>
                  </pic:blipFill>
                  <pic:spPr>
                    <a:xfrm>
                      <a:off x="0" y="0"/>
                      <a:ext cx="5266690" cy="2633345"/>
                    </a:xfrm>
                    <a:prstGeom prst="rect">
                      <a:avLst/>
                    </a:prstGeom>
                  </pic:spPr>
                </pic:pic>
              </a:graphicData>
            </a:graphic>
          </wp:inline>
        </w:drawing>
      </w:r>
    </w:p>
    <w:p>
      <w:pPr>
        <w:spacing w:after="120"/>
        <w:jc w:val="left"/>
        <w:rPr>
          <w:rFonts w:hint="default"/>
          <w:lang w:val="en-US" w:eastAsia="zh-CN"/>
        </w:rPr>
      </w:pPr>
      <w:r>
        <w:rPr>
          <w:rFonts w:hint="default"/>
          <w:lang w:val="en-US" w:eastAsia="zh-CN"/>
        </w:rPr>
        <w:drawing>
          <wp:inline distT="0" distB="0" distL="114300" distR="114300">
            <wp:extent cx="5266690" cy="2633345"/>
            <wp:effectExtent l="0" t="0" r="16510" b="8255"/>
            <wp:docPr id="9" name="图片 9" descr="momentum_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omentum_open"/>
                    <pic:cNvPicPr>
                      <a:picLocks noChangeAspect="1"/>
                    </pic:cNvPicPr>
                  </pic:nvPicPr>
                  <pic:blipFill>
                    <a:blip r:embed="rId10"/>
                    <a:stretch>
                      <a:fillRect/>
                    </a:stretch>
                  </pic:blipFill>
                  <pic:spPr>
                    <a:xfrm>
                      <a:off x="0" y="0"/>
                      <a:ext cx="5266690" cy="2633345"/>
                    </a:xfrm>
                    <a:prstGeom prst="rect">
                      <a:avLst/>
                    </a:prstGeom>
                  </pic:spPr>
                </pic:pic>
              </a:graphicData>
            </a:graphic>
          </wp:inline>
        </w:drawing>
      </w:r>
      <w:r>
        <w:rPr>
          <w:rFonts w:hint="default"/>
          <w:lang w:val="en-US" w:eastAsia="zh-CN"/>
        </w:rPr>
        <w:drawing>
          <wp:inline distT="0" distB="0" distL="114300" distR="114300">
            <wp:extent cx="5266690" cy="2633345"/>
            <wp:effectExtent l="0" t="0" r="16510" b="8255"/>
            <wp:docPr id="10" name="图片 10" descr="momentum_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momentum_close"/>
                    <pic:cNvPicPr>
                      <a:picLocks noChangeAspect="1"/>
                    </pic:cNvPicPr>
                  </pic:nvPicPr>
                  <pic:blipFill>
                    <a:blip r:embed="rId11"/>
                    <a:stretch>
                      <a:fillRect/>
                    </a:stretch>
                  </pic:blipFill>
                  <pic:spPr>
                    <a:xfrm>
                      <a:off x="0" y="0"/>
                      <a:ext cx="5266690" cy="2633345"/>
                    </a:xfrm>
                    <a:prstGeom prst="rect">
                      <a:avLst/>
                    </a:prstGeom>
                  </pic:spPr>
                </pic:pic>
              </a:graphicData>
            </a:graphic>
          </wp:inline>
        </w:drawing>
      </w:r>
    </w:p>
    <w:p>
      <w:pPr>
        <w:spacing w:after="120"/>
        <w:jc w:val="left"/>
        <w:rPr>
          <w:rFonts w:hint="default"/>
          <w:lang w:val="en-US" w:eastAsia="zh-CN"/>
        </w:rPr>
      </w:pPr>
      <w:r>
        <w:rPr>
          <w:rFonts w:hint="default"/>
          <w:lang w:val="en-US" w:eastAsia="zh-CN"/>
        </w:rPr>
        <w:drawing>
          <wp:inline distT="0" distB="0" distL="114300" distR="114300">
            <wp:extent cx="5266690" cy="2633345"/>
            <wp:effectExtent l="0" t="0" r="16510" b="8255"/>
            <wp:docPr id="13" name="图片 13" descr="trend_score_ris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rend_score_riskoff"/>
                    <pic:cNvPicPr>
                      <a:picLocks noChangeAspect="1"/>
                    </pic:cNvPicPr>
                  </pic:nvPicPr>
                  <pic:blipFill>
                    <a:blip r:embed="rId12"/>
                    <a:stretch>
                      <a:fillRect/>
                    </a:stretch>
                  </pic:blipFill>
                  <pic:spPr>
                    <a:xfrm>
                      <a:off x="0" y="0"/>
                      <a:ext cx="5266690" cy="2633345"/>
                    </a:xfrm>
                    <a:prstGeom prst="rect">
                      <a:avLst/>
                    </a:prstGeom>
                  </pic:spPr>
                </pic:pic>
              </a:graphicData>
            </a:graphic>
          </wp:inline>
        </w:drawing>
      </w:r>
    </w:p>
    <w:p>
      <w:pPr>
        <w:spacing w:after="120"/>
        <w:jc w:val="left"/>
        <w:rPr>
          <w:rFonts w:hint="default"/>
          <w:lang w:val="en-US" w:eastAsia="zh-CN"/>
        </w:rPr>
      </w:pPr>
      <w:r>
        <w:rPr>
          <w:rFonts w:hint="default"/>
          <w:lang w:val="en-US" w:eastAsia="zh-CN"/>
        </w:rPr>
        <w:drawing>
          <wp:inline distT="0" distB="0" distL="114300" distR="114300">
            <wp:extent cx="5266690" cy="2633345"/>
            <wp:effectExtent l="0" t="0" r="16510" b="8255"/>
            <wp:docPr id="12" name="图片 12" descr="sharpe_mome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harpe_momentum"/>
                    <pic:cNvPicPr>
                      <a:picLocks noChangeAspect="1"/>
                    </pic:cNvPicPr>
                  </pic:nvPicPr>
                  <pic:blipFill>
                    <a:blip r:embed="rId13"/>
                    <a:stretch>
                      <a:fillRect/>
                    </a:stretch>
                  </pic:blipFill>
                  <pic:spPr>
                    <a:xfrm>
                      <a:off x="0" y="0"/>
                      <a:ext cx="5266690" cy="2633345"/>
                    </a:xfrm>
                    <a:prstGeom prst="rect">
                      <a:avLst/>
                    </a:prstGeom>
                  </pic:spPr>
                </pic:pic>
              </a:graphicData>
            </a:graphic>
          </wp:inline>
        </w:drawing>
      </w:r>
    </w:p>
    <w:p>
      <w:pPr>
        <w:spacing w:after="120"/>
        <w:jc w:val="left"/>
        <w:rPr>
          <w:rFonts w:hint="default"/>
          <w:lang w:val="en-US" w:eastAsia="zh-CN"/>
        </w:rPr>
      </w:pPr>
    </w:p>
    <w:p>
      <w:pPr>
        <w:spacing w:after="120"/>
        <w:jc w:val="left"/>
        <w:rPr>
          <w:rFonts w:hint="default"/>
          <w:lang w:val="en-US" w:eastAsia="zh-CN"/>
        </w:rPr>
      </w:pPr>
    </w:p>
    <w:p>
      <w:pPr>
        <w:keepNext/>
        <w:spacing w:after="120"/>
        <w:jc w:val="left"/>
        <w:rPr>
          <w:rFonts w:hint="eastAsia"/>
          <w:b/>
          <w:bCs/>
          <w:sz w:val="24"/>
          <w:szCs w:val="24"/>
          <w:lang w:val="en-US" w:eastAsia="zh-CN"/>
        </w:rPr>
      </w:pPr>
      <w:r>
        <w:rPr>
          <w:rFonts w:hint="eastAsia"/>
          <w:b/>
          <w:bCs/>
          <w:sz w:val="24"/>
          <w:szCs w:val="24"/>
          <w:lang w:val="en-US" w:eastAsia="zh-CN"/>
        </w:rPr>
        <w:t>Comparison</w:t>
      </w:r>
    </w:p>
    <w:p>
      <w:pPr>
        <w:keepNext/>
        <w:spacing w:after="120"/>
        <w:jc w:val="left"/>
        <w:rPr>
          <w:rFonts w:hint="eastAsia"/>
          <w:lang w:val="en-US" w:eastAsia="zh-CN"/>
        </w:rPr>
      </w:pPr>
      <w:r>
        <w:rPr>
          <w:rFonts w:hint="eastAsia"/>
          <w:lang w:val="en-US" w:eastAsia="zh-CN"/>
        </w:rPr>
        <w:t>Before optimization</w:t>
      </w:r>
    </w:p>
    <w:tbl>
      <w:tblPr>
        <w:tblStyle w:val="6"/>
        <w:tblW w:w="0" w:type="auto"/>
        <w:tblInd w:w="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218"/>
        <w:gridCol w:w="1218"/>
        <w:gridCol w:w="1218"/>
        <w:gridCol w:w="1302"/>
        <w:gridCol w:w="1218"/>
      </w:tblGrid>
      <w:tr>
        <w:trPr>
          <w:cantSplit/>
          <w:tblHeader/>
        </w:trPr>
        <w:tc>
          <w:tcPr>
            <w:tcW w:w="2323" w:type="dxa"/>
          </w:tcPr>
          <w:p>
            <w:pPr>
              <w:keepNext/>
              <w:jc w:val="left"/>
              <w:rPr>
                <w:rFonts w:hint="default"/>
                <w:lang w:val="en-US"/>
              </w:rPr>
            </w:pPr>
            <w:r>
              <w:rPr>
                <w:rFonts w:hint="eastAsia" w:ascii="Arial" w:hAnsi="Arial"/>
                <w:sz w:val="18"/>
              </w:rPr>
              <w:t>Factor</w:t>
            </w:r>
          </w:p>
        </w:tc>
        <w:tc>
          <w:tcPr>
            <w:tcW w:w="1218" w:type="dxa"/>
          </w:tcPr>
          <w:p>
            <w:pPr>
              <w:keepNext/>
              <w:jc w:val="left"/>
            </w:pPr>
            <w:r>
              <w:rPr>
                <w:rFonts w:hint="eastAsia" w:ascii="Arial" w:hAnsi="Arial"/>
                <w:sz w:val="18"/>
              </w:rPr>
              <w:t>CAGR</w:t>
            </w:r>
          </w:p>
        </w:tc>
        <w:tc>
          <w:tcPr>
            <w:tcW w:w="1218" w:type="dxa"/>
          </w:tcPr>
          <w:p>
            <w:pPr>
              <w:keepNext/>
              <w:jc w:val="left"/>
            </w:pPr>
            <w:r>
              <w:rPr>
                <w:rFonts w:hint="eastAsia" w:ascii="Arial" w:hAnsi="Arial"/>
                <w:sz w:val="18"/>
              </w:rPr>
              <w:t>Volatility</w:t>
            </w:r>
          </w:p>
        </w:tc>
        <w:tc>
          <w:tcPr>
            <w:tcW w:w="1218" w:type="dxa"/>
          </w:tcPr>
          <w:p>
            <w:pPr>
              <w:keepNext/>
              <w:jc w:val="left"/>
            </w:pPr>
            <w:r>
              <w:rPr>
                <w:rFonts w:hint="eastAsia" w:ascii="Arial" w:hAnsi="Arial"/>
                <w:sz w:val="18"/>
              </w:rPr>
              <w:t>Sharpe</w:t>
            </w:r>
          </w:p>
        </w:tc>
        <w:tc>
          <w:tcPr>
            <w:tcW w:w="1302" w:type="dxa"/>
          </w:tcPr>
          <w:p>
            <w:pPr>
              <w:keepNext/>
              <w:jc w:val="left"/>
              <w:rPr>
                <w:rFonts w:hint="eastAsia" w:eastAsiaTheme="minorEastAsia"/>
                <w:lang w:val="en-US" w:eastAsia="zh-CN"/>
              </w:rPr>
            </w:pPr>
            <w:r>
              <w:rPr>
                <w:rFonts w:hint="eastAsia" w:ascii="Arial" w:hAnsi="Arial"/>
                <w:sz w:val="18"/>
                <w:lang w:val="en-US" w:eastAsia="zh-CN"/>
              </w:rPr>
              <w:t>MDD</w:t>
            </w:r>
          </w:p>
        </w:tc>
        <w:tc>
          <w:tcPr>
            <w:tcW w:w="1218" w:type="dxa"/>
          </w:tcPr>
          <w:p>
            <w:pPr>
              <w:keepNext/>
              <w:jc w:val="left"/>
            </w:pPr>
            <w:r>
              <w:rPr>
                <w:rFonts w:hint="eastAsia" w:ascii="Arial" w:hAnsi="Arial"/>
                <w:sz w:val="18"/>
              </w:rPr>
              <w:t>Calmar</w:t>
            </w:r>
          </w:p>
        </w:tc>
      </w:tr>
      <w:tr>
        <w:trPr>
          <w:cantSplit/>
        </w:trPr>
        <w:tc>
          <w:tcPr>
            <w:tcW w:w="2323" w:type="dxa"/>
          </w:tcPr>
          <w:p>
            <w:pPr>
              <w:jc w:val="left"/>
              <w:rPr>
                <w:rFonts w:hint="default"/>
                <w:lang w:val="en-US"/>
              </w:rPr>
            </w:pPr>
            <w:r>
              <w:rPr>
                <w:rFonts w:hint="eastAsia" w:ascii="Arial" w:hAnsi="Arial"/>
                <w:sz w:val="18"/>
              </w:rPr>
              <w:t>trend_score</w:t>
            </w:r>
          </w:p>
        </w:tc>
        <w:tc>
          <w:tcPr>
            <w:tcW w:w="1218" w:type="dxa"/>
          </w:tcPr>
          <w:p>
            <w:pPr>
              <w:jc w:val="left"/>
            </w:pPr>
            <w:r>
              <w:rPr>
                <w:rFonts w:hint="eastAsia" w:ascii="Arial" w:hAnsi="Arial"/>
                <w:sz w:val="18"/>
              </w:rPr>
              <w:t>33.31%</w:t>
            </w:r>
          </w:p>
        </w:tc>
        <w:tc>
          <w:tcPr>
            <w:tcW w:w="1218" w:type="dxa"/>
          </w:tcPr>
          <w:p>
            <w:pPr>
              <w:jc w:val="left"/>
            </w:pPr>
            <w:r>
              <w:rPr>
                <w:rFonts w:hint="eastAsia" w:ascii="Arial" w:hAnsi="Arial"/>
                <w:sz w:val="18"/>
              </w:rPr>
              <w:t>26.09%</w:t>
            </w:r>
          </w:p>
        </w:tc>
        <w:tc>
          <w:tcPr>
            <w:tcW w:w="1218" w:type="dxa"/>
          </w:tcPr>
          <w:p>
            <w:pPr>
              <w:jc w:val="left"/>
            </w:pPr>
            <w:r>
              <w:rPr>
                <w:rFonts w:hint="eastAsia" w:ascii="Arial" w:hAnsi="Arial"/>
                <w:sz w:val="18"/>
              </w:rPr>
              <w:t>1.275</w:t>
            </w:r>
          </w:p>
        </w:tc>
        <w:tc>
          <w:tcPr>
            <w:tcW w:w="1302" w:type="dxa"/>
          </w:tcPr>
          <w:p>
            <w:pPr>
              <w:jc w:val="left"/>
            </w:pPr>
            <w:r>
              <w:rPr>
                <w:rFonts w:hint="eastAsia" w:ascii="Arial" w:hAnsi="Arial"/>
                <w:sz w:val="18"/>
              </w:rPr>
              <w:t>-30.72%</w:t>
            </w:r>
          </w:p>
        </w:tc>
        <w:tc>
          <w:tcPr>
            <w:tcW w:w="1218" w:type="dxa"/>
          </w:tcPr>
          <w:p>
            <w:pPr>
              <w:jc w:val="left"/>
            </w:pPr>
            <w:r>
              <w:rPr>
                <w:rFonts w:hint="eastAsia" w:ascii="Arial" w:hAnsi="Arial"/>
                <w:sz w:val="18"/>
              </w:rPr>
              <w:t>1.084</w:t>
            </w:r>
          </w:p>
        </w:tc>
      </w:tr>
      <w:tr>
        <w:trPr>
          <w:cantSplit/>
        </w:trPr>
        <w:tc>
          <w:tcPr>
            <w:tcW w:w="2323" w:type="dxa"/>
          </w:tcPr>
          <w:p>
            <w:pPr>
              <w:jc w:val="left"/>
              <w:rPr>
                <w:rFonts w:hint="default"/>
                <w:lang w:val="en-US"/>
              </w:rPr>
            </w:pPr>
            <w:r>
              <w:rPr>
                <w:rFonts w:hint="eastAsia" w:ascii="Arial" w:hAnsi="Arial"/>
                <w:sz w:val="18"/>
              </w:rPr>
              <w:t>trend_score_riskoff</w:t>
            </w:r>
          </w:p>
        </w:tc>
        <w:tc>
          <w:tcPr>
            <w:tcW w:w="1218" w:type="dxa"/>
          </w:tcPr>
          <w:p>
            <w:pPr>
              <w:jc w:val="left"/>
            </w:pPr>
            <w:r>
              <w:rPr>
                <w:rFonts w:hint="eastAsia" w:ascii="Arial" w:hAnsi="Arial"/>
                <w:sz w:val="18"/>
              </w:rPr>
              <w:t>29.30%</w:t>
            </w:r>
          </w:p>
        </w:tc>
        <w:tc>
          <w:tcPr>
            <w:tcW w:w="1218" w:type="dxa"/>
          </w:tcPr>
          <w:p>
            <w:pPr>
              <w:jc w:val="left"/>
            </w:pPr>
            <w:r>
              <w:rPr>
                <w:rFonts w:hint="eastAsia" w:ascii="Arial" w:hAnsi="Arial"/>
                <w:sz w:val="18"/>
              </w:rPr>
              <w:t>25.37%</w:t>
            </w:r>
          </w:p>
        </w:tc>
        <w:tc>
          <w:tcPr>
            <w:tcW w:w="1218" w:type="dxa"/>
          </w:tcPr>
          <w:p>
            <w:pPr>
              <w:jc w:val="left"/>
            </w:pPr>
            <w:r>
              <w:rPr>
                <w:rFonts w:hint="eastAsia" w:ascii="Arial" w:hAnsi="Arial"/>
                <w:sz w:val="18"/>
              </w:rPr>
              <w:t>1.180</w:t>
            </w:r>
          </w:p>
        </w:tc>
        <w:tc>
          <w:tcPr>
            <w:tcW w:w="1302" w:type="dxa"/>
          </w:tcPr>
          <w:p>
            <w:pPr>
              <w:jc w:val="left"/>
            </w:pPr>
            <w:r>
              <w:rPr>
                <w:rFonts w:hint="eastAsia" w:ascii="Arial" w:hAnsi="Arial"/>
                <w:sz w:val="18"/>
              </w:rPr>
              <w:t>-35.50%</w:t>
            </w:r>
          </w:p>
        </w:tc>
        <w:tc>
          <w:tcPr>
            <w:tcW w:w="1218" w:type="dxa"/>
          </w:tcPr>
          <w:p>
            <w:pPr>
              <w:jc w:val="left"/>
            </w:pPr>
            <w:r>
              <w:rPr>
                <w:rFonts w:hint="eastAsia" w:ascii="Arial" w:hAnsi="Arial"/>
                <w:sz w:val="18"/>
              </w:rPr>
              <w:t>0.825</w:t>
            </w:r>
          </w:p>
        </w:tc>
      </w:tr>
      <w:tr>
        <w:trPr>
          <w:cantSplit/>
        </w:trPr>
        <w:tc>
          <w:tcPr>
            <w:tcW w:w="2323" w:type="dxa"/>
          </w:tcPr>
          <w:p>
            <w:pPr>
              <w:jc w:val="left"/>
              <w:rPr>
                <w:rFonts w:hint="default"/>
                <w:lang w:val="en-US"/>
              </w:rPr>
            </w:pPr>
            <w:r>
              <w:rPr>
                <w:rFonts w:hint="eastAsia" w:ascii="Arial" w:hAnsi="Arial"/>
                <w:sz w:val="18"/>
              </w:rPr>
              <w:t>sharpe_momentum</w:t>
            </w:r>
          </w:p>
        </w:tc>
        <w:tc>
          <w:tcPr>
            <w:tcW w:w="1218" w:type="dxa"/>
          </w:tcPr>
          <w:p>
            <w:pPr>
              <w:jc w:val="left"/>
            </w:pPr>
            <w:r>
              <w:rPr>
                <w:rFonts w:hint="eastAsia" w:ascii="Arial" w:hAnsi="Arial"/>
                <w:sz w:val="18"/>
              </w:rPr>
              <w:t>27.41%</w:t>
            </w:r>
          </w:p>
        </w:tc>
        <w:tc>
          <w:tcPr>
            <w:tcW w:w="1218" w:type="dxa"/>
          </w:tcPr>
          <w:p>
            <w:pPr>
              <w:jc w:val="left"/>
            </w:pPr>
            <w:r>
              <w:rPr>
                <w:rFonts w:hint="eastAsia" w:ascii="Arial" w:hAnsi="Arial"/>
                <w:sz w:val="18"/>
              </w:rPr>
              <w:t>24.70%</w:t>
            </w:r>
          </w:p>
        </w:tc>
        <w:tc>
          <w:tcPr>
            <w:tcW w:w="1218" w:type="dxa"/>
          </w:tcPr>
          <w:p>
            <w:pPr>
              <w:jc w:val="left"/>
            </w:pPr>
            <w:r>
              <w:rPr>
                <w:rFonts w:hint="eastAsia" w:ascii="Arial" w:hAnsi="Arial"/>
                <w:sz w:val="18"/>
              </w:rPr>
              <w:t>1.141</w:t>
            </w:r>
          </w:p>
        </w:tc>
        <w:tc>
          <w:tcPr>
            <w:tcW w:w="1302" w:type="dxa"/>
          </w:tcPr>
          <w:p>
            <w:pPr>
              <w:jc w:val="left"/>
            </w:pPr>
            <w:r>
              <w:rPr>
                <w:rFonts w:hint="eastAsia" w:ascii="Arial" w:hAnsi="Arial"/>
                <w:sz w:val="18"/>
              </w:rPr>
              <w:t>-27.45%</w:t>
            </w:r>
          </w:p>
        </w:tc>
        <w:tc>
          <w:tcPr>
            <w:tcW w:w="1218" w:type="dxa"/>
          </w:tcPr>
          <w:p>
            <w:pPr>
              <w:jc w:val="left"/>
            </w:pPr>
            <w:r>
              <w:rPr>
                <w:rFonts w:hint="eastAsia" w:ascii="Arial" w:hAnsi="Arial"/>
                <w:sz w:val="18"/>
              </w:rPr>
              <w:t>0.998</w:t>
            </w:r>
          </w:p>
        </w:tc>
      </w:tr>
      <w:tr>
        <w:trPr>
          <w:cantSplit/>
        </w:trPr>
        <w:tc>
          <w:tcPr>
            <w:tcW w:w="2323" w:type="dxa"/>
          </w:tcPr>
          <w:p>
            <w:pPr>
              <w:jc w:val="left"/>
              <w:rPr>
                <w:rFonts w:hint="eastAsia"/>
              </w:rPr>
            </w:pPr>
            <w:r>
              <w:rPr>
                <w:rFonts w:hint="eastAsia" w:ascii="Arial" w:hAnsi="Arial"/>
                <w:sz w:val="18"/>
              </w:rPr>
              <w:t>momentum_close</w:t>
            </w:r>
          </w:p>
        </w:tc>
        <w:tc>
          <w:tcPr>
            <w:tcW w:w="1218" w:type="dxa"/>
          </w:tcPr>
          <w:p>
            <w:pPr>
              <w:jc w:val="left"/>
              <w:rPr>
                <w:rFonts w:hint="eastAsia"/>
              </w:rPr>
            </w:pPr>
            <w:r>
              <w:rPr>
                <w:rFonts w:hint="eastAsia" w:ascii="Arial" w:hAnsi="Arial"/>
                <w:sz w:val="18"/>
              </w:rPr>
              <w:t>32.12%</w:t>
            </w:r>
          </w:p>
        </w:tc>
        <w:tc>
          <w:tcPr>
            <w:tcW w:w="1218" w:type="dxa"/>
          </w:tcPr>
          <w:p>
            <w:pPr>
              <w:jc w:val="left"/>
              <w:rPr>
                <w:rFonts w:hint="eastAsia"/>
              </w:rPr>
            </w:pPr>
            <w:r>
              <w:rPr>
                <w:rFonts w:hint="eastAsia" w:ascii="Arial" w:hAnsi="Arial"/>
                <w:sz w:val="18"/>
              </w:rPr>
              <w:t>26.41%</w:t>
            </w:r>
          </w:p>
        </w:tc>
        <w:tc>
          <w:tcPr>
            <w:tcW w:w="1218" w:type="dxa"/>
          </w:tcPr>
          <w:p>
            <w:pPr>
              <w:jc w:val="left"/>
              <w:rPr>
                <w:rFonts w:hint="eastAsia"/>
              </w:rPr>
            </w:pPr>
            <w:r>
              <w:rPr>
                <w:rFonts w:hint="eastAsia" w:ascii="Arial" w:hAnsi="Arial"/>
                <w:sz w:val="18"/>
              </w:rPr>
              <w:t>1.227</w:t>
            </w:r>
          </w:p>
        </w:tc>
        <w:tc>
          <w:tcPr>
            <w:tcW w:w="1302" w:type="dxa"/>
          </w:tcPr>
          <w:p>
            <w:pPr>
              <w:jc w:val="left"/>
              <w:rPr>
                <w:rFonts w:hint="eastAsia"/>
              </w:rPr>
            </w:pPr>
            <w:r>
              <w:rPr>
                <w:rFonts w:hint="eastAsia" w:ascii="Arial" w:hAnsi="Arial"/>
                <w:sz w:val="18"/>
              </w:rPr>
              <w:t>-27.77%</w:t>
            </w:r>
          </w:p>
        </w:tc>
        <w:tc>
          <w:tcPr>
            <w:tcW w:w="1218" w:type="dxa"/>
          </w:tcPr>
          <w:p>
            <w:pPr>
              <w:jc w:val="left"/>
              <w:rPr>
                <w:rFonts w:hint="eastAsia"/>
              </w:rPr>
            </w:pPr>
            <w:r>
              <w:rPr>
                <w:rFonts w:hint="eastAsia" w:ascii="Arial" w:hAnsi="Arial"/>
                <w:sz w:val="18"/>
              </w:rPr>
              <w:t>1.157</w:t>
            </w:r>
          </w:p>
        </w:tc>
      </w:tr>
      <w:tr>
        <w:trPr>
          <w:cantSplit/>
        </w:trPr>
        <w:tc>
          <w:tcPr>
            <w:tcW w:w="2323" w:type="dxa"/>
          </w:tcPr>
          <w:p>
            <w:pPr>
              <w:jc w:val="left"/>
              <w:rPr>
                <w:rFonts w:hint="eastAsia"/>
                <w:lang w:val="en-US" w:eastAsia="zh-CN"/>
              </w:rPr>
            </w:pPr>
            <w:r>
              <w:rPr>
                <w:rFonts w:hint="eastAsia" w:ascii="Arial" w:hAnsi="Arial"/>
                <w:sz w:val="18"/>
              </w:rPr>
              <w:t>momentum_open</w:t>
            </w:r>
          </w:p>
        </w:tc>
        <w:tc>
          <w:tcPr>
            <w:tcW w:w="1218" w:type="dxa"/>
          </w:tcPr>
          <w:p>
            <w:pPr>
              <w:jc w:val="left"/>
              <w:rPr>
                <w:rFonts w:hint="eastAsia"/>
                <w:lang w:val="en-US" w:eastAsia="zh-CN"/>
              </w:rPr>
            </w:pPr>
            <w:r>
              <w:rPr>
                <w:rFonts w:hint="eastAsia" w:ascii="Arial" w:hAnsi="Arial"/>
                <w:sz w:val="18"/>
              </w:rPr>
              <w:t>29.61%</w:t>
            </w:r>
          </w:p>
        </w:tc>
        <w:tc>
          <w:tcPr>
            <w:tcW w:w="1218" w:type="dxa"/>
          </w:tcPr>
          <w:p>
            <w:pPr>
              <w:jc w:val="left"/>
              <w:rPr>
                <w:rFonts w:hint="eastAsia"/>
                <w:lang w:val="en-US" w:eastAsia="zh-CN"/>
              </w:rPr>
            </w:pPr>
            <w:r>
              <w:rPr>
                <w:rFonts w:hint="eastAsia" w:ascii="Arial" w:hAnsi="Arial"/>
                <w:sz w:val="18"/>
              </w:rPr>
              <w:t>27.02%</w:t>
            </w:r>
          </w:p>
        </w:tc>
        <w:tc>
          <w:tcPr>
            <w:tcW w:w="1218" w:type="dxa"/>
          </w:tcPr>
          <w:p>
            <w:pPr>
              <w:jc w:val="left"/>
              <w:rPr>
                <w:rFonts w:hint="eastAsia"/>
                <w:lang w:val="en-US" w:eastAsia="zh-CN"/>
              </w:rPr>
            </w:pPr>
            <w:r>
              <w:rPr>
                <w:rFonts w:hint="eastAsia" w:ascii="Arial" w:hAnsi="Arial"/>
                <w:sz w:val="18"/>
              </w:rPr>
              <w:t>1.131</w:t>
            </w:r>
          </w:p>
        </w:tc>
        <w:tc>
          <w:tcPr>
            <w:tcW w:w="1302" w:type="dxa"/>
          </w:tcPr>
          <w:p>
            <w:pPr>
              <w:jc w:val="left"/>
              <w:rPr>
                <w:rFonts w:hint="eastAsia"/>
                <w:lang w:val="en-US" w:eastAsia="zh-CN"/>
              </w:rPr>
            </w:pPr>
            <w:r>
              <w:rPr>
                <w:rFonts w:hint="eastAsia" w:ascii="Arial" w:hAnsi="Arial"/>
                <w:sz w:val="18"/>
              </w:rPr>
              <w:t>-28.50%</w:t>
            </w:r>
          </w:p>
        </w:tc>
        <w:tc>
          <w:tcPr>
            <w:tcW w:w="1218" w:type="dxa"/>
          </w:tcPr>
          <w:p>
            <w:pPr>
              <w:jc w:val="left"/>
              <w:rPr>
                <w:rFonts w:hint="eastAsia"/>
                <w:lang w:val="en-US" w:eastAsia="zh-CN"/>
              </w:rPr>
            </w:pPr>
            <w:r>
              <w:rPr>
                <w:rFonts w:hint="eastAsia" w:ascii="Arial" w:hAnsi="Arial"/>
                <w:sz w:val="18"/>
              </w:rPr>
              <w:t>1.039</w:t>
            </w:r>
          </w:p>
        </w:tc>
      </w:tr>
    </w:tbl>
    <w:p>
      <w:pPr>
        <w:spacing w:after="120"/>
        <w:jc w:val="left"/>
        <w:rPr>
          <w:rFonts w:hint="default"/>
          <w:lang w:val="en-US" w:eastAsia="zh-CN"/>
        </w:rPr>
      </w:pPr>
    </w:p>
    <w:p>
      <w:pPr>
        <w:keepNext/>
        <w:spacing w:after="120"/>
        <w:jc w:val="left"/>
        <w:rPr>
          <w:rFonts w:hint="eastAsia"/>
          <w:lang w:val="en-US" w:eastAsia="zh-CN"/>
        </w:rPr>
      </w:pPr>
      <w:r>
        <w:rPr>
          <w:rFonts w:hint="eastAsia"/>
          <w:lang w:val="en-US" w:eastAsia="zh-CN"/>
        </w:rPr>
        <w:t>After optimization</w:t>
      </w:r>
    </w:p>
    <w:tbl>
      <w:tblPr>
        <w:tblStyle w:val="6"/>
        <w:tblW w:w="0" w:type="auto"/>
        <w:tblInd w:w="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9"/>
        <w:gridCol w:w="1217"/>
        <w:gridCol w:w="1218"/>
        <w:gridCol w:w="1227"/>
        <w:gridCol w:w="1304"/>
        <w:gridCol w:w="1221"/>
      </w:tblGrid>
      <w:tr>
        <w:trPr>
          <w:cantSplit/>
          <w:tblHeader/>
        </w:trPr>
        <w:tc>
          <w:tcPr>
            <w:tcW w:w="2309" w:type="dxa"/>
          </w:tcPr>
          <w:p>
            <w:pPr>
              <w:keepNext/>
              <w:jc w:val="both"/>
              <w:rPr>
                <w:rFonts w:hint="default"/>
                <w:lang w:val="en-US"/>
              </w:rPr>
            </w:pPr>
            <w:r>
              <w:rPr>
                <w:rFonts w:hint="eastAsia" w:ascii="Arial" w:hAnsi="Arial"/>
                <w:sz w:val="18"/>
              </w:rPr>
              <w:t>Factor</w:t>
            </w:r>
          </w:p>
        </w:tc>
        <w:tc>
          <w:tcPr>
            <w:tcW w:w="1217" w:type="dxa"/>
            <w:vAlign w:val="center"/>
          </w:tcPr>
          <w:p>
            <w:pPr>
              <w:keepNext/>
              <w:keepLines w:val="0"/>
              <w:widowControl/>
              <w:suppressLineNumbers w:val="0"/>
              <w:jc w:val="both"/>
              <w:textAlignment w:val="center"/>
              <w:rPr>
                <w:rFonts w:hint="default" w:asciiTheme="minorAscii" w:hAnsiTheme="minorAscii"/>
                <w:sz w:val="21"/>
                <w:szCs w:val="21"/>
              </w:rPr>
            </w:pPr>
            <w:r>
              <w:rPr>
                <w:rFonts w:hint="eastAsia" w:ascii="Arial" w:hAnsi="Arial"/>
                <w:sz w:val="18"/>
              </w:rPr>
              <w:t>CAGR</w:t>
            </w:r>
          </w:p>
        </w:tc>
        <w:tc>
          <w:tcPr>
            <w:tcW w:w="1218" w:type="dxa"/>
            <w:vAlign w:val="center"/>
          </w:tcPr>
          <w:p>
            <w:pPr>
              <w:keepNext/>
              <w:keepLines w:val="0"/>
              <w:widowControl/>
              <w:suppressLineNumbers w:val="0"/>
              <w:jc w:val="both"/>
              <w:textAlignment w:val="center"/>
              <w:rPr>
                <w:rFonts w:hint="default" w:asciiTheme="minorAscii" w:hAnsiTheme="minorAscii"/>
                <w:sz w:val="21"/>
                <w:szCs w:val="21"/>
              </w:rPr>
            </w:pPr>
            <w:r>
              <w:rPr>
                <w:rFonts w:hint="eastAsia" w:ascii="Arial" w:hAnsi="Arial"/>
                <w:sz w:val="18"/>
              </w:rPr>
              <w:t>Volatility</w:t>
            </w:r>
          </w:p>
        </w:tc>
        <w:tc>
          <w:tcPr>
            <w:tcW w:w="1227" w:type="dxa"/>
            <w:vAlign w:val="center"/>
          </w:tcPr>
          <w:p>
            <w:pPr>
              <w:keepNext/>
              <w:keepLines w:val="0"/>
              <w:widowControl/>
              <w:suppressLineNumbers w:val="0"/>
              <w:jc w:val="both"/>
              <w:textAlignment w:val="center"/>
              <w:rPr>
                <w:rFonts w:hint="default" w:asciiTheme="minorAscii" w:hAnsiTheme="minorAscii"/>
                <w:sz w:val="21"/>
                <w:szCs w:val="21"/>
              </w:rPr>
            </w:pPr>
            <w:r>
              <w:rPr>
                <w:rFonts w:hint="eastAsia" w:ascii="Arial" w:hAnsi="Arial"/>
                <w:sz w:val="18"/>
              </w:rPr>
              <w:t>Sharpe</w:t>
            </w:r>
          </w:p>
        </w:tc>
        <w:tc>
          <w:tcPr>
            <w:tcW w:w="1304" w:type="dxa"/>
            <w:vAlign w:val="center"/>
          </w:tcPr>
          <w:p>
            <w:pPr>
              <w:keepNext/>
              <w:keepLines w:val="0"/>
              <w:widowControl/>
              <w:suppressLineNumbers w:val="0"/>
              <w:jc w:val="both"/>
              <w:textAlignment w:val="center"/>
              <w:rPr>
                <w:rFonts w:hint="eastAsia" w:asciiTheme="minorAscii" w:hAnsiTheme="minorAscii" w:eastAsiaTheme="minorEastAsia"/>
                <w:sz w:val="21"/>
                <w:szCs w:val="21"/>
                <w:lang w:val="en-US" w:eastAsia="zh-CN"/>
              </w:rPr>
            </w:pPr>
            <w:r>
              <w:rPr>
                <w:rFonts w:hint="eastAsia" w:ascii="Arial" w:hAnsi="Arial"/>
                <w:sz w:val="18"/>
                <w:lang w:val="en-US" w:eastAsia="zh-CN"/>
              </w:rPr>
              <w:t>MDD</w:t>
            </w:r>
          </w:p>
        </w:tc>
        <w:tc>
          <w:tcPr>
            <w:tcW w:w="1221" w:type="dxa"/>
            <w:vAlign w:val="center"/>
          </w:tcPr>
          <w:p>
            <w:pPr>
              <w:keepNext/>
              <w:keepLines w:val="0"/>
              <w:widowControl/>
              <w:suppressLineNumbers w:val="0"/>
              <w:jc w:val="both"/>
              <w:textAlignment w:val="center"/>
              <w:rPr>
                <w:rFonts w:hint="default" w:asciiTheme="minorAscii" w:hAnsiTheme="minorAscii"/>
                <w:sz w:val="21"/>
                <w:szCs w:val="21"/>
              </w:rPr>
            </w:pPr>
            <w:r>
              <w:rPr>
                <w:rFonts w:hint="eastAsia" w:ascii="Arial" w:hAnsi="Arial"/>
                <w:sz w:val="18"/>
              </w:rPr>
              <w:t>Calmar</w:t>
            </w:r>
          </w:p>
        </w:tc>
      </w:tr>
      <w:tr>
        <w:trPr>
          <w:cantSplit/>
        </w:trPr>
        <w:tc>
          <w:tcPr>
            <w:tcW w:w="2309" w:type="dxa"/>
          </w:tcPr>
          <w:p>
            <w:pPr>
              <w:jc w:val="both"/>
              <w:rPr>
                <w:rFonts w:hint="default"/>
                <w:lang w:val="en-US"/>
              </w:rPr>
            </w:pPr>
            <w:r>
              <w:rPr>
                <w:rFonts w:hint="eastAsia" w:ascii="Arial" w:hAnsi="Arial"/>
                <w:sz w:val="18"/>
              </w:rPr>
              <w:t>trend_score</w:t>
            </w:r>
          </w:p>
        </w:tc>
        <w:tc>
          <w:tcPr>
            <w:tcW w:w="1217"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34.21%</w:t>
            </w:r>
          </w:p>
        </w:tc>
        <w:tc>
          <w:tcPr>
            <w:tcW w:w="1218"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25.39%</w:t>
            </w:r>
          </w:p>
        </w:tc>
        <w:tc>
          <w:tcPr>
            <w:tcW w:w="1227"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1.33</w:t>
            </w:r>
          </w:p>
        </w:tc>
        <w:tc>
          <w:tcPr>
            <w:tcW w:w="1304"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-23.71%</w:t>
            </w:r>
          </w:p>
        </w:tc>
        <w:tc>
          <w:tcPr>
            <w:tcW w:w="1221"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1.44</w:t>
            </w:r>
          </w:p>
        </w:tc>
      </w:tr>
      <w:tr>
        <w:trPr>
          <w:cantSplit/>
        </w:trPr>
        <w:tc>
          <w:tcPr>
            <w:tcW w:w="2309" w:type="dxa"/>
          </w:tcPr>
          <w:p>
            <w:pPr>
              <w:jc w:val="both"/>
              <w:rPr>
                <w:rFonts w:hint="default"/>
                <w:lang w:val="en-US"/>
              </w:rPr>
            </w:pPr>
            <w:r>
              <w:rPr>
                <w:rFonts w:hint="eastAsia" w:ascii="Arial" w:hAnsi="Arial"/>
                <w:sz w:val="18"/>
              </w:rPr>
              <w:t>trend_score_riskoff</w:t>
            </w:r>
          </w:p>
        </w:tc>
        <w:tc>
          <w:tcPr>
            <w:tcW w:w="1217"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27.70%</w:t>
            </w:r>
          </w:p>
        </w:tc>
        <w:tc>
          <w:tcPr>
            <w:tcW w:w="1218"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24.81%</w:t>
            </w:r>
          </w:p>
        </w:tc>
        <w:tc>
          <w:tcPr>
            <w:tcW w:w="1227"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1.15</w:t>
            </w:r>
          </w:p>
        </w:tc>
        <w:tc>
          <w:tcPr>
            <w:tcW w:w="1304"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-31.60%</w:t>
            </w:r>
          </w:p>
        </w:tc>
        <w:tc>
          <w:tcPr>
            <w:tcW w:w="1221"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0.88</w:t>
            </w:r>
          </w:p>
        </w:tc>
      </w:tr>
      <w:tr>
        <w:trPr>
          <w:cantSplit/>
        </w:trPr>
        <w:tc>
          <w:tcPr>
            <w:tcW w:w="2309" w:type="dxa"/>
          </w:tcPr>
          <w:p>
            <w:pPr>
              <w:jc w:val="both"/>
              <w:rPr>
                <w:rFonts w:hint="default"/>
                <w:lang w:val="en-US"/>
              </w:rPr>
            </w:pPr>
            <w:r>
              <w:rPr>
                <w:rFonts w:hint="eastAsia" w:ascii="Arial" w:hAnsi="Arial"/>
                <w:sz w:val="18"/>
              </w:rPr>
              <w:t>sharpe_momentum</w:t>
            </w:r>
          </w:p>
        </w:tc>
        <w:tc>
          <w:tcPr>
            <w:tcW w:w="1217"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24.29%</w:t>
            </w:r>
          </w:p>
        </w:tc>
        <w:tc>
          <w:tcPr>
            <w:tcW w:w="1218"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24.09%</w:t>
            </w:r>
          </w:p>
        </w:tc>
        <w:tc>
          <w:tcPr>
            <w:tcW w:w="1227"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1.06</w:t>
            </w:r>
          </w:p>
        </w:tc>
        <w:tc>
          <w:tcPr>
            <w:tcW w:w="1304"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-25.20%</w:t>
            </w:r>
          </w:p>
        </w:tc>
        <w:tc>
          <w:tcPr>
            <w:tcW w:w="1221" w:type="dxa"/>
            <w:vAlign w:val="center"/>
          </w:tcPr>
          <w:p>
            <w:pPr>
              <w:keepNext w:val="0"/>
              <w:keepLines w:val="0"/>
              <w:widowControl/>
              <w:suppressLineNumbers w:val="0"/>
              <w:jc w:val="both"/>
              <w:textAlignment w:val="center"/>
              <w:rPr>
                <w:rFonts w:hint="default" w:asciiTheme="minorAscii" w:hAnsiTheme="minorAscii"/>
                <w:sz w:val="21"/>
                <w:szCs w:val="21"/>
              </w:rPr>
            </w:pPr>
            <w:r>
              <w:rPr>
                <w:rFonts w:hint="eastAsia" w:ascii="Arial" w:hAnsi="Arial"/>
                <w:sz w:val="18"/>
              </w:rPr>
              <w:t>0.96</w:t>
            </w:r>
          </w:p>
        </w:tc>
      </w:tr>
      <w:tr>
        <w:trPr>
          <w:cantSplit/>
        </w:trPr>
        <w:tc>
          <w:tcPr>
            <w:tcW w:w="2309" w:type="dxa"/>
          </w:tcPr>
          <w:p>
            <w:pPr>
              <w:jc w:val="both"/>
              <w:rPr>
                <w:rFonts w:hint="default"/>
                <w:lang w:val="en-US"/>
              </w:rPr>
            </w:pPr>
            <w:r>
              <w:rPr>
                <w:rFonts w:hint="eastAsia" w:ascii="Arial" w:hAnsi="Arial"/>
                <w:sz w:val="18"/>
              </w:rPr>
              <w:t>momentum_close</w:t>
            </w:r>
          </w:p>
        </w:tc>
        <w:tc>
          <w:tcPr>
            <w:tcW w:w="1217" w:type="dxa"/>
            <w:vAlign w:val="center"/>
          </w:tcPr>
          <w:p>
            <w:pPr>
              <w:keepNext w:val="0"/>
              <w:keepLines w:val="0"/>
              <w:widowControl/>
              <w:suppressLineNumbers w:val="0"/>
              <w:jc w:val="both"/>
              <w:textAlignment w:val="center"/>
              <w:rPr>
                <w:rFonts w:hint="default" w:asciiTheme="minorAscii" w:hAnsiTheme="minorAscii"/>
              </w:rPr>
            </w:pPr>
            <w:r>
              <w:rPr>
                <w:rFonts w:hint="eastAsia" w:ascii="Arial" w:hAnsi="Arial"/>
                <w:sz w:val="18"/>
              </w:rPr>
              <w:t>21.57%</w:t>
            </w:r>
          </w:p>
        </w:tc>
        <w:tc>
          <w:tcPr>
            <w:tcW w:w="1218" w:type="dxa"/>
            <w:vAlign w:val="center"/>
          </w:tcPr>
          <w:p>
            <w:pPr>
              <w:keepNext w:val="0"/>
              <w:keepLines w:val="0"/>
              <w:widowControl/>
              <w:suppressLineNumbers w:val="0"/>
              <w:jc w:val="both"/>
              <w:textAlignment w:val="center"/>
              <w:rPr>
                <w:rFonts w:hint="default" w:asciiTheme="minorAscii" w:hAnsiTheme="minorAscii"/>
              </w:rPr>
            </w:pPr>
            <w:r>
              <w:rPr>
                <w:rFonts w:hint="eastAsia" w:ascii="Arial" w:hAnsi="Arial"/>
                <w:sz w:val="18"/>
              </w:rPr>
              <w:t>24.78%</w:t>
            </w:r>
          </w:p>
        </w:tc>
        <w:tc>
          <w:tcPr>
            <w:tcW w:w="1227" w:type="dxa"/>
            <w:vAlign w:val="center"/>
          </w:tcPr>
          <w:p>
            <w:pPr>
              <w:keepNext w:val="0"/>
              <w:keepLines w:val="0"/>
              <w:widowControl/>
              <w:suppressLineNumbers w:val="0"/>
              <w:jc w:val="both"/>
              <w:textAlignment w:val="center"/>
              <w:rPr>
                <w:rFonts w:hint="default" w:asciiTheme="minorAscii" w:hAnsiTheme="minorAscii"/>
              </w:rPr>
            </w:pPr>
            <w:r>
              <w:rPr>
                <w:rFonts w:hint="eastAsia" w:ascii="Arial" w:hAnsi="Arial"/>
                <w:sz w:val="18"/>
              </w:rPr>
              <w:t>0.94</w:t>
            </w:r>
          </w:p>
        </w:tc>
        <w:tc>
          <w:tcPr>
            <w:tcW w:w="1304" w:type="dxa"/>
            <w:vAlign w:val="center"/>
          </w:tcPr>
          <w:p>
            <w:pPr>
              <w:keepNext w:val="0"/>
              <w:keepLines w:val="0"/>
              <w:widowControl/>
              <w:suppressLineNumbers w:val="0"/>
              <w:jc w:val="both"/>
              <w:textAlignment w:val="center"/>
              <w:rPr>
                <w:rFonts w:hint="default" w:asciiTheme="minorAscii" w:hAnsiTheme="minorAscii"/>
              </w:rPr>
            </w:pPr>
            <w:r>
              <w:rPr>
                <w:rFonts w:hint="eastAsia" w:ascii="Arial" w:hAnsi="Arial"/>
                <w:sz w:val="18"/>
              </w:rPr>
              <w:t>-49.54%</w:t>
            </w:r>
          </w:p>
        </w:tc>
        <w:tc>
          <w:tcPr>
            <w:tcW w:w="1221" w:type="dxa"/>
            <w:vAlign w:val="center"/>
          </w:tcPr>
          <w:p>
            <w:pPr>
              <w:keepNext w:val="0"/>
              <w:keepLines w:val="0"/>
              <w:widowControl/>
              <w:suppressLineNumbers w:val="0"/>
              <w:jc w:val="both"/>
              <w:textAlignment w:val="center"/>
              <w:rPr>
                <w:rFonts w:hint="default" w:asciiTheme="minorAscii" w:hAnsiTheme="minorAscii"/>
              </w:rPr>
            </w:pPr>
            <w:r>
              <w:rPr>
                <w:rFonts w:hint="eastAsia" w:ascii="Arial" w:hAnsi="Arial"/>
                <w:sz w:val="18"/>
              </w:rPr>
              <w:t>0.44</w:t>
            </w:r>
          </w:p>
        </w:tc>
      </w:tr>
      <w:tr>
        <w:trPr>
          <w:cantSplit/>
        </w:trPr>
        <w:tc>
          <w:tcPr>
            <w:tcW w:w="2309" w:type="dxa"/>
          </w:tcPr>
          <w:p>
            <w:pPr>
              <w:jc w:val="both"/>
              <w:rPr>
                <w:rFonts w:hint="default" w:asciiTheme="minorAscii" w:hAnsiTheme="minorAscii"/>
                <w:sz w:val="21"/>
                <w:szCs w:val="21"/>
                <w:lang w:val="en-US" w:eastAsia="zh-CN"/>
              </w:rPr>
            </w:pPr>
            <w:r>
              <w:rPr>
                <w:rFonts w:hint="eastAsia" w:ascii="Arial" w:hAnsi="Arial"/>
                <w:sz w:val="18"/>
              </w:rPr>
              <w:t>momentum_open</w:t>
            </w:r>
          </w:p>
        </w:tc>
        <w:tc>
          <w:tcPr>
            <w:tcW w:w="1217" w:type="dxa"/>
            <w:vAlign w:val="center"/>
          </w:tcPr>
          <w:p>
            <w:pPr>
              <w:keepNext w:val="0"/>
              <w:keepLines w:val="0"/>
              <w:widowControl/>
              <w:suppressLineNumbers w:val="0"/>
              <w:jc w:val="both"/>
              <w:textAlignment w:val="center"/>
              <w:rPr>
                <w:rFonts w:hint="default" w:asciiTheme="minorAscii" w:hAnsiTheme="minorAscii"/>
                <w:sz w:val="21"/>
                <w:szCs w:val="21"/>
                <w:lang w:val="en-US" w:eastAsia="zh-CN"/>
              </w:rPr>
            </w:pPr>
            <w:r>
              <w:rPr>
                <w:rFonts w:hint="eastAsia" w:ascii="Arial" w:hAnsi="Arial"/>
                <w:sz w:val="18"/>
              </w:rPr>
              <w:t>28.43%</w:t>
            </w:r>
          </w:p>
        </w:tc>
        <w:tc>
          <w:tcPr>
            <w:tcW w:w="1218" w:type="dxa"/>
            <w:vAlign w:val="center"/>
          </w:tcPr>
          <w:p>
            <w:pPr>
              <w:keepNext w:val="0"/>
              <w:keepLines w:val="0"/>
              <w:widowControl/>
              <w:suppressLineNumbers w:val="0"/>
              <w:jc w:val="both"/>
              <w:textAlignment w:val="center"/>
              <w:rPr>
                <w:rFonts w:hint="default" w:asciiTheme="minorAscii" w:hAnsiTheme="minorAscii"/>
                <w:sz w:val="21"/>
                <w:szCs w:val="21"/>
                <w:lang w:val="en-US" w:eastAsia="zh-CN"/>
              </w:rPr>
            </w:pPr>
            <w:r>
              <w:rPr>
                <w:rFonts w:hint="eastAsia" w:ascii="Arial" w:hAnsi="Arial"/>
                <w:sz w:val="18"/>
              </w:rPr>
              <w:t>26.58%</w:t>
            </w:r>
          </w:p>
        </w:tc>
        <w:tc>
          <w:tcPr>
            <w:tcW w:w="1227" w:type="dxa"/>
            <w:vAlign w:val="center"/>
          </w:tcPr>
          <w:p>
            <w:pPr>
              <w:keepNext w:val="0"/>
              <w:keepLines w:val="0"/>
              <w:widowControl/>
              <w:suppressLineNumbers w:val="0"/>
              <w:jc w:val="both"/>
              <w:textAlignment w:val="center"/>
              <w:rPr>
                <w:rFonts w:hint="default" w:asciiTheme="minorAscii" w:hAnsiTheme="minorAscii"/>
                <w:sz w:val="21"/>
                <w:szCs w:val="21"/>
                <w:lang w:val="en-US" w:eastAsia="zh-CN"/>
              </w:rPr>
            </w:pPr>
            <w:r>
              <w:rPr>
                <w:rFonts w:hint="eastAsia" w:ascii="Arial" w:hAnsi="Arial"/>
                <w:sz w:val="18"/>
              </w:rPr>
              <w:t>1.11</w:t>
            </w:r>
          </w:p>
        </w:tc>
        <w:tc>
          <w:tcPr>
            <w:tcW w:w="1304" w:type="dxa"/>
            <w:vAlign w:val="center"/>
          </w:tcPr>
          <w:p>
            <w:pPr>
              <w:keepNext w:val="0"/>
              <w:keepLines w:val="0"/>
              <w:widowControl/>
              <w:suppressLineNumbers w:val="0"/>
              <w:jc w:val="both"/>
              <w:textAlignment w:val="center"/>
              <w:rPr>
                <w:rFonts w:hint="default" w:asciiTheme="minorAscii" w:hAnsiTheme="minorAscii"/>
                <w:sz w:val="21"/>
                <w:szCs w:val="21"/>
                <w:lang w:val="en-US" w:eastAsia="zh-CN"/>
              </w:rPr>
            </w:pPr>
            <w:r>
              <w:rPr>
                <w:rFonts w:hint="eastAsia" w:ascii="Arial" w:hAnsi="Arial"/>
                <w:sz w:val="18"/>
              </w:rPr>
              <w:t>-27.06%</w:t>
            </w:r>
          </w:p>
        </w:tc>
        <w:tc>
          <w:tcPr>
            <w:tcW w:w="1221" w:type="dxa"/>
            <w:vAlign w:val="center"/>
          </w:tcPr>
          <w:p>
            <w:pPr>
              <w:keepNext w:val="0"/>
              <w:keepLines w:val="0"/>
              <w:widowControl/>
              <w:suppressLineNumbers w:val="0"/>
              <w:jc w:val="both"/>
              <w:textAlignment w:val="center"/>
              <w:rPr>
                <w:rFonts w:hint="default" w:asciiTheme="minorAscii" w:hAnsiTheme="minorAscii"/>
                <w:sz w:val="21"/>
                <w:szCs w:val="21"/>
                <w:lang w:val="en-US" w:eastAsia="zh-CN"/>
              </w:rPr>
            </w:pPr>
            <w:r>
              <w:rPr>
                <w:rFonts w:hint="eastAsia" w:ascii="Arial" w:hAnsi="Arial"/>
                <w:sz w:val="18"/>
              </w:rPr>
              <w:t>1.05</w:t>
            </w:r>
          </w:p>
        </w:tc>
      </w:tr>
    </w:tbl>
    <w:p>
      <w:pPr>
        <w:spacing w:after="120"/>
        <w:jc w:val="left"/>
        <w:rPr>
          <w:rFonts w:hint="default"/>
          <w:lang w:val="en-US" w:eastAsia="zh-CN"/>
        </w:rPr>
      </w:pPr>
    </w:p>
    <w:p>
      <w:pPr>
        <w:keepNext/>
        <w:spacing w:after="120"/>
        <w:jc w:val="left"/>
        <w:rPr>
          <w:rFonts w:hint="eastAsia"/>
          <w:b/>
          <w:bCs/>
          <w:sz w:val="24"/>
          <w:szCs w:val="24"/>
          <w:lang w:val="en-US" w:eastAsia="zh-CN"/>
        </w:rPr>
      </w:pPr>
      <w:r>
        <w:rPr>
          <w:rFonts w:hint="eastAsia"/>
          <w:b/>
          <w:bCs/>
          <w:sz w:val="24"/>
          <w:szCs w:val="24"/>
          <w:lang w:val="en-US" w:eastAsia="zh-CN"/>
        </w:rPr>
        <w:t>Conclusion</w:t>
      </w:r>
    </w:p>
    <w:p>
      <w:pPr>
        <w:spacing w:after="120"/>
        <w:jc w:val="left"/>
        <w:rPr>
          <w:rFonts w:hint="eastAsia"/>
          <w:lang w:val="en-US" w:eastAsia="zh-CN"/>
        </w:rPr>
      </w:pPr>
      <w:r>
        <w:rPr>
          <w:rFonts w:hint="eastAsia"/>
          <w:lang w:val="en-US" w:eastAsia="zh-CN"/>
        </w:rPr>
        <w:t>In the reported backtest, trend_score and momentum_close both performed strongly. Overall, trend_score compared favorably with the other factors in return, Sharpe ratio, and stability. Introducing dynamic risk controls based on the 95th percentile of drawdowns produced different effects across factors. For trend_score, annualized return rose from 33.31% to 34.21%, maximum drawdown fell from 30.72% to 23.71%, and the Calmar ratio increased from 1.08 to 1.44, improving the reported risk-return profile. By contrast, factors such as momentum_close lost return because of frequent market exits. Across return, drawdown, and risk-adjusted performance, trend_score with dynamic drawdown controls achieved the best overall performance and robustness in this ETF style-rotation study.</w:t>
      </w:r>
    </w:p>
    <w:p>
      <w:pPr>
        <w:spacing w:after="120"/>
        <w:jc w:val="left"/>
        <w:rPr>
          <w:rFonts w:hint="default"/>
          <w:lang w:val="en-US" w:eastAsia="zh-CN"/>
        </w:rPr>
      </w:pPr>
    </w:p>
    <w:p>
      <w:pPr>
        <w:keepNext/>
        <w:spacing w:after="120"/>
        <w:jc w:val="left"/>
        <w:rPr>
          <w:rFonts w:hint="eastAsia"/>
          <w:lang w:val="en-US" w:eastAsia="zh-CN"/>
        </w:rPr>
      </w:pPr>
      <w:r>
        <w:rPr>
          <w:rFonts w:hint="eastAsia"/>
          <w:lang w:val="en-US" w:eastAsia="zh-CN"/>
        </w:rPr>
        <w:t>Additional data</w:t>
      </w:r>
    </w:p>
    <w:p>
      <w:pPr>
        <w:keepNext/>
        <w:spacing w:after="120"/>
        <w:jc w:val="left"/>
        <w:rPr>
          <w:rFonts w:hint="default"/>
          <w:lang w:val="en-US" w:eastAsia="zh-CN"/>
        </w:rPr>
      </w:pPr>
      <w:r>
        <w:rPr>
          <w:rFonts w:hint="eastAsia"/>
          <w:lang w:val="en-US" w:eastAsia="zh-CN"/>
        </w:rPr>
        <w:t>Record drawdown and Sharpe ratio for each year</w:t>
      </w:r>
      <w:bookmarkStart w:id="0" w:name="_GoBack"/>
      <w:bookmarkEnd w:id="0"/>
    </w:p>
    <w:p>
      <w:pPr>
        <w:spacing w:before="240"/>
        <w:jc w:val="left"/>
      </w:pPr>
      <w:r>
        <w:rPr>
          <w:i/>
          <w:sz w:val="18"/>
        </w:rPr>
        <w:t>Translation note: This document translates the original research report. Historical figures, draft research questions, and original assumptions are retained; they are not newly verified performance claims. The implemented strategy and current reproduction limits are described in the English README and docs/IMPLEMENTATION_NOTES.md.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6E672B"/>
    <w:multiLevelType w:val="singleLevel"/>
    <w:tmpl w:val="6F6E672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7F8B01"/>
    <w:rsid w:val="2FF3DD3E"/>
    <w:rsid w:val="377B01E8"/>
    <w:rsid w:val="377F8B01"/>
    <w:rsid w:val="3BFF4BDF"/>
    <w:rsid w:val="3FDF7C72"/>
    <w:rsid w:val="67FF9EB0"/>
    <w:rsid w:val="7E8BD339"/>
    <w:rsid w:val="7F9712A2"/>
    <w:rsid w:val="DFF6591A"/>
    <w:rsid w:val="EFEF9692"/>
    <w:rsid w:val="F39FE5B5"/>
    <w:rsid w:val="F7EFF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ascii="Arial" w:hAnsi="Arial"/>
      <w:color w:val="000000"/>
      <w:kern w:val="2"/>
      <w:sz w:val="20"/>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rFonts w:ascii="Arial" w:hAnsi="Arial"/>
      <w:color w:val="000000"/>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Arial" w:hAnsi="Arial"/>
      <w:color w:val="000000"/>
      <w:sz w:val="18"/>
    </w:rPr>
  </w:style>
  <w:style w:type="paragraph" w:styleId="4">
    <w:name w:val="Normal (Web)"/>
    <w:basedOn w:val="1"/>
    <w:uiPriority w:val="0"/>
    <w:pPr>
      <w:spacing w:before="0" w:beforeAutospacing="1" w:after="0" w:afterAutospacing="1"/>
      <w:ind w:left="0" w:right="0"/>
      <w:jc w:val="left"/>
    </w:pPr>
    <w:rPr>
      <w:rFonts w:ascii="Arial" w:hAnsi="Arial"/>
      <w:color w:val="000000"/>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iPriority w:val="0"/>
    <w:rPr>
      <w:color w:val="0000FF"/>
      <w:u w:val="single"/>
    </w:rPr>
  </w:style>
  <w:style w:type="paragraph" w:customStyle="1" w:styleId="Title">
    <w:name w:val="Title"/>
    <w:rPr>
      <w:rFonts w:ascii="Arial" w:hAnsi="Arial"/>
      <w:color w:val="000000"/>
      <w:sz w:val="4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22</TotalTime>
  <ScaleCrop>false</ScaleCrop>
  <LinksUpToDate>false</LinksUpToDate>
  <CharactersWithSpaces>0</CharactersWithSpaces>
  <Application>WPS Office_6.6.0.8801_F1E327BC-269C-435d-A152-05C5408002CA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2026-06-03T16:50:00Z</dcterms:created>
  <dc:creator>王子杰</dc:creator>
  <cp:lastModifiedBy>王子杰</cp:lastModifiedBy>
  <dcterms:modified xsi:type="dcterms:W3CDTF">2026-06-05T16:48:33Z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2052-6.6.0.8801</vt:lpwstr>
  </property>
  <property fmtid="{D5CDD505-2E9C-101B-9397-08002B2CF9AE}" pid="3" name="ICV">
    <vt:lpwstr>AF1C4000248DC00447991E6AE6A84DA8_41</vt:lpwstr>
  </property>
</Properties>
</file>