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asciiTheme="minorAscii" w:hAnsiTheme="minorAscii"/>
          <w:b/>
          <w:bCs/>
          <w:sz w:val="36"/>
          <w:szCs w:val="36"/>
          <w:lang w:val="en-US" w:eastAsia="zh-CN"/>
        </w:rPr>
        <w:t>ETF轮动策略：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轮动池：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红利ETF（510880.SH）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创业板ETF（519915</w:t>
      </w:r>
      <w:r>
        <w:rPr>
          <w:rFonts w:hint="default"/>
          <w:lang w:val="en-US" w:eastAsia="zh-CN"/>
        </w:rPr>
        <w:t>.SH</w:t>
      </w:r>
      <w:r>
        <w:rPr>
          <w:rFonts w:hint="eastAsia"/>
          <w:lang w:val="en-US" w:eastAsia="zh-CN"/>
        </w:rPr>
        <w:t>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沪深300ETF（510300</w:t>
      </w:r>
      <w:r>
        <w:rPr>
          <w:rFonts w:hint="default"/>
          <w:lang w:val="en-US" w:eastAsia="zh-CN"/>
        </w:rPr>
        <w:t>.SH</w:t>
      </w:r>
      <w:r>
        <w:rPr>
          <w:rFonts w:hint="eastAsia"/>
          <w:lang w:val="en-US" w:eastAsia="zh-CN"/>
        </w:rPr>
        <w:t>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黄金ETF（518880.SH）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打分因子：</w:t>
      </w:r>
    </w:p>
    <w:p>
      <w:pPr>
        <w:rPr>
          <w:rFonts w:hint="eastAsia"/>
          <w:lang w:eastAsia="zh-CN"/>
        </w:rPr>
      </w:pPr>
      <w:r>
        <w:rPr>
          <w:rFonts w:hint="eastAsia"/>
          <w:b/>
          <w:bCs/>
        </w:rPr>
        <w:t>trend_score</w:t>
      </w:r>
      <w:r>
        <w:rPr>
          <w:rFonts w:hint="eastAsia"/>
          <w:lang w:eastAsia="zh-CN"/>
        </w:rPr>
        <w:t>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trend</w:t>
      </w:r>
      <w:r>
        <w:rPr>
          <w:rFonts w:hint="default"/>
          <w:lang w:val="en-US" w:eastAsia="zh-CN"/>
        </w:rPr>
        <w:t xml:space="preserve">_score = </w:t>
      </w:r>
      <w:r>
        <w:rPr>
          <w:rFonts w:hint="eastAsia"/>
          <w:lang w:val="en-US" w:eastAsia="zh-CN"/>
        </w:rPr>
        <w:t>(e</w:t>
      </w:r>
      <w:r>
        <w:rPr>
          <w:rFonts w:hint="default"/>
          <w:vertAlign w:val="superscript"/>
          <w:lang w:val="en-US" w:eastAsia="zh-CN"/>
        </w:rPr>
        <w:t>(</w:t>
      </w:r>
      <w:r>
        <w:rPr>
          <w:rFonts w:hint="eastAsia"/>
          <w:vertAlign w:val="superscript"/>
          <w:lang w:val="en-US" w:eastAsia="zh-CN"/>
        </w:rPr>
        <w:t>252 * slope</w:t>
      </w:r>
      <w:r>
        <w:rPr>
          <w:rFonts w:hint="default"/>
          <w:vertAlign w:val="superscript"/>
          <w:lang w:val="en-US" w:eastAsia="zh-CN"/>
        </w:rPr>
        <w:t>)</w:t>
      </w:r>
      <w:r>
        <w:rPr>
          <w:rFonts w:hint="eastAsia"/>
          <w:lang w:val="en-US" w:eastAsia="zh-CN"/>
        </w:rPr>
        <w:t>−1)×R2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slope</w:t>
      </w:r>
      <w:r>
        <w:rPr>
          <w:rFonts w:hint="eastAsia"/>
          <w:lang w:val="en-US" w:eastAsia="zh-CN"/>
        </w:rPr>
        <w:t>为多日收盘价线性回归拟合斜率）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slope → 趋势强度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R² → 趋势稳定性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b/>
          <w:bCs/>
        </w:rPr>
        <w:t>momentum_close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收盘价）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momentum_open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开盘价）</w:t>
      </w:r>
      <w:r>
        <w:rPr>
          <w:rFonts w:hint="eastAsia"/>
          <w:lang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动量因子</w:t>
      </w:r>
      <w:r>
        <w:rPr>
          <w:rFonts w:hint="default"/>
          <w:lang w:val="en-US" w:eastAsia="zh-CN"/>
        </w:rPr>
        <w:t xml:space="preserve">: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(P_t - P_(t-win_length)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 xml:space="preserve"> / win_length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trend_score_riskof</w:t>
      </w:r>
      <w:r>
        <w:rPr>
          <w:rFonts w:hint="eastAsia"/>
          <w:lang w:val="en-US" w:eastAsia="zh-CN"/>
        </w:rPr>
        <w:t>f：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趋势强弱</w:t>
      </w:r>
      <w:r>
        <w:rPr>
          <w:rFonts w:hint="default"/>
          <w:lang w:val="en-US" w:eastAsia="zh-CN"/>
        </w:rPr>
        <w:t>(</w:t>
      </w:r>
      <w:r>
        <w:rPr>
          <w:rFonts w:hint="eastAsia"/>
        </w:rPr>
        <w:t>trend_score</w:t>
      </w:r>
      <w:r>
        <w:rPr>
          <w:rFonts w:hint="default"/>
          <w:lang w:val="en-US"/>
        </w:rPr>
        <w:t>)</w:t>
      </w:r>
      <w:r>
        <w:rPr>
          <w:rFonts w:hint="eastAsia"/>
          <w:lang w:val="en-US" w:eastAsia="zh-CN"/>
        </w:rPr>
        <w:t xml:space="preserve"> + 波动大小 + 成交额稳定性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sharpe_momentum</w:t>
      </w:r>
      <w:r>
        <w:rPr>
          <w:rFonts w:hint="eastAsia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动量 + 波动大小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交易逻辑：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每日收盘后，使用收盘后量价数据给轮动池ETF打分，产生信号：全仓分数最高的ETF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次日开盘后，使用开盘价和昨日保存的信号进行交易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每日用收盘价结算持仓净值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参数设置：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ETF交易手续费：万0.5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滑点：0.5%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初始资金：1</w:t>
      </w:r>
      <w:r>
        <w:rPr>
          <w:rFonts w:hint="default"/>
          <w:lang w:val="en-US" w:eastAsia="zh-CN"/>
        </w:rPr>
        <w:t>_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_000</w:t>
      </w:r>
      <w:r>
        <w:rPr>
          <w:rFonts w:hint="eastAsia"/>
          <w:lang w:val="en-US" w:eastAsia="zh-CN"/>
        </w:rPr>
        <w:t>元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回测结果：</w:t>
      </w:r>
    </w:p>
    <w:tbl>
      <w:tblPr>
        <w:tblStyle w:val="6"/>
        <w:tblW w:w="0" w:type="auto"/>
        <w:tblInd w:w="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1218"/>
        <w:gridCol w:w="1218"/>
        <w:gridCol w:w="1218"/>
        <w:gridCol w:w="1302"/>
        <w:gridCol w:w="1218"/>
      </w:tblGrid>
      <w:tr>
        <w:tc>
          <w:tcPr>
            <w:tcW w:w="2323" w:type="dxa"/>
            <w:vAlign w:val="top"/>
          </w:tcPr>
          <w:p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Factor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CAGR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Volatility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Sharpe</w:t>
            </w:r>
          </w:p>
        </w:tc>
        <w:tc>
          <w:tcPr>
            <w:tcW w:w="1302" w:type="dxa"/>
            <w:vAlign w:val="top"/>
          </w:tcPr>
          <w:p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MDD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Calmar</w:t>
            </w:r>
          </w:p>
        </w:tc>
      </w:tr>
      <w:tr>
        <w:tc>
          <w:tcPr>
            <w:tcW w:w="2323" w:type="dxa"/>
            <w:vAlign w:val="top"/>
          </w:tcPr>
          <w:p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trend_score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33.31%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26.09%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1.275</w:t>
            </w:r>
          </w:p>
        </w:tc>
        <w:tc>
          <w:tcPr>
            <w:tcW w:w="130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-30.72%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1.084</w:t>
            </w:r>
          </w:p>
        </w:tc>
      </w:tr>
      <w:tr>
        <w:tc>
          <w:tcPr>
            <w:tcW w:w="2323" w:type="dxa"/>
            <w:vAlign w:val="top"/>
          </w:tcPr>
          <w:p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trend_score_riskoff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29.30%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25.37%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1.180</w:t>
            </w:r>
          </w:p>
        </w:tc>
        <w:tc>
          <w:tcPr>
            <w:tcW w:w="130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-35.50%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0.825</w:t>
            </w:r>
          </w:p>
        </w:tc>
      </w:tr>
      <w:tr>
        <w:tc>
          <w:tcPr>
            <w:tcW w:w="2323" w:type="dxa"/>
            <w:vAlign w:val="top"/>
          </w:tcPr>
          <w:p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sharpe_momentum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27.41%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24.70%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1.141</w:t>
            </w:r>
          </w:p>
        </w:tc>
        <w:tc>
          <w:tcPr>
            <w:tcW w:w="130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-27.45%</w:t>
            </w:r>
          </w:p>
        </w:tc>
        <w:tc>
          <w:tcPr>
            <w:tcW w:w="12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0.998</w:t>
            </w:r>
          </w:p>
        </w:tc>
      </w:tr>
      <w:tr>
        <w:tc>
          <w:tcPr>
            <w:tcW w:w="2323" w:type="dxa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momentum_close</w:t>
            </w:r>
          </w:p>
        </w:tc>
        <w:tc>
          <w:tcPr>
            <w:tcW w:w="1218" w:type="dxa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32.12%</w:t>
            </w:r>
          </w:p>
        </w:tc>
        <w:tc>
          <w:tcPr>
            <w:tcW w:w="1218" w:type="dxa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26.41%</w:t>
            </w:r>
          </w:p>
        </w:tc>
        <w:tc>
          <w:tcPr>
            <w:tcW w:w="1218" w:type="dxa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1.227</w:t>
            </w:r>
          </w:p>
        </w:tc>
        <w:tc>
          <w:tcPr>
            <w:tcW w:w="1302" w:type="dxa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-27.77%</w:t>
            </w:r>
          </w:p>
        </w:tc>
        <w:tc>
          <w:tcPr>
            <w:tcW w:w="1218" w:type="dxa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1.157</w:t>
            </w:r>
          </w:p>
        </w:tc>
      </w:tr>
      <w:tr>
        <w:tc>
          <w:tcPr>
            <w:tcW w:w="2323" w:type="dxa"/>
            <w:vAlign w:val="top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momentum_open</w:t>
            </w:r>
          </w:p>
        </w:tc>
        <w:tc>
          <w:tcPr>
            <w:tcW w:w="1218" w:type="dxa"/>
            <w:vAlign w:val="top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29.61%</w:t>
            </w:r>
          </w:p>
        </w:tc>
        <w:tc>
          <w:tcPr>
            <w:tcW w:w="1218" w:type="dxa"/>
            <w:vAlign w:val="top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27.02%</w:t>
            </w:r>
          </w:p>
        </w:tc>
        <w:tc>
          <w:tcPr>
            <w:tcW w:w="1218" w:type="dxa"/>
            <w:vAlign w:val="top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1.131</w:t>
            </w:r>
          </w:p>
        </w:tc>
        <w:tc>
          <w:tcPr>
            <w:tcW w:w="1302" w:type="dxa"/>
            <w:vAlign w:val="top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-28.50%</w:t>
            </w:r>
          </w:p>
        </w:tc>
        <w:tc>
          <w:tcPr>
            <w:tcW w:w="1218" w:type="dxa"/>
            <w:vAlign w:val="top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1.039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633345"/>
            <wp:effectExtent l="0" t="0" r="16510" b="8255"/>
            <wp:docPr id="2" name="图片 2" descr="trend_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rend_scor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2633345"/>
            <wp:effectExtent l="0" t="0" r="16510" b="8255"/>
            <wp:docPr id="4" name="图片 4" descr="momentum_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omentum_op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2633345"/>
            <wp:effectExtent l="0" t="0" r="16510" b="8255"/>
            <wp:docPr id="5" name="图片 5" descr="momentum_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omentum_clo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633345"/>
            <wp:effectExtent l="0" t="0" r="16510" b="8255"/>
            <wp:docPr id="3" name="图片 3" descr="trend_score_risk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rend_score_riskof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633345"/>
            <wp:effectExtent l="0" t="0" r="16510" b="8255"/>
            <wp:docPr id="6" name="图片 6" descr="sharpe_moment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harpe_momentu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尝试优化：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增加记录最大回撤序列（根据记录的持仓净值，如果今日产生回撤则记录）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如果连续3日产生回撤大于序列95分位，则次日强制平仓并冷却三天之后再根据因子开仓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优化后回测结果：</w:t>
      </w:r>
    </w:p>
    <w:tbl>
      <w:tblPr>
        <w:tblStyle w:val="6"/>
        <w:tblW w:w="0" w:type="auto"/>
        <w:tblInd w:w="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1217"/>
        <w:gridCol w:w="1218"/>
        <w:gridCol w:w="1227"/>
        <w:gridCol w:w="1304"/>
        <w:gridCol w:w="1221"/>
      </w:tblGrid>
      <w:tr>
        <w:tc>
          <w:tcPr>
            <w:tcW w:w="2309" w:type="dxa"/>
          </w:tcPr>
          <w:p>
            <w:pPr>
              <w:jc w:val="both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Factor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CAGR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Volatility</w:t>
            </w:r>
          </w:p>
        </w:tc>
        <w:tc>
          <w:tcPr>
            <w:tcW w:w="122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Sharpe</w:t>
            </w:r>
          </w:p>
        </w:tc>
        <w:tc>
          <w:tcPr>
            <w:tcW w:w="13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Theme="minorAscii" w:hAnsiTheme="minorAsci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MDD</w:t>
            </w:r>
          </w:p>
        </w:tc>
        <w:tc>
          <w:tcPr>
            <w:tcW w:w="12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Calmar</w:t>
            </w:r>
          </w:p>
        </w:tc>
      </w:tr>
      <w:tr>
        <w:tc>
          <w:tcPr>
            <w:tcW w:w="2309" w:type="dxa"/>
          </w:tcPr>
          <w:p>
            <w:pPr>
              <w:jc w:val="both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trend_score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34.21%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25.39%</w:t>
            </w:r>
          </w:p>
        </w:tc>
        <w:tc>
          <w:tcPr>
            <w:tcW w:w="122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1.33</w:t>
            </w:r>
          </w:p>
        </w:tc>
        <w:tc>
          <w:tcPr>
            <w:tcW w:w="13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-23.71%</w:t>
            </w:r>
          </w:p>
        </w:tc>
        <w:tc>
          <w:tcPr>
            <w:tcW w:w="12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1.44</w:t>
            </w:r>
          </w:p>
        </w:tc>
      </w:tr>
      <w:tr>
        <w:tc>
          <w:tcPr>
            <w:tcW w:w="2309" w:type="dxa"/>
          </w:tcPr>
          <w:p>
            <w:pPr>
              <w:jc w:val="both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trend_score_riskoff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27.70%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24.81%</w:t>
            </w:r>
          </w:p>
        </w:tc>
        <w:tc>
          <w:tcPr>
            <w:tcW w:w="122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1.15</w:t>
            </w:r>
          </w:p>
        </w:tc>
        <w:tc>
          <w:tcPr>
            <w:tcW w:w="13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-31.60%</w:t>
            </w:r>
          </w:p>
        </w:tc>
        <w:tc>
          <w:tcPr>
            <w:tcW w:w="12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0.88</w:t>
            </w:r>
          </w:p>
        </w:tc>
      </w:tr>
      <w:tr>
        <w:tc>
          <w:tcPr>
            <w:tcW w:w="2309" w:type="dxa"/>
          </w:tcPr>
          <w:p>
            <w:pPr>
              <w:jc w:val="both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sharpe_momentum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24.29%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24.09%</w:t>
            </w:r>
          </w:p>
        </w:tc>
        <w:tc>
          <w:tcPr>
            <w:tcW w:w="122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1.06</w:t>
            </w:r>
          </w:p>
        </w:tc>
        <w:tc>
          <w:tcPr>
            <w:tcW w:w="13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-25.20%</w:t>
            </w:r>
          </w:p>
        </w:tc>
        <w:tc>
          <w:tcPr>
            <w:tcW w:w="12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0.96</w:t>
            </w:r>
          </w:p>
        </w:tc>
      </w:tr>
      <w:tr>
        <w:tc>
          <w:tcPr>
            <w:tcW w:w="2309" w:type="dxa"/>
          </w:tcPr>
          <w:p>
            <w:pPr>
              <w:jc w:val="both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momentum_close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</w:rPr>
            </w:pPr>
            <w:r>
              <w:rPr>
                <w:rFonts w:hint="eastAsia"/>
              </w:rPr>
              <w:t>21.57%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</w:rPr>
            </w:pPr>
            <w:r>
              <w:rPr>
                <w:rFonts w:hint="eastAsia"/>
              </w:rPr>
              <w:t>24.78%</w:t>
            </w:r>
          </w:p>
        </w:tc>
        <w:tc>
          <w:tcPr>
            <w:tcW w:w="122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</w:rPr>
            </w:pPr>
            <w:r>
              <w:rPr>
                <w:rFonts w:hint="eastAsia"/>
              </w:rPr>
              <w:t>0.94</w:t>
            </w:r>
          </w:p>
        </w:tc>
        <w:tc>
          <w:tcPr>
            <w:tcW w:w="13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</w:rPr>
            </w:pPr>
            <w:r>
              <w:rPr>
                <w:rFonts w:hint="eastAsia"/>
              </w:rPr>
              <w:t>-49.54%</w:t>
            </w:r>
          </w:p>
        </w:tc>
        <w:tc>
          <w:tcPr>
            <w:tcW w:w="12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</w:rPr>
            </w:pPr>
            <w:r>
              <w:rPr>
                <w:rFonts w:hint="eastAsia"/>
              </w:rPr>
              <w:t>0.44</w:t>
            </w:r>
          </w:p>
        </w:tc>
      </w:tr>
      <w:tr>
        <w:tc>
          <w:tcPr>
            <w:tcW w:w="2309" w:type="dxa"/>
          </w:tcPr>
          <w:p>
            <w:pPr>
              <w:jc w:val="both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momentum_open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28.43%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26.58%</w:t>
            </w:r>
          </w:p>
        </w:tc>
        <w:tc>
          <w:tcPr>
            <w:tcW w:w="122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1.11</w:t>
            </w:r>
          </w:p>
        </w:tc>
        <w:tc>
          <w:tcPr>
            <w:tcW w:w="13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-27.06%</w:t>
            </w:r>
          </w:p>
        </w:tc>
        <w:tc>
          <w:tcPr>
            <w:tcW w:w="12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1.05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633345"/>
            <wp:effectExtent l="0" t="0" r="16510" b="8255"/>
            <wp:docPr id="8" name="图片 8" descr="trend_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rend_scor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633345"/>
            <wp:effectExtent l="0" t="0" r="16510" b="8255"/>
            <wp:docPr id="9" name="图片 9" descr="momentum_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omentum_ope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633345"/>
            <wp:effectExtent l="0" t="0" r="16510" b="8255"/>
            <wp:docPr id="10" name="图片 10" descr="momentum_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momentum_clos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633345"/>
            <wp:effectExtent l="0" t="0" r="16510" b="8255"/>
            <wp:docPr id="13" name="图片 13" descr="trend_score_risk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rend_score_riskof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633345"/>
            <wp:effectExtent l="0" t="0" r="16510" b="8255"/>
            <wp:docPr id="12" name="图片 12" descr="sharpe_moment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harpe_momentu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对比：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优化前：</w:t>
      </w:r>
    </w:p>
    <w:tbl>
      <w:tblPr>
        <w:tblStyle w:val="6"/>
        <w:tblW w:w="0" w:type="auto"/>
        <w:tblInd w:w="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1218"/>
        <w:gridCol w:w="1218"/>
        <w:gridCol w:w="1218"/>
        <w:gridCol w:w="1302"/>
        <w:gridCol w:w="1218"/>
      </w:tblGrid>
      <w:tr>
        <w:tc>
          <w:tcPr>
            <w:tcW w:w="2323" w:type="dxa"/>
          </w:tcPr>
          <w:p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Factor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CAGR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Volatility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Sharpe</w:t>
            </w:r>
          </w:p>
        </w:tc>
        <w:tc>
          <w:tcPr>
            <w:tcW w:w="1302" w:type="dxa"/>
          </w:tcPr>
          <w:p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MDD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Calmar</w:t>
            </w:r>
          </w:p>
        </w:tc>
      </w:tr>
      <w:tr>
        <w:tc>
          <w:tcPr>
            <w:tcW w:w="2323" w:type="dxa"/>
          </w:tcPr>
          <w:p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trend_score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33.31%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26.09%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1.275</w:t>
            </w:r>
          </w:p>
        </w:tc>
        <w:tc>
          <w:tcPr>
            <w:tcW w:w="1302" w:type="dxa"/>
          </w:tcPr>
          <w:p>
            <w:pPr>
              <w:jc w:val="left"/>
            </w:pPr>
            <w:r>
              <w:rPr>
                <w:rFonts w:hint="eastAsia"/>
              </w:rPr>
              <w:t>-30.72%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1.084</w:t>
            </w:r>
          </w:p>
        </w:tc>
      </w:tr>
      <w:tr>
        <w:tc>
          <w:tcPr>
            <w:tcW w:w="2323" w:type="dxa"/>
          </w:tcPr>
          <w:p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trend_score_riskoff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29.30%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25.37%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1.180</w:t>
            </w:r>
          </w:p>
        </w:tc>
        <w:tc>
          <w:tcPr>
            <w:tcW w:w="1302" w:type="dxa"/>
          </w:tcPr>
          <w:p>
            <w:pPr>
              <w:jc w:val="left"/>
            </w:pPr>
            <w:r>
              <w:rPr>
                <w:rFonts w:hint="eastAsia"/>
              </w:rPr>
              <w:t>-35.50%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0.825</w:t>
            </w:r>
          </w:p>
        </w:tc>
      </w:tr>
      <w:tr>
        <w:tc>
          <w:tcPr>
            <w:tcW w:w="2323" w:type="dxa"/>
          </w:tcPr>
          <w:p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sharpe_momentum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27.41%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24.70%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1.141</w:t>
            </w:r>
          </w:p>
        </w:tc>
        <w:tc>
          <w:tcPr>
            <w:tcW w:w="1302" w:type="dxa"/>
          </w:tcPr>
          <w:p>
            <w:pPr>
              <w:jc w:val="left"/>
            </w:pPr>
            <w:r>
              <w:rPr>
                <w:rFonts w:hint="eastAsia"/>
              </w:rPr>
              <w:t>-27.45%</w:t>
            </w:r>
          </w:p>
        </w:tc>
        <w:tc>
          <w:tcPr>
            <w:tcW w:w="1218" w:type="dxa"/>
          </w:tcPr>
          <w:p>
            <w:pPr>
              <w:jc w:val="left"/>
            </w:pPr>
            <w:r>
              <w:rPr>
                <w:rFonts w:hint="eastAsia"/>
              </w:rPr>
              <w:t>0.998</w:t>
            </w:r>
          </w:p>
        </w:tc>
      </w:tr>
      <w:tr>
        <w:tc>
          <w:tcPr>
            <w:tcW w:w="2323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momentum_close</w:t>
            </w:r>
          </w:p>
        </w:tc>
        <w:tc>
          <w:tcPr>
            <w:tcW w:w="1218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32.12%</w:t>
            </w:r>
          </w:p>
        </w:tc>
        <w:tc>
          <w:tcPr>
            <w:tcW w:w="1218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26.41%</w:t>
            </w:r>
          </w:p>
        </w:tc>
        <w:tc>
          <w:tcPr>
            <w:tcW w:w="1218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1.227</w:t>
            </w:r>
          </w:p>
        </w:tc>
        <w:tc>
          <w:tcPr>
            <w:tcW w:w="1302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-27.77%</w:t>
            </w:r>
          </w:p>
        </w:tc>
        <w:tc>
          <w:tcPr>
            <w:tcW w:w="1218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1.157</w:t>
            </w:r>
          </w:p>
        </w:tc>
      </w:tr>
      <w:tr>
        <w:tc>
          <w:tcPr>
            <w:tcW w:w="2323" w:type="dxa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momentum_open</w:t>
            </w:r>
          </w:p>
        </w:tc>
        <w:tc>
          <w:tcPr>
            <w:tcW w:w="1218" w:type="dxa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29.61%</w:t>
            </w:r>
          </w:p>
        </w:tc>
        <w:tc>
          <w:tcPr>
            <w:tcW w:w="1218" w:type="dxa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27.02%</w:t>
            </w:r>
          </w:p>
        </w:tc>
        <w:tc>
          <w:tcPr>
            <w:tcW w:w="1218" w:type="dxa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1.131</w:t>
            </w:r>
          </w:p>
        </w:tc>
        <w:tc>
          <w:tcPr>
            <w:tcW w:w="1302" w:type="dxa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-28.50%</w:t>
            </w:r>
          </w:p>
        </w:tc>
        <w:tc>
          <w:tcPr>
            <w:tcW w:w="1218" w:type="dxa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1.039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优化后：</w:t>
      </w:r>
    </w:p>
    <w:tbl>
      <w:tblPr>
        <w:tblStyle w:val="6"/>
        <w:tblW w:w="0" w:type="auto"/>
        <w:tblInd w:w="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1217"/>
        <w:gridCol w:w="1218"/>
        <w:gridCol w:w="1227"/>
        <w:gridCol w:w="1304"/>
        <w:gridCol w:w="1221"/>
      </w:tblGrid>
      <w:tr>
        <w:tc>
          <w:tcPr>
            <w:tcW w:w="2309" w:type="dxa"/>
          </w:tcPr>
          <w:p>
            <w:pPr>
              <w:jc w:val="both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Factor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CAGR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Volatility</w:t>
            </w:r>
          </w:p>
        </w:tc>
        <w:tc>
          <w:tcPr>
            <w:tcW w:w="122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Sharpe</w:t>
            </w:r>
          </w:p>
        </w:tc>
        <w:tc>
          <w:tcPr>
            <w:tcW w:w="13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Theme="minorAscii" w:hAnsiTheme="minorAscii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MDD</w:t>
            </w:r>
          </w:p>
        </w:tc>
        <w:tc>
          <w:tcPr>
            <w:tcW w:w="12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Calmar</w:t>
            </w:r>
          </w:p>
        </w:tc>
      </w:tr>
      <w:tr>
        <w:tc>
          <w:tcPr>
            <w:tcW w:w="2309" w:type="dxa"/>
          </w:tcPr>
          <w:p>
            <w:pPr>
              <w:jc w:val="both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trend_score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34.21%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25.39%</w:t>
            </w:r>
          </w:p>
        </w:tc>
        <w:tc>
          <w:tcPr>
            <w:tcW w:w="122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1.33</w:t>
            </w:r>
          </w:p>
        </w:tc>
        <w:tc>
          <w:tcPr>
            <w:tcW w:w="13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-23.71%</w:t>
            </w:r>
          </w:p>
        </w:tc>
        <w:tc>
          <w:tcPr>
            <w:tcW w:w="12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1.44</w:t>
            </w:r>
          </w:p>
        </w:tc>
      </w:tr>
      <w:tr>
        <w:tc>
          <w:tcPr>
            <w:tcW w:w="2309" w:type="dxa"/>
          </w:tcPr>
          <w:p>
            <w:pPr>
              <w:jc w:val="both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trend_score_riskoff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27.70%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24.81%</w:t>
            </w:r>
          </w:p>
        </w:tc>
        <w:tc>
          <w:tcPr>
            <w:tcW w:w="122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1.15</w:t>
            </w:r>
          </w:p>
        </w:tc>
        <w:tc>
          <w:tcPr>
            <w:tcW w:w="13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-31.60%</w:t>
            </w:r>
          </w:p>
        </w:tc>
        <w:tc>
          <w:tcPr>
            <w:tcW w:w="12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0.88</w:t>
            </w:r>
          </w:p>
        </w:tc>
      </w:tr>
      <w:tr>
        <w:tc>
          <w:tcPr>
            <w:tcW w:w="2309" w:type="dxa"/>
          </w:tcPr>
          <w:p>
            <w:pPr>
              <w:jc w:val="both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sharpe_momentum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24.29%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24.09%</w:t>
            </w:r>
          </w:p>
        </w:tc>
        <w:tc>
          <w:tcPr>
            <w:tcW w:w="122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1.06</w:t>
            </w:r>
          </w:p>
        </w:tc>
        <w:tc>
          <w:tcPr>
            <w:tcW w:w="13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-25.20%</w:t>
            </w:r>
          </w:p>
        </w:tc>
        <w:tc>
          <w:tcPr>
            <w:tcW w:w="12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eastAsia"/>
              </w:rPr>
              <w:t>0.96</w:t>
            </w:r>
          </w:p>
        </w:tc>
      </w:tr>
      <w:tr>
        <w:tc>
          <w:tcPr>
            <w:tcW w:w="2309" w:type="dxa"/>
          </w:tcPr>
          <w:p>
            <w:pPr>
              <w:jc w:val="both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momentum_close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</w:rPr>
            </w:pPr>
            <w:r>
              <w:rPr>
                <w:rFonts w:hint="eastAsia"/>
              </w:rPr>
              <w:t>21.57%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</w:rPr>
            </w:pPr>
            <w:r>
              <w:rPr>
                <w:rFonts w:hint="eastAsia"/>
              </w:rPr>
              <w:t>24.78%</w:t>
            </w:r>
          </w:p>
        </w:tc>
        <w:tc>
          <w:tcPr>
            <w:tcW w:w="122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</w:rPr>
            </w:pPr>
            <w:r>
              <w:rPr>
                <w:rFonts w:hint="eastAsia"/>
              </w:rPr>
              <w:t>0.94</w:t>
            </w:r>
          </w:p>
        </w:tc>
        <w:tc>
          <w:tcPr>
            <w:tcW w:w="13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</w:rPr>
            </w:pPr>
            <w:r>
              <w:rPr>
                <w:rFonts w:hint="eastAsia"/>
              </w:rPr>
              <w:t>-49.54%</w:t>
            </w:r>
          </w:p>
        </w:tc>
        <w:tc>
          <w:tcPr>
            <w:tcW w:w="12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</w:rPr>
            </w:pPr>
            <w:r>
              <w:rPr>
                <w:rFonts w:hint="eastAsia"/>
              </w:rPr>
              <w:t>0.44</w:t>
            </w:r>
          </w:p>
        </w:tc>
      </w:tr>
      <w:tr>
        <w:tc>
          <w:tcPr>
            <w:tcW w:w="2309" w:type="dxa"/>
          </w:tcPr>
          <w:p>
            <w:pPr>
              <w:jc w:val="both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momentum_open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28.43%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26.58%</w:t>
            </w:r>
          </w:p>
        </w:tc>
        <w:tc>
          <w:tcPr>
            <w:tcW w:w="122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1.11</w:t>
            </w:r>
          </w:p>
        </w:tc>
        <w:tc>
          <w:tcPr>
            <w:tcW w:w="13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-27.06%</w:t>
            </w:r>
          </w:p>
        </w:tc>
        <w:tc>
          <w:tcPr>
            <w:tcW w:w="122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Ascii" w:hAnsiTheme="minorAscii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1.05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总结：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回测结果来看，trend_score和momentum_close均表现较强，其中trend_score在收益率、夏普比率和稳定性方面整体优于其他因子。引入基于回撤95%分位数的动态风控机制后，各因子表现出现分化：trend_score的年化收益率由33.31%提升至34.21%，最大回撤由30.72%下降至23.71%，Calmar比率由1.08提升至1.44，风险收益特征得到明显改善；而momentum_close等因子则因频繁退出市场导致收益下降。综合收益、回撤和风险调整收益指标来看，trend_score结合动态回撤风控后的表现最佳，在本研究的ETF风格轮动策略中展现出最优的综合性能和稳健性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数据多：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每年记录回撤夏普：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6E672B"/>
    <w:multiLevelType w:val="singleLevel"/>
    <w:tmpl w:val="6F6E672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F8B01"/>
    <w:rsid w:val="2FF3DD3E"/>
    <w:rsid w:val="377B01E8"/>
    <w:rsid w:val="377F8B01"/>
    <w:rsid w:val="3BFF4BDF"/>
    <w:rsid w:val="3FDF7C72"/>
    <w:rsid w:val="67FF9EB0"/>
    <w:rsid w:val="7E8BD339"/>
    <w:rsid w:val="7F9712A2"/>
    <w:rsid w:val="DFF6591A"/>
    <w:rsid w:val="EFEF9692"/>
    <w:rsid w:val="F39FE5B5"/>
    <w:rsid w:val="F7EFF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2026-06-03T16:50:00Z</dcterms:created>
  <dc:creator>王子杰</dc:creator>
  <cp:lastModifiedBy>王子杰</cp:lastModifiedBy>
  <dcterms:modified xsi:type="dcterms:W3CDTF">2026-06-05T16:48:33Z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AF1C4000248DC00447991E6AE6A84DA8_41</vt:lpwstr>
  </property>
</Properties>
</file>