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趋势轮动：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先剔除近三天下跌超5%的标的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atr判断使用回溯时间序列长度：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atr</w:t>
      </w:r>
      <w:r>
        <w:rPr>
          <w:rFonts w:hint="default"/>
          <w:lang w:val="en-US" w:eastAsia="zh-CN"/>
        </w:rPr>
        <w:t>(60) &gt; atr(20)</w:t>
      </w:r>
      <w:r>
        <w:rPr>
          <w:rFonts w:hint="eastAsia"/>
          <w:lang w:val="en-US" w:eastAsia="zh-CN"/>
        </w:rPr>
        <w:t>：使用20日拟合趋势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</w:t>
      </w:r>
      <w:r>
        <w:rPr>
          <w:rFonts w:hint="default"/>
          <w:lang w:val="en-US" w:eastAsia="zh-CN"/>
        </w:rPr>
        <w:t>(60) &lt; atr(20)</w:t>
      </w:r>
      <w:r>
        <w:rPr>
          <w:rFonts w:hint="eastAsia"/>
          <w:lang w:val="en-US" w:eastAsia="zh-CN"/>
        </w:rPr>
        <w:t>：使用60日拟合趋势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趋势打分因子：(e</w:t>
      </w:r>
      <w:r>
        <w:rPr>
          <w:rFonts w:hint="default"/>
          <w:vertAlign w:val="superscript"/>
          <w:lang w:val="en-US" w:eastAsia="zh-CN"/>
        </w:rPr>
        <w:t>(</w:t>
      </w:r>
      <w:r>
        <w:rPr>
          <w:rFonts w:hint="eastAsia"/>
          <w:vertAlign w:val="superscript"/>
          <w:lang w:val="en-US" w:eastAsia="zh-CN"/>
        </w:rPr>
        <w:t>252 * slope</w:t>
      </w:r>
      <w:r>
        <w:rPr>
          <w:rFonts w:hint="default"/>
          <w:vertAlign w:val="superscript"/>
          <w:lang w:val="en-US" w:eastAsia="zh-CN"/>
        </w:rPr>
        <w:t>)</w:t>
      </w:r>
      <w:r>
        <w:rPr>
          <w:rFonts w:hint="eastAsia"/>
          <w:lang w:val="en-US" w:eastAsia="zh-CN"/>
        </w:rPr>
        <w:t>−1)×R2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每天全仓分数最高的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轮动池：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股票（3只）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"510300.SSE", # 沪深300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"510500.SSE", # 中证500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"159915.SZSE", # 创业板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债券（2只）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"511010.SSE", # 国债ETF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"511260.SSE", # 10年国债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黄金和海外（2只）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"518880.SSE", # 黄金ETF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"513100.SSE", # 纳指ETF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618105"/>
            <wp:effectExtent l="0" t="0" r="12065" b="23495"/>
            <wp:docPr id="5" name="图片 5" descr="新趋势因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新趋势因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回测表现：</w:t>
      </w:r>
      <w:bookmarkStart w:id="0" w:name="_GoBack"/>
      <w:bookmarkEnd w:id="0"/>
    </w:p>
    <w:tbl>
      <w:tblPr>
        <w:tblStyle w:val="2"/>
        <w:tblW w:w="75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290"/>
        <w:gridCol w:w="1080"/>
        <w:gridCol w:w="1080"/>
        <w:gridCol w:w="1080"/>
        <w:gridCol w:w="1080"/>
      </w:tblGrid>
      <w:tr>
        <w:trPr>
          <w:trHeight w:val="336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年份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起始日期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结束日期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2018/2/2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2018/12/28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12.14%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10.52%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-31.38%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0.51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2019/1/2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2019/12/31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144.34%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137.51%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-13.87%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2.33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2020/1/2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2020/12/31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57.02%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54.51%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-34.52%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1.1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2021/1/4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2021/12/31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28.91%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27.75%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-18.39%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1.04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2022/1/4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2022/12/30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14.42%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13.81%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-17.59%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0.69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2023/1/3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2023/12/29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26.36%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25.19%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-18.39%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1.28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2024/1/2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2024/12/31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15.59%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14.93%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-23.37%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0.68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2025/1/2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2025/12/31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94.37%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89.81%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-10.82%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2.49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2026/1/5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2026/5/29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96.95%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29.11%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-11.42%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2.4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策略与基准对比：</w:t>
      </w:r>
    </w:p>
    <w:tbl>
      <w:tblPr>
        <w:tblStyle w:val="2"/>
        <w:tblW w:w="78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</w:tblGrid>
      <w:tr>
        <w:trPr>
          <w:trHeight w:val="623" w:hRule="atLeast"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年化波动率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</w:tr>
      <w:tr>
        <w:trPr>
          <w:trHeight w:val="34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0.1259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1.1089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0.1271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-0.1811</w:t>
            </w:r>
          </w:p>
        </w:tc>
      </w:tr>
      <w:tr>
        <w:trPr>
          <w:trHeight w:val="35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0.3328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5.0988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0.2126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1.463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-0.1829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Alpha (年化): 19.98%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Beta: 0.894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IR</w:t>
      </w:r>
      <w:r>
        <w:rPr>
          <w:rFonts w:hint="default"/>
          <w:lang w:val="en-US" w:eastAsia="zh-CN"/>
        </w:rPr>
        <w:t>: 0.939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C3C87"/>
    <w:multiLevelType w:val="singleLevel"/>
    <w:tmpl w:val="AAEC3C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BC904"/>
    <w:rsid w:val="3ADBC904"/>
    <w:rsid w:val="7F9F9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2026-07-03T16:53:00Z</dcterms:created>
  <dc:creator>王子杰</dc:creator>
  <cp:lastModifiedBy>王子杰</cp:lastModifiedBy>
  <dcterms:modified xsi:type="dcterms:W3CDTF">2026-07-03T16:53:50Z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573B3385A120C6CB7B78476A3BB15C5E_41</vt:lpwstr>
  </property>
</Properties>
</file>