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B7D37D1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6D4493">
        <w:rPr>
          <w:b/>
          <w:sz w:val="44"/>
          <w:szCs w:val="20"/>
        </w:rPr>
        <w:t xml:space="preserve">September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DB602B">
        <w:rPr>
          <w:b/>
          <w:sz w:val="44"/>
          <w:szCs w:val="20"/>
        </w:rPr>
        <w:t>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307AC74C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77777777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r w:rsidR="002915CE" w:rsidRPr="00E70C97">
        <w:t>Norne_Fm.lyr</w:t>
      </w:r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28807F93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r w:rsidRPr="00F44602">
        <w:t>Norne_subZones.lyr</w:t>
      </w:r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495333B4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20AE92AF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054ECFF8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59211975" w:rsidR="00B01899" w:rsidRPr="0045247E" w:rsidRDefault="00B01899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  <w:r w:rsidR="0045247E">
        <w:rPr>
          <w:b/>
          <w:color w:val="000000" w:themeColor="text1"/>
        </w:rPr>
        <w:br/>
      </w:r>
      <w:r w:rsidR="0045247E" w:rsidRPr="0045247E">
        <w:rPr>
          <w:bCs/>
          <w:color w:val="000000" w:themeColor="text1"/>
        </w:rPr>
        <w:t>A custom 3D view is created with only data for wells related to the flow in B-2H.</w:t>
      </w:r>
    </w:p>
    <w:p w14:paraId="087ABA4C" w14:textId="5D3CDD51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  <w:r w:rsidR="0045247E">
        <w:rPr>
          <w:color w:val="000000" w:themeColor="text1"/>
        </w:rPr>
        <w:br/>
        <w:t>The bands visualize the flow direction/rate between wells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EEACB02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2EACE6E0" w:rsidR="00D770DC" w:rsidRDefault="00000000" w:rsidP="00D770DC">
      <w:pPr>
        <w:rPr>
          <w:color w:val="000000" w:themeColor="text1"/>
        </w:rPr>
      </w:pPr>
      <w:hyperlink r:id="rId36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7BFB3EA2" w14:textId="77777777" w:rsidR="006E59A3" w:rsidRPr="00E70C97" w:rsidRDefault="006E59A3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0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4CA6454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>avigate to B-2H W</w:t>
      </w:r>
      <w:r w:rsidR="00034A19"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</w:t>
      </w:r>
      <w:r w:rsidR="00034A19">
        <w:t>2</w:t>
      </w:r>
      <w:r w:rsidR="00241BF2" w:rsidRPr="00E70C97">
        <w:t>H</w:t>
      </w:r>
      <w:r w:rsidR="00034A19"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Calculate </w:t>
      </w:r>
      <w:r w:rsidR="00034A19">
        <w:t xml:space="preserve">gas-oil ratio </w:t>
      </w:r>
      <w:r w:rsidRPr="00E70C97">
        <w:t>for B-</w:t>
      </w:r>
      <w:r w:rsidR="00D6747C">
        <w:t>2</w:t>
      </w:r>
      <w:r w:rsidRPr="00E70C97">
        <w:t>H</w:t>
      </w:r>
      <w:r w:rsidR="00034A19">
        <w:t xml:space="preserve"> using the formula my_GOR := GasRate/OilRate</w:t>
      </w:r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>Drag and drop my_GOR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r w:rsidRPr="000354C6">
        <w:rPr>
          <w:rFonts w:eastAsia="Times New Roman"/>
          <w:b/>
          <w:bCs/>
        </w:rPr>
        <w:t>my_GOR</w:t>
      </w:r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The calculation FOPT+WOPT B-2H will appear in field vectors, and the WOPT B-2H+FOPT will appear in wells</w:t>
      </w:r>
    </w:p>
    <w:p w14:paraId="7D59F40C" w14:textId="7F39EC6C" w:rsidR="00265817" w:rsidRDefault="00265817" w:rsidP="00FD5D4B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265817">
        <w:rPr>
          <w:rFonts w:eastAsia="Times New Roman"/>
        </w:rPr>
        <w:t>The user can control if a calculation should be distributed to other items in the same group</w:t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14:paraId="4F5B7CA1" w14:textId="77777777" w:rsidR="00265817" w:rsidRPr="00E70C97" w:rsidRDefault="00265817" w:rsidP="00265817">
      <w:pPr>
        <w:pStyle w:val="ListParagraph"/>
      </w:pPr>
    </w:p>
    <w:p w14:paraId="7813E52F" w14:textId="5AAD18B3" w:rsidR="00815A74" w:rsidRDefault="00815A74" w:rsidP="00241BF2">
      <w:pPr>
        <w:pStyle w:val="ListParagraph"/>
      </w:pPr>
    </w:p>
    <w:p w14:paraId="0FB46503" w14:textId="70B40984" w:rsidR="00034A19" w:rsidRDefault="000354C6" w:rsidP="000354C6">
      <w:pPr>
        <w:pStyle w:val="ListParagraph"/>
        <w:jc w:val="center"/>
      </w:pPr>
      <w:r w:rsidRPr="000354C6">
        <w:rPr>
          <w:noProof/>
        </w:rPr>
        <w:drawing>
          <wp:inline distT="0" distB="0" distL="0" distR="0" wp14:anchorId="45DDED89" wp14:editId="3009ED56">
            <wp:extent cx="4871923" cy="2536319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261" cy="25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5E4805D8" w14:textId="106FF18D" w:rsidR="000354C6" w:rsidRDefault="00000000" w:rsidP="000354C6">
      <w:pPr>
        <w:pStyle w:val="ListParagraph"/>
      </w:pPr>
      <w:hyperlink r:id="rId44" w:history="1">
        <w:r w:rsidR="000354C6"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r w:rsidR="00A22895" w:rsidRPr="00E70C97">
        <w:t>norne_well_data</w:t>
      </w:r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A22895" w:rsidRPr="00E70C97">
        <w:t>norne_well_data</w:t>
      </w:r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r w:rsidRPr="00E70C97">
        <w:rPr>
          <w:b/>
          <w:bCs/>
        </w:rPr>
        <w:t>yyyy-MM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“norne_well_data/BHP_B1-H_error.csv”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Enable the checkbox “Use Custom Date Time Formant” and type the string yyyy-MM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081E5540" w:rsidR="00322195" w:rsidRPr="004302D3" w:rsidRDefault="0096249C" w:rsidP="004302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F4DE92" wp14:editId="37F1B5A4">
            <wp:extent cx="2947916" cy="2550846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7857" cy="25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tab/>
      </w:r>
      <w:r w:rsidR="00322195">
        <w:tab/>
      </w:r>
      <w:r w:rsidR="00322195">
        <w:tab/>
      </w:r>
      <w:r w:rsidR="00322195">
        <w:rPr>
          <w:noProof/>
        </w:rPr>
        <w:drawing>
          <wp:inline distT="0" distB="0" distL="0" distR="0" wp14:anchorId="48EC2695" wp14:editId="797CB5E8">
            <wp:extent cx="2921788" cy="2306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0059" cy="23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br/>
      </w:r>
      <w:r w:rsidR="00322195" w:rsidRPr="004302D3">
        <w:rPr>
          <w:b/>
          <w:bCs/>
          <w:sz w:val="20"/>
          <w:szCs w:val="20"/>
        </w:rPr>
        <w:t xml:space="preserve">            Figure 1: B-1H WBHP from step 3-5 above</w:t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>Figure 1: B-1H WBHP from step 6-8 above</w:t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4F875553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“reek_ensemble\3_r001_reek_50\realization-0\</w:t>
      </w:r>
      <w:r w:rsidR="0036039C">
        <w:t>iter-0</w:t>
      </w:r>
      <w:r w:rsidR="0057328C">
        <w:t>\*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“reek_ensemble\3_r001_reek_50\realization-0\base_pred\eclipse\*"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“reek_ensemble\3_r001_reek_50\realization-0\pred_op6\eclipse\*"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base_pred</w:t>
      </w:r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r w:rsidR="00AD1C83">
        <w:t>base_</w:t>
      </w:r>
      <w:r w:rsidR="003E7089" w:rsidRPr="00E70C97">
        <w:t>pred)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“reek_ensemble\3_r001_reek_50\realization-0\base_pred\eclipse\*"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“wopr_two_cases”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“wopr_two_cases”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52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  <w:r w:rsidR="00540ECF">
        <w:t xml:space="preserve"> </w:t>
      </w:r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r w:rsidR="00A22895" w:rsidRPr="00E70C97">
        <w:t>norne_rft</w:t>
      </w:r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“norne_rft”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53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2F1049C5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07DA1F5B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“reek_rft”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56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0D7A9B5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58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59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C9686D5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"reek_ensemble/3_r001_reek_50/realization-0/base_pred”</w:t>
      </w:r>
    </w:p>
    <w:p w14:paraId="305A372C" w14:textId="55BF5971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base_pred)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116A1E12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63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5548B9ED" w:rsidR="006D4493" w:rsidRDefault="006D4493">
      <w:pPr>
        <w:rPr>
          <w:rStyle w:val="Hyperlink"/>
        </w:rPr>
      </w:pPr>
      <w:r>
        <w:rPr>
          <w:rStyle w:val="Hyperlink"/>
        </w:rPr>
        <w:br w:type="page"/>
      </w:r>
    </w:p>
    <w:p w14:paraId="1D818D5B" w14:textId="5F436A86" w:rsidR="006D4493" w:rsidRPr="006D4493" w:rsidRDefault="006D4493" w:rsidP="006D4493">
      <w:pPr>
        <w:pStyle w:val="Heading2"/>
        <w:rPr>
          <w:rStyle w:val="Hyperlink"/>
          <w:color w:val="2F5496" w:themeColor="accent1" w:themeShade="BF"/>
          <w:u w:val="none"/>
        </w:rPr>
      </w:pPr>
      <w:r w:rsidRPr="006D4493">
        <w:rPr>
          <w:rStyle w:val="Hyperlink"/>
          <w:color w:val="2F5496" w:themeColor="accent1" w:themeShade="BF"/>
          <w:u w:val="none"/>
        </w:rPr>
        <w:lastRenderedPageBreak/>
        <w:tab/>
      </w:r>
      <w:r>
        <w:rPr>
          <w:rStyle w:val="Hyperlink"/>
          <w:color w:val="2F5496" w:themeColor="accent1" w:themeShade="BF"/>
          <w:u w:val="none"/>
        </w:rPr>
        <w:t>Seismic Data</w:t>
      </w:r>
    </w:p>
    <w:p w14:paraId="7DBE52AF" w14:textId="0E4901EF" w:rsidR="006D4493" w:rsidRDefault="006D4493" w:rsidP="006D449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Import and visualize seismic data</w:t>
      </w:r>
      <w:r w:rsidR="00692EB8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. Compare with reservoir data.</w:t>
      </w:r>
    </w:p>
    <w:p w14:paraId="248950E2" w14:textId="25303607" w:rsidR="006D4493" w:rsidRPr="00692EB8" w:rsidRDefault="006D4493" w:rsidP="006D4493">
      <w:pPr>
        <w:numPr>
          <w:ilvl w:val="0"/>
          <w:numId w:val="37"/>
        </w:numPr>
        <w:contextualSpacing/>
        <w:rPr>
          <w:lang w:val="sv-SE"/>
        </w:rPr>
      </w:pPr>
      <w:r w:rsidRPr="00692EB8">
        <w:rPr>
          <w:lang w:val="sv-SE"/>
        </w:rPr>
        <w:t xml:space="preserve">Import </w:t>
      </w:r>
      <w:r w:rsidR="00692EB8" w:rsidRPr="00692EB8">
        <w:rPr>
          <w:lang w:val="sv-SE"/>
        </w:rPr>
        <w:t xml:space="preserve">the Drogon grid model from </w:t>
      </w:r>
      <w:r w:rsidRPr="00692EB8">
        <w:rPr>
          <w:lang w:val="sv-SE"/>
        </w:rPr>
        <w:t>"</w:t>
      </w:r>
      <w:r w:rsidR="00692EB8" w:rsidRPr="00692EB8">
        <w:rPr>
          <w:lang w:val="sv-SE"/>
        </w:rPr>
        <w:t>drogon</w:t>
      </w:r>
      <w:r w:rsidR="00692EB8" w:rsidRPr="00692EB8">
        <w:rPr>
          <w:lang w:val="sv-SE"/>
        </w:rPr>
        <w:t>/</w:t>
      </w:r>
      <w:r w:rsidR="00692EB8" w:rsidRPr="00692EB8">
        <w:rPr>
          <w:lang w:val="sv-SE"/>
        </w:rPr>
        <w:t>DROGON-0.EGRID</w:t>
      </w:r>
      <w:r w:rsidRPr="00692EB8">
        <w:rPr>
          <w:lang w:val="sv-SE"/>
        </w:rPr>
        <w:t>”</w:t>
      </w:r>
    </w:p>
    <w:p w14:paraId="03BB9DED" w14:textId="218B48E4" w:rsidR="00692EB8" w:rsidRDefault="00692EB8" w:rsidP="00692EB8">
      <w:pPr>
        <w:numPr>
          <w:ilvl w:val="0"/>
          <w:numId w:val="37"/>
        </w:numPr>
        <w:contextualSpacing/>
      </w:pPr>
      <w:r w:rsidRPr="00692EB8">
        <w:t xml:space="preserve">Import </w:t>
      </w:r>
      <w:r w:rsidRPr="00692EB8">
        <w:t xml:space="preserve">seismic data from </w:t>
      </w:r>
      <w:r w:rsidRPr="00692EB8">
        <w:t>"drogon/seismic</w:t>
      </w:r>
      <w:r>
        <w:t>/</w:t>
      </w:r>
      <w:r w:rsidRPr="00692EB8">
        <w:t>seismic--amplitude_depth--20180701_20180101.vds”</w:t>
      </w:r>
    </w:p>
    <w:p w14:paraId="0CD203CC" w14:textId="4C4E5816" w:rsidR="00015F09" w:rsidRDefault="00015F09" w:rsidP="00692EB8">
      <w:pPr>
        <w:numPr>
          <w:ilvl w:val="0"/>
          <w:numId w:val="37"/>
        </w:numPr>
        <w:contextualSpacing/>
      </w:pPr>
      <w:r>
        <w:t xml:space="preserve">Right-click </w:t>
      </w:r>
      <w:r w:rsidRPr="00B016CF">
        <w:rPr>
          <w:b/>
          <w:bCs/>
        </w:rPr>
        <w:t>Surfaces</w:t>
      </w:r>
      <w:r>
        <w:t xml:space="preserve">, and select </w:t>
      </w:r>
      <w:r w:rsidRPr="00B016CF">
        <w:rPr>
          <w:b/>
          <w:bCs/>
        </w:rPr>
        <w:t>Create Grid Case Surface</w:t>
      </w:r>
    </w:p>
    <w:p w14:paraId="4175BE59" w14:textId="4B232EE6" w:rsidR="00015F09" w:rsidRDefault="00015F09" w:rsidP="00692EB8">
      <w:pPr>
        <w:numPr>
          <w:ilvl w:val="0"/>
          <w:numId w:val="37"/>
        </w:numPr>
        <w:contextualSpacing/>
      </w:pPr>
      <w:r>
        <w:t xml:space="preserve">In the </w:t>
      </w:r>
      <w:r w:rsidRPr="00B016CF">
        <w:rPr>
          <w:b/>
          <w:bCs/>
        </w:rPr>
        <w:t>Project Tree</w:t>
      </w:r>
      <w:r>
        <w:t xml:space="preserve">, </w:t>
      </w:r>
      <w:r w:rsidR="00B016CF">
        <w:t xml:space="preserve">toggle off </w:t>
      </w:r>
      <w:r w:rsidRPr="00B016CF">
        <w:rPr>
          <w:b/>
          <w:bCs/>
        </w:rPr>
        <w:t>Grids</w:t>
      </w:r>
      <w:r>
        <w:t xml:space="preserve"> to </w:t>
      </w:r>
      <w:r w:rsidR="00B016CF">
        <w:t xml:space="preserve">be able to see seismic data (optionally toggle off </w:t>
      </w:r>
      <w:r w:rsidR="00B016CF" w:rsidRPr="00B016CF">
        <w:rPr>
          <w:b/>
          <w:bCs/>
        </w:rPr>
        <w:t>Faults</w:t>
      </w:r>
      <w:r w:rsidR="00B016CF">
        <w:t>)</w:t>
      </w:r>
    </w:p>
    <w:p w14:paraId="538DE4E3" w14:textId="597419EA" w:rsidR="00692EB8" w:rsidRDefault="00B016CF" w:rsidP="00614F66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16CF">
        <w:rPr>
          <w:b/>
          <w:bCs/>
        </w:rPr>
        <w:t>Se</w:t>
      </w:r>
      <w:r w:rsidR="00944FB8">
        <w:rPr>
          <w:b/>
          <w:bCs/>
        </w:rPr>
        <w:t>i</w:t>
      </w:r>
      <w:r w:rsidRPr="00B016CF">
        <w:rPr>
          <w:b/>
          <w:bCs/>
        </w:rPr>
        <w:t>smic Sections</w:t>
      </w:r>
      <w:r>
        <w:t>, select “New Inline Section” and investigate seismic data in the view</w:t>
      </w:r>
    </w:p>
    <w:p w14:paraId="0AB964DE" w14:textId="759768A4" w:rsidR="00015F09" w:rsidRDefault="00015F09" w:rsidP="00015F09">
      <w:pPr>
        <w:numPr>
          <w:ilvl w:val="1"/>
          <w:numId w:val="37"/>
        </w:numPr>
        <w:contextualSpacing/>
      </w:pPr>
      <w:r>
        <w:t xml:space="preserve">Activate the </w:t>
      </w:r>
      <w:r w:rsidR="00B016CF" w:rsidRPr="00B016CF">
        <w:rPr>
          <w:b/>
          <w:bCs/>
        </w:rPr>
        <w:t>S</w:t>
      </w:r>
      <w:r w:rsidRPr="00B016CF">
        <w:rPr>
          <w:b/>
          <w:bCs/>
        </w:rPr>
        <w:t xml:space="preserve">eismic </w:t>
      </w:r>
      <w:r w:rsidR="00B016CF" w:rsidRPr="00B016CF">
        <w:rPr>
          <w:b/>
          <w:bCs/>
        </w:rPr>
        <w:t>H</w:t>
      </w:r>
      <w:r w:rsidRPr="00B016CF">
        <w:rPr>
          <w:b/>
          <w:bCs/>
        </w:rPr>
        <w:t>istogram</w:t>
      </w:r>
      <w:r w:rsidR="00B016CF">
        <w:rPr>
          <w:b/>
          <w:bCs/>
        </w:rPr>
        <w:t xml:space="preserve"> </w:t>
      </w:r>
      <w:r w:rsidR="00B016CF" w:rsidRPr="00B016CF">
        <w:t>dialog</w:t>
      </w:r>
      <w:r w:rsidR="00B016CF">
        <w:t xml:space="preserve"> to see the value distribution</w:t>
      </w:r>
    </w:p>
    <w:p w14:paraId="1939C3F9" w14:textId="073135E0" w:rsidR="00015F09" w:rsidRDefault="00015F09" w:rsidP="00015F09">
      <w:pPr>
        <w:numPr>
          <w:ilvl w:val="1"/>
          <w:numId w:val="37"/>
        </w:numPr>
        <w:contextualSpacing/>
      </w:pPr>
      <w:r>
        <w:t xml:space="preserve">Click on red and blue parts </w:t>
      </w:r>
      <w:r w:rsidR="00B016CF">
        <w:t xml:space="preserve">of the seismic slice </w:t>
      </w:r>
      <w:r>
        <w:t>to see the associated seismic value</w:t>
      </w:r>
      <w:r w:rsidR="00B016CF">
        <w:t xml:space="preserve"> in the </w:t>
      </w:r>
      <w:r w:rsidR="00B016CF" w:rsidRPr="00B016CF">
        <w:rPr>
          <w:b/>
          <w:bCs/>
        </w:rPr>
        <w:t>Result Info</w:t>
      </w:r>
      <w:r w:rsidR="00B016CF">
        <w:t xml:space="preserve"> dialog, see how the reported values corresponds to the seismic color legend</w:t>
      </w:r>
    </w:p>
    <w:p w14:paraId="5EDB775A" w14:textId="7E923848" w:rsidR="00B016CF" w:rsidRDefault="00B016CF" w:rsidP="00015F09">
      <w:pPr>
        <w:numPr>
          <w:ilvl w:val="1"/>
          <w:numId w:val="37"/>
        </w:numPr>
        <w:contextualSpacing/>
      </w:pPr>
      <w:r>
        <w:t xml:space="preserve">Select the </w:t>
      </w:r>
      <w:r w:rsidRPr="00B016CF">
        <w:rPr>
          <w:b/>
          <w:bCs/>
        </w:rPr>
        <w:t>Inline</w:t>
      </w:r>
      <w:r>
        <w:t xml:space="preserve"> object, and manipulate the </w:t>
      </w:r>
      <w:r w:rsidRPr="00B016CF">
        <w:rPr>
          <w:b/>
          <w:bCs/>
        </w:rPr>
        <w:t xml:space="preserve">Inline </w:t>
      </w:r>
      <w:r>
        <w:t xml:space="preserve">value in the </w:t>
      </w:r>
      <w:r w:rsidRPr="00B016CF">
        <w:rPr>
          <w:b/>
          <w:bCs/>
        </w:rPr>
        <w:t>Property Editor</w:t>
      </w:r>
    </w:p>
    <w:p w14:paraId="34081FF6" w14:textId="0EFAF43F" w:rsidR="00015F09" w:rsidRDefault="00015F09" w:rsidP="00015F09">
      <w:pPr>
        <w:numPr>
          <w:ilvl w:val="0"/>
          <w:numId w:val="37"/>
        </w:numPr>
        <w:contextualSpacing/>
      </w:pPr>
      <w:r>
        <w:t>Select the seismic data source, and adjust the mute and clip values to filter our unwanted data</w:t>
      </w:r>
    </w:p>
    <w:p w14:paraId="795A2A71" w14:textId="6C22B6F6" w:rsidR="00015F09" w:rsidRDefault="00015F09" w:rsidP="00015F09">
      <w:pPr>
        <w:numPr>
          <w:ilvl w:val="1"/>
          <w:numId w:val="37"/>
        </w:numPr>
        <w:contextualSpacing/>
      </w:pPr>
      <w:r>
        <w:t xml:space="preserve">Set </w:t>
      </w:r>
      <w:r w:rsidRPr="00015F09">
        <w:rPr>
          <w:b/>
          <w:bCs/>
        </w:rPr>
        <w:t>Clip Value</w:t>
      </w:r>
      <w:r>
        <w:t xml:space="preserve"> to 0.003</w:t>
      </w:r>
    </w:p>
    <w:p w14:paraId="50F62618" w14:textId="245F5C06" w:rsidR="00015F09" w:rsidRDefault="00015F09" w:rsidP="00015F09">
      <w:pPr>
        <w:numPr>
          <w:ilvl w:val="1"/>
          <w:numId w:val="37"/>
        </w:numPr>
        <w:contextualSpacing/>
      </w:pPr>
      <w:r>
        <w:t xml:space="preserve">Set </w:t>
      </w:r>
      <w:r w:rsidRPr="00015F09">
        <w:rPr>
          <w:b/>
          <w:bCs/>
        </w:rPr>
        <w:t>Mute Value</w:t>
      </w:r>
      <w:r>
        <w:t xml:space="preserve"> to 0.001</w:t>
      </w:r>
    </w:p>
    <w:p w14:paraId="16A645F2" w14:textId="42181C56" w:rsidR="00015F09" w:rsidRPr="00944FB8" w:rsidRDefault="00B016CF" w:rsidP="00B016CF">
      <w:pPr>
        <w:numPr>
          <w:ilvl w:val="1"/>
          <w:numId w:val="37"/>
        </w:numPr>
        <w:contextualSpacing/>
      </w:pPr>
      <w:r>
        <w:t xml:space="preserve">Select the </w:t>
      </w:r>
      <w:r w:rsidRPr="00B016CF">
        <w:rPr>
          <w:b/>
          <w:bCs/>
        </w:rPr>
        <w:t>Inline</w:t>
      </w:r>
      <w:r>
        <w:t xml:space="preserve"> object,</w:t>
      </w:r>
      <w:r>
        <w:t xml:space="preserve"> expand the </w:t>
      </w:r>
      <w:r w:rsidRPr="00B016CF">
        <w:rPr>
          <w:b/>
          <w:bCs/>
        </w:rPr>
        <w:t>Experimental</w:t>
      </w:r>
      <w:r>
        <w:t xml:space="preserve"> group</w:t>
      </w:r>
      <w:r>
        <w:t xml:space="preserve"> and </w:t>
      </w:r>
      <w:r>
        <w:t xml:space="preserve">activate </w:t>
      </w:r>
      <w:r w:rsidRPr="00B016CF">
        <w:rPr>
          <w:b/>
          <w:bCs/>
        </w:rPr>
        <w:t>Transparent</w:t>
      </w:r>
    </w:p>
    <w:p w14:paraId="33F3623A" w14:textId="29D40F82" w:rsidR="00944FB8" w:rsidRPr="00944FB8" w:rsidRDefault="00944FB8" w:rsidP="00B016CF">
      <w:pPr>
        <w:numPr>
          <w:ilvl w:val="1"/>
          <w:numId w:val="37"/>
        </w:numPr>
        <w:contextualSpacing/>
      </w:pPr>
      <w:r>
        <w:t xml:space="preserve">Move </w:t>
      </w:r>
      <w:r w:rsidRPr="00944FB8">
        <w:t>the inline to see how seismic data correlates to grid model geometry</w:t>
      </w:r>
    </w:p>
    <w:p w14:paraId="73ABE551" w14:textId="760DF827" w:rsidR="009C76F5" w:rsidRDefault="009C76F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3A37A66" w14:textId="53CFD02D" w:rsidR="009C76F5" w:rsidRPr="006D4493" w:rsidRDefault="009C76F5" w:rsidP="009C76F5">
      <w:pPr>
        <w:pStyle w:val="Heading2"/>
        <w:rPr>
          <w:rStyle w:val="Hyperlink"/>
          <w:color w:val="2F5496" w:themeColor="accent1" w:themeShade="BF"/>
          <w:u w:val="none"/>
        </w:rPr>
      </w:pPr>
      <w:r>
        <w:rPr>
          <w:rStyle w:val="Hyperlink"/>
          <w:color w:val="2F5496" w:themeColor="accent1" w:themeShade="BF"/>
          <w:u w:val="none"/>
        </w:rPr>
        <w:lastRenderedPageBreak/>
        <w:t>Seismic Data</w:t>
      </w:r>
      <w:r>
        <w:rPr>
          <w:rStyle w:val="Hyperlink"/>
          <w:color w:val="2F5496" w:themeColor="accent1" w:themeShade="BF"/>
          <w:u w:val="none"/>
        </w:rPr>
        <w:t xml:space="preserve"> along a well path</w:t>
      </w:r>
    </w:p>
    <w:p w14:paraId="719B67EE" w14:textId="3F6F0B31" w:rsidR="009C76F5" w:rsidRDefault="009C76F5" w:rsidP="009C76F5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See seismic data along a well path</w:t>
      </w:r>
    </w:p>
    <w:p w14:paraId="71EEFD3C" w14:textId="77777777" w:rsidR="009C76F5" w:rsidRPr="00692EB8" w:rsidRDefault="009C76F5" w:rsidP="009C76F5">
      <w:pPr>
        <w:numPr>
          <w:ilvl w:val="0"/>
          <w:numId w:val="37"/>
        </w:numPr>
        <w:contextualSpacing/>
        <w:rPr>
          <w:lang w:val="sv-SE"/>
        </w:rPr>
      </w:pPr>
      <w:r w:rsidRPr="00692EB8">
        <w:rPr>
          <w:lang w:val="sv-SE"/>
        </w:rPr>
        <w:t>Import the Drogon grid model from "drogon/DROGON-0.EGRID”</w:t>
      </w:r>
    </w:p>
    <w:p w14:paraId="7875D6A9" w14:textId="77777777" w:rsidR="009C76F5" w:rsidRDefault="009C76F5" w:rsidP="009C76F5">
      <w:pPr>
        <w:numPr>
          <w:ilvl w:val="0"/>
          <w:numId w:val="37"/>
        </w:numPr>
        <w:contextualSpacing/>
      </w:pPr>
      <w:r w:rsidRPr="00692EB8">
        <w:t>Import seismic data from "drogon/seismic</w:t>
      </w:r>
      <w:r>
        <w:t>/</w:t>
      </w:r>
      <w:r w:rsidRPr="00692EB8">
        <w:t>seismic--amplitude_depth--20180701_20180101.vds”</w:t>
      </w:r>
    </w:p>
    <w:p w14:paraId="0CE21210" w14:textId="09131A0C" w:rsidR="009C76F5" w:rsidRDefault="009C76F5" w:rsidP="009C76F5">
      <w:pPr>
        <w:numPr>
          <w:ilvl w:val="0"/>
          <w:numId w:val="37"/>
        </w:numPr>
        <w:contextualSpacing/>
      </w:pPr>
      <w:r>
        <w:t>Create a user defined well path</w:t>
      </w:r>
    </w:p>
    <w:p w14:paraId="34434A06" w14:textId="5BCD5F6B" w:rsidR="009C76F5" w:rsidRDefault="009C76F5" w:rsidP="009C76F5">
      <w:pPr>
        <w:numPr>
          <w:ilvl w:val="0"/>
          <w:numId w:val="37"/>
        </w:numPr>
        <w:contextualSpacing/>
      </w:pPr>
      <w:r>
        <w:t xml:space="preserve">From the right-click menu of Intersections, </w:t>
      </w:r>
      <w:r w:rsidR="00322E70">
        <w:t xml:space="preserve">select “New Intersection”. Change intersection type to </w:t>
      </w:r>
      <w:r w:rsidR="00322E70" w:rsidRPr="00322E70">
        <w:rPr>
          <w:b/>
          <w:bCs/>
        </w:rPr>
        <w:t>Well Path</w:t>
      </w:r>
      <w:r w:rsidR="00322E70">
        <w:t>, and select the well path</w:t>
      </w:r>
    </w:p>
    <w:p w14:paraId="0543DBDE" w14:textId="2498772B" w:rsidR="00322E70" w:rsidRDefault="00322E70" w:rsidP="009C76F5">
      <w:pPr>
        <w:numPr>
          <w:ilvl w:val="0"/>
          <w:numId w:val="37"/>
        </w:numPr>
        <w:contextualSpacing/>
      </w:pPr>
      <w:r>
        <w:t>From the right-click menu of the generated intersection, select “Create as Seismic Section”</w:t>
      </w:r>
    </w:p>
    <w:p w14:paraId="607789B2" w14:textId="0EF0249A" w:rsidR="00322E70" w:rsidRDefault="00322E70" w:rsidP="009C76F5">
      <w:pPr>
        <w:numPr>
          <w:ilvl w:val="0"/>
          <w:numId w:val="37"/>
        </w:numPr>
        <w:contextualSpacing/>
      </w:pPr>
      <w:r>
        <w:t>Select the Seismic section, and set it to transparent</w:t>
      </w:r>
    </w:p>
    <w:p w14:paraId="694313FD" w14:textId="4ECD28FC" w:rsidR="00820310" w:rsidRDefault="00820310" w:rsidP="009C76F5">
      <w:pPr>
        <w:numPr>
          <w:ilvl w:val="0"/>
          <w:numId w:val="37"/>
        </w:numPr>
        <w:contextualSpacing/>
      </w:pPr>
      <w:r>
        <w:t>Rename views to match their content</w:t>
      </w:r>
    </w:p>
    <w:p w14:paraId="280E6CAD" w14:textId="1C0A1B2D" w:rsidR="00322E70" w:rsidRDefault="00322E70" w:rsidP="009C76F5">
      <w:pPr>
        <w:numPr>
          <w:ilvl w:val="0"/>
          <w:numId w:val="37"/>
        </w:numPr>
        <w:contextualSpacing/>
      </w:pPr>
      <w:r>
        <w:t>Tile the windows to be able to see both views at the same time</w:t>
      </w:r>
    </w:p>
    <w:p w14:paraId="730EAE41" w14:textId="636C0693" w:rsidR="00322E70" w:rsidRDefault="00322E70" w:rsidP="009C76F5">
      <w:pPr>
        <w:numPr>
          <w:ilvl w:val="0"/>
          <w:numId w:val="37"/>
        </w:numPr>
        <w:contextualSpacing/>
      </w:pPr>
      <w:r>
        <w:t>Show only seismic data in one view and grid model data in the other</w:t>
      </w:r>
    </w:p>
    <w:p w14:paraId="1C795A49" w14:textId="1DD73EB2" w:rsidR="00322E70" w:rsidRDefault="00322E70" w:rsidP="009C76F5">
      <w:pPr>
        <w:numPr>
          <w:ilvl w:val="0"/>
          <w:numId w:val="37"/>
        </w:numPr>
        <w:contextualSpacing/>
      </w:pPr>
      <w:r>
        <w:t>Manipulate the well path targets, and see grid is updated</w:t>
      </w:r>
    </w:p>
    <w:p w14:paraId="68CA8BBB" w14:textId="42DDA443" w:rsidR="00322E70" w:rsidRDefault="00322E70" w:rsidP="00322E70">
      <w:pPr>
        <w:numPr>
          <w:ilvl w:val="1"/>
          <w:numId w:val="37"/>
        </w:numPr>
        <w:contextualSpacing/>
      </w:pPr>
      <w:r>
        <w:t xml:space="preserve">Press and hold CTRL to </w:t>
      </w:r>
      <w:r w:rsidR="00F80C33">
        <w:t xml:space="preserve">move the target and </w:t>
      </w:r>
      <w:r>
        <w:t>all downstream well targets</w:t>
      </w:r>
    </w:p>
    <w:p w14:paraId="7DD22AAB" w14:textId="21B711F3" w:rsidR="003D2E93" w:rsidRDefault="00820310" w:rsidP="00820310">
      <w:pPr>
        <w:numPr>
          <w:ilvl w:val="0"/>
          <w:numId w:val="37"/>
        </w:numPr>
        <w:contextualSpacing/>
      </w:pPr>
      <w:r>
        <w:t>From the right-click menu in a view, select Compare to</w:t>
      </w:r>
    </w:p>
    <w:p w14:paraId="07385C11" w14:textId="77777777" w:rsidR="003D2E93" w:rsidRDefault="003D2E93">
      <w:r>
        <w:br w:type="page"/>
      </w:r>
    </w:p>
    <w:p w14:paraId="64B25538" w14:textId="7526852D" w:rsidR="003D2E93" w:rsidRPr="006D4493" w:rsidRDefault="003D2E93" w:rsidP="003D2E93">
      <w:pPr>
        <w:pStyle w:val="Heading2"/>
        <w:rPr>
          <w:rStyle w:val="Hyperlink"/>
          <w:color w:val="2F5496" w:themeColor="accent1" w:themeShade="BF"/>
          <w:u w:val="none"/>
        </w:rPr>
      </w:pPr>
      <w:r>
        <w:rPr>
          <w:rStyle w:val="Hyperlink"/>
          <w:color w:val="2F5496" w:themeColor="accent1" w:themeShade="BF"/>
          <w:u w:val="none"/>
        </w:rPr>
        <w:lastRenderedPageBreak/>
        <w:t xml:space="preserve">Summary Data in Table </w:t>
      </w:r>
    </w:p>
    <w:p w14:paraId="287C26C1" w14:textId="4DCF2A12" w:rsidR="003D2E93" w:rsidRDefault="003D2E93" w:rsidP="003D2E9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Display summary data in a table to quickly get an overview of reservoir drainage stategy</w:t>
      </w:r>
    </w:p>
    <w:p w14:paraId="3DE772AF" w14:textId="44B2D10F" w:rsidR="003D2E93" w:rsidRPr="003D2E93" w:rsidRDefault="003D2E93" w:rsidP="003D2E93">
      <w:pPr>
        <w:numPr>
          <w:ilvl w:val="0"/>
          <w:numId w:val="37"/>
        </w:numPr>
        <w:contextualSpacing/>
      </w:pPr>
      <w:r w:rsidRPr="003D2E93">
        <w:t xml:space="preserve">Import </w:t>
      </w:r>
      <w:r w:rsidRPr="003D2E93">
        <w:t xml:space="preserve">summary </w:t>
      </w:r>
      <w:r w:rsidR="00B05886"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169F112B" w14:textId="2BB08C56" w:rsidR="009C76F5" w:rsidRDefault="003D2E93" w:rsidP="00F81245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>, select “New Summary Table”</w:t>
      </w:r>
    </w:p>
    <w:p w14:paraId="5B6C4F17" w14:textId="03C891E3" w:rsidR="003D2E93" w:rsidRDefault="003D2E93" w:rsidP="00F81245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 w:rsidR="00B05886">
        <w:t xml:space="preserve"> table</w:t>
      </w:r>
      <w:r w:rsidRPr="003D2E93">
        <w:t>, set the</w:t>
      </w:r>
      <w:r>
        <w:t xml:space="preserve"> threshold value to 150</w:t>
      </w:r>
      <w:r w:rsidR="00B05886">
        <w:t>. Wells with value below this threshold are hidden</w:t>
      </w:r>
    </w:p>
    <w:p w14:paraId="5E4A148D" w14:textId="4DF23B43" w:rsidR="007530B8" w:rsidRDefault="007530B8" w:rsidP="00F81245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58D67DD2" w14:textId="110984BB" w:rsidR="00B05886" w:rsidRPr="007530B8" w:rsidRDefault="00B05886" w:rsidP="00F81245">
      <w:pPr>
        <w:numPr>
          <w:ilvl w:val="0"/>
          <w:numId w:val="37"/>
        </w:numPr>
        <w:contextualSpacing/>
      </w:pPr>
      <w:r>
        <w:t xml:space="preserve">Create a summary table displaying </w:t>
      </w:r>
      <w:r w:rsidRPr="00B05886">
        <w:rPr>
          <w:b/>
          <w:bCs/>
        </w:rPr>
        <w:t>WOPR</w:t>
      </w:r>
      <w:r w:rsidR="007530B8">
        <w:rPr>
          <w:b/>
          <w:bCs/>
        </w:rPr>
        <w:t xml:space="preserve"> and WWCT</w:t>
      </w:r>
    </w:p>
    <w:p w14:paraId="18852609" w14:textId="6E95DDA3" w:rsidR="007530B8" w:rsidRPr="003D2E93" w:rsidRDefault="007530B8" w:rsidP="00C47220">
      <w:pPr>
        <w:numPr>
          <w:ilvl w:val="0"/>
          <w:numId w:val="37"/>
        </w:numPr>
        <w:contextualSpacing/>
      </w:pPr>
      <w:r w:rsidRPr="007530B8">
        <w:t xml:space="preserve">To see all tables at the same time, select </w:t>
      </w:r>
      <w:r w:rsidRPr="007530B8">
        <w:rPr>
          <w:b/>
          <w:bCs/>
        </w:rPr>
        <w:t>Windows-&gt;Tile Windows</w:t>
      </w:r>
      <w:r w:rsidRPr="007530B8">
        <w:br/>
        <w:t>This operation is also available as a tool button on the toolbar</w:t>
      </w:r>
    </w:p>
    <w:p w14:paraId="57DBAFEA" w14:textId="77777777" w:rsidR="009C76F5" w:rsidRPr="003D2E93" w:rsidRDefault="009C76F5" w:rsidP="009C76F5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10F5E01D" w14:textId="3571ABBE" w:rsidR="00481114" w:rsidRDefault="0048111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10820C7B" w14:textId="6FCC50DA" w:rsidR="00481114" w:rsidRPr="006D4493" w:rsidRDefault="00481114" w:rsidP="00481114">
      <w:pPr>
        <w:pStyle w:val="Heading2"/>
        <w:rPr>
          <w:rStyle w:val="Hyperlink"/>
          <w:color w:val="2F5496" w:themeColor="accent1" w:themeShade="BF"/>
          <w:u w:val="none"/>
        </w:rPr>
      </w:pPr>
      <w:r>
        <w:rPr>
          <w:rStyle w:val="Hyperlink"/>
          <w:color w:val="2F5496" w:themeColor="accent1" w:themeShade="BF"/>
          <w:u w:val="none"/>
        </w:rPr>
        <w:lastRenderedPageBreak/>
        <w:t xml:space="preserve">Summary Decline </w:t>
      </w:r>
      <w:r w:rsidR="00D16CE0">
        <w:rPr>
          <w:rStyle w:val="Hyperlink"/>
          <w:color w:val="2F5496" w:themeColor="accent1" w:themeShade="BF"/>
          <w:u w:val="none"/>
        </w:rPr>
        <w:t>C</w:t>
      </w:r>
      <w:r>
        <w:rPr>
          <w:rStyle w:val="Hyperlink"/>
          <w:color w:val="2F5496" w:themeColor="accent1" w:themeShade="BF"/>
          <w:u w:val="none"/>
        </w:rPr>
        <w:t>urves</w:t>
      </w:r>
    </w:p>
    <w:p w14:paraId="68257983" w14:textId="2344A1C9" w:rsidR="00481114" w:rsidRDefault="00481114" w:rsidP="00481114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00B38497" w14:textId="11A99728" w:rsidR="00481114" w:rsidRDefault="00481114" w:rsidP="00481114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3D436393" w14:textId="48702762" w:rsidR="00481114" w:rsidRPr="003D2E93" w:rsidRDefault="00481114" w:rsidP="00481114">
      <w:pPr>
        <w:numPr>
          <w:ilvl w:val="0"/>
          <w:numId w:val="37"/>
        </w:numPr>
        <w:contextualSpacing/>
      </w:pPr>
      <w:r>
        <w:t xml:space="preserve">Create a plot for </w:t>
      </w:r>
      <w:r w:rsidRPr="00481114">
        <w:rPr>
          <w:b/>
          <w:bCs/>
        </w:rPr>
        <w:t>WOPR:B-2H</w:t>
      </w:r>
    </w:p>
    <w:p w14:paraId="520B9687" w14:textId="6951E734" w:rsidR="00481114" w:rsidRDefault="00481114" w:rsidP="00481114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drawing>
          <wp:inline distT="0" distB="0" distL="0" distR="0" wp14:anchorId="61192557" wp14:editId="58B870E9">
            <wp:extent cx="3212327" cy="850322"/>
            <wp:effectExtent l="0" t="0" r="7620" b="6985"/>
            <wp:docPr id="694369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BD7">
        <w:br/>
      </w:r>
    </w:p>
    <w:p w14:paraId="41044A3A" w14:textId="061F9295" w:rsidR="00481114" w:rsidRDefault="00822BD7" w:rsidP="00822BD7">
      <w:pPr>
        <w:ind w:left="720"/>
        <w:contextualSpacing/>
      </w:pPr>
      <w:r w:rsidRPr="00822BD7">
        <w:drawing>
          <wp:anchor distT="0" distB="0" distL="114300" distR="114300" simplePos="0" relativeHeight="251700224" behindDoc="0" locked="0" layoutInCell="1" allowOverlap="1" wp14:anchorId="31704D01" wp14:editId="62BA5A8A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1359375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F324D" w14:textId="451DEE4F" w:rsidR="00822BD7" w:rsidRDefault="00481114" w:rsidP="00695EEA">
      <w:pPr>
        <w:numPr>
          <w:ilvl w:val="0"/>
          <w:numId w:val="37"/>
        </w:numPr>
        <w:contextualSpacing/>
      </w:pPr>
      <w:r>
        <w:t xml:space="preserve">Select all thre curves and modify the </w:t>
      </w:r>
      <w:r w:rsidR="00822BD7">
        <w:t>curve values to be estimated</w:t>
      </w:r>
    </w:p>
    <w:p w14:paraId="3925B0DF" w14:textId="42DB4767" w:rsidR="00822BD7" w:rsidRDefault="00822BD7" w:rsidP="00481114">
      <w:pPr>
        <w:numPr>
          <w:ilvl w:val="0"/>
          <w:numId w:val="37"/>
        </w:numPr>
        <w:contextualSpacing/>
      </w:pPr>
      <w:r>
        <w:t>Inside the plot, right-click and select “Show Plot Data” to see the estimated production</w:t>
      </w:r>
    </w:p>
    <w:p w14:paraId="000F909C" w14:textId="77777777" w:rsidR="00822BD7" w:rsidRPr="003D2E93" w:rsidRDefault="00822BD7" w:rsidP="00822BD7">
      <w:pPr>
        <w:ind w:left="720"/>
        <w:contextualSpacing/>
      </w:pPr>
    </w:p>
    <w:p w14:paraId="219A9C2D" w14:textId="77777777" w:rsidR="00481114" w:rsidRPr="003D2E93" w:rsidRDefault="00481114" w:rsidP="00481114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36629BD" w14:textId="77777777" w:rsidR="00481114" w:rsidRPr="003D2E93" w:rsidRDefault="00481114" w:rsidP="00481114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64D668DF" w14:textId="04D30A38" w:rsidR="00001B82" w:rsidRDefault="00001B8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2F3BA7EA" w14:textId="32AD3202" w:rsidR="006D4493" w:rsidRDefault="00001B82" w:rsidP="00001B82">
      <w:pPr>
        <w:pStyle w:val="Heading2"/>
      </w:pPr>
      <w:r>
        <w:lastRenderedPageBreak/>
        <w:t>Summary Regression Curves</w:t>
      </w:r>
    </w:p>
    <w:p w14:paraId="584D21AB" w14:textId="2802F555" w:rsidR="00001B82" w:rsidRDefault="00001B82" w:rsidP="00001B8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70B86BA9" w14:textId="584D5009" w:rsidR="00001B82" w:rsidRDefault="00001B82" w:rsidP="00001B8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C02F5CC" w14:textId="2F70B2FE" w:rsidR="00001B82" w:rsidRPr="00D16CE0" w:rsidRDefault="00D16CE0" w:rsidP="00001B8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r w:rsidRPr="00D16CE0">
        <w:rPr>
          <w:b/>
          <w:bCs/>
        </w:rPr>
        <w:t>FGOR</w:t>
      </w:r>
    </w:p>
    <w:p w14:paraId="4AC1FEC3" w14:textId="1FC98696" w:rsidR="00D16CE0" w:rsidRPr="00D16CE0" w:rsidRDefault="00D16CE0" w:rsidP="00001B8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rPr>
          <w:b/>
          <w:bCs/>
        </w:rPr>
        <w:t>Right-click the line object, and select “Create Regression Analysis Curve”</w:t>
      </w:r>
    </w:p>
    <w:p w14:paraId="5E49B50E" w14:textId="6F6A865E" w:rsidR="00D16CE0" w:rsidRPr="00D16CE0" w:rsidRDefault="00D16CE0" w:rsidP="00001B8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years</w:t>
      </w:r>
    </w:p>
    <w:p w14:paraId="1FB675FF" w14:textId="7B844B89" w:rsidR="00001B82" w:rsidRDefault="00D16CE0" w:rsidP="0065435F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data</w:t>
      </w:r>
    </w:p>
    <w:p w14:paraId="08D69098" w14:textId="7C70EE56" w:rsidR="00D16CE0" w:rsidRPr="00001B82" w:rsidRDefault="00D16CE0" w:rsidP="0065435F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>Select polynomial regression</w:t>
      </w:r>
    </w:p>
    <w:sectPr w:rsidR="00D16CE0" w:rsidRPr="00001B82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03CE9" w14:textId="77777777" w:rsidR="002907D8" w:rsidRDefault="002907D8" w:rsidP="00730DC8">
      <w:pPr>
        <w:spacing w:after="0" w:line="240" w:lineRule="auto"/>
      </w:pPr>
      <w:r>
        <w:separator/>
      </w:r>
    </w:p>
  </w:endnote>
  <w:endnote w:type="continuationSeparator" w:id="0">
    <w:p w14:paraId="38A5CC8F" w14:textId="77777777" w:rsidR="002907D8" w:rsidRDefault="002907D8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BFC36" w14:textId="77777777" w:rsidR="002907D8" w:rsidRDefault="002907D8" w:rsidP="00730DC8">
      <w:pPr>
        <w:spacing w:after="0" w:line="240" w:lineRule="auto"/>
      </w:pPr>
      <w:r>
        <w:separator/>
      </w:r>
    </w:p>
  </w:footnote>
  <w:footnote w:type="continuationSeparator" w:id="0">
    <w:p w14:paraId="4E71BDF2" w14:textId="77777777" w:rsidR="002907D8" w:rsidRDefault="002907D8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76224AD6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6D4493">
      <w:t>Sept</w:t>
    </w:r>
    <w:r w:rsidR="007075DA">
      <w:t xml:space="preserve"> </w:t>
    </w:r>
    <w:r w:rsidR="00B25192">
      <w:t>20</w:t>
    </w:r>
    <w:r w:rsidR="003C7168">
      <w:t>2</w:t>
    </w:r>
    <w:r w:rsidR="00DB602B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7"/>
  </w:num>
  <w:num w:numId="2" w16cid:durableId="1512841941">
    <w:abstractNumId w:val="39"/>
  </w:num>
  <w:num w:numId="3" w16cid:durableId="792669601">
    <w:abstractNumId w:val="1"/>
  </w:num>
  <w:num w:numId="4" w16cid:durableId="114906432">
    <w:abstractNumId w:val="6"/>
  </w:num>
  <w:num w:numId="5" w16cid:durableId="572012586">
    <w:abstractNumId w:val="13"/>
  </w:num>
  <w:num w:numId="6" w16cid:durableId="514416631">
    <w:abstractNumId w:val="10"/>
  </w:num>
  <w:num w:numId="7" w16cid:durableId="1813675456">
    <w:abstractNumId w:val="14"/>
  </w:num>
  <w:num w:numId="8" w16cid:durableId="674261114">
    <w:abstractNumId w:val="37"/>
  </w:num>
  <w:num w:numId="9" w16cid:durableId="852762502">
    <w:abstractNumId w:val="15"/>
  </w:num>
  <w:num w:numId="10" w16cid:durableId="1003750296">
    <w:abstractNumId w:val="36"/>
  </w:num>
  <w:num w:numId="11" w16cid:durableId="1217283661">
    <w:abstractNumId w:val="25"/>
  </w:num>
  <w:num w:numId="12" w16cid:durableId="1572306878">
    <w:abstractNumId w:val="34"/>
  </w:num>
  <w:num w:numId="13" w16cid:durableId="738556667">
    <w:abstractNumId w:val="21"/>
  </w:num>
  <w:num w:numId="14" w16cid:durableId="1417365786">
    <w:abstractNumId w:val="3"/>
  </w:num>
  <w:num w:numId="15" w16cid:durableId="968704238">
    <w:abstractNumId w:val="19"/>
  </w:num>
  <w:num w:numId="16" w16cid:durableId="666130016">
    <w:abstractNumId w:val="27"/>
  </w:num>
  <w:num w:numId="17" w16cid:durableId="597517318">
    <w:abstractNumId w:val="2"/>
  </w:num>
  <w:num w:numId="18" w16cid:durableId="379403135">
    <w:abstractNumId w:val="31"/>
  </w:num>
  <w:num w:numId="19" w16cid:durableId="512494460">
    <w:abstractNumId w:val="24"/>
  </w:num>
  <w:num w:numId="20" w16cid:durableId="854733719">
    <w:abstractNumId w:val="4"/>
  </w:num>
  <w:num w:numId="21" w16cid:durableId="1767188173">
    <w:abstractNumId w:val="29"/>
  </w:num>
  <w:num w:numId="22" w16cid:durableId="990451382">
    <w:abstractNumId w:val="32"/>
  </w:num>
  <w:num w:numId="23" w16cid:durableId="170489190">
    <w:abstractNumId w:val="11"/>
  </w:num>
  <w:num w:numId="24" w16cid:durableId="222177687">
    <w:abstractNumId w:val="28"/>
  </w:num>
  <w:num w:numId="25" w16cid:durableId="1524517614">
    <w:abstractNumId w:val="16"/>
  </w:num>
  <w:num w:numId="26" w16cid:durableId="1574896509">
    <w:abstractNumId w:val="12"/>
  </w:num>
  <w:num w:numId="27" w16cid:durableId="795491177">
    <w:abstractNumId w:val="35"/>
  </w:num>
  <w:num w:numId="28" w16cid:durableId="1306081577">
    <w:abstractNumId w:val="22"/>
  </w:num>
  <w:num w:numId="29" w16cid:durableId="1823305434">
    <w:abstractNumId w:val="20"/>
  </w:num>
  <w:num w:numId="30" w16cid:durableId="1292786133">
    <w:abstractNumId w:val="0"/>
  </w:num>
  <w:num w:numId="31" w16cid:durableId="690574621">
    <w:abstractNumId w:val="9"/>
  </w:num>
  <w:num w:numId="32" w16cid:durableId="425882421">
    <w:abstractNumId w:val="30"/>
  </w:num>
  <w:num w:numId="33" w16cid:durableId="1294020382">
    <w:abstractNumId w:val="38"/>
  </w:num>
  <w:num w:numId="34" w16cid:durableId="912860957">
    <w:abstractNumId w:val="8"/>
  </w:num>
  <w:num w:numId="35" w16cid:durableId="1077241475">
    <w:abstractNumId w:val="18"/>
  </w:num>
  <w:num w:numId="36" w16cid:durableId="1733427245">
    <w:abstractNumId w:val="26"/>
  </w:num>
  <w:num w:numId="37" w16cid:durableId="1981305790">
    <w:abstractNumId w:val="23"/>
  </w:num>
  <w:num w:numId="38" w16cid:durableId="123929843">
    <w:abstractNumId w:val="5"/>
  </w:num>
  <w:num w:numId="39" w16cid:durableId="1257523574">
    <w:abstractNumId w:val="33"/>
  </w:num>
  <w:num w:numId="40" w16cid:durableId="6089722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1B82"/>
    <w:rsid w:val="00012C01"/>
    <w:rsid w:val="00015F09"/>
    <w:rsid w:val="00024421"/>
    <w:rsid w:val="00033AEB"/>
    <w:rsid w:val="00034A19"/>
    <w:rsid w:val="000354C6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7BA1"/>
    <w:rsid w:val="0013472A"/>
    <w:rsid w:val="001514AA"/>
    <w:rsid w:val="001651E4"/>
    <w:rsid w:val="001653B7"/>
    <w:rsid w:val="001759CA"/>
    <w:rsid w:val="00193C69"/>
    <w:rsid w:val="001A1832"/>
    <w:rsid w:val="001A2057"/>
    <w:rsid w:val="001B1425"/>
    <w:rsid w:val="001B2929"/>
    <w:rsid w:val="001C1B6F"/>
    <w:rsid w:val="001C6F49"/>
    <w:rsid w:val="001C739F"/>
    <w:rsid w:val="001C7800"/>
    <w:rsid w:val="001D07CD"/>
    <w:rsid w:val="001D59B4"/>
    <w:rsid w:val="001D5E7A"/>
    <w:rsid w:val="001F3A1F"/>
    <w:rsid w:val="00216744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907D8"/>
    <w:rsid w:val="002915CE"/>
    <w:rsid w:val="00293AF5"/>
    <w:rsid w:val="0029423D"/>
    <w:rsid w:val="002947F2"/>
    <w:rsid w:val="00295178"/>
    <w:rsid w:val="0029585F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43771"/>
    <w:rsid w:val="006514BB"/>
    <w:rsid w:val="00662D84"/>
    <w:rsid w:val="006768C2"/>
    <w:rsid w:val="006827D7"/>
    <w:rsid w:val="006869C1"/>
    <w:rsid w:val="00692EB8"/>
    <w:rsid w:val="006944C1"/>
    <w:rsid w:val="006A5829"/>
    <w:rsid w:val="006B50AF"/>
    <w:rsid w:val="006C4B0C"/>
    <w:rsid w:val="006C556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530B8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20310"/>
    <w:rsid w:val="00822BD7"/>
    <w:rsid w:val="008415AC"/>
    <w:rsid w:val="0084234D"/>
    <w:rsid w:val="00850164"/>
    <w:rsid w:val="00855D9C"/>
    <w:rsid w:val="00863747"/>
    <w:rsid w:val="00863899"/>
    <w:rsid w:val="008A02BD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4FB8"/>
    <w:rsid w:val="00947347"/>
    <w:rsid w:val="00947EB7"/>
    <w:rsid w:val="00955A6B"/>
    <w:rsid w:val="0096249C"/>
    <w:rsid w:val="009711EE"/>
    <w:rsid w:val="00973B72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6CF"/>
    <w:rsid w:val="00B01899"/>
    <w:rsid w:val="00B01CDD"/>
    <w:rsid w:val="00B03564"/>
    <w:rsid w:val="00B04103"/>
    <w:rsid w:val="00B04BA0"/>
    <w:rsid w:val="00B05886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1AE2"/>
    <w:rsid w:val="00BD2A25"/>
    <w:rsid w:val="00BD6EBF"/>
    <w:rsid w:val="00BE4D0E"/>
    <w:rsid w:val="00BF630F"/>
    <w:rsid w:val="00C01DCF"/>
    <w:rsid w:val="00C10802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D24B8"/>
    <w:rsid w:val="00CE420D"/>
    <w:rsid w:val="00CF2373"/>
    <w:rsid w:val="00D0716A"/>
    <w:rsid w:val="00D116C9"/>
    <w:rsid w:val="00D1454E"/>
    <w:rsid w:val="00D16CE0"/>
    <w:rsid w:val="00D16FAD"/>
    <w:rsid w:val="00D30948"/>
    <w:rsid w:val="00D37503"/>
    <w:rsid w:val="00D607A6"/>
    <w:rsid w:val="00D63A3F"/>
    <w:rsid w:val="00D640B7"/>
    <w:rsid w:val="00D64500"/>
    <w:rsid w:val="00D6747C"/>
    <w:rsid w:val="00D7121F"/>
    <w:rsid w:val="00D737B9"/>
    <w:rsid w:val="00D75857"/>
    <w:rsid w:val="00D770DC"/>
    <w:rsid w:val="00D77542"/>
    <w:rsid w:val="00D8020A"/>
    <w:rsid w:val="00D84018"/>
    <w:rsid w:val="00D854F6"/>
    <w:rsid w:val="00DA2499"/>
    <w:rsid w:val="00DB602B"/>
    <w:rsid w:val="00DC564E"/>
    <w:rsid w:val="00DC7772"/>
    <w:rsid w:val="00DD0B56"/>
    <w:rsid w:val="00DD1592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63" Type="http://schemas.openxmlformats.org/officeDocument/2006/relationships/hyperlink" Target="https://resinsight.org/plot-window/analysisplot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hyperlink" Target="https://github.com/CeetronSolutions/resinsight-tutorials/blob/main/tutorials/summary-plot/summary-plot.md" TargetMode="External"/><Relationship Id="rId45" Type="http://schemas.openxmlformats.org/officeDocument/2006/relationships/image" Target="media/image21.png"/><Relationship Id="rId53" Type="http://schemas.openxmlformats.org/officeDocument/2006/relationships/hyperlink" Target="https://resinsight.org/plot-window/rftplot/" TargetMode="External"/><Relationship Id="rId58" Type="http://schemas.openxmlformats.org/officeDocument/2006/relationships/hyperlink" Target="https://resinsight.org/plot-window/correlationplots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hyperlink" Target="https://resinsight.org/plot-window/ensemblerftplot/" TargetMode="External"/><Relationship Id="rId64" Type="http://schemas.openxmlformats.org/officeDocument/2006/relationships/image" Target="media/image34.png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hyperlink" Target="https://en.wikipedia.org/wiki/Pearson_correlation_coefficient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3d-main-window/cellresults/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hyperlink" Target="https://resinsight.org/calculated-data/curvecalculator/" TargetMode="External"/><Relationship Id="rId52" Type="http://schemas.openxmlformats.org/officeDocument/2006/relationships/hyperlink" Target="https://resinsight.org/plot-window/summaryplottemplate/" TargetMode="External"/><Relationship Id="rId60" Type="http://schemas.openxmlformats.org/officeDocument/2006/relationships/image" Target="media/image31.png"/><Relationship Id="rId65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4149</TotalTime>
  <Pages>27</Pages>
  <Words>3224</Words>
  <Characters>18379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22</cp:revision>
  <cp:lastPrinted>2021-09-06T07:33:00Z</cp:lastPrinted>
  <dcterms:created xsi:type="dcterms:W3CDTF">2022-08-31T11:18:00Z</dcterms:created>
  <dcterms:modified xsi:type="dcterms:W3CDTF">2023-09-04T05:34:00Z</dcterms:modified>
</cp:coreProperties>
</file>