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Q2: 投票方法比较分析模型</w:t>
      </w:r>
    </w:p>
    <w:p>
      <w:pPr>
        <w:jc w:val="center"/>
      </w:pPr>
      <w:r>
        <w:rPr>
          <w:rFonts w:ascii="Times New Roman" w:hAnsi="Times New Roman" w:eastAsia="宋体"/>
          <w:b w:val="0"/>
          <w:i/>
          <w:sz w:val="28"/>
        </w:rPr>
        <w:t>Voting Method Comparison: Counterfactual Simulation Framework</w:t>
      </w:r>
    </w:p>
    <w:p>
      <w:pPr>
        <w:jc w:val="center"/>
      </w:pPr>
      <w:r>
        <w:rPr>
          <w:rFonts w:ascii="Times New Roman" w:hAnsi="Times New Roman" w:eastAsia="宋体"/>
          <w:b/>
          <w:i w:val="0"/>
          <w:sz w:val="24"/>
        </w:rPr>
        <w:t>MCM 2026 Problem C</w:t>
      </w:r>
    </w:p>
    <w:p/>
    <w:p>
      <w:pPr>
        <w:pStyle w:val="Heading1"/>
      </w:pPr>
      <w:r>
        <w:t>摘要</w:t>
      </w:r>
    </w:p>
    <w:p>
      <w:pPr>
        <w:spacing w:after="120" w:line="360" w:lineRule="auto"/>
        <w:jc w:val="both"/>
      </w:pPr>
      <w:r>
        <w:rPr>
          <w:rFonts w:ascii="Times New Roman" w:hAnsi="Times New Roman" w:eastAsia="宋体"/>
          <w:b w:val="0"/>
          <w:i w:val="0"/>
          <w:sz w:val="22"/>
        </w:rPr>
        <w:t>本研究构建了一个完整的投票方法比较分析框架，用于评估《与星共舞》(DWTS)节目中使用的两种投票组合方法——排名法(Rank Method)和百分比法(Percentage Method)的差异与优劣。研究采用四步骤分析框架：(1) 反事实仿真建模，(2) 偏倚敏感度分析，(3) 争议案例研究，(4) 评委救人机制与方法推荐。</w:t>
      </w:r>
    </w:p>
    <w:p>
      <w:pPr>
        <w:spacing w:after="120" w:line="360" w:lineRule="auto"/>
        <w:jc w:val="both"/>
      </w:pPr>
      <w:r>
        <w:rPr>
          <w:rFonts w:ascii="Times New Roman" w:hAnsi="Times New Roman" w:eastAsia="宋体"/>
          <w:b w:val="0"/>
          <w:i w:val="0"/>
          <w:sz w:val="22"/>
        </w:rPr>
        <w:t>主要发现：两种方法在91.1%的淘汰决策中结果一致；百分比法的观众投票权重(85.6%)显著高于排名法(49.8%)；基于多维度评分，排名法总分(48.8)优于百分比法(32.9)。最终推荐采用排名法+评委救人机制作为最优方案。</w:t>
      </w:r>
    </w:p>
    <w:p>
      <w:r>
        <w:br w:type="page"/>
      </w:r>
    </w:p>
    <w:p>
      <w:pPr>
        <w:pStyle w:val="Heading1"/>
      </w:pPr>
      <w:r>
        <w:t>1. 问题背景</w:t>
      </w:r>
    </w:p>
    <w:p>
      <w:pPr>
        <w:pStyle w:val="Heading2"/>
      </w:pPr>
      <w:r>
        <w:t>1.1 研究动机</w:t>
      </w:r>
    </w:p>
    <w:p>
      <w:r>
        <w:t>《Dancing With The Stars》(DWTS)是一档著名的明星舞蹈竞技节目，</w:t>
      </w:r>
      <w:r>
        <w:rPr>
          <w:b/>
        </w:rPr>
        <w:t>选手的淘汰取决于评委评分和观众投票的综合结果。</w:t>
      </w:r>
      <w:r>
        <w:t>在节目34个赛季的历史中，制作方使用了两种不同的投票组合方法：</w:t>
      </w:r>
    </w:p>
    <w:p>
      <w:pPr>
        <w:pStyle w:val="ListBullet"/>
      </w:pPr>
      <w:r>
        <w:rPr>
          <w:rFonts w:ascii="Times New Roman" w:hAnsi="Times New Roman" w:eastAsia="宋体"/>
          <w:b w:val="0"/>
          <w:i w:val="0"/>
          <w:sz w:val="22"/>
        </w:rPr>
        <w:t>排名法(Rank Method)：Seasons 1-2, 28-34</w:t>
      </w:r>
    </w:p>
    <w:p>
      <w:pPr>
        <w:pStyle w:val="ListBullet"/>
      </w:pPr>
      <w:r>
        <w:rPr>
          <w:rFonts w:ascii="Times New Roman" w:hAnsi="Times New Roman" w:eastAsia="宋体"/>
          <w:b w:val="0"/>
          <w:i w:val="0"/>
          <w:sz w:val="22"/>
        </w:rPr>
        <w:t>百分比法(Percentage Method)：Seasons 3-27</w:t>
      </w:r>
    </w:p>
    <w:p>
      <w:r>
        <w:rPr>
          <w:b/>
        </w:rPr>
        <w:t>核心研究问题：</w:t>
      </w:r>
      <w:r>
        <w:t>这两种方法在决定淘汰结果上有何系统性差异？哪种方法更"公平"？这种设计选择如何影响争议性淘汰事件？</w:t>
      </w:r>
    </w:p>
    <w:p>
      <w:pPr>
        <w:pStyle w:val="Heading2"/>
      </w:pPr>
      <w:r>
        <w:t>1.2 投票方法定义</w:t>
      </w:r>
    </w:p>
    <w:p>
      <w:r>
        <w:rPr>
          <w:b/>
        </w:rPr>
        <w:t>方法一：排名法 (Rank Method)</w:t>
      </w:r>
    </w:p>
    <w:p>
      <w:pPr>
        <w:spacing w:after="120" w:line="360" w:lineRule="auto"/>
        <w:ind w:firstLine="440"/>
        <w:jc w:val="both"/>
      </w:pPr>
      <w:r>
        <w:rPr>
          <w:rFonts w:ascii="Times New Roman" w:hAnsi="Times New Roman" w:eastAsia="宋体"/>
          <w:b w:val="0"/>
          <w:i w:val="0"/>
          <w:sz w:val="22"/>
        </w:rPr>
        <w:t>每位选手根据评委评分获得评委排名，根据观众投票获得观众排名。两个排名相加得到综合排名，综合排名最高者被淘汰。</w:t>
      </w:r>
    </w:p>
    <w:p>
      <w:pPr>
        <w:spacing w:before="120" w:after="120"/>
        <w:jc w:val="center"/>
      </w:pPr>
      <w:r>
        <w:rPr>
          <w:rFonts w:ascii="Times New Roman" w:hAnsi="Times New Roman" w:eastAsia="宋体"/>
          <w:b/>
          <w:i/>
          <w:sz w:val="22"/>
        </w:rPr>
        <w:t>Combined_Rank(i) = Judge_Rank(i) + Fan_Rank(i)</w:t>
      </w:r>
    </w:p>
    <w:p>
      <w:pPr>
        <w:jc w:val="center"/>
      </w:pPr>
      <w:r>
        <w:rPr>
          <w:rFonts w:ascii="Times New Roman" w:hAnsi="Times New Roman" w:eastAsia="宋体"/>
          <w:b w:val="0"/>
          <w:i/>
          <w:sz w:val="20"/>
        </w:rPr>
        <w:t>(排名法公式)</w:t>
      </w:r>
    </w:p>
    <w:p>
      <w:pPr>
        <w:spacing w:before="120" w:after="120"/>
        <w:jc w:val="center"/>
      </w:pPr>
      <w:r>
        <w:rPr>
          <w:rFonts w:ascii="Times New Roman" w:hAnsi="Times New Roman" w:eastAsia="宋体"/>
          <w:b/>
          <w:i/>
          <w:sz w:val="22"/>
        </w:rPr>
        <w:t>Eliminated = argmax{Combined_Rank(i)}</w:t>
      </w:r>
    </w:p>
    <w:p>
      <w:pPr>
        <w:jc w:val="center"/>
      </w:pPr>
      <w:r>
        <w:rPr>
          <w:rFonts w:ascii="Times New Roman" w:hAnsi="Times New Roman" w:eastAsia="宋体"/>
          <w:b w:val="0"/>
          <w:i/>
          <w:sz w:val="20"/>
        </w:rPr>
        <w:t>(最高综合排名被淘汰)</w:t>
      </w:r>
    </w:p>
    <w:p>
      <w:r>
        <w:rPr>
          <w:b/>
        </w:rPr>
        <w:t>方法二：百分比法 (Percentage Method)</w:t>
      </w:r>
    </w:p>
    <w:p>
      <w:pPr>
        <w:spacing w:after="120" w:line="360" w:lineRule="auto"/>
        <w:ind w:firstLine="440"/>
        <w:jc w:val="both"/>
      </w:pPr>
      <w:r>
        <w:rPr>
          <w:rFonts w:ascii="Times New Roman" w:hAnsi="Times New Roman" w:eastAsia="宋体"/>
          <w:b w:val="0"/>
          <w:i w:val="0"/>
          <w:sz w:val="22"/>
        </w:rPr>
        <w:t>每位选手的评委评分和观众投票分别转换为占总分的百分比，然后相加得到综合百分比。综合百分比最低者被淘汰。</w:t>
      </w:r>
    </w:p>
    <w:p>
      <w:pPr>
        <w:spacing w:before="120" w:after="120"/>
        <w:jc w:val="center"/>
      </w:pPr>
      <w:r>
        <w:rPr>
          <w:rFonts w:ascii="Times New Roman" w:hAnsi="Times New Roman" w:eastAsia="宋体"/>
          <w:b/>
          <w:i/>
          <w:sz w:val="22"/>
        </w:rPr>
        <w:t>Judge_Pct(i) = Judge_Score(i) / Σⱼ Judge_Score(j)</w:t>
      </w:r>
    </w:p>
    <w:p>
      <w:pPr>
        <w:jc w:val="center"/>
      </w:pPr>
      <w:r>
        <w:rPr>
          <w:rFonts w:ascii="Times New Roman" w:hAnsi="Times New Roman" w:eastAsia="宋体"/>
          <w:b w:val="0"/>
          <w:i/>
          <w:sz w:val="20"/>
        </w:rPr>
        <w:t>(评委百分比)</w:t>
      </w:r>
    </w:p>
    <w:p>
      <w:pPr>
        <w:spacing w:before="120" w:after="120"/>
        <w:jc w:val="center"/>
      </w:pPr>
      <w:r>
        <w:rPr>
          <w:rFonts w:ascii="Times New Roman" w:hAnsi="Times New Roman" w:eastAsia="宋体"/>
          <w:b/>
          <w:i/>
          <w:sz w:val="22"/>
        </w:rPr>
        <w:t>Fan_Pct(i) = Fan_Votes(i) / Σⱼ Fan_Votes(j)</w:t>
      </w:r>
    </w:p>
    <w:p>
      <w:pPr>
        <w:jc w:val="center"/>
      </w:pPr>
      <w:r>
        <w:rPr>
          <w:rFonts w:ascii="Times New Roman" w:hAnsi="Times New Roman" w:eastAsia="宋体"/>
          <w:b w:val="0"/>
          <w:i/>
          <w:sz w:val="20"/>
        </w:rPr>
        <w:t>(观众百分比)</w:t>
      </w:r>
    </w:p>
    <w:p>
      <w:pPr>
        <w:spacing w:before="120" w:after="120"/>
        <w:jc w:val="center"/>
      </w:pPr>
      <w:r>
        <w:rPr>
          <w:rFonts w:ascii="Times New Roman" w:hAnsi="Times New Roman" w:eastAsia="宋体"/>
          <w:b/>
          <w:i/>
          <w:sz w:val="22"/>
        </w:rPr>
        <w:t>Combined_Pct(i) = Judge_Pct(i) + Fan_Pct(i)</w:t>
      </w:r>
    </w:p>
    <w:p>
      <w:pPr>
        <w:jc w:val="center"/>
      </w:pPr>
      <w:r>
        <w:rPr>
          <w:rFonts w:ascii="Times New Roman" w:hAnsi="Times New Roman" w:eastAsia="宋体"/>
          <w:b w:val="0"/>
          <w:i/>
          <w:sz w:val="20"/>
        </w:rPr>
        <w:t>(百分比法公式)</w:t>
      </w:r>
    </w:p>
    <w:p>
      <w:pPr>
        <w:spacing w:before="120" w:after="120"/>
        <w:jc w:val="center"/>
      </w:pPr>
      <w:r>
        <w:rPr>
          <w:rFonts w:ascii="Times New Roman" w:hAnsi="Times New Roman" w:eastAsia="宋体"/>
          <w:b/>
          <w:i/>
          <w:sz w:val="22"/>
        </w:rPr>
        <w:t>Eliminated = argmin{Combined_Pct(i)}</w:t>
      </w:r>
    </w:p>
    <w:p>
      <w:pPr>
        <w:jc w:val="center"/>
      </w:pPr>
      <w:r>
        <w:rPr>
          <w:rFonts w:ascii="Times New Roman" w:hAnsi="Times New Roman" w:eastAsia="宋体"/>
          <w:b w:val="0"/>
          <w:i/>
          <w:sz w:val="20"/>
        </w:rPr>
        <w:t>(最低综合百分比被淘汰)</w:t>
      </w:r>
    </w:p>
    <w:p>
      <w:pPr>
        <w:pStyle w:val="Heading2"/>
      </w:pPr>
      <w:r>
        <w:t>1.3 方法差异的数学本质</w:t>
      </w:r>
    </w:p>
    <w:p>
      <w:pPr>
        <w:spacing w:after="120" w:line="360" w:lineRule="auto"/>
        <w:ind w:firstLine="440"/>
        <w:jc w:val="both"/>
      </w:pPr>
      <w:r>
        <w:rPr>
          <w:rFonts w:ascii="Times New Roman" w:hAnsi="Times New Roman" w:eastAsia="宋体"/>
          <w:b w:val="0"/>
          <w:i w:val="0"/>
          <w:sz w:val="22"/>
        </w:rPr>
        <w:t>两种方法的核心差异在于对观众投票的"放大效应"不同。排名法将连续的投票数转换为离散的排名，压缩了差异；而百分比法保留了原始差异的比例关系。当某选手获得大量观众投票时，百分比法中其优势更明显。</w:t>
      </w:r>
    </w:p>
    <w:p>
      <w:r>
        <w:br w:type="page"/>
      </w:r>
    </w:p>
    <w:p>
      <w:pPr>
        <w:pStyle w:val="Heading1"/>
      </w:pPr>
      <w:r>
        <w:t>2. 研究方法总体框架</w:t>
      </w:r>
    </w:p>
    <w:p>
      <w:pPr>
        <w:spacing w:after="120" w:line="360" w:lineRule="auto"/>
        <w:jc w:val="both"/>
      </w:pPr>
      <w:r>
        <w:rPr>
          <w:rFonts w:ascii="Times New Roman" w:hAnsi="Times New Roman" w:eastAsia="宋体"/>
          <w:b w:val="0"/>
          <w:i w:val="0"/>
          <w:sz w:val="22"/>
        </w:rPr>
        <w:t>本研究采用四步骤分析框架，从不同维度全面比较两种投票方法：</w:t>
      </w:r>
    </w:p>
    <w:tbl>
      <w:tblPr>
        <w:tblStyle w:val="TableGrid"/>
        <w:tblW w:type="auto" w:w="0"/>
        <w:tblLook w:firstColumn="1" w:firstRow="1" w:lastColumn="0" w:lastRow="0" w:noHBand="0" w:noVBand="1" w:val="04A0"/>
      </w:tblPr>
      <w:tblGrid>
        <w:gridCol w:w="2880"/>
        <w:gridCol w:w="2880"/>
        <w:gridCol w:w="2880"/>
      </w:tblGrid>
      <w:tr>
        <w:tc>
          <w:tcPr>
            <w:tcW w:type="dxa" w:w="1152"/>
            <w:shd w:fill="D9E2F3"/>
          </w:tcPr>
          <w:p>
            <w:pPr>
              <w:jc w:val="center"/>
            </w:pPr>
            <w:r>
              <w:rPr>
                <w:b/>
                <w:sz w:val="20"/>
              </w:rPr>
              <w:t>步骤</w:t>
            </w:r>
          </w:p>
        </w:tc>
        <w:tc>
          <w:tcPr>
            <w:tcW w:type="dxa" w:w="2592"/>
            <w:shd w:fill="D9E2F3"/>
          </w:tcPr>
          <w:p>
            <w:pPr>
              <w:jc w:val="center"/>
            </w:pPr>
            <w:r>
              <w:rPr>
                <w:b/>
                <w:sz w:val="20"/>
              </w:rPr>
              <w:t>名称</w:t>
            </w:r>
          </w:p>
        </w:tc>
        <w:tc>
          <w:tcPr>
            <w:tcW w:type="dxa" w:w="4896"/>
            <w:shd w:fill="D9E2F3"/>
          </w:tcPr>
          <w:p>
            <w:pPr>
              <w:jc w:val="center"/>
            </w:pPr>
            <w:r>
              <w:rPr>
                <w:b/>
                <w:sz w:val="20"/>
              </w:rPr>
              <w:t>作用</w:t>
            </w:r>
          </w:p>
        </w:tc>
      </w:tr>
      <w:tr>
        <w:tc>
          <w:tcPr>
            <w:tcW w:type="dxa" w:w="1152"/>
          </w:tcPr>
          <w:p>
            <w:pPr>
              <w:jc w:val="center"/>
            </w:pPr>
            <w:r>
              <w:rPr>
                <w:sz w:val="20"/>
              </w:rPr>
              <w:t>Step 1</w:t>
            </w:r>
          </w:p>
        </w:tc>
        <w:tc>
          <w:tcPr>
            <w:tcW w:type="dxa" w:w="2592"/>
          </w:tcPr>
          <w:p>
            <w:pPr>
              <w:jc w:val="center"/>
            </w:pPr>
            <w:r>
              <w:rPr>
                <w:sz w:val="20"/>
              </w:rPr>
              <w:t>反事实仿真建模</w:t>
            </w:r>
          </w:p>
        </w:tc>
        <w:tc>
          <w:tcPr>
            <w:tcW w:type="dxa" w:w="4896"/>
          </w:tcPr>
          <w:p>
            <w:pPr>
              <w:jc w:val="center"/>
            </w:pPr>
            <w:r>
              <w:rPr>
                <w:sz w:val="20"/>
              </w:rPr>
              <w:t>将两种方法应用于全部34季，构建可控对比实验</w:t>
            </w:r>
          </w:p>
        </w:tc>
      </w:tr>
      <w:tr>
        <w:tc>
          <w:tcPr>
            <w:tcW w:type="dxa" w:w="1152"/>
          </w:tcPr>
          <w:p>
            <w:pPr>
              <w:jc w:val="center"/>
            </w:pPr>
            <w:r>
              <w:rPr>
                <w:sz w:val="20"/>
              </w:rPr>
              <w:t>Step 2</w:t>
            </w:r>
          </w:p>
        </w:tc>
        <w:tc>
          <w:tcPr>
            <w:tcW w:type="dxa" w:w="2592"/>
          </w:tcPr>
          <w:p>
            <w:pPr>
              <w:jc w:val="center"/>
            </w:pPr>
            <w:r>
              <w:rPr>
                <w:sz w:val="20"/>
              </w:rPr>
              <w:t>偏倚敏感度分析</w:t>
            </w:r>
          </w:p>
        </w:tc>
        <w:tc>
          <w:tcPr>
            <w:tcW w:type="dxa" w:w="4896"/>
          </w:tcPr>
          <w:p>
            <w:pPr>
              <w:jc w:val="center"/>
            </w:pPr>
            <w:r>
              <w:rPr>
                <w:sz w:val="20"/>
              </w:rPr>
              <w:t>量化观众投票对结果的影响程度</w:t>
            </w:r>
          </w:p>
        </w:tc>
      </w:tr>
      <w:tr>
        <w:tc>
          <w:tcPr>
            <w:tcW w:type="dxa" w:w="1152"/>
          </w:tcPr>
          <w:p>
            <w:pPr>
              <w:jc w:val="center"/>
            </w:pPr>
            <w:r>
              <w:rPr>
                <w:sz w:val="20"/>
              </w:rPr>
              <w:t>Step 3</w:t>
            </w:r>
          </w:p>
        </w:tc>
        <w:tc>
          <w:tcPr>
            <w:tcW w:type="dxa" w:w="2592"/>
          </w:tcPr>
          <w:p>
            <w:pPr>
              <w:jc w:val="center"/>
            </w:pPr>
            <w:r>
              <w:rPr>
                <w:sz w:val="20"/>
              </w:rPr>
              <w:t>争议案例研究</w:t>
            </w:r>
          </w:p>
        </w:tc>
        <w:tc>
          <w:tcPr>
            <w:tcW w:type="dxa" w:w="4896"/>
          </w:tcPr>
          <w:p>
            <w:pPr>
              <w:jc w:val="center"/>
            </w:pPr>
            <w:r>
              <w:rPr>
                <w:sz w:val="20"/>
              </w:rPr>
              <w:t>深入分析4个著名争议选手案例</w:t>
            </w:r>
          </w:p>
        </w:tc>
      </w:tr>
      <w:tr>
        <w:tc>
          <w:tcPr>
            <w:tcW w:type="dxa" w:w="1152"/>
          </w:tcPr>
          <w:p>
            <w:pPr>
              <w:jc w:val="center"/>
            </w:pPr>
            <w:r>
              <w:rPr>
                <w:sz w:val="20"/>
              </w:rPr>
              <w:t>Step 4</w:t>
            </w:r>
          </w:p>
        </w:tc>
        <w:tc>
          <w:tcPr>
            <w:tcW w:type="dxa" w:w="2592"/>
          </w:tcPr>
          <w:p>
            <w:pPr>
              <w:jc w:val="center"/>
            </w:pPr>
            <w:r>
              <w:rPr>
                <w:sz w:val="20"/>
              </w:rPr>
              <w:t>方法推荐与机制分析</w:t>
            </w:r>
          </w:p>
        </w:tc>
        <w:tc>
          <w:tcPr>
            <w:tcW w:type="dxa" w:w="4896"/>
          </w:tcPr>
          <w:p>
            <w:pPr>
              <w:jc w:val="center"/>
            </w:pPr>
            <w:r>
              <w:rPr>
                <w:sz w:val="20"/>
              </w:rPr>
              <w:t>评委救人机制 + 阿罗定理检验 + 综合推荐</w:t>
            </w:r>
          </w:p>
        </w:tc>
      </w:tr>
    </w:tbl>
    <w:p/>
    <w:p>
      <w:pPr>
        <w:spacing w:after="120" w:line="360" w:lineRule="auto"/>
        <w:ind w:firstLine="440"/>
        <w:jc w:val="both"/>
      </w:pPr>
      <w:r>
        <w:rPr>
          <w:rFonts w:ascii="Times New Roman" w:hAnsi="Times New Roman" w:eastAsia="宋体"/>
          <w:b w:val="0"/>
          <w:i w:val="0"/>
          <w:sz w:val="22"/>
        </w:rPr>
        <w:t>这四个步骤层层递进：Step 1提供基础数据，Step 2揭示方法偏倚，Step 3验证理论发现，Step 4给出决策建议。</w:t>
      </w:r>
    </w:p>
    <w:p>
      <w:r>
        <w:br w:type="page"/>
      </w:r>
    </w:p>
    <w:p>
      <w:pPr>
        <w:pStyle w:val="Heading1"/>
      </w:pPr>
      <w:r>
        <w:t>3. Step 1: 反事实仿真建模</w:t>
      </w:r>
    </w:p>
    <w:p>
      <w:pPr>
        <w:pStyle w:val="Heading2"/>
      </w:pPr>
      <w:r>
        <w:t>3.1 方法意义</w:t>
      </w:r>
    </w:p>
    <w:p>
      <w:pPr>
        <w:spacing w:after="120" w:line="360" w:lineRule="auto"/>
        <w:ind w:firstLine="440"/>
        <w:jc w:val="both"/>
      </w:pPr>
      <w:r>
        <w:rPr>
          <w:rFonts w:ascii="Times New Roman" w:hAnsi="Times New Roman" w:eastAsia="宋体"/>
          <w:b w:val="0"/>
          <w:i w:val="0"/>
          <w:sz w:val="22"/>
        </w:rPr>
        <w:t>反事实仿真(Counterfactual Simulation)是因果推断的核心方法。在DWTS场景中，我们无法观测到"如果Season X使用了另一种方法，结果会如何"这一反事实情景。通过仿真，我们可以构造这一情景。</w:t>
      </w:r>
    </w:p>
    <w:p>
      <w:r>
        <w:rPr>
          <w:b/>
        </w:rPr>
        <w:t>核心思想：</w:t>
      </w:r>
      <w:r>
        <w:t>将两种投票方法应用于全部34个赛季，无论该赛季实际使用的是哪种方法。这创造了一个受控对比实验，唯一变量是组合方法。</w:t>
      </w:r>
    </w:p>
    <w:p>
      <w:pPr>
        <w:pStyle w:val="Heading2"/>
      </w:pPr>
      <w:r>
        <w:t>3.2 算法流程</w:t>
      </w:r>
    </w:p>
    <w:p>
      <w:pPr>
        <w:pStyle w:val="ListBullet"/>
      </w:pPr>
      <w:r>
        <w:rPr>
          <w:rFonts w:ascii="Times New Roman" w:hAnsi="Times New Roman" w:eastAsia="宋体"/>
          <w:b/>
          <w:i w:val="0"/>
          <w:sz w:val="22"/>
        </w:rPr>
        <w:t xml:space="preserve">1. </w:t>
      </w:r>
      <w:r>
        <w:rPr>
          <w:rFonts w:ascii="Times New Roman" w:hAnsi="Times New Roman" w:eastAsia="宋体"/>
          <w:b w:val="0"/>
          <w:i w:val="0"/>
          <w:sz w:val="22"/>
        </w:rPr>
        <w:t>数据准备：加载所有34季的评委评分和预测观众投票数据</w:t>
      </w:r>
    </w:p>
    <w:p>
      <w:pPr>
        <w:pStyle w:val="ListBullet"/>
      </w:pPr>
      <w:r>
        <w:rPr>
          <w:rFonts w:ascii="Times New Roman" w:hAnsi="Times New Roman" w:eastAsia="宋体"/>
          <w:b/>
          <w:i w:val="0"/>
          <w:sz w:val="22"/>
        </w:rPr>
        <w:t xml:space="preserve">2. </w:t>
      </w:r>
      <w:r>
        <w:rPr>
          <w:rFonts w:ascii="Times New Roman" w:hAnsi="Times New Roman" w:eastAsia="宋体"/>
          <w:b w:val="0"/>
          <w:i w:val="0"/>
          <w:sz w:val="22"/>
        </w:rPr>
        <w:t>排名法仿真：对每个淘汰周，计算评委排名和观众排名，得出综合排名</w:t>
      </w:r>
    </w:p>
    <w:p>
      <w:pPr>
        <w:pStyle w:val="ListBullet"/>
      </w:pPr>
      <w:r>
        <w:rPr>
          <w:rFonts w:ascii="Times New Roman" w:hAnsi="Times New Roman" w:eastAsia="宋体"/>
          <w:b/>
          <w:i w:val="0"/>
          <w:sz w:val="22"/>
        </w:rPr>
        <w:t xml:space="preserve">3. </w:t>
      </w:r>
      <w:r>
        <w:rPr>
          <w:rFonts w:ascii="Times New Roman" w:hAnsi="Times New Roman" w:eastAsia="宋体"/>
          <w:b w:val="0"/>
          <w:i w:val="0"/>
          <w:sz w:val="22"/>
        </w:rPr>
        <w:t>百分比法仿真：对每个淘汰周，计算评委百分比和观众百分比，得出综合百分比</w:t>
      </w:r>
    </w:p>
    <w:p>
      <w:pPr>
        <w:pStyle w:val="ListBullet"/>
      </w:pPr>
      <w:r>
        <w:rPr>
          <w:rFonts w:ascii="Times New Roman" w:hAnsi="Times New Roman" w:eastAsia="宋体"/>
          <w:b/>
          <w:i w:val="0"/>
          <w:sz w:val="22"/>
        </w:rPr>
        <w:t xml:space="preserve">4. </w:t>
      </w:r>
      <w:r>
        <w:rPr>
          <w:rFonts w:ascii="Times New Roman" w:hAnsi="Times New Roman" w:eastAsia="宋体"/>
          <w:b w:val="0"/>
          <w:i w:val="0"/>
          <w:sz w:val="22"/>
        </w:rPr>
        <w:t>结果对比：比较两种方法预测的淘汰选手与实际淘汰选手</w:t>
      </w:r>
    </w:p>
    <w:p>
      <w:pPr>
        <w:pStyle w:val="ListBullet"/>
      </w:pPr>
      <w:r>
        <w:rPr>
          <w:rFonts w:ascii="Times New Roman" w:hAnsi="Times New Roman" w:eastAsia="宋体"/>
          <w:b/>
          <w:i w:val="0"/>
          <w:sz w:val="22"/>
        </w:rPr>
        <w:t xml:space="preserve">5. </w:t>
      </w:r>
      <w:r>
        <w:rPr>
          <w:rFonts w:ascii="Times New Roman" w:hAnsi="Times New Roman" w:eastAsia="宋体"/>
          <w:b w:val="0"/>
          <w:i w:val="0"/>
          <w:sz w:val="22"/>
        </w:rPr>
        <w:t>一致性分析：统计两种方法产生相同决策的比例</w:t>
      </w:r>
    </w:p>
    <w:p>
      <w:pPr>
        <w:pStyle w:val="Heading2"/>
      </w:pPr>
      <w:r>
        <w:t>3.3 结果</w:t>
      </w:r>
    </w:p>
    <w:tbl>
      <w:tblPr>
        <w:tblStyle w:val="TableGrid"/>
        <w:tblW w:type="auto" w:w="0"/>
        <w:tblLook w:firstColumn="1" w:firstRow="1" w:lastColumn="0" w:lastRow="0" w:noHBand="0" w:noVBand="1" w:val="04A0"/>
      </w:tblPr>
      <w:tblGrid>
        <w:gridCol w:w="4320"/>
        <w:gridCol w:w="4320"/>
      </w:tblGrid>
      <w:tr>
        <w:tc>
          <w:tcPr>
            <w:tcW w:type="dxa" w:w="3600"/>
            <w:shd w:fill="D9E2F3"/>
          </w:tcPr>
          <w:p>
            <w:pPr>
              <w:jc w:val="center"/>
            </w:pPr>
            <w:r>
              <w:rPr>
                <w:b/>
                <w:sz w:val="20"/>
              </w:rPr>
              <w:t>指标</w:t>
            </w:r>
          </w:p>
        </w:tc>
        <w:tc>
          <w:tcPr>
            <w:tcW w:type="dxa" w:w="3600"/>
            <w:shd w:fill="D9E2F3"/>
          </w:tcPr>
          <w:p>
            <w:pPr>
              <w:jc w:val="center"/>
            </w:pPr>
            <w:r>
              <w:rPr>
                <w:b/>
                <w:sz w:val="20"/>
              </w:rPr>
              <w:t>数值</w:t>
            </w:r>
          </w:p>
        </w:tc>
      </w:tr>
      <w:tr>
        <w:tc>
          <w:tcPr>
            <w:tcW w:type="dxa" w:w="3600"/>
          </w:tcPr>
          <w:p>
            <w:pPr>
              <w:jc w:val="center"/>
            </w:pPr>
            <w:r>
              <w:rPr>
                <w:sz w:val="20"/>
              </w:rPr>
              <w:t>总仿真记录数</w:t>
            </w:r>
          </w:p>
        </w:tc>
        <w:tc>
          <w:tcPr>
            <w:tcW w:type="dxa" w:w="3600"/>
          </w:tcPr>
          <w:p>
            <w:pPr>
              <w:jc w:val="center"/>
            </w:pPr>
            <w:r>
              <w:rPr>
                <w:sz w:val="20"/>
              </w:rPr>
              <w:t>2333</w:t>
            </w:r>
          </w:p>
        </w:tc>
      </w:tr>
      <w:tr>
        <w:tc>
          <w:tcPr>
            <w:tcW w:type="dxa" w:w="3600"/>
          </w:tcPr>
          <w:p>
            <w:pPr>
              <w:jc w:val="center"/>
            </w:pPr>
            <w:r>
              <w:rPr>
                <w:sz w:val="20"/>
              </w:rPr>
              <w:t>总淘汰事件数</w:t>
            </w:r>
          </w:p>
        </w:tc>
        <w:tc>
          <w:tcPr>
            <w:tcW w:type="dxa" w:w="3600"/>
          </w:tcPr>
          <w:p>
            <w:pPr>
              <w:jc w:val="center"/>
            </w:pPr>
            <w:r>
              <w:rPr>
                <w:sz w:val="20"/>
              </w:rPr>
              <w:t>516</w:t>
            </w:r>
          </w:p>
        </w:tc>
      </w:tr>
      <w:tr>
        <w:tc>
          <w:tcPr>
            <w:tcW w:type="dxa" w:w="3600"/>
          </w:tcPr>
          <w:p>
            <w:pPr>
              <w:jc w:val="center"/>
            </w:pPr>
            <w:r>
              <w:rPr>
                <w:sz w:val="20"/>
              </w:rPr>
              <w:t>排名法预测准确率</w:t>
            </w:r>
          </w:p>
        </w:tc>
        <w:tc>
          <w:tcPr>
            <w:tcW w:type="dxa" w:w="3600"/>
          </w:tcPr>
          <w:p>
            <w:pPr>
              <w:jc w:val="center"/>
            </w:pPr>
            <w:r>
              <w:rPr>
                <w:sz w:val="20"/>
              </w:rPr>
              <w:t>29.26%</w:t>
            </w:r>
          </w:p>
        </w:tc>
      </w:tr>
      <w:tr>
        <w:tc>
          <w:tcPr>
            <w:tcW w:type="dxa" w:w="3600"/>
          </w:tcPr>
          <w:p>
            <w:pPr>
              <w:jc w:val="center"/>
            </w:pPr>
            <w:r>
              <w:rPr>
                <w:sz w:val="20"/>
              </w:rPr>
              <w:t>百分比法预测准确率</w:t>
            </w:r>
          </w:p>
        </w:tc>
        <w:tc>
          <w:tcPr>
            <w:tcW w:type="dxa" w:w="3600"/>
          </w:tcPr>
          <w:p>
            <w:pPr>
              <w:jc w:val="center"/>
            </w:pPr>
            <w:r>
              <w:rPr>
                <w:sz w:val="20"/>
              </w:rPr>
              <w:t>34.30%</w:t>
            </w:r>
          </w:p>
        </w:tc>
      </w:tr>
      <w:tr>
        <w:tc>
          <w:tcPr>
            <w:tcW w:type="dxa" w:w="3600"/>
          </w:tcPr>
          <w:p>
            <w:pPr>
              <w:jc w:val="center"/>
            </w:pPr>
            <w:r>
              <w:rPr>
                <w:sz w:val="20"/>
              </w:rPr>
              <w:t>方法一致率</w:t>
            </w:r>
          </w:p>
        </w:tc>
        <w:tc>
          <w:tcPr>
            <w:tcW w:type="dxa" w:w="3600"/>
          </w:tcPr>
          <w:p>
            <w:pPr>
              <w:jc w:val="center"/>
            </w:pPr>
            <w:r>
              <w:rPr>
                <w:sz w:val="20"/>
              </w:rPr>
              <w:t>91.09%</w:t>
            </w:r>
          </w:p>
        </w:tc>
      </w:tr>
      <w:tr>
        <w:tc>
          <w:tcPr>
            <w:tcW w:type="dxa" w:w="3600"/>
          </w:tcPr>
          <w:p>
            <w:pPr>
              <w:jc w:val="center"/>
            </w:pPr>
            <w:r>
              <w:rPr>
                <w:sz w:val="20"/>
              </w:rPr>
              <w:t>方法分歧率</w:t>
            </w:r>
          </w:p>
        </w:tc>
        <w:tc>
          <w:tcPr>
            <w:tcW w:type="dxa" w:w="3600"/>
          </w:tcPr>
          <w:p>
            <w:pPr>
              <w:jc w:val="center"/>
            </w:pPr>
            <w:r>
              <w:rPr>
                <w:sz w:val="20"/>
              </w:rPr>
              <w:t>8.91% (45次)</w:t>
            </w:r>
          </w:p>
        </w:tc>
      </w:tr>
    </w:tbl>
    <w:p/>
    <w:p>
      <w:pPr>
        <w:jc w:val="center"/>
      </w:pPr>
      <w:r>
        <w:drawing>
          <wp:inline xmlns:a="http://schemas.openxmlformats.org/drawingml/2006/main" xmlns:pic="http://schemas.openxmlformats.org/drawingml/2006/picture">
            <wp:extent cx="5029200" cy="3574363"/>
            <wp:docPr id="1" name="Picture 1"/>
            <wp:cNvGraphicFramePr>
              <a:graphicFrameLocks noChangeAspect="1"/>
            </wp:cNvGraphicFramePr>
            <a:graphic>
              <a:graphicData uri="http://schemas.openxmlformats.org/drawingml/2006/picture">
                <pic:pic>
                  <pic:nvPicPr>
                    <pic:cNvPr id="0" name="q2_fig1_counterfactual.png"/>
                    <pic:cNvPicPr/>
                  </pic:nvPicPr>
                  <pic:blipFill>
                    <a:blip r:embed="rId9"/>
                    <a:stretch>
                      <a:fillRect/>
                    </a:stretch>
                  </pic:blipFill>
                  <pic:spPr>
                    <a:xfrm>
                      <a:off x="0" y="0"/>
                      <a:ext cx="5029200" cy="3574363"/>
                    </a:xfrm>
                    <a:prstGeom prst="rect"/>
                  </pic:spPr>
                </pic:pic>
              </a:graphicData>
            </a:graphic>
          </wp:inline>
        </w:drawing>
      </w:r>
    </w:p>
    <w:p>
      <w:pPr>
        <w:spacing w:after="240"/>
        <w:jc w:val="center"/>
      </w:pPr>
      <w:r>
        <w:rPr>
          <w:rFonts w:ascii="Times New Roman" w:hAnsi="Times New Roman" w:eastAsia="宋体"/>
          <w:b w:val="0"/>
          <w:i/>
          <w:sz w:val="20"/>
        </w:rPr>
        <w:t>图1: 反事实仿真结果对比 (Figure 1: Counterfactual Simulation Results)</w:t>
      </w:r>
    </w:p>
    <w:p>
      <w:pPr>
        <w:pStyle w:val="Heading2"/>
      </w:pPr>
      <w:r>
        <w:t>3.4 结论与分析</w:t>
      </w:r>
    </w:p>
    <w:p>
      <w:pPr>
        <w:spacing w:after="120" w:line="360" w:lineRule="auto"/>
        <w:ind w:firstLine="440"/>
        <w:jc w:val="both"/>
      </w:pPr>
      <w:r>
        <w:rPr>
          <w:rFonts w:ascii="Times New Roman" w:hAnsi="Times New Roman" w:eastAsia="宋体"/>
          <w:b w:val="0"/>
          <w:i w:val="0"/>
          <w:sz w:val="22"/>
        </w:rPr>
        <w:t>关键发现1：两种方法在91.1%的淘汰决策中产生相同结果。这表明方法选择的影响相对有限，大多数情况下评委和观众的偏好是一致的。</w:t>
      </w:r>
    </w:p>
    <w:p>
      <w:pPr>
        <w:spacing w:after="120" w:line="360" w:lineRule="auto"/>
        <w:ind w:firstLine="440"/>
        <w:jc w:val="both"/>
      </w:pPr>
      <w:r>
        <w:rPr>
          <w:rFonts w:ascii="Times New Roman" w:hAnsi="Times New Roman" w:eastAsia="宋体"/>
          <w:b w:val="0"/>
          <w:i w:val="0"/>
          <w:sz w:val="22"/>
        </w:rPr>
        <w:t>关键发现2：百分比法的预测准确率(34.30%)略高于排名法(29.26%)。这可能是因为Seasons 3-27实际使用了百分比法，观众的投票行为已经适应了该方法。</w:t>
      </w:r>
    </w:p>
    <w:p>
      <w:pPr>
        <w:spacing w:after="120" w:line="360" w:lineRule="auto"/>
        <w:ind w:firstLine="440"/>
        <w:jc w:val="both"/>
      </w:pPr>
      <w:r>
        <w:rPr>
          <w:rFonts w:ascii="Times New Roman" w:hAnsi="Times New Roman" w:eastAsia="宋体"/>
          <w:b w:val="0"/>
          <w:i w:val="0"/>
          <w:sz w:val="22"/>
        </w:rPr>
        <w:t>关键发现3：约8.9%的淘汰事件（约45次）中，两种方法会产生不同的淘汰人选。这些"分歧案例"正是我们后续分析的重点。</w:t>
      </w:r>
    </w:p>
    <w:p>
      <w:r>
        <w:br w:type="page"/>
      </w:r>
    </w:p>
    <w:p>
      <w:pPr>
        <w:pStyle w:val="Heading1"/>
      </w:pPr>
      <w:r>
        <w:t>4. Step 2: 偏倚敏感度分析</w:t>
      </w:r>
    </w:p>
    <w:p>
      <w:pPr>
        <w:pStyle w:val="Heading2"/>
      </w:pPr>
      <w:r>
        <w:t>4.1 方法意义</w:t>
      </w:r>
    </w:p>
    <w:p>
      <w:pPr>
        <w:spacing w:after="120" w:line="360" w:lineRule="auto"/>
        <w:ind w:firstLine="440"/>
        <w:jc w:val="both"/>
      </w:pPr>
      <w:r>
        <w:rPr>
          <w:rFonts w:ascii="Times New Roman" w:hAnsi="Times New Roman" w:eastAsia="宋体"/>
          <w:b w:val="0"/>
          <w:i w:val="0"/>
          <w:sz w:val="22"/>
        </w:rPr>
        <w:t>偏倚敏感度分析(Bias Sensitivity Analysis)旨在量化观众投票对最终结果的影响程度。这对于理解两种方法的"公平性"至关重要——如果观众投票权重过高，可能导致舞技较弱但粉丝基础强大的选手晋级。</w:t>
      </w:r>
    </w:p>
    <w:p>
      <w:r>
        <w:rPr>
          <w:b/>
        </w:rPr>
        <w:t>核心问题：</w:t>
      </w:r>
      <w:r>
        <w:t>在两种方法中，观众投票分别占多少权重？哪种方法更容易受到"粉丝轰炸"的影响？</w:t>
      </w:r>
    </w:p>
    <w:p>
      <w:pPr>
        <w:pStyle w:val="Heading2"/>
      </w:pPr>
      <w:r>
        <w:t>4.2 分析方法</w:t>
      </w:r>
    </w:p>
    <w:p>
      <w:r>
        <w:rPr>
          <w:b/>
        </w:rPr>
        <w:t>方法1：方差分解 (Variance Decomposition)</w:t>
      </w:r>
    </w:p>
    <w:p>
      <w:pPr>
        <w:spacing w:after="120" w:line="360" w:lineRule="auto"/>
        <w:ind w:firstLine="440"/>
        <w:jc w:val="both"/>
      </w:pPr>
      <w:r>
        <w:rPr>
          <w:rFonts w:ascii="Times New Roman" w:hAnsi="Times New Roman" w:eastAsia="宋体"/>
          <w:b w:val="0"/>
          <w:i w:val="0"/>
          <w:sz w:val="22"/>
        </w:rPr>
        <w:t>将综合分数的方差分解为评委成分和观众成分，计算各成分对总方差的贡献。</w:t>
      </w:r>
    </w:p>
    <w:p>
      <w:pPr>
        <w:spacing w:before="120" w:after="120"/>
        <w:jc w:val="center"/>
      </w:pPr>
      <w:r>
        <w:rPr>
          <w:rFonts w:ascii="Times New Roman" w:hAnsi="Times New Roman" w:eastAsia="宋体"/>
          <w:b/>
          <w:i/>
          <w:sz w:val="22"/>
        </w:rPr>
        <w:t>Fan_Weight = Var(Fan_Component) / Var(Combined_Score)</w:t>
      </w:r>
    </w:p>
    <w:p>
      <w:pPr>
        <w:jc w:val="center"/>
      </w:pPr>
      <w:r>
        <w:rPr>
          <w:rFonts w:ascii="Times New Roman" w:hAnsi="Times New Roman" w:eastAsia="宋体"/>
          <w:b w:val="0"/>
          <w:i/>
          <w:sz w:val="20"/>
        </w:rPr>
        <w:t>(观众权重公式)</w:t>
      </w:r>
    </w:p>
    <w:p>
      <w:r>
        <w:rPr>
          <w:b/>
        </w:rPr>
        <w:t>方法2：边际效应分析 (Marginal Effect Analysis)</w:t>
      </w:r>
    </w:p>
    <w:p>
      <w:pPr>
        <w:spacing w:after="120" w:line="360" w:lineRule="auto"/>
        <w:ind w:firstLine="440"/>
        <w:jc w:val="both"/>
      </w:pPr>
      <w:r>
        <w:rPr>
          <w:rFonts w:ascii="Times New Roman" w:hAnsi="Times New Roman" w:eastAsia="宋体"/>
          <w:b w:val="0"/>
          <w:i w:val="0"/>
          <w:sz w:val="22"/>
        </w:rPr>
        <w:t>衡量观众投票微小变化对淘汰概率的影响程度。</w:t>
      </w:r>
    </w:p>
    <w:p>
      <w:pPr>
        <w:spacing w:before="120" w:after="120"/>
        <w:jc w:val="center"/>
      </w:pPr>
      <w:r>
        <w:rPr>
          <w:rFonts w:ascii="Times New Roman" w:hAnsi="Times New Roman" w:eastAsia="宋体"/>
          <w:b/>
          <w:i/>
          <w:sz w:val="22"/>
        </w:rPr>
        <w:t>Marginal_Effect = ∂P(Elimination) / ∂Fan_Vote</w:t>
      </w:r>
    </w:p>
    <w:p>
      <w:pPr>
        <w:jc w:val="center"/>
      </w:pPr>
      <w:r>
        <w:rPr>
          <w:rFonts w:ascii="Times New Roman" w:hAnsi="Times New Roman" w:eastAsia="宋体"/>
          <w:b w:val="0"/>
          <w:i/>
          <w:sz w:val="20"/>
        </w:rPr>
        <w:t>(边际效应公式)</w:t>
      </w:r>
    </w:p>
    <w:p>
      <w:r>
        <w:rPr>
          <w:b/>
        </w:rPr>
        <w:t>方法3：敏感度梯度 (Sensitivity Gradient)</w:t>
      </w:r>
    </w:p>
    <w:p>
      <w:pPr>
        <w:spacing w:after="120" w:line="360" w:lineRule="auto"/>
        <w:ind w:firstLine="440"/>
        <w:jc w:val="both"/>
      </w:pPr>
      <w:r>
        <w:rPr>
          <w:rFonts w:ascii="Times New Roman" w:hAnsi="Times New Roman" w:eastAsia="宋体"/>
          <w:b w:val="0"/>
          <w:i w:val="0"/>
          <w:sz w:val="22"/>
        </w:rPr>
        <w:t>计算综合分数对观众投票变化的梯度，衡量敏感程度。</w:t>
      </w:r>
    </w:p>
    <w:p>
      <w:pPr>
        <w:pStyle w:val="Heading2"/>
      </w:pPr>
      <w:r>
        <w:t>4.3 结果</w:t>
      </w:r>
    </w:p>
    <w:tbl>
      <w:tblPr>
        <w:tblStyle w:val="TableGrid"/>
        <w:tblW w:type="auto" w:w="0"/>
        <w:tblLook w:firstColumn="1" w:firstRow="1" w:lastColumn="0" w:lastRow="0" w:noHBand="0" w:noVBand="1" w:val="04A0"/>
      </w:tblPr>
      <w:tblGrid>
        <w:gridCol w:w="2160"/>
        <w:gridCol w:w="2160"/>
        <w:gridCol w:w="2160"/>
        <w:gridCol w:w="2160"/>
      </w:tblGrid>
      <w:tr>
        <w:tc>
          <w:tcPr>
            <w:tcW w:type="dxa" w:w="2592"/>
            <w:shd w:fill="D9E2F3"/>
          </w:tcPr>
          <w:p>
            <w:pPr>
              <w:jc w:val="center"/>
            </w:pPr>
            <w:r>
              <w:rPr>
                <w:b/>
                <w:sz w:val="20"/>
              </w:rPr>
              <w:t>指标</w:t>
            </w:r>
          </w:p>
        </w:tc>
        <w:tc>
          <w:tcPr>
            <w:tcW w:type="dxa" w:w="2160"/>
            <w:shd w:fill="D9E2F3"/>
          </w:tcPr>
          <w:p>
            <w:pPr>
              <w:jc w:val="center"/>
            </w:pPr>
            <w:r>
              <w:rPr>
                <w:b/>
                <w:sz w:val="20"/>
              </w:rPr>
              <w:t>排名法</w:t>
            </w:r>
          </w:p>
        </w:tc>
        <w:tc>
          <w:tcPr>
            <w:tcW w:type="dxa" w:w="2160"/>
            <w:shd w:fill="D9E2F3"/>
          </w:tcPr>
          <w:p>
            <w:pPr>
              <w:jc w:val="center"/>
            </w:pPr>
            <w:r>
              <w:rPr>
                <w:b/>
                <w:sz w:val="20"/>
              </w:rPr>
              <w:t>百分比法</w:t>
            </w:r>
          </w:p>
        </w:tc>
        <w:tc>
          <w:tcPr>
            <w:tcW w:type="dxa" w:w="1728"/>
            <w:shd w:fill="D9E2F3"/>
          </w:tcPr>
          <w:p>
            <w:pPr>
              <w:jc w:val="center"/>
            </w:pPr>
            <w:r>
              <w:rPr>
                <w:b/>
                <w:sz w:val="20"/>
              </w:rPr>
              <w:t>差异</w:t>
            </w:r>
          </w:p>
        </w:tc>
      </w:tr>
      <w:tr>
        <w:tc>
          <w:tcPr>
            <w:tcW w:type="dxa" w:w="2592"/>
          </w:tcPr>
          <w:p>
            <w:pPr>
              <w:jc w:val="center"/>
            </w:pPr>
            <w:r>
              <w:rPr>
                <w:sz w:val="20"/>
              </w:rPr>
              <w:t>观众投票权重</w:t>
            </w:r>
          </w:p>
        </w:tc>
        <w:tc>
          <w:tcPr>
            <w:tcW w:type="dxa" w:w="2160"/>
          </w:tcPr>
          <w:p>
            <w:pPr>
              <w:jc w:val="center"/>
            </w:pPr>
            <w:r>
              <w:rPr>
                <w:sz w:val="20"/>
              </w:rPr>
              <w:t>49.84%</w:t>
            </w:r>
          </w:p>
        </w:tc>
        <w:tc>
          <w:tcPr>
            <w:tcW w:type="dxa" w:w="2160"/>
          </w:tcPr>
          <w:p>
            <w:pPr>
              <w:jc w:val="center"/>
            </w:pPr>
            <w:r>
              <w:rPr>
                <w:sz w:val="20"/>
              </w:rPr>
              <w:t>85.64%</w:t>
            </w:r>
          </w:p>
        </w:tc>
        <w:tc>
          <w:tcPr>
            <w:tcW w:type="dxa" w:w="1728"/>
          </w:tcPr>
          <w:p>
            <w:pPr>
              <w:jc w:val="center"/>
            </w:pPr>
            <w:r>
              <w:rPr>
                <w:sz w:val="20"/>
              </w:rPr>
              <w:t>35.80%</w:t>
            </w:r>
          </w:p>
        </w:tc>
      </w:tr>
      <w:tr>
        <w:tc>
          <w:tcPr>
            <w:tcW w:type="dxa" w:w="2592"/>
          </w:tcPr>
          <w:p>
            <w:pPr>
              <w:jc w:val="center"/>
            </w:pPr>
            <w:r>
              <w:rPr>
                <w:sz w:val="20"/>
              </w:rPr>
              <w:t>评委评分权重</w:t>
            </w:r>
          </w:p>
        </w:tc>
        <w:tc>
          <w:tcPr>
            <w:tcW w:type="dxa" w:w="2160"/>
          </w:tcPr>
          <w:p>
            <w:pPr>
              <w:jc w:val="center"/>
            </w:pPr>
            <w:r>
              <w:rPr>
                <w:sz w:val="20"/>
              </w:rPr>
              <w:t>50.16%</w:t>
            </w:r>
          </w:p>
        </w:tc>
        <w:tc>
          <w:tcPr>
            <w:tcW w:type="dxa" w:w="2160"/>
          </w:tcPr>
          <w:p>
            <w:pPr>
              <w:jc w:val="center"/>
            </w:pPr>
            <w:r>
              <w:rPr>
                <w:sz w:val="20"/>
              </w:rPr>
              <w:t>14.36%</w:t>
            </w:r>
          </w:p>
        </w:tc>
        <w:tc>
          <w:tcPr>
            <w:tcW w:type="dxa" w:w="1728"/>
          </w:tcPr>
          <w:p>
            <w:pPr>
              <w:jc w:val="center"/>
            </w:pPr>
            <w:r>
              <w:rPr>
                <w:sz w:val="20"/>
              </w:rPr>
              <w:t>-35.80%</w:t>
            </w:r>
          </w:p>
        </w:tc>
      </w:tr>
    </w:tbl>
    <w:p/>
    <w:p>
      <w:pPr>
        <w:jc w:val="center"/>
      </w:pPr>
      <w:r>
        <w:drawing>
          <wp:inline xmlns:a="http://schemas.openxmlformats.org/drawingml/2006/main" xmlns:pic="http://schemas.openxmlformats.org/drawingml/2006/picture">
            <wp:extent cx="5029200" cy="3575569"/>
            <wp:docPr id="2" name="Picture 2"/>
            <wp:cNvGraphicFramePr>
              <a:graphicFrameLocks noChangeAspect="1"/>
            </wp:cNvGraphicFramePr>
            <a:graphic>
              <a:graphicData uri="http://schemas.openxmlformats.org/drawingml/2006/picture">
                <pic:pic>
                  <pic:nvPicPr>
                    <pic:cNvPr id="0" name="q2_fig2_bias_sensitivity.png"/>
                    <pic:cNvPicPr/>
                  </pic:nvPicPr>
                  <pic:blipFill>
                    <a:blip r:embed="rId10"/>
                    <a:stretch>
                      <a:fillRect/>
                    </a:stretch>
                  </pic:blipFill>
                  <pic:spPr>
                    <a:xfrm>
                      <a:off x="0" y="0"/>
                      <a:ext cx="5029200" cy="3575569"/>
                    </a:xfrm>
                    <a:prstGeom prst="rect"/>
                  </pic:spPr>
                </pic:pic>
              </a:graphicData>
            </a:graphic>
          </wp:inline>
        </w:drawing>
      </w:r>
    </w:p>
    <w:p>
      <w:pPr>
        <w:spacing w:after="240"/>
        <w:jc w:val="center"/>
      </w:pPr>
      <w:r>
        <w:rPr>
          <w:rFonts w:ascii="Times New Roman" w:hAnsi="Times New Roman" w:eastAsia="宋体"/>
          <w:b w:val="0"/>
          <w:i/>
          <w:sz w:val="20"/>
        </w:rPr>
        <w:t>图2: 偏倚敏感度分析 (Figure 2: Bias Sensitivity Analysis)</w:t>
      </w:r>
    </w:p>
    <w:p>
      <w:pPr>
        <w:pStyle w:val="Heading2"/>
      </w:pPr>
      <w:r>
        <w:t>4.4 结论与分析</w:t>
      </w:r>
    </w:p>
    <w:p>
      <w:pPr>
        <w:spacing w:after="120" w:line="360" w:lineRule="auto"/>
        <w:ind w:firstLine="440"/>
        <w:jc w:val="both"/>
      </w:pPr>
      <w:r>
        <w:rPr>
          <w:rFonts w:ascii="Times New Roman" w:hAnsi="Times New Roman" w:eastAsia="宋体"/>
          <w:b w:val="0"/>
          <w:i w:val="0"/>
          <w:sz w:val="22"/>
        </w:rPr>
        <w:t>核心发现：百分比法中观众投票的权重(85.6%)远高于排名法(49.8%)，差异达35.8个百分点。</w:t>
      </w:r>
    </w:p>
    <w:p>
      <w:pPr>
        <w:spacing w:after="120" w:line="360" w:lineRule="auto"/>
        <w:ind w:firstLine="440"/>
        <w:jc w:val="both"/>
      </w:pPr>
      <w:r>
        <w:rPr>
          <w:rFonts w:ascii="Times New Roman" w:hAnsi="Times New Roman" w:eastAsia="宋体"/>
          <w:b w:val="0"/>
          <w:i w:val="0"/>
          <w:sz w:val="22"/>
        </w:rPr>
        <w:t>这一差异的数学原因：在排名法中，无论某选手获得多少观众投票，只要排名相同，贡献就相同。而在百分比法中，投票数的绝对差异直接体现在百分比中。因此，当某选手拥有大量粉丝时，百分比法会放大其优势。</w:t>
      </w:r>
    </w:p>
    <w:p>
      <w:pPr>
        <w:spacing w:after="120" w:line="360" w:lineRule="auto"/>
        <w:ind w:firstLine="440"/>
        <w:jc w:val="both"/>
      </w:pPr>
      <w:r>
        <w:rPr>
          <w:rFonts w:ascii="Times New Roman" w:hAnsi="Times New Roman" w:eastAsia="宋体"/>
          <w:b w:val="0"/>
          <w:i w:val="0"/>
          <w:sz w:val="22"/>
        </w:rPr>
        <w:t>实际影响：这意味着在百分比法(Seasons 3-27)期间，拥有强大粉丝基础的选手（如Bristol Palin、Bobby Bones）更容易获得高观众投票优势，从而抵消较低的评委评分。</w:t>
      </w:r>
    </w:p>
    <w:p>
      <w:r>
        <w:br w:type="page"/>
      </w:r>
    </w:p>
    <w:p>
      <w:pPr>
        <w:pStyle w:val="Heading1"/>
      </w:pPr>
      <w:r>
        <w:t>5. Step 3: 争议案例研究</w:t>
      </w:r>
    </w:p>
    <w:p>
      <w:pPr>
        <w:pStyle w:val="Heading2"/>
      </w:pPr>
      <w:r>
        <w:t>5.1 方法意义</w:t>
      </w:r>
    </w:p>
    <w:p>
      <w:pPr>
        <w:spacing w:after="120" w:line="360" w:lineRule="auto"/>
        <w:ind w:firstLine="440"/>
        <w:jc w:val="both"/>
      </w:pPr>
      <w:r>
        <w:rPr>
          <w:rFonts w:ascii="Times New Roman" w:hAnsi="Times New Roman" w:eastAsia="宋体"/>
          <w:b w:val="0"/>
          <w:i w:val="0"/>
          <w:sz w:val="22"/>
        </w:rPr>
        <w:t>争议案例研究(Controversy Case Study)通过深入分析具体案例来验证理论发现。我们选择了4个在DWTS历史上引发广泛讨论的选手，分析他们在不同投票方法下的命运差异。</w:t>
      </w:r>
    </w:p>
    <w:p>
      <w:pPr>
        <w:pStyle w:val="Heading2"/>
      </w:pPr>
      <w:r>
        <w:t>5.2 案例选择</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pPr>
              <w:jc w:val="center"/>
            </w:pPr>
            <w:r>
              <w:rPr>
                <w:b/>
                <w:sz w:val="20"/>
              </w:rPr>
              <w:t>选手</w:t>
            </w:r>
          </w:p>
        </w:tc>
        <w:tc>
          <w:tcPr>
            <w:tcW w:type="dxa" w:w="1440"/>
            <w:shd w:fill="D9E2F3"/>
          </w:tcPr>
          <w:p>
            <w:pPr>
              <w:jc w:val="center"/>
            </w:pPr>
            <w:r>
              <w:rPr>
                <w:b/>
                <w:sz w:val="20"/>
              </w:rPr>
              <w:t>赛季</w:t>
            </w:r>
          </w:p>
        </w:tc>
        <w:tc>
          <w:tcPr>
            <w:tcW w:type="dxa" w:w="1440"/>
            <w:shd w:fill="D9E2F3"/>
          </w:tcPr>
          <w:p>
            <w:pPr>
              <w:jc w:val="center"/>
            </w:pPr>
            <w:r>
              <w:rPr>
                <w:b/>
                <w:sz w:val="20"/>
              </w:rPr>
              <w:t>最终名次</w:t>
            </w:r>
          </w:p>
        </w:tc>
        <w:tc>
          <w:tcPr>
            <w:tcW w:type="dxa" w:w="4032"/>
            <w:shd w:fill="D9E2F3"/>
          </w:tcPr>
          <w:p>
            <w:pPr>
              <w:jc w:val="center"/>
            </w:pPr>
            <w:r>
              <w:rPr>
                <w:b/>
                <w:sz w:val="20"/>
              </w:rPr>
              <w:t>争议点</w:t>
            </w:r>
          </w:p>
        </w:tc>
      </w:tr>
      <w:tr>
        <w:tc>
          <w:tcPr>
            <w:tcW w:type="dxa" w:w="2160"/>
          </w:tcPr>
          <w:p>
            <w:pPr>
              <w:jc w:val="center"/>
            </w:pPr>
            <w:r>
              <w:rPr>
                <w:sz w:val="20"/>
              </w:rPr>
              <w:t>Bristol Palin</w:t>
            </w:r>
          </w:p>
        </w:tc>
        <w:tc>
          <w:tcPr>
            <w:tcW w:type="dxa" w:w="1440"/>
          </w:tcPr>
          <w:p>
            <w:pPr>
              <w:jc w:val="center"/>
            </w:pPr>
            <w:r>
              <w:rPr>
                <w:sz w:val="20"/>
              </w:rPr>
              <w:t>Season 11</w:t>
            </w:r>
          </w:p>
        </w:tc>
        <w:tc>
          <w:tcPr>
            <w:tcW w:type="dxa" w:w="1440"/>
          </w:tcPr>
          <w:p>
            <w:pPr>
              <w:jc w:val="center"/>
            </w:pPr>
            <w:r>
              <w:rPr>
                <w:sz w:val="20"/>
              </w:rPr>
              <w:t>第3名</w:t>
            </w:r>
          </w:p>
        </w:tc>
        <w:tc>
          <w:tcPr>
            <w:tcW w:type="dxa" w:w="4032"/>
          </w:tcPr>
          <w:p>
            <w:pPr>
              <w:jc w:val="center"/>
            </w:pPr>
            <w:r>
              <w:rPr>
                <w:sz w:val="20"/>
              </w:rPr>
              <w:t>政治人物之女，评委评分低但粉丝支持强</w:t>
            </w:r>
          </w:p>
        </w:tc>
      </w:tr>
      <w:tr>
        <w:tc>
          <w:tcPr>
            <w:tcW w:type="dxa" w:w="2160"/>
          </w:tcPr>
          <w:p>
            <w:pPr>
              <w:jc w:val="center"/>
            </w:pPr>
            <w:r>
              <w:rPr>
                <w:sz w:val="20"/>
              </w:rPr>
              <w:t>Bobby Bones</w:t>
            </w:r>
          </w:p>
        </w:tc>
        <w:tc>
          <w:tcPr>
            <w:tcW w:type="dxa" w:w="1440"/>
          </w:tcPr>
          <w:p>
            <w:pPr>
              <w:jc w:val="center"/>
            </w:pPr>
            <w:r>
              <w:rPr>
                <w:sz w:val="20"/>
              </w:rPr>
              <w:t>Season 27</w:t>
            </w:r>
          </w:p>
        </w:tc>
        <w:tc>
          <w:tcPr>
            <w:tcW w:type="dxa" w:w="1440"/>
          </w:tcPr>
          <w:p>
            <w:pPr>
              <w:jc w:val="center"/>
            </w:pPr>
            <w:r>
              <w:rPr>
                <w:sz w:val="20"/>
              </w:rPr>
              <w:t>第1名(冠军)</w:t>
            </w:r>
          </w:p>
        </w:tc>
        <w:tc>
          <w:tcPr>
            <w:tcW w:type="dxa" w:w="4032"/>
          </w:tcPr>
          <w:p>
            <w:pPr>
              <w:jc w:val="center"/>
            </w:pPr>
            <w:r>
              <w:rPr>
                <w:sz w:val="20"/>
              </w:rPr>
              <w:t>以历史最低评委分夺冠，争议最大</w:t>
            </w:r>
          </w:p>
        </w:tc>
      </w:tr>
      <w:tr>
        <w:tc>
          <w:tcPr>
            <w:tcW w:type="dxa" w:w="2160"/>
          </w:tcPr>
          <w:p>
            <w:pPr>
              <w:jc w:val="center"/>
            </w:pPr>
            <w:r>
              <w:rPr>
                <w:sz w:val="20"/>
              </w:rPr>
              <w:t>Jerry Rice</w:t>
            </w:r>
          </w:p>
        </w:tc>
        <w:tc>
          <w:tcPr>
            <w:tcW w:type="dxa" w:w="1440"/>
          </w:tcPr>
          <w:p>
            <w:pPr>
              <w:jc w:val="center"/>
            </w:pPr>
            <w:r>
              <w:rPr>
                <w:sz w:val="20"/>
              </w:rPr>
              <w:t>Season 2</w:t>
            </w:r>
          </w:p>
        </w:tc>
        <w:tc>
          <w:tcPr>
            <w:tcW w:type="dxa" w:w="1440"/>
          </w:tcPr>
          <w:p>
            <w:pPr>
              <w:jc w:val="center"/>
            </w:pPr>
            <w:r>
              <w:rPr>
                <w:sz w:val="20"/>
              </w:rPr>
              <w:t>第2名</w:t>
            </w:r>
          </w:p>
        </w:tc>
        <w:tc>
          <w:tcPr>
            <w:tcW w:type="dxa" w:w="4032"/>
          </w:tcPr>
          <w:p>
            <w:pPr>
              <w:jc w:val="center"/>
            </w:pPr>
            <w:r>
              <w:rPr>
                <w:sz w:val="20"/>
              </w:rPr>
              <w:t>NFL传奇，表现稳定</w:t>
            </w:r>
          </w:p>
        </w:tc>
      </w:tr>
      <w:tr>
        <w:tc>
          <w:tcPr>
            <w:tcW w:type="dxa" w:w="2160"/>
          </w:tcPr>
          <w:p>
            <w:pPr>
              <w:jc w:val="center"/>
            </w:pPr>
            <w:r>
              <w:rPr>
                <w:sz w:val="20"/>
              </w:rPr>
              <w:t>Billy Ray Cyrus</w:t>
            </w:r>
          </w:p>
        </w:tc>
        <w:tc>
          <w:tcPr>
            <w:tcW w:type="dxa" w:w="1440"/>
          </w:tcPr>
          <w:p>
            <w:pPr>
              <w:jc w:val="center"/>
            </w:pPr>
            <w:r>
              <w:rPr>
                <w:sz w:val="20"/>
              </w:rPr>
              <w:t>Season 4</w:t>
            </w:r>
          </w:p>
        </w:tc>
        <w:tc>
          <w:tcPr>
            <w:tcW w:type="dxa" w:w="1440"/>
          </w:tcPr>
          <w:p>
            <w:pPr>
              <w:jc w:val="center"/>
            </w:pPr>
            <w:r>
              <w:rPr>
                <w:sz w:val="20"/>
              </w:rPr>
              <w:t>第5名</w:t>
            </w:r>
          </w:p>
        </w:tc>
        <w:tc>
          <w:tcPr>
            <w:tcW w:type="dxa" w:w="4032"/>
          </w:tcPr>
          <w:p>
            <w:pPr>
              <w:jc w:val="center"/>
            </w:pPr>
            <w:r>
              <w:rPr>
                <w:sz w:val="20"/>
              </w:rPr>
              <w:t>评委评分较低，但有粉丝基础</w:t>
            </w:r>
          </w:p>
        </w:tc>
      </w:tr>
    </w:tbl>
    <w:p/>
    <w:p>
      <w:pPr>
        <w:pStyle w:val="Heading2"/>
      </w:pPr>
      <w:r>
        <w:t>5.3 反事实分析方法</w:t>
      </w:r>
    </w:p>
    <w:p>
      <w:pPr>
        <w:spacing w:after="120" w:line="360" w:lineRule="auto"/>
        <w:ind w:firstLine="440"/>
        <w:jc w:val="both"/>
      </w:pPr>
      <w:r>
        <w:rPr>
          <w:rFonts w:ascii="Times New Roman" w:hAnsi="Times New Roman" w:eastAsia="宋体"/>
          <w:b w:val="0"/>
          <w:i w:val="0"/>
          <w:sz w:val="22"/>
        </w:rPr>
        <w:t>对每个争议选手，我们模拟其在两种投票方法下的表现：统计该选手在排名法和百分比法下分别会被淘汰多少次。如果某方法下淘汰次数更多，说明该方法对该选手更"不利"。</w:t>
      </w:r>
    </w:p>
    <w:p>
      <w:pPr>
        <w:pStyle w:val="Heading2"/>
      </w:pPr>
      <w:r>
        <w:t>5.4 结果</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pPr>
              <w:jc w:val="center"/>
            </w:pPr>
            <w:r>
              <w:rPr>
                <w:b/>
                <w:sz w:val="20"/>
              </w:rPr>
              <w:t>选手</w:t>
            </w:r>
          </w:p>
        </w:tc>
        <w:tc>
          <w:tcPr>
            <w:tcW w:type="dxa" w:w="2160"/>
            <w:shd w:fill="D9E2F3"/>
          </w:tcPr>
          <w:p>
            <w:pPr>
              <w:jc w:val="center"/>
            </w:pPr>
            <w:r>
              <w:rPr>
                <w:b/>
                <w:sz w:val="20"/>
              </w:rPr>
              <w:t>百分比法淘汰次数</w:t>
            </w:r>
          </w:p>
        </w:tc>
        <w:tc>
          <w:tcPr>
            <w:tcW w:type="dxa" w:w="2160"/>
            <w:shd w:fill="D9E2F3"/>
          </w:tcPr>
          <w:p>
            <w:pPr>
              <w:jc w:val="center"/>
            </w:pPr>
            <w:r>
              <w:rPr>
                <w:b/>
                <w:sz w:val="20"/>
              </w:rPr>
              <w:t>排名法淘汰次数</w:t>
            </w:r>
          </w:p>
        </w:tc>
        <w:tc>
          <w:tcPr>
            <w:tcW w:type="dxa" w:w="2880"/>
            <w:shd w:fill="D9E2F3"/>
          </w:tcPr>
          <w:p>
            <w:pPr>
              <w:jc w:val="center"/>
            </w:pPr>
            <w:r>
              <w:rPr>
                <w:b/>
                <w:sz w:val="20"/>
              </w:rPr>
              <w:t>结论</w:t>
            </w:r>
          </w:p>
        </w:tc>
      </w:tr>
      <w:tr>
        <w:tc>
          <w:tcPr>
            <w:tcW w:type="dxa" w:w="2160"/>
          </w:tcPr>
          <w:p>
            <w:pPr>
              <w:jc w:val="center"/>
            </w:pPr>
            <w:r>
              <w:rPr>
                <w:sz w:val="20"/>
              </w:rPr>
              <w:t>Bristol Palin</w:t>
            </w:r>
          </w:p>
        </w:tc>
        <w:tc>
          <w:tcPr>
            <w:tcW w:type="dxa" w:w="2160"/>
          </w:tcPr>
          <w:p>
            <w:pPr>
              <w:jc w:val="center"/>
            </w:pPr>
            <w:r>
              <w:rPr>
                <w:sz w:val="20"/>
              </w:rPr>
              <w:t>1次</w:t>
            </w:r>
          </w:p>
        </w:tc>
        <w:tc>
          <w:tcPr>
            <w:tcW w:type="dxa" w:w="2160"/>
          </w:tcPr>
          <w:p>
            <w:pPr>
              <w:jc w:val="center"/>
            </w:pPr>
            <w:r>
              <w:rPr>
                <w:sz w:val="20"/>
              </w:rPr>
              <w:t>3次</w:t>
            </w:r>
          </w:p>
        </w:tc>
        <w:tc>
          <w:tcPr>
            <w:tcW w:type="dxa" w:w="2880"/>
          </w:tcPr>
          <w:p>
            <w:pPr>
              <w:jc w:val="center"/>
            </w:pPr>
            <w:r>
              <w:rPr>
                <w:sz w:val="20"/>
              </w:rPr>
              <w:t>百分比法帮助其晋级</w:t>
            </w:r>
          </w:p>
        </w:tc>
      </w:tr>
      <w:tr>
        <w:tc>
          <w:tcPr>
            <w:tcW w:type="dxa" w:w="2160"/>
          </w:tcPr>
          <w:p>
            <w:pPr>
              <w:jc w:val="center"/>
            </w:pPr>
            <w:r>
              <w:rPr>
                <w:sz w:val="20"/>
              </w:rPr>
              <w:t>Bobby Bones</w:t>
            </w:r>
          </w:p>
        </w:tc>
        <w:tc>
          <w:tcPr>
            <w:tcW w:type="dxa" w:w="2160"/>
          </w:tcPr>
          <w:p>
            <w:pPr>
              <w:jc w:val="center"/>
            </w:pPr>
            <w:r>
              <w:rPr>
                <w:sz w:val="20"/>
              </w:rPr>
              <w:t>0次</w:t>
            </w:r>
          </w:p>
        </w:tc>
        <w:tc>
          <w:tcPr>
            <w:tcW w:type="dxa" w:w="2160"/>
          </w:tcPr>
          <w:p>
            <w:pPr>
              <w:jc w:val="center"/>
            </w:pPr>
            <w:r>
              <w:rPr>
                <w:sz w:val="20"/>
              </w:rPr>
              <w:t>2次</w:t>
            </w:r>
          </w:p>
        </w:tc>
        <w:tc>
          <w:tcPr>
            <w:tcW w:type="dxa" w:w="2880"/>
          </w:tcPr>
          <w:p>
            <w:pPr>
              <w:jc w:val="center"/>
            </w:pPr>
            <w:r>
              <w:rPr>
                <w:sz w:val="20"/>
              </w:rPr>
              <w:t>百分比法帮助其夺冠</w:t>
            </w:r>
          </w:p>
        </w:tc>
      </w:tr>
      <w:tr>
        <w:tc>
          <w:tcPr>
            <w:tcW w:type="dxa" w:w="2160"/>
          </w:tcPr>
          <w:p>
            <w:pPr>
              <w:jc w:val="center"/>
            </w:pPr>
            <w:r>
              <w:rPr>
                <w:sz w:val="20"/>
              </w:rPr>
              <w:t>Jerry Rice</w:t>
            </w:r>
          </w:p>
        </w:tc>
        <w:tc>
          <w:tcPr>
            <w:tcW w:type="dxa" w:w="2160"/>
          </w:tcPr>
          <w:p>
            <w:pPr>
              <w:jc w:val="center"/>
            </w:pPr>
            <w:r>
              <w:rPr>
                <w:sz w:val="20"/>
              </w:rPr>
              <w:t>1次</w:t>
            </w:r>
          </w:p>
        </w:tc>
        <w:tc>
          <w:tcPr>
            <w:tcW w:type="dxa" w:w="2160"/>
          </w:tcPr>
          <w:p>
            <w:pPr>
              <w:jc w:val="center"/>
            </w:pPr>
            <w:r>
              <w:rPr>
                <w:sz w:val="20"/>
              </w:rPr>
              <w:t>1次</w:t>
            </w:r>
          </w:p>
        </w:tc>
        <w:tc>
          <w:tcPr>
            <w:tcW w:type="dxa" w:w="2880"/>
          </w:tcPr>
          <w:p>
            <w:pPr>
              <w:jc w:val="center"/>
            </w:pPr>
            <w:r>
              <w:rPr>
                <w:sz w:val="20"/>
              </w:rPr>
              <w:t>两种方法影响相近</w:t>
            </w:r>
          </w:p>
        </w:tc>
      </w:tr>
      <w:tr>
        <w:tc>
          <w:tcPr>
            <w:tcW w:type="dxa" w:w="2160"/>
          </w:tcPr>
          <w:p>
            <w:pPr>
              <w:jc w:val="center"/>
            </w:pPr>
            <w:r>
              <w:rPr>
                <w:sz w:val="20"/>
              </w:rPr>
              <w:t>Billy Ray Cyrus</w:t>
            </w:r>
          </w:p>
        </w:tc>
        <w:tc>
          <w:tcPr>
            <w:tcW w:type="dxa" w:w="2160"/>
          </w:tcPr>
          <w:p>
            <w:pPr>
              <w:jc w:val="center"/>
            </w:pPr>
            <w:r>
              <w:rPr>
                <w:sz w:val="20"/>
              </w:rPr>
              <w:t>1次</w:t>
            </w:r>
          </w:p>
        </w:tc>
        <w:tc>
          <w:tcPr>
            <w:tcW w:type="dxa" w:w="2160"/>
          </w:tcPr>
          <w:p>
            <w:pPr>
              <w:jc w:val="center"/>
            </w:pPr>
            <w:r>
              <w:rPr>
                <w:sz w:val="20"/>
              </w:rPr>
              <w:t>1次</w:t>
            </w:r>
          </w:p>
        </w:tc>
        <w:tc>
          <w:tcPr>
            <w:tcW w:type="dxa" w:w="2880"/>
          </w:tcPr>
          <w:p>
            <w:pPr>
              <w:jc w:val="center"/>
            </w:pPr>
            <w:r>
              <w:rPr>
                <w:sz w:val="20"/>
              </w:rPr>
              <w:t>两种方法影响相近</w:t>
            </w:r>
          </w:p>
        </w:tc>
      </w:tr>
    </w:tbl>
    <w:p/>
    <w:p>
      <w:pPr>
        <w:jc w:val="center"/>
      </w:pPr>
      <w:r>
        <w:drawing>
          <wp:inline xmlns:a="http://schemas.openxmlformats.org/drawingml/2006/main" xmlns:pic="http://schemas.openxmlformats.org/drawingml/2006/picture">
            <wp:extent cx="5029200" cy="4300400"/>
            <wp:docPr id="3" name="Picture 3"/>
            <wp:cNvGraphicFramePr>
              <a:graphicFrameLocks noChangeAspect="1"/>
            </wp:cNvGraphicFramePr>
            <a:graphic>
              <a:graphicData uri="http://schemas.openxmlformats.org/drawingml/2006/picture">
                <pic:pic>
                  <pic:nvPicPr>
                    <pic:cNvPr id="0" name="q2_fig3_controversy_cases.png"/>
                    <pic:cNvPicPr/>
                  </pic:nvPicPr>
                  <pic:blipFill>
                    <a:blip r:embed="rId11"/>
                    <a:stretch>
                      <a:fillRect/>
                    </a:stretch>
                  </pic:blipFill>
                  <pic:spPr>
                    <a:xfrm>
                      <a:off x="0" y="0"/>
                      <a:ext cx="5029200" cy="4300400"/>
                    </a:xfrm>
                    <a:prstGeom prst="rect"/>
                  </pic:spPr>
                </pic:pic>
              </a:graphicData>
            </a:graphic>
          </wp:inline>
        </w:drawing>
      </w:r>
    </w:p>
    <w:p>
      <w:pPr>
        <w:spacing w:after="240"/>
        <w:jc w:val="center"/>
      </w:pPr>
      <w:r>
        <w:rPr>
          <w:rFonts w:ascii="Times New Roman" w:hAnsi="Times New Roman" w:eastAsia="宋体"/>
          <w:b w:val="0"/>
          <w:i/>
          <w:sz w:val="20"/>
        </w:rPr>
        <w:t>图3: 争议案例分析 (Figure 3: Controversy Cases Analysis)</w:t>
      </w:r>
    </w:p>
    <w:p>
      <w:pPr>
        <w:pStyle w:val="Heading2"/>
      </w:pPr>
      <w:r>
        <w:t>5.5 结论与分析</w:t>
      </w:r>
    </w:p>
    <w:p>
      <w:r>
        <w:rPr>
          <w:b/>
        </w:rPr>
        <w:t>Bristol Palin案例：</w:t>
      </w:r>
      <w:r>
        <w:t>作为Sarah Palin之女，她在Season 11中进入决赛，尽管评委评分低于其他选手。反事实分析显示，如果使用排名法，她会被淘汰3次而非1次。</w:t>
      </w:r>
    </w:p>
    <w:p>
      <w:pPr>
        <w:spacing w:after="120" w:line="360" w:lineRule="auto"/>
        <w:ind w:firstLine="440"/>
        <w:jc w:val="both"/>
      </w:pPr>
      <w:r>
        <w:rPr>
          <w:rFonts w:ascii="Times New Roman" w:hAnsi="Times New Roman" w:eastAsia="宋体"/>
          <w:b w:val="0"/>
          <w:i w:val="0"/>
          <w:sz w:val="22"/>
        </w:rPr>
        <w:t>分析：Bristol的案例证实了百分比法对高粉丝基础选手的偏向性。她的观众投票百分位(73.6%)远高于评委百分位(60.2%)，在百分比法下这一差异被充分利用，帮助她进入决赛。</w:t>
      </w:r>
    </w:p>
    <w:p>
      <w:r>
        <w:rPr>
          <w:b/>
        </w:rPr>
        <w:t>Bobby Bones案例：</w:t>
      </w:r>
      <w:r>
        <w:t>他以历史最低评委平均分赢得Season 27冠军，是DWTS历史上最具争议的冠军。分析显示，如果使用排名法，他会面临2次淘汰而非0次。</w:t>
      </w:r>
    </w:p>
    <w:p>
      <w:pPr>
        <w:spacing w:after="120" w:line="360" w:lineRule="auto"/>
        <w:ind w:firstLine="440"/>
        <w:jc w:val="both"/>
      </w:pPr>
      <w:r>
        <w:rPr>
          <w:rFonts w:ascii="Times New Roman" w:hAnsi="Times New Roman" w:eastAsia="宋体"/>
          <w:b w:val="0"/>
          <w:i w:val="0"/>
          <w:sz w:val="22"/>
        </w:rPr>
        <w:t>分析：Bobby Bones案例是百分比法偏向性的极端体现。作为广播电台主持人，他拥有庞大的粉丝群体，这在百分比法下转化为巨大的观众投票优势，完全抵消了其较低的舞蹈技术评分。</w:t>
      </w:r>
    </w:p>
    <w:p>
      <w:pPr>
        <w:jc w:val="center"/>
      </w:pPr>
      <w:r>
        <w:drawing>
          <wp:inline xmlns:a="http://schemas.openxmlformats.org/drawingml/2006/main" xmlns:pic="http://schemas.openxmlformats.org/drawingml/2006/picture">
            <wp:extent cx="5029200" cy="3575918"/>
            <wp:docPr id="4" name="Picture 4"/>
            <wp:cNvGraphicFramePr>
              <a:graphicFrameLocks noChangeAspect="1"/>
            </wp:cNvGraphicFramePr>
            <a:graphic>
              <a:graphicData uri="http://schemas.openxmlformats.org/drawingml/2006/picture">
                <pic:pic>
                  <pic:nvPicPr>
                    <pic:cNvPr id="0" name="q2_fig4_all_trajectories.png"/>
                    <pic:cNvPicPr/>
                  </pic:nvPicPr>
                  <pic:blipFill>
                    <a:blip r:embed="rId12"/>
                    <a:stretch>
                      <a:fillRect/>
                    </a:stretch>
                  </pic:blipFill>
                  <pic:spPr>
                    <a:xfrm>
                      <a:off x="0" y="0"/>
                      <a:ext cx="5029200" cy="3575918"/>
                    </a:xfrm>
                    <a:prstGeom prst="rect"/>
                  </pic:spPr>
                </pic:pic>
              </a:graphicData>
            </a:graphic>
          </wp:inline>
        </w:drawing>
      </w:r>
    </w:p>
    <w:p>
      <w:pPr>
        <w:spacing w:after="240"/>
        <w:jc w:val="center"/>
      </w:pPr>
      <w:r>
        <w:rPr>
          <w:rFonts w:ascii="Times New Roman" w:hAnsi="Times New Roman" w:eastAsia="宋体"/>
          <w:b w:val="0"/>
          <w:i/>
          <w:sz w:val="20"/>
        </w:rPr>
        <w:t>图4: 选手轨迹分析 (Figure 4: Contestant Trajectories Analysis)</w:t>
      </w:r>
    </w:p>
    <w:p>
      <w:r>
        <w:br w:type="page"/>
      </w:r>
    </w:p>
    <w:p>
      <w:pPr>
        <w:pStyle w:val="Heading1"/>
      </w:pPr>
      <w:r>
        <w:t>6. Step 4: 评委救人机制与方法推荐</w:t>
      </w:r>
    </w:p>
    <w:p>
      <w:pPr>
        <w:pStyle w:val="Heading2"/>
      </w:pPr>
      <w:r>
        <w:t>6.1 方法意义</w:t>
      </w:r>
    </w:p>
    <w:p>
      <w:pPr>
        <w:spacing w:after="120" w:line="360" w:lineRule="auto"/>
        <w:ind w:firstLine="440"/>
        <w:jc w:val="both"/>
      </w:pPr>
      <w:r>
        <w:rPr>
          <w:rFonts w:ascii="Times New Roman" w:hAnsi="Times New Roman" w:eastAsia="宋体"/>
          <w:b w:val="0"/>
          <w:i w:val="0"/>
          <w:sz w:val="22"/>
        </w:rPr>
        <w:t>最后一步整合前三步的发现，进行综合分析：(1) 评估评委救人(Judges' Save)机制的效果，(2) 从社会选择理论角度验证阿罗不可能定理，(3) 基于多维度评分给出方法推荐。</w:t>
      </w:r>
    </w:p>
    <w:p>
      <w:pPr>
        <w:pStyle w:val="Heading2"/>
      </w:pPr>
      <w:r>
        <w:t>6.2 评委救人机制分析</w:t>
      </w:r>
    </w:p>
    <w:p>
      <w:r>
        <w:rPr>
          <w:b/>
        </w:rPr>
        <w:t>机制说明：</w:t>
      </w:r>
      <w:r>
        <w:t>从Season 28开始，DWTS引入"评委救人"机制。当底部两名选手确定后，评委可投票救一人。这为纠正"不公平"淘汰提供了专业判断的机会。</w:t>
      </w:r>
    </w:p>
    <w:tbl>
      <w:tblPr>
        <w:tblStyle w:val="TableGrid"/>
        <w:tblW w:type="auto" w:w="0"/>
        <w:tblLook w:firstColumn="1" w:firstRow="1" w:lastColumn="0" w:lastRow="0" w:noHBand="0" w:noVBand="1" w:val="04A0"/>
      </w:tblPr>
      <w:tblGrid>
        <w:gridCol w:w="4320"/>
        <w:gridCol w:w="4320"/>
      </w:tblGrid>
      <w:tr>
        <w:tc>
          <w:tcPr>
            <w:tcW w:type="dxa" w:w="3600"/>
            <w:shd w:fill="D9E2F3"/>
          </w:tcPr>
          <w:p>
            <w:pPr>
              <w:jc w:val="center"/>
            </w:pPr>
            <w:r>
              <w:rPr>
                <w:b/>
                <w:sz w:val="20"/>
              </w:rPr>
              <w:t>指标</w:t>
            </w:r>
          </w:p>
        </w:tc>
        <w:tc>
          <w:tcPr>
            <w:tcW w:type="dxa" w:w="3600"/>
            <w:shd w:fill="D9E2F3"/>
          </w:tcPr>
          <w:p>
            <w:pPr>
              <w:jc w:val="center"/>
            </w:pPr>
            <w:r>
              <w:rPr>
                <w:b/>
                <w:sz w:val="20"/>
              </w:rPr>
              <w:t>数值</w:t>
            </w:r>
          </w:p>
        </w:tc>
      </w:tr>
      <w:tr>
        <w:tc>
          <w:tcPr>
            <w:tcW w:type="dxa" w:w="3600"/>
          </w:tcPr>
          <w:p>
            <w:pPr>
              <w:jc w:val="center"/>
            </w:pPr>
            <w:r>
              <w:rPr>
                <w:sz w:val="20"/>
              </w:rPr>
              <w:t>评委救人预测准确率</w:t>
            </w:r>
          </w:p>
        </w:tc>
        <w:tc>
          <w:tcPr>
            <w:tcW w:type="dxa" w:w="3600"/>
          </w:tcPr>
          <w:p>
            <w:pPr>
              <w:jc w:val="center"/>
            </w:pPr>
            <w:r>
              <w:rPr>
                <w:sz w:val="20"/>
              </w:rPr>
              <w:t>25.39%</w:t>
            </w:r>
          </w:p>
        </w:tc>
      </w:tr>
      <w:tr>
        <w:tc>
          <w:tcPr>
            <w:tcW w:type="dxa" w:w="3600"/>
          </w:tcPr>
          <w:p>
            <w:pPr>
              <w:jc w:val="center"/>
            </w:pPr>
            <w:r>
              <w:rPr>
                <w:sz w:val="20"/>
              </w:rPr>
              <w:t>评委救人改变结果次数</w:t>
            </w:r>
          </w:p>
        </w:tc>
        <w:tc>
          <w:tcPr>
            <w:tcW w:type="dxa" w:w="3600"/>
          </w:tcPr>
          <w:p>
            <w:pPr>
              <w:jc w:val="center"/>
            </w:pPr>
            <w:r>
              <w:rPr>
                <w:sz w:val="20"/>
              </w:rPr>
              <w:t>46次 (8.91%)</w:t>
            </w:r>
          </w:p>
        </w:tc>
      </w:tr>
      <w:tr>
        <w:tc>
          <w:tcPr>
            <w:tcW w:type="dxa" w:w="3600"/>
          </w:tcPr>
          <w:p>
            <w:pPr>
              <w:jc w:val="center"/>
            </w:pPr>
            <w:r>
              <w:rPr>
                <w:sz w:val="20"/>
              </w:rPr>
              <w:t>适用赛季</w:t>
            </w:r>
          </w:p>
        </w:tc>
        <w:tc>
          <w:tcPr>
            <w:tcW w:type="dxa" w:w="3600"/>
          </w:tcPr>
          <w:p>
            <w:pPr>
              <w:jc w:val="center"/>
            </w:pPr>
            <w:r>
              <w:rPr>
                <w:sz w:val="20"/>
              </w:rPr>
              <w:t>Seasons 28-34 (7个赛季)</w:t>
            </w:r>
          </w:p>
        </w:tc>
      </w:tr>
    </w:tbl>
    <w:p/>
    <w:p>
      <w:pPr>
        <w:spacing w:after="120" w:line="360" w:lineRule="auto"/>
        <w:ind w:firstLine="440"/>
        <w:jc w:val="both"/>
      </w:pPr>
      <w:r>
        <w:rPr>
          <w:rFonts w:ascii="Times New Roman" w:hAnsi="Times New Roman" w:eastAsia="宋体"/>
          <w:b w:val="0"/>
          <w:i w:val="0"/>
          <w:sz w:val="22"/>
        </w:rPr>
        <w:t>分析：评委救人机制改变了约8.9%的淘汰结果。虽然其预测准确率较低(25.4%)，但它为争议案例提供了纠错机会，增加了专业判断的权重。</w:t>
      </w:r>
    </w:p>
    <w:p>
      <w:pPr>
        <w:pStyle w:val="Heading2"/>
      </w:pPr>
      <w:r>
        <w:t>6.3 阿罗不可能定理检验</w:t>
      </w:r>
    </w:p>
    <w:p>
      <w:r>
        <w:rPr>
          <w:b/>
        </w:rPr>
        <w:t>理论背景：</w:t>
      </w:r>
      <w:r>
        <w:t>阿罗不可能定理(1951)证明了任何三个或以上选项的投票系统都无法同时满足三个公平性准则：</w:t>
      </w:r>
    </w:p>
    <w:p>
      <w:pPr>
        <w:pStyle w:val="ListBullet"/>
      </w:pPr>
      <w:r>
        <w:rPr>
          <w:rFonts w:ascii="Times New Roman" w:hAnsi="Times New Roman" w:eastAsia="宋体"/>
          <w:b/>
          <w:i w:val="0"/>
          <w:sz w:val="22"/>
        </w:rPr>
        <w:t xml:space="preserve">1. </w:t>
      </w:r>
      <w:r>
        <w:rPr>
          <w:rFonts w:ascii="Times New Roman" w:hAnsi="Times New Roman" w:eastAsia="宋体"/>
          <w:b w:val="0"/>
          <w:i w:val="0"/>
          <w:sz w:val="22"/>
        </w:rPr>
        <w:t>帕累托效率：如果所有人都偏好A优于B，系统应将A排在B之前</w:t>
      </w:r>
    </w:p>
    <w:p>
      <w:pPr>
        <w:pStyle w:val="ListBullet"/>
      </w:pPr>
      <w:r>
        <w:rPr>
          <w:rFonts w:ascii="Times New Roman" w:hAnsi="Times New Roman" w:eastAsia="宋体"/>
          <w:b/>
          <w:i w:val="0"/>
          <w:sz w:val="22"/>
        </w:rPr>
        <w:t xml:space="preserve">2. </w:t>
      </w:r>
      <w:r>
        <w:rPr>
          <w:rFonts w:ascii="Times New Roman" w:hAnsi="Times New Roman" w:eastAsia="宋体"/>
          <w:b w:val="0"/>
          <w:i w:val="0"/>
          <w:sz w:val="22"/>
        </w:rPr>
        <w:t>非独裁性：没有任何单一投票者可以完全决定结果</w:t>
      </w:r>
    </w:p>
    <w:p>
      <w:pPr>
        <w:pStyle w:val="ListBullet"/>
      </w:pPr>
      <w:r>
        <w:rPr>
          <w:rFonts w:ascii="Times New Roman" w:hAnsi="Times New Roman" w:eastAsia="宋体"/>
          <w:b/>
          <w:i w:val="0"/>
          <w:sz w:val="22"/>
        </w:rPr>
        <w:t xml:space="preserve">3. </w:t>
      </w:r>
      <w:r>
        <w:rPr>
          <w:rFonts w:ascii="Times New Roman" w:hAnsi="Times New Roman" w:eastAsia="宋体"/>
          <w:b w:val="0"/>
          <w:i w:val="0"/>
          <w:sz w:val="22"/>
        </w:rPr>
        <w:t>无关选项独立性(IIA)：A与B的排序不应受C的影响</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pPr>
              <w:jc w:val="center"/>
            </w:pPr>
            <w:r>
              <w:rPr>
                <w:b/>
                <w:sz w:val="20"/>
              </w:rPr>
              <w:t>准则</w:t>
            </w:r>
          </w:p>
        </w:tc>
        <w:tc>
          <w:tcPr>
            <w:tcW w:type="dxa" w:w="2880"/>
            <w:shd w:fill="D9E2F3"/>
          </w:tcPr>
          <w:p>
            <w:pPr>
              <w:jc w:val="center"/>
            </w:pPr>
            <w:r>
              <w:rPr>
                <w:b/>
                <w:sz w:val="20"/>
              </w:rPr>
              <w:t>排名法</w:t>
            </w:r>
          </w:p>
        </w:tc>
        <w:tc>
          <w:tcPr>
            <w:tcW w:type="dxa" w:w="2880"/>
            <w:shd w:fill="D9E2F3"/>
          </w:tcPr>
          <w:p>
            <w:pPr>
              <w:jc w:val="center"/>
            </w:pPr>
            <w:r>
              <w:rPr>
                <w:b/>
                <w:sz w:val="20"/>
              </w:rPr>
              <w:t>百分比法</w:t>
            </w:r>
          </w:p>
        </w:tc>
      </w:tr>
      <w:tr>
        <w:tc>
          <w:tcPr>
            <w:tcW w:type="dxa" w:w="2880"/>
          </w:tcPr>
          <w:p>
            <w:pPr>
              <w:jc w:val="center"/>
            </w:pPr>
            <w:r>
              <w:rPr>
                <w:sz w:val="20"/>
              </w:rPr>
              <w:t>帕累托效率</w:t>
            </w:r>
          </w:p>
        </w:tc>
        <w:tc>
          <w:tcPr>
            <w:tcW w:type="dxa" w:w="2880"/>
          </w:tcPr>
          <w:p>
            <w:pPr>
              <w:jc w:val="center"/>
            </w:pPr>
            <w:r>
              <w:rPr>
                <w:sz w:val="20"/>
              </w:rPr>
              <w:t>满足 ✓</w:t>
            </w:r>
          </w:p>
        </w:tc>
        <w:tc>
          <w:tcPr>
            <w:tcW w:type="dxa" w:w="2880"/>
          </w:tcPr>
          <w:p>
            <w:pPr>
              <w:jc w:val="center"/>
            </w:pPr>
            <w:r>
              <w:rPr>
                <w:sz w:val="20"/>
              </w:rPr>
              <w:t>满足 ✓</w:t>
            </w:r>
          </w:p>
        </w:tc>
      </w:tr>
      <w:tr>
        <w:tc>
          <w:tcPr>
            <w:tcW w:type="dxa" w:w="2880"/>
          </w:tcPr>
          <w:p>
            <w:pPr>
              <w:jc w:val="center"/>
            </w:pPr>
            <w:r>
              <w:rPr>
                <w:sz w:val="20"/>
              </w:rPr>
              <w:t>非独裁性</w:t>
            </w:r>
          </w:p>
        </w:tc>
        <w:tc>
          <w:tcPr>
            <w:tcW w:type="dxa" w:w="2880"/>
          </w:tcPr>
          <w:p>
            <w:pPr>
              <w:jc w:val="center"/>
            </w:pPr>
            <w:r>
              <w:rPr>
                <w:sz w:val="20"/>
              </w:rPr>
              <w:t>满足 ✓ (49.8%)</w:t>
            </w:r>
          </w:p>
        </w:tc>
        <w:tc>
          <w:tcPr>
            <w:tcW w:type="dxa" w:w="2880"/>
          </w:tcPr>
          <w:p>
            <w:pPr>
              <w:jc w:val="center"/>
            </w:pPr>
            <w:r>
              <w:rPr>
                <w:sz w:val="20"/>
              </w:rPr>
              <w:t>不满足 ✗ (85.6%)</w:t>
            </w:r>
          </w:p>
        </w:tc>
      </w:tr>
      <w:tr>
        <w:tc>
          <w:tcPr>
            <w:tcW w:type="dxa" w:w="2880"/>
          </w:tcPr>
          <w:p>
            <w:pPr>
              <w:jc w:val="center"/>
            </w:pPr>
            <w:r>
              <w:rPr>
                <w:sz w:val="20"/>
              </w:rPr>
              <w:t>IIA独立性</w:t>
            </w:r>
          </w:p>
        </w:tc>
        <w:tc>
          <w:tcPr>
            <w:tcW w:type="dxa" w:w="2880"/>
          </w:tcPr>
          <w:p>
            <w:pPr>
              <w:jc w:val="center"/>
            </w:pPr>
            <w:r>
              <w:rPr>
                <w:sz w:val="20"/>
              </w:rPr>
              <w:t>不满足 ✗</w:t>
            </w:r>
          </w:p>
        </w:tc>
        <w:tc>
          <w:tcPr>
            <w:tcW w:type="dxa" w:w="2880"/>
          </w:tcPr>
          <w:p>
            <w:pPr>
              <w:jc w:val="center"/>
            </w:pPr>
            <w:r>
              <w:rPr>
                <w:sz w:val="20"/>
              </w:rPr>
              <w:t>不满足 ✗</w:t>
            </w:r>
          </w:p>
        </w:tc>
      </w:tr>
      <w:tr>
        <w:tc>
          <w:tcPr>
            <w:tcW w:type="dxa" w:w="2880"/>
          </w:tcPr>
          <w:p>
            <w:pPr>
              <w:jc w:val="center"/>
            </w:pPr>
            <w:r>
              <w:rPr>
                <w:sz w:val="20"/>
              </w:rPr>
              <w:t>综合评分 (满分100)</w:t>
            </w:r>
          </w:p>
        </w:tc>
        <w:tc>
          <w:tcPr>
            <w:tcW w:type="dxa" w:w="2880"/>
          </w:tcPr>
          <w:p>
            <w:pPr>
              <w:jc w:val="center"/>
            </w:pPr>
            <w:r>
              <w:rPr>
                <w:sz w:val="20"/>
              </w:rPr>
              <w:t>66.0</w:t>
            </w:r>
          </w:p>
        </w:tc>
        <w:tc>
          <w:tcPr>
            <w:tcW w:type="dxa" w:w="2880"/>
          </w:tcPr>
          <w:p>
            <w:pPr>
              <w:jc w:val="center"/>
            </w:pPr>
            <w:r>
              <w:rPr>
                <w:sz w:val="20"/>
              </w:rPr>
              <w:t>33.0</w:t>
            </w:r>
          </w:p>
        </w:tc>
      </w:tr>
    </w:tbl>
    <w:p/>
    <w:p>
      <w:pPr>
        <w:spacing w:after="120" w:line="360" w:lineRule="auto"/>
        <w:ind w:firstLine="440"/>
        <w:jc w:val="both"/>
      </w:pPr>
      <w:r>
        <w:rPr>
          <w:rFonts w:ascii="Times New Roman" w:hAnsi="Times New Roman" w:eastAsia="宋体"/>
          <w:b w:val="0"/>
          <w:i w:val="0"/>
          <w:sz w:val="22"/>
        </w:rPr>
        <w:t>结论：两种方法都不满足所有阿罗准则（符合定理预测）。然而，排名法评分显著更高，主要因为它的观众权重(49.8%)更接近50%的均衡水平，满足非独裁性准则。百分比法因观众权重过高(85.6%)而违反非独裁性。</w:t>
      </w:r>
    </w:p>
    <w:p>
      <w:pPr>
        <w:pStyle w:val="Heading2"/>
      </w:pPr>
      <w:r>
        <w:t>6.4 综合方法推荐</w:t>
      </w:r>
    </w:p>
    <w:p>
      <w:r>
        <w:rPr>
          <w:b/>
        </w:rPr>
        <w:t>多维度评分体系：</w:t>
      </w:r>
      <w:r>
        <w:t>我们从三个维度对两种方法进行评分：</w:t>
      </w:r>
    </w:p>
    <w:tbl>
      <w:tblPr>
        <w:tblStyle w:val="TableGrid"/>
        <w:tblW w:type="auto" w:w="0"/>
        <w:tblLook w:firstColumn="1" w:firstRow="1" w:lastColumn="0" w:lastRow="0" w:noHBand="0" w:noVBand="1" w:val="04A0"/>
      </w:tblPr>
      <w:tblGrid>
        <w:gridCol w:w="2160"/>
        <w:gridCol w:w="2160"/>
        <w:gridCol w:w="2160"/>
        <w:gridCol w:w="2160"/>
      </w:tblGrid>
      <w:tr>
        <w:tc>
          <w:tcPr>
            <w:tcW w:type="dxa" w:w="2592"/>
            <w:shd w:fill="D9E2F3"/>
          </w:tcPr>
          <w:p>
            <w:pPr>
              <w:jc w:val="center"/>
            </w:pPr>
            <w:r>
              <w:rPr>
                <w:b/>
                <w:sz w:val="20"/>
              </w:rPr>
              <w:t>维度</w:t>
            </w:r>
          </w:p>
        </w:tc>
        <w:tc>
          <w:tcPr>
            <w:tcW w:type="dxa" w:w="1440"/>
            <w:shd w:fill="D9E2F3"/>
          </w:tcPr>
          <w:p>
            <w:pPr>
              <w:jc w:val="center"/>
            </w:pPr>
            <w:r>
              <w:rPr>
                <w:b/>
                <w:sz w:val="20"/>
              </w:rPr>
              <w:t>满分</w:t>
            </w:r>
          </w:p>
        </w:tc>
        <w:tc>
          <w:tcPr>
            <w:tcW w:type="dxa" w:w="2160"/>
            <w:shd w:fill="D9E2F3"/>
          </w:tcPr>
          <w:p>
            <w:pPr>
              <w:jc w:val="center"/>
            </w:pPr>
            <w:r>
              <w:rPr>
                <w:b/>
                <w:sz w:val="20"/>
              </w:rPr>
              <w:t>排名法</w:t>
            </w:r>
          </w:p>
        </w:tc>
        <w:tc>
          <w:tcPr>
            <w:tcW w:type="dxa" w:w="2160"/>
            <w:shd w:fill="D9E2F3"/>
          </w:tcPr>
          <w:p>
            <w:pPr>
              <w:jc w:val="center"/>
            </w:pPr>
            <w:r>
              <w:rPr>
                <w:b/>
                <w:sz w:val="20"/>
              </w:rPr>
              <w:t>百分比法</w:t>
            </w:r>
          </w:p>
        </w:tc>
      </w:tr>
      <w:tr>
        <w:tc>
          <w:tcPr>
            <w:tcW w:type="dxa" w:w="2592"/>
          </w:tcPr>
          <w:p>
            <w:pPr>
              <w:jc w:val="center"/>
            </w:pPr>
            <w:r>
              <w:rPr>
                <w:sz w:val="20"/>
              </w:rPr>
              <w:t>预测准确率</w:t>
            </w:r>
          </w:p>
        </w:tc>
        <w:tc>
          <w:tcPr>
            <w:tcW w:type="dxa" w:w="1440"/>
          </w:tcPr>
          <w:p>
            <w:pPr>
              <w:jc w:val="center"/>
            </w:pPr>
            <w:r>
              <w:rPr>
                <w:sz w:val="20"/>
              </w:rPr>
              <w:t>25</w:t>
            </w:r>
          </w:p>
        </w:tc>
        <w:tc>
          <w:tcPr>
            <w:tcW w:type="dxa" w:w="2160"/>
          </w:tcPr>
          <w:p>
            <w:pPr>
              <w:jc w:val="center"/>
            </w:pPr>
            <w:r>
              <w:rPr>
                <w:sz w:val="20"/>
              </w:rPr>
              <w:t>7.3</w:t>
            </w:r>
          </w:p>
        </w:tc>
        <w:tc>
          <w:tcPr>
            <w:tcW w:type="dxa" w:w="2160"/>
          </w:tcPr>
          <w:p>
            <w:pPr>
              <w:jc w:val="center"/>
            </w:pPr>
            <w:r>
              <w:rPr>
                <w:sz w:val="20"/>
              </w:rPr>
              <w:t>8.6</w:t>
            </w:r>
          </w:p>
        </w:tc>
      </w:tr>
      <w:tr>
        <w:tc>
          <w:tcPr>
            <w:tcW w:type="dxa" w:w="2592"/>
          </w:tcPr>
          <w:p>
            <w:pPr>
              <w:jc w:val="center"/>
            </w:pPr>
            <w:r>
              <w:rPr>
                <w:sz w:val="20"/>
              </w:rPr>
              <w:t>权重平衡性</w:t>
            </w:r>
          </w:p>
        </w:tc>
        <w:tc>
          <w:tcPr>
            <w:tcW w:type="dxa" w:w="1440"/>
          </w:tcPr>
          <w:p>
            <w:pPr>
              <w:jc w:val="center"/>
            </w:pPr>
            <w:r>
              <w:rPr>
                <w:sz w:val="20"/>
              </w:rPr>
              <w:t>25</w:t>
            </w:r>
          </w:p>
        </w:tc>
        <w:tc>
          <w:tcPr>
            <w:tcW w:type="dxa" w:w="2160"/>
          </w:tcPr>
          <w:p>
            <w:pPr>
              <w:jc w:val="center"/>
            </w:pPr>
            <w:r>
              <w:rPr>
                <w:sz w:val="20"/>
              </w:rPr>
              <w:t>25.0</w:t>
            </w:r>
          </w:p>
        </w:tc>
        <w:tc>
          <w:tcPr>
            <w:tcW w:type="dxa" w:w="2160"/>
          </w:tcPr>
          <w:p>
            <w:pPr>
              <w:jc w:val="center"/>
            </w:pPr>
            <w:r>
              <w:rPr>
                <w:sz w:val="20"/>
              </w:rPr>
              <w:t>16.1</w:t>
            </w:r>
          </w:p>
        </w:tc>
      </w:tr>
      <w:tr>
        <w:tc>
          <w:tcPr>
            <w:tcW w:type="dxa" w:w="2592"/>
          </w:tcPr>
          <w:p>
            <w:pPr>
              <w:jc w:val="center"/>
            </w:pPr>
            <w:r>
              <w:rPr>
                <w:sz w:val="20"/>
              </w:rPr>
              <w:t>阿罗定理评分</w:t>
            </w:r>
          </w:p>
        </w:tc>
        <w:tc>
          <w:tcPr>
            <w:tcW w:type="dxa" w:w="1440"/>
          </w:tcPr>
          <w:p>
            <w:pPr>
              <w:jc w:val="center"/>
            </w:pPr>
            <w:r>
              <w:rPr>
                <w:sz w:val="20"/>
              </w:rPr>
              <w:t>25</w:t>
            </w:r>
          </w:p>
        </w:tc>
        <w:tc>
          <w:tcPr>
            <w:tcW w:type="dxa" w:w="2160"/>
          </w:tcPr>
          <w:p>
            <w:pPr>
              <w:jc w:val="center"/>
            </w:pPr>
            <w:r>
              <w:rPr>
                <w:sz w:val="20"/>
              </w:rPr>
              <w:t>16.5</w:t>
            </w:r>
          </w:p>
        </w:tc>
        <w:tc>
          <w:tcPr>
            <w:tcW w:type="dxa" w:w="2160"/>
          </w:tcPr>
          <w:p>
            <w:pPr>
              <w:jc w:val="center"/>
            </w:pPr>
            <w:r>
              <w:rPr>
                <w:sz w:val="20"/>
              </w:rPr>
              <w:t>8.2</w:t>
            </w:r>
          </w:p>
        </w:tc>
      </w:tr>
      <w:tr>
        <w:tc>
          <w:tcPr>
            <w:tcW w:type="dxa" w:w="2592"/>
          </w:tcPr>
          <w:p>
            <w:pPr>
              <w:jc w:val="center"/>
            </w:pPr>
            <w:r>
              <w:rPr>
                <w:sz w:val="20"/>
              </w:rPr>
              <w:t>总分</w:t>
            </w:r>
          </w:p>
        </w:tc>
        <w:tc>
          <w:tcPr>
            <w:tcW w:type="dxa" w:w="1440"/>
          </w:tcPr>
          <w:p>
            <w:pPr>
              <w:jc w:val="center"/>
            </w:pPr>
            <w:r>
              <w:rPr>
                <w:sz w:val="20"/>
              </w:rPr>
              <w:t>75</w:t>
            </w:r>
          </w:p>
        </w:tc>
        <w:tc>
          <w:tcPr>
            <w:tcW w:type="dxa" w:w="2160"/>
          </w:tcPr>
          <w:p>
            <w:pPr>
              <w:jc w:val="center"/>
            </w:pPr>
            <w:r>
              <w:rPr>
                <w:sz w:val="20"/>
              </w:rPr>
              <w:t>48.8</w:t>
            </w:r>
          </w:p>
        </w:tc>
        <w:tc>
          <w:tcPr>
            <w:tcW w:type="dxa" w:w="2160"/>
          </w:tcPr>
          <w:p>
            <w:pPr>
              <w:jc w:val="center"/>
            </w:pPr>
            <w:r>
              <w:rPr>
                <w:sz w:val="20"/>
              </w:rPr>
              <w:t>32.9</w:t>
            </w:r>
          </w:p>
        </w:tc>
      </w:tr>
    </w:tbl>
    <w:p/>
    <w:p>
      <w:pPr>
        <w:jc w:val="center"/>
      </w:pPr>
      <w:r>
        <w:drawing>
          <wp:inline xmlns:a="http://schemas.openxmlformats.org/drawingml/2006/main" xmlns:pic="http://schemas.openxmlformats.org/drawingml/2006/picture">
            <wp:extent cx="5029200" cy="3574363"/>
            <wp:docPr id="5" name="Picture 5"/>
            <wp:cNvGraphicFramePr>
              <a:graphicFrameLocks noChangeAspect="1"/>
            </wp:cNvGraphicFramePr>
            <a:graphic>
              <a:graphicData uri="http://schemas.openxmlformats.org/drawingml/2006/picture">
                <pic:pic>
                  <pic:nvPicPr>
                    <pic:cNvPr id="0" name="q2_fig5_final_analysis.png"/>
                    <pic:cNvPicPr/>
                  </pic:nvPicPr>
                  <pic:blipFill>
                    <a:blip r:embed="rId13"/>
                    <a:stretch>
                      <a:fillRect/>
                    </a:stretch>
                  </pic:blipFill>
                  <pic:spPr>
                    <a:xfrm>
                      <a:off x="0" y="0"/>
                      <a:ext cx="5029200" cy="3574363"/>
                    </a:xfrm>
                    <a:prstGeom prst="rect"/>
                  </pic:spPr>
                </pic:pic>
              </a:graphicData>
            </a:graphic>
          </wp:inline>
        </w:drawing>
      </w:r>
    </w:p>
    <w:p>
      <w:pPr>
        <w:spacing w:after="240"/>
        <w:jc w:val="center"/>
      </w:pPr>
      <w:r>
        <w:rPr>
          <w:rFonts w:ascii="Times New Roman" w:hAnsi="Times New Roman" w:eastAsia="宋体"/>
          <w:b w:val="0"/>
          <w:i/>
          <w:sz w:val="20"/>
        </w:rPr>
        <w:t>图5: 最终分析与推荐 (Figure 5: Final Analysis and Recommendations)</w:t>
      </w:r>
    </w:p>
    <w:p>
      <w:pPr>
        <w:pStyle w:val="Heading2"/>
      </w:pPr>
      <w:r>
        <w:t>6.5 最终推荐</w:t>
      </w:r>
    </w:p>
    <w:p>
      <w:r>
        <w:rPr>
          <w:b/>
        </w:rPr>
        <w:t>主推荐方案：排名法 + 评委救人机制</w:t>
      </w:r>
    </w:p>
    <w:p>
      <w:pPr>
        <w:spacing w:after="120" w:line="360" w:lineRule="auto"/>
        <w:jc w:val="both"/>
      </w:pPr>
      <w:r>
        <w:rPr>
          <w:rFonts w:ascii="Times New Roman" w:hAnsi="Times New Roman" w:eastAsia="宋体"/>
          <w:b w:val="0"/>
          <w:i w:val="0"/>
          <w:sz w:val="22"/>
        </w:rPr>
        <w:t>这是DWTS从Season 28开始采用的方案。推荐理由如下：</w:t>
      </w:r>
    </w:p>
    <w:p>
      <w:pPr>
        <w:pStyle w:val="ListBullet"/>
      </w:pPr>
      <w:r>
        <w:rPr>
          <w:rFonts w:ascii="Times New Roman" w:hAnsi="Times New Roman" w:eastAsia="宋体"/>
          <w:b/>
          <w:i w:val="0"/>
          <w:sz w:val="22"/>
        </w:rPr>
        <w:t xml:space="preserve">1. </w:t>
      </w:r>
      <w:r>
        <w:rPr>
          <w:rFonts w:ascii="Times New Roman" w:hAnsi="Times New Roman" w:eastAsia="宋体"/>
          <w:b w:val="0"/>
          <w:i w:val="0"/>
          <w:sz w:val="22"/>
        </w:rPr>
        <w:t>权重平衡：排名法中评委和观众各占约50%权重，实现公平均衡</w:t>
      </w:r>
    </w:p>
    <w:p>
      <w:pPr>
        <w:pStyle w:val="ListBullet"/>
      </w:pPr>
      <w:r>
        <w:rPr>
          <w:rFonts w:ascii="Times New Roman" w:hAnsi="Times New Roman" w:eastAsia="宋体"/>
          <w:b/>
          <w:i w:val="0"/>
          <w:sz w:val="22"/>
        </w:rPr>
        <w:t xml:space="preserve">2. </w:t>
      </w:r>
      <w:r>
        <w:rPr>
          <w:rFonts w:ascii="Times New Roman" w:hAnsi="Times New Roman" w:eastAsia="宋体"/>
          <w:b w:val="0"/>
          <w:i w:val="0"/>
          <w:sz w:val="22"/>
        </w:rPr>
        <w:t>争议纠错：评委救人机制为约9%的争议淘汰提供纠错机会</w:t>
      </w:r>
    </w:p>
    <w:p>
      <w:pPr>
        <w:pStyle w:val="ListBullet"/>
      </w:pPr>
      <w:r>
        <w:rPr>
          <w:rFonts w:ascii="Times New Roman" w:hAnsi="Times New Roman" w:eastAsia="宋体"/>
          <w:b/>
          <w:i w:val="0"/>
          <w:sz w:val="22"/>
        </w:rPr>
        <w:t xml:space="preserve">3. </w:t>
      </w:r>
      <w:r>
        <w:rPr>
          <w:rFonts w:ascii="Times New Roman" w:hAnsi="Times New Roman" w:eastAsia="宋体"/>
          <w:b w:val="0"/>
          <w:i w:val="0"/>
          <w:sz w:val="22"/>
        </w:rPr>
        <w:t>理论支撑：在阿罗定理框架下，排名法的公平性评分更高</w:t>
      </w:r>
    </w:p>
    <w:p>
      <w:pPr>
        <w:pStyle w:val="ListBullet"/>
      </w:pPr>
      <w:r>
        <w:rPr>
          <w:rFonts w:ascii="Times New Roman" w:hAnsi="Times New Roman" w:eastAsia="宋体"/>
          <w:b/>
          <w:i w:val="0"/>
          <w:sz w:val="22"/>
        </w:rPr>
        <w:t xml:space="preserve">4. </w:t>
      </w:r>
      <w:r>
        <w:rPr>
          <w:rFonts w:ascii="Times New Roman" w:hAnsi="Times New Roman" w:eastAsia="宋体"/>
          <w:b w:val="0"/>
          <w:i w:val="0"/>
          <w:sz w:val="22"/>
        </w:rPr>
        <w:t>历史验证：DWTS从百分比法转向排名法+评委救人，可能是对争议案例的回应</w:t>
      </w:r>
    </w:p>
    <w:p>
      <w:pPr>
        <w:pStyle w:val="Heading2"/>
      </w:pPr>
      <w:r>
        <w:t>6.6 情景化推荐</w:t>
      </w:r>
    </w:p>
    <w:tbl>
      <w:tblPr>
        <w:tblStyle w:val="TableGrid"/>
        <w:tblW w:type="auto" w:w="0"/>
        <w:tblLook w:firstColumn="1" w:firstRow="1" w:lastColumn="0" w:lastRow="0" w:noHBand="0" w:noVBand="1" w:val="04A0"/>
      </w:tblPr>
      <w:tblGrid>
        <w:gridCol w:w="2880"/>
        <w:gridCol w:w="2880"/>
        <w:gridCol w:w="2880"/>
      </w:tblGrid>
      <w:tr>
        <w:tc>
          <w:tcPr>
            <w:tcW w:type="dxa" w:w="2160"/>
            <w:shd w:fill="D9E2F3"/>
          </w:tcPr>
          <w:p>
            <w:pPr>
              <w:jc w:val="center"/>
            </w:pPr>
            <w:r>
              <w:rPr>
                <w:b/>
                <w:sz w:val="20"/>
              </w:rPr>
              <w:t>优先目标</w:t>
            </w:r>
          </w:p>
        </w:tc>
        <w:tc>
          <w:tcPr>
            <w:tcW w:type="dxa" w:w="2592"/>
            <w:shd w:fill="D9E2F3"/>
          </w:tcPr>
          <w:p>
            <w:pPr>
              <w:jc w:val="center"/>
            </w:pPr>
            <w:r>
              <w:rPr>
                <w:b/>
                <w:sz w:val="20"/>
              </w:rPr>
              <w:t>推荐方法</w:t>
            </w:r>
          </w:p>
        </w:tc>
        <w:tc>
          <w:tcPr>
            <w:tcW w:type="dxa" w:w="3888"/>
            <w:shd w:fill="D9E2F3"/>
          </w:tcPr>
          <w:p>
            <w:pPr>
              <w:jc w:val="center"/>
            </w:pPr>
            <w:r>
              <w:rPr>
                <w:b/>
                <w:sz w:val="20"/>
              </w:rPr>
              <w:t>理由</w:t>
            </w:r>
          </w:p>
        </w:tc>
      </w:tr>
      <w:tr>
        <w:tc>
          <w:tcPr>
            <w:tcW w:type="dxa" w:w="2160"/>
          </w:tcPr>
          <w:p>
            <w:pPr>
              <w:jc w:val="center"/>
            </w:pPr>
            <w:r>
              <w:rPr>
                <w:sz w:val="20"/>
              </w:rPr>
              <w:t>平衡性优先</w:t>
            </w:r>
          </w:p>
        </w:tc>
        <w:tc>
          <w:tcPr>
            <w:tcW w:type="dxa" w:w="2592"/>
          </w:tcPr>
          <w:p>
            <w:pPr>
              <w:jc w:val="center"/>
            </w:pPr>
            <w:r>
              <w:rPr>
                <w:sz w:val="20"/>
              </w:rPr>
              <w:t>排名法</w:t>
            </w:r>
          </w:p>
        </w:tc>
        <w:tc>
          <w:tcPr>
            <w:tcW w:type="dxa" w:w="3888"/>
          </w:tcPr>
          <w:p>
            <w:pPr>
              <w:jc w:val="center"/>
            </w:pPr>
            <w:r>
              <w:rPr>
                <w:sz w:val="20"/>
              </w:rPr>
              <w:t>评委/观众权重约50/50</w:t>
            </w:r>
          </w:p>
        </w:tc>
      </w:tr>
      <w:tr>
        <w:tc>
          <w:tcPr>
            <w:tcW w:type="dxa" w:w="2160"/>
          </w:tcPr>
          <w:p>
            <w:pPr>
              <w:jc w:val="center"/>
            </w:pPr>
            <w:r>
              <w:rPr>
                <w:sz w:val="20"/>
              </w:rPr>
              <w:t>准确性优先</w:t>
            </w:r>
          </w:p>
        </w:tc>
        <w:tc>
          <w:tcPr>
            <w:tcW w:type="dxa" w:w="2592"/>
          </w:tcPr>
          <w:p>
            <w:pPr>
              <w:jc w:val="center"/>
            </w:pPr>
            <w:r>
              <w:rPr>
                <w:sz w:val="20"/>
              </w:rPr>
              <w:t>百分比法</w:t>
            </w:r>
          </w:p>
        </w:tc>
        <w:tc>
          <w:tcPr>
            <w:tcW w:type="dxa" w:w="3888"/>
          </w:tcPr>
          <w:p>
            <w:pPr>
              <w:jc w:val="center"/>
            </w:pPr>
            <w:r>
              <w:rPr>
                <w:sz w:val="20"/>
              </w:rPr>
              <w:t>预测准确率略高</w:t>
            </w:r>
          </w:p>
        </w:tc>
      </w:tr>
      <w:tr>
        <w:tc>
          <w:tcPr>
            <w:tcW w:type="dxa" w:w="2160"/>
          </w:tcPr>
          <w:p>
            <w:pPr>
              <w:jc w:val="center"/>
            </w:pPr>
            <w:r>
              <w:rPr>
                <w:sz w:val="20"/>
              </w:rPr>
              <w:t>减少争议优先</w:t>
            </w:r>
          </w:p>
        </w:tc>
        <w:tc>
          <w:tcPr>
            <w:tcW w:type="dxa" w:w="2592"/>
          </w:tcPr>
          <w:p>
            <w:pPr>
              <w:jc w:val="center"/>
            </w:pPr>
            <w:r>
              <w:rPr>
                <w:sz w:val="20"/>
              </w:rPr>
              <w:t>排名法+评委救人</w:t>
            </w:r>
          </w:p>
        </w:tc>
        <w:tc>
          <w:tcPr>
            <w:tcW w:type="dxa" w:w="3888"/>
          </w:tcPr>
          <w:p>
            <w:pPr>
              <w:jc w:val="center"/>
            </w:pPr>
            <w:r>
              <w:rPr>
                <w:sz w:val="20"/>
              </w:rPr>
              <w:t>提供专业纠错机制</w:t>
            </w:r>
          </w:p>
        </w:tc>
      </w:tr>
      <w:tr>
        <w:tc>
          <w:tcPr>
            <w:tcW w:type="dxa" w:w="2160"/>
          </w:tcPr>
          <w:p>
            <w:pPr>
              <w:jc w:val="center"/>
            </w:pPr>
            <w:r>
              <w:rPr>
                <w:sz w:val="20"/>
              </w:rPr>
              <w:t>观众参与感优先</w:t>
            </w:r>
          </w:p>
        </w:tc>
        <w:tc>
          <w:tcPr>
            <w:tcW w:type="dxa" w:w="2592"/>
          </w:tcPr>
          <w:p>
            <w:pPr>
              <w:jc w:val="center"/>
            </w:pPr>
            <w:r>
              <w:rPr>
                <w:sz w:val="20"/>
              </w:rPr>
              <w:t>百分比法</w:t>
            </w:r>
          </w:p>
        </w:tc>
        <w:tc>
          <w:tcPr>
            <w:tcW w:type="dxa" w:w="3888"/>
          </w:tcPr>
          <w:p>
            <w:pPr>
              <w:jc w:val="center"/>
            </w:pPr>
            <w:r>
              <w:rPr>
                <w:sz w:val="20"/>
              </w:rPr>
              <w:t>观众感觉更有影响力</w:t>
            </w:r>
          </w:p>
        </w:tc>
      </w:tr>
    </w:tbl>
    <w:p/>
    <w:p>
      <w:r>
        <w:br w:type="page"/>
      </w:r>
    </w:p>
    <w:p>
      <w:pPr>
        <w:pStyle w:val="Heading1"/>
      </w:pPr>
      <w:r>
        <w:t>7. 模型总结</w:t>
      </w:r>
    </w:p>
    <w:p>
      <w:pPr>
        <w:pStyle w:val="Heading2"/>
      </w:pPr>
      <w:r>
        <w:t>7.1 四步骤框架总结</w:t>
      </w:r>
    </w:p>
    <w:tbl>
      <w:tblPr>
        <w:tblStyle w:val="TableGrid"/>
        <w:tblW w:type="auto" w:w="0"/>
        <w:tblLook w:firstColumn="1" w:firstRow="1" w:lastColumn="0" w:lastRow="0" w:noHBand="0" w:noVBand="1" w:val="04A0"/>
      </w:tblPr>
      <w:tblGrid>
        <w:gridCol w:w="2880"/>
        <w:gridCol w:w="2880"/>
        <w:gridCol w:w="2880"/>
      </w:tblGrid>
      <w:tr>
        <w:tc>
          <w:tcPr>
            <w:tcW w:type="dxa" w:w="2160"/>
            <w:shd w:fill="D9E2F3"/>
          </w:tcPr>
          <w:p>
            <w:pPr>
              <w:jc w:val="center"/>
            </w:pPr>
            <w:r>
              <w:rPr>
                <w:b/>
                <w:sz w:val="20"/>
              </w:rPr>
              <w:t>步骤</w:t>
            </w:r>
          </w:p>
        </w:tc>
        <w:tc>
          <w:tcPr>
            <w:tcW w:type="dxa" w:w="2880"/>
            <w:shd w:fill="D9E2F3"/>
          </w:tcPr>
          <w:p>
            <w:pPr>
              <w:jc w:val="center"/>
            </w:pPr>
            <w:r>
              <w:rPr>
                <w:b/>
                <w:sz w:val="20"/>
              </w:rPr>
              <w:t>作用</w:t>
            </w:r>
          </w:p>
        </w:tc>
        <w:tc>
          <w:tcPr>
            <w:tcW w:type="dxa" w:w="3600"/>
            <w:shd w:fill="D9E2F3"/>
          </w:tcPr>
          <w:p>
            <w:pPr>
              <w:jc w:val="center"/>
            </w:pPr>
            <w:r>
              <w:rPr>
                <w:b/>
                <w:sz w:val="20"/>
              </w:rPr>
              <w:t>关键发现</w:t>
            </w:r>
          </w:p>
        </w:tc>
      </w:tr>
      <w:tr>
        <w:tc>
          <w:tcPr>
            <w:tcW w:type="dxa" w:w="2160"/>
          </w:tcPr>
          <w:p>
            <w:pPr>
              <w:jc w:val="center"/>
            </w:pPr>
            <w:r>
              <w:rPr>
                <w:sz w:val="20"/>
              </w:rPr>
              <w:t>Step 1</w:t>
              <w:br/>
              <w:t>反事实仿真</w:t>
            </w:r>
          </w:p>
        </w:tc>
        <w:tc>
          <w:tcPr>
            <w:tcW w:type="dxa" w:w="2880"/>
          </w:tcPr>
          <w:p>
            <w:pPr>
              <w:jc w:val="center"/>
            </w:pPr>
            <w:r>
              <w:rPr>
                <w:sz w:val="20"/>
              </w:rPr>
              <w:t>构建受控对比实验</w:t>
            </w:r>
          </w:p>
        </w:tc>
        <w:tc>
          <w:tcPr>
            <w:tcW w:type="dxa" w:w="3600"/>
          </w:tcPr>
          <w:p>
            <w:pPr>
              <w:jc w:val="center"/>
            </w:pPr>
            <w:r>
              <w:rPr>
                <w:sz w:val="20"/>
              </w:rPr>
              <w:t>方法一致率91.1%</w:t>
              <w:br/>
              <w:t>百分比法准确率略高</w:t>
            </w:r>
          </w:p>
        </w:tc>
      </w:tr>
      <w:tr>
        <w:tc>
          <w:tcPr>
            <w:tcW w:type="dxa" w:w="2160"/>
          </w:tcPr>
          <w:p>
            <w:pPr>
              <w:jc w:val="center"/>
            </w:pPr>
            <w:r>
              <w:rPr>
                <w:sz w:val="20"/>
              </w:rPr>
              <w:t>Step 2</w:t>
              <w:br/>
              <w:t>偏倚敏感度</w:t>
            </w:r>
          </w:p>
        </w:tc>
        <w:tc>
          <w:tcPr>
            <w:tcW w:type="dxa" w:w="2880"/>
          </w:tcPr>
          <w:p>
            <w:pPr>
              <w:jc w:val="center"/>
            </w:pPr>
            <w:r>
              <w:rPr>
                <w:sz w:val="20"/>
              </w:rPr>
              <w:t>量化观众投票权重</w:t>
            </w:r>
          </w:p>
        </w:tc>
        <w:tc>
          <w:tcPr>
            <w:tcW w:type="dxa" w:w="3600"/>
          </w:tcPr>
          <w:p>
            <w:pPr>
              <w:jc w:val="center"/>
            </w:pPr>
            <w:r>
              <w:rPr>
                <w:sz w:val="20"/>
              </w:rPr>
              <w:t>排名法49.8%</w:t>
              <w:br/>
              <w:t>百分比法85.6%</w:t>
            </w:r>
          </w:p>
        </w:tc>
      </w:tr>
      <w:tr>
        <w:tc>
          <w:tcPr>
            <w:tcW w:type="dxa" w:w="2160"/>
          </w:tcPr>
          <w:p>
            <w:pPr>
              <w:jc w:val="center"/>
            </w:pPr>
            <w:r>
              <w:rPr>
                <w:sz w:val="20"/>
              </w:rPr>
              <w:t>Step 3</w:t>
              <w:br/>
              <w:t>争议案例</w:t>
            </w:r>
          </w:p>
        </w:tc>
        <w:tc>
          <w:tcPr>
            <w:tcW w:type="dxa" w:w="2880"/>
          </w:tcPr>
          <w:p>
            <w:pPr>
              <w:jc w:val="center"/>
            </w:pPr>
            <w:r>
              <w:rPr>
                <w:sz w:val="20"/>
              </w:rPr>
              <w:t>验证理论发现</w:t>
            </w:r>
          </w:p>
        </w:tc>
        <w:tc>
          <w:tcPr>
            <w:tcW w:type="dxa" w:w="3600"/>
          </w:tcPr>
          <w:p>
            <w:pPr>
              <w:jc w:val="center"/>
            </w:pPr>
            <w:r>
              <w:rPr>
                <w:sz w:val="20"/>
              </w:rPr>
              <w:t>Bristol/Bobby在排名法下</w:t>
              <w:br/>
              <w:t>会更早被淘汰</w:t>
            </w:r>
          </w:p>
        </w:tc>
      </w:tr>
      <w:tr>
        <w:tc>
          <w:tcPr>
            <w:tcW w:type="dxa" w:w="2160"/>
          </w:tcPr>
          <w:p>
            <w:pPr>
              <w:jc w:val="center"/>
            </w:pPr>
            <w:r>
              <w:rPr>
                <w:sz w:val="20"/>
              </w:rPr>
              <w:t>Step 4</w:t>
              <w:br/>
              <w:t>机制推荐</w:t>
            </w:r>
          </w:p>
        </w:tc>
        <w:tc>
          <w:tcPr>
            <w:tcW w:type="dxa" w:w="2880"/>
          </w:tcPr>
          <w:p>
            <w:pPr>
              <w:jc w:val="center"/>
            </w:pPr>
            <w:r>
              <w:rPr>
                <w:sz w:val="20"/>
              </w:rPr>
              <w:t>综合评估与推荐</w:t>
            </w:r>
          </w:p>
        </w:tc>
        <w:tc>
          <w:tcPr>
            <w:tcW w:type="dxa" w:w="3600"/>
          </w:tcPr>
          <w:p>
            <w:pPr>
              <w:jc w:val="center"/>
            </w:pPr>
            <w:r>
              <w:rPr>
                <w:sz w:val="20"/>
              </w:rPr>
              <w:t>排名法总分48.8</w:t>
              <w:br/>
              <w:t>百分比法总分32.9</w:t>
            </w:r>
          </w:p>
        </w:tc>
      </w:tr>
    </w:tbl>
    <w:p/>
    <w:p>
      <w:pPr>
        <w:pStyle w:val="Heading2"/>
      </w:pPr>
      <w:r>
        <w:t>7.2 核心结论</w:t>
      </w:r>
    </w:p>
    <w:p>
      <w:pPr>
        <w:spacing w:after="120" w:line="360" w:lineRule="auto"/>
        <w:jc w:val="both"/>
      </w:pPr>
      <w:r>
        <w:rPr>
          <w:rFonts w:ascii="Times New Roman" w:hAnsi="Times New Roman" w:eastAsia="宋体"/>
          <w:b w:val="0"/>
          <w:i w:val="0"/>
          <w:sz w:val="22"/>
        </w:rPr>
        <w:t>1. 方法一致性：两种方法在91.1%的淘汰决策中结果一致，差异主要体现在边缘案例。</w:t>
      </w:r>
    </w:p>
    <w:p>
      <w:pPr>
        <w:spacing w:after="120" w:line="360" w:lineRule="auto"/>
        <w:jc w:val="both"/>
      </w:pPr>
      <w:r>
        <w:rPr>
          <w:rFonts w:ascii="Times New Roman" w:hAnsi="Times New Roman" w:eastAsia="宋体"/>
          <w:b w:val="0"/>
          <w:i w:val="0"/>
          <w:sz w:val="22"/>
        </w:rPr>
        <w:t>2. 偏倚差异：百分比法的观众权重(85.6%)显著高于排名法(49.8%)，差异达35.8个百分点。</w:t>
      </w:r>
    </w:p>
    <w:p>
      <w:pPr>
        <w:spacing w:after="120" w:line="360" w:lineRule="auto"/>
        <w:jc w:val="both"/>
      </w:pPr>
      <w:r>
        <w:rPr>
          <w:rFonts w:ascii="Times New Roman" w:hAnsi="Times New Roman" w:eastAsia="宋体"/>
          <w:b w:val="0"/>
          <w:i w:val="0"/>
          <w:sz w:val="22"/>
        </w:rPr>
        <w:t>3. 争议影响：Bristol Palin和Bobby Bones等争议选手受益于百分比法的高观众权重。</w:t>
      </w:r>
    </w:p>
    <w:p>
      <w:pPr>
        <w:spacing w:after="120" w:line="360" w:lineRule="auto"/>
        <w:jc w:val="both"/>
      </w:pPr>
      <w:r>
        <w:rPr>
          <w:rFonts w:ascii="Times New Roman" w:hAnsi="Times New Roman" w:eastAsia="宋体"/>
          <w:b w:val="0"/>
          <w:i w:val="0"/>
          <w:sz w:val="22"/>
        </w:rPr>
        <w:t>4. 评委救人：该机制可纠正约8.9%的淘汰结果，为争议案例提供专业裁决。</w:t>
      </w:r>
    </w:p>
    <w:p>
      <w:pPr>
        <w:spacing w:after="120" w:line="360" w:lineRule="auto"/>
        <w:jc w:val="both"/>
      </w:pPr>
      <w:r>
        <w:rPr>
          <w:rFonts w:ascii="Times New Roman" w:hAnsi="Times New Roman" w:eastAsia="宋体"/>
          <w:b w:val="0"/>
          <w:i w:val="0"/>
          <w:sz w:val="22"/>
        </w:rPr>
        <w:t>5. 阿罗定理：两种方法均不满足所有公平性准则，但排名法评分更高(66.0 vs 33.0)。</w:t>
      </w:r>
    </w:p>
    <w:p>
      <w:pPr>
        <w:spacing w:after="120" w:line="360" w:lineRule="auto"/>
        <w:jc w:val="both"/>
      </w:pPr>
      <w:r>
        <w:rPr>
          <w:rFonts w:ascii="Times New Roman" w:hAnsi="Times New Roman" w:eastAsia="宋体"/>
          <w:b w:val="0"/>
          <w:i w:val="0"/>
          <w:sz w:val="22"/>
        </w:rPr>
        <w:t>6. 推荐方案：排名法+评委救人机制是最平衡的方案，在公平性和娱乐性之间取得合理权衡。</w:t>
      </w:r>
    </w:p>
    <w:p>
      <w:pPr>
        <w:pStyle w:val="Heading2"/>
      </w:pPr>
      <w:r>
        <w:t>7.3 理论贡献</w:t>
      </w:r>
    </w:p>
    <w:p>
      <w:pPr>
        <w:spacing w:after="120" w:line="360" w:lineRule="auto"/>
        <w:ind w:firstLine="440"/>
        <w:jc w:val="both"/>
      </w:pPr>
      <w:r>
        <w:rPr>
          <w:rFonts w:ascii="Times New Roman" w:hAnsi="Times New Roman" w:eastAsia="宋体"/>
          <w:b w:val="0"/>
          <w:i w:val="0"/>
          <w:sz w:val="22"/>
        </w:rPr>
        <w:t>本研究的理论贡献在于将社会选择理论（阿罗不可能定理）应用于真人秀投票场景的分析。我们证明了：(1) 没有"完美"的投票系统——每个设计选择都涉及权衡；(2) DWTS的方法演变（从百分比法到排名法+评委救人）代表了向更公平方向的刻意转变；(3) 适度争议可能对节目收视率有正面影响，因此"最公平"不一定是"最优"。</w:t>
      </w:r>
    </w:p>
    <w:p>
      <w:pPr>
        <w:pStyle w:val="Heading2"/>
      </w:pPr>
      <w:r>
        <w:t>7.4 实践建议</w:t>
      </w:r>
    </w:p>
    <w:p>
      <w:pPr>
        <w:spacing w:after="120" w:line="360" w:lineRule="auto"/>
        <w:jc w:val="both"/>
      </w:pPr>
      <w:r>
        <w:rPr>
          <w:rFonts w:ascii="Times New Roman" w:hAnsi="Times New Roman" w:eastAsia="宋体"/>
          <w:b/>
          <w:i w:val="0"/>
          <w:sz w:val="22"/>
        </w:rPr>
        <w:t>给节目制作人的建议：</w:t>
      </w:r>
    </w:p>
    <w:p>
      <w:pPr>
        <w:pStyle w:val="ListBullet"/>
      </w:pPr>
      <w:r>
        <w:rPr>
          <w:rFonts w:ascii="Times New Roman" w:hAnsi="Times New Roman" w:eastAsia="宋体"/>
          <w:b w:val="0"/>
          <w:i w:val="0"/>
          <w:sz w:val="22"/>
        </w:rPr>
        <w:t>当前方案(排名法+评委救人)是合理的权衡，建议继续使用</w:t>
      </w:r>
    </w:p>
    <w:p>
      <w:pPr>
        <w:pStyle w:val="ListBullet"/>
      </w:pPr>
      <w:r>
        <w:rPr>
          <w:rFonts w:ascii="Times New Roman" w:hAnsi="Times New Roman" w:eastAsia="宋体"/>
          <w:b w:val="0"/>
          <w:i w:val="0"/>
          <w:sz w:val="22"/>
        </w:rPr>
        <w:t>如果希望增加观众参与感，可考虑在某些特殊周使用百分比法</w:t>
      </w:r>
    </w:p>
    <w:p>
      <w:pPr>
        <w:pStyle w:val="ListBullet"/>
      </w:pPr>
      <w:r>
        <w:rPr>
          <w:rFonts w:ascii="Times New Roman" w:hAnsi="Times New Roman" w:eastAsia="宋体"/>
          <w:b w:val="0"/>
          <w:i w:val="0"/>
          <w:sz w:val="22"/>
        </w:rPr>
        <w:t>完全消除争议是不可能的（阿罗定理），适度争议对收视率有益</w:t>
      </w:r>
    </w:p>
    <w:p>
      <w:pPr>
        <w:pStyle w:val="ListBullet"/>
      </w:pPr>
      <w:r>
        <w:rPr>
          <w:rFonts w:ascii="Times New Roman" w:hAnsi="Times New Roman" w:eastAsia="宋体"/>
          <w:b w:val="0"/>
          <w:i w:val="0"/>
          <w:sz w:val="22"/>
        </w:rPr>
        <w:t>透明化投票规则有助于减少观众对"不公平"的质疑</w:t>
      </w:r>
    </w:p>
    <w:p>
      <w:r>
        <w:br w:type="page"/>
      </w:r>
    </w:p>
    <w:p>
      <w:pPr>
        <w:pStyle w:val="Heading1"/>
      </w:pPr>
      <w:r>
        <w:t>8. 附录：技术细节</w:t>
      </w:r>
    </w:p>
    <w:p>
      <w:pPr>
        <w:pStyle w:val="Heading2"/>
      </w:pPr>
      <w:r>
        <w:t>8.1 数据来源</w:t>
      </w:r>
    </w:p>
    <w:tbl>
      <w:tblPr>
        <w:tblStyle w:val="TableGrid"/>
        <w:tblW w:type="auto" w:w="0"/>
        <w:tblLook w:firstColumn="1" w:firstRow="1" w:lastColumn="0" w:lastRow="0" w:noHBand="0" w:noVBand="1" w:val="04A0"/>
      </w:tblPr>
      <w:tblGrid>
        <w:gridCol w:w="4320"/>
        <w:gridCol w:w="4320"/>
      </w:tblGrid>
      <w:tr>
        <w:tc>
          <w:tcPr>
            <w:tcW w:type="dxa" w:w="2880"/>
            <w:shd w:fill="D9E2F3"/>
          </w:tcPr>
          <w:p>
            <w:pPr>
              <w:jc w:val="center"/>
            </w:pPr>
            <w:r>
              <w:rPr>
                <w:b/>
                <w:sz w:val="20"/>
              </w:rPr>
              <w:t>项目</w:t>
            </w:r>
          </w:p>
        </w:tc>
        <w:tc>
          <w:tcPr>
            <w:tcW w:type="dxa" w:w="5760"/>
            <w:shd w:fill="D9E2F3"/>
          </w:tcPr>
          <w:p>
            <w:pPr>
              <w:jc w:val="center"/>
            </w:pPr>
            <w:r>
              <w:rPr>
                <w:b/>
                <w:sz w:val="20"/>
              </w:rPr>
              <w:t>说明</w:t>
            </w:r>
          </w:p>
        </w:tc>
      </w:tr>
      <w:tr>
        <w:tc>
          <w:tcPr>
            <w:tcW w:type="dxa" w:w="2880"/>
          </w:tcPr>
          <w:p>
            <w:pPr>
              <w:jc w:val="center"/>
            </w:pPr>
            <w:r>
              <w:rPr>
                <w:sz w:val="20"/>
              </w:rPr>
              <w:t>数据文件</w:t>
            </w:r>
          </w:p>
        </w:tc>
        <w:tc>
          <w:tcPr>
            <w:tcW w:type="dxa" w:w="5760"/>
          </w:tcPr>
          <w:p>
            <w:pPr>
              <w:jc w:val="center"/>
            </w:pPr>
            <w:r>
              <w:rPr>
                <w:sz w:val="20"/>
              </w:rPr>
              <w:t>processed_dwts_cleaned_ms08.csv</w:t>
            </w:r>
          </w:p>
        </w:tc>
      </w:tr>
      <w:tr>
        <w:tc>
          <w:tcPr>
            <w:tcW w:type="dxa" w:w="2880"/>
          </w:tcPr>
          <w:p>
            <w:pPr>
              <w:jc w:val="center"/>
            </w:pPr>
            <w:r>
              <w:rPr>
                <w:sz w:val="20"/>
              </w:rPr>
              <w:t>观众投票预测</w:t>
            </w:r>
          </w:p>
        </w:tc>
        <w:tc>
          <w:tcPr>
            <w:tcW w:type="dxa" w:w="5760"/>
          </w:tcPr>
          <w:p>
            <w:pPr>
              <w:jc w:val="center"/>
            </w:pPr>
            <w:r>
              <w:rPr>
                <w:sz w:val="20"/>
              </w:rPr>
              <w:t>q1_rf_predicted_fan_votes.csv (来自Q1 RF+SHAP模型)</w:t>
            </w:r>
          </w:p>
        </w:tc>
      </w:tr>
      <w:tr>
        <w:tc>
          <w:tcPr>
            <w:tcW w:type="dxa" w:w="2880"/>
          </w:tcPr>
          <w:p>
            <w:pPr>
              <w:jc w:val="center"/>
            </w:pPr>
            <w:r>
              <w:rPr>
                <w:sz w:val="20"/>
              </w:rPr>
              <w:t>总记录数</w:t>
            </w:r>
          </w:p>
        </w:tc>
        <w:tc>
          <w:tcPr>
            <w:tcW w:type="dxa" w:w="5760"/>
          </w:tcPr>
          <w:p>
            <w:pPr>
              <w:jc w:val="center"/>
            </w:pPr>
            <w:r>
              <w:rPr>
                <w:sz w:val="20"/>
              </w:rPr>
              <w:t>2333</w:t>
            </w:r>
          </w:p>
        </w:tc>
      </w:tr>
      <w:tr>
        <w:tc>
          <w:tcPr>
            <w:tcW w:type="dxa" w:w="2880"/>
          </w:tcPr>
          <w:p>
            <w:pPr>
              <w:jc w:val="center"/>
            </w:pPr>
            <w:r>
              <w:rPr>
                <w:sz w:val="20"/>
              </w:rPr>
              <w:t>总淘汰事件</w:t>
            </w:r>
          </w:p>
        </w:tc>
        <w:tc>
          <w:tcPr>
            <w:tcW w:type="dxa" w:w="5760"/>
          </w:tcPr>
          <w:p>
            <w:pPr>
              <w:jc w:val="center"/>
            </w:pPr>
            <w:r>
              <w:rPr>
                <w:sz w:val="20"/>
              </w:rPr>
              <w:t>516</w:t>
            </w:r>
          </w:p>
        </w:tc>
      </w:tr>
      <w:tr>
        <w:tc>
          <w:tcPr>
            <w:tcW w:type="dxa" w:w="2880"/>
          </w:tcPr>
          <w:p>
            <w:pPr>
              <w:jc w:val="center"/>
            </w:pPr>
            <w:r>
              <w:rPr>
                <w:sz w:val="20"/>
              </w:rPr>
              <w:t>赛季范围</w:t>
            </w:r>
          </w:p>
        </w:tc>
        <w:tc>
          <w:tcPr>
            <w:tcW w:type="dxa" w:w="5760"/>
          </w:tcPr>
          <w:p>
            <w:pPr>
              <w:jc w:val="center"/>
            </w:pPr>
            <w:r>
              <w:rPr>
                <w:sz w:val="20"/>
              </w:rPr>
              <w:t>Seasons 1-34</w:t>
            </w:r>
          </w:p>
        </w:tc>
      </w:tr>
    </w:tbl>
    <w:p/>
    <w:p>
      <w:pPr>
        <w:pStyle w:val="Heading2"/>
      </w:pPr>
      <w:r>
        <w:t>8.2 输出文件</w:t>
      </w:r>
    </w:p>
    <w:tbl>
      <w:tblPr>
        <w:tblStyle w:val="TableGrid"/>
        <w:tblW w:type="auto" w:w="0"/>
        <w:tblLook w:firstColumn="1" w:firstRow="1" w:lastColumn="0" w:lastRow="0" w:noHBand="0" w:noVBand="1" w:val="04A0"/>
      </w:tblPr>
      <w:tblGrid>
        <w:gridCol w:w="4320"/>
        <w:gridCol w:w="4320"/>
      </w:tblGrid>
      <w:tr>
        <w:tc>
          <w:tcPr>
            <w:tcW w:type="dxa" w:w="3600"/>
            <w:shd w:fill="D9E2F3"/>
          </w:tcPr>
          <w:p>
            <w:pPr>
              <w:jc w:val="center"/>
            </w:pPr>
            <w:r>
              <w:rPr>
                <w:b/>
                <w:sz w:val="20"/>
              </w:rPr>
              <w:t>文件名</w:t>
            </w:r>
          </w:p>
        </w:tc>
        <w:tc>
          <w:tcPr>
            <w:tcW w:type="dxa" w:w="5040"/>
            <w:shd w:fill="D9E2F3"/>
          </w:tcPr>
          <w:p>
            <w:pPr>
              <w:jc w:val="center"/>
            </w:pPr>
            <w:r>
              <w:rPr>
                <w:b/>
                <w:sz w:val="20"/>
              </w:rPr>
              <w:t>说明</w:t>
            </w:r>
          </w:p>
        </w:tc>
      </w:tr>
      <w:tr>
        <w:tc>
          <w:tcPr>
            <w:tcW w:type="dxa" w:w="3600"/>
          </w:tcPr>
          <w:p>
            <w:pPr>
              <w:jc w:val="center"/>
            </w:pPr>
            <w:r>
              <w:rPr>
                <w:sz w:val="20"/>
              </w:rPr>
              <w:t>q2_step1_results.json</w:t>
            </w:r>
          </w:p>
        </w:tc>
        <w:tc>
          <w:tcPr>
            <w:tcW w:type="dxa" w:w="5040"/>
          </w:tcPr>
          <w:p>
            <w:pPr>
              <w:jc w:val="center"/>
            </w:pPr>
            <w:r>
              <w:rPr>
                <w:sz w:val="20"/>
              </w:rPr>
              <w:t>Step 1反事实仿真结果</w:t>
            </w:r>
          </w:p>
        </w:tc>
      </w:tr>
      <w:tr>
        <w:tc>
          <w:tcPr>
            <w:tcW w:type="dxa" w:w="3600"/>
          </w:tcPr>
          <w:p>
            <w:pPr>
              <w:jc w:val="center"/>
            </w:pPr>
            <w:r>
              <w:rPr>
                <w:sz w:val="20"/>
              </w:rPr>
              <w:t>q2_step2_results.json</w:t>
            </w:r>
          </w:p>
        </w:tc>
        <w:tc>
          <w:tcPr>
            <w:tcW w:type="dxa" w:w="5040"/>
          </w:tcPr>
          <w:p>
            <w:pPr>
              <w:jc w:val="center"/>
            </w:pPr>
            <w:r>
              <w:rPr>
                <w:sz w:val="20"/>
              </w:rPr>
              <w:t>Step 2偏倚敏感度分析结果</w:t>
            </w:r>
          </w:p>
        </w:tc>
      </w:tr>
      <w:tr>
        <w:tc>
          <w:tcPr>
            <w:tcW w:type="dxa" w:w="3600"/>
          </w:tcPr>
          <w:p>
            <w:pPr>
              <w:jc w:val="center"/>
            </w:pPr>
            <w:r>
              <w:rPr>
                <w:sz w:val="20"/>
              </w:rPr>
              <w:t>q2_step3_results.json</w:t>
            </w:r>
          </w:p>
        </w:tc>
        <w:tc>
          <w:tcPr>
            <w:tcW w:type="dxa" w:w="5040"/>
          </w:tcPr>
          <w:p>
            <w:pPr>
              <w:jc w:val="center"/>
            </w:pPr>
            <w:r>
              <w:rPr>
                <w:sz w:val="20"/>
              </w:rPr>
              <w:t>Step 3争议案例研究结果</w:t>
            </w:r>
          </w:p>
        </w:tc>
      </w:tr>
      <w:tr>
        <w:tc>
          <w:tcPr>
            <w:tcW w:type="dxa" w:w="3600"/>
          </w:tcPr>
          <w:p>
            <w:pPr>
              <w:jc w:val="center"/>
            </w:pPr>
            <w:r>
              <w:rPr>
                <w:sz w:val="20"/>
              </w:rPr>
              <w:t>q2_final_results.json</w:t>
            </w:r>
          </w:p>
        </w:tc>
        <w:tc>
          <w:tcPr>
            <w:tcW w:type="dxa" w:w="5040"/>
          </w:tcPr>
          <w:p>
            <w:pPr>
              <w:jc w:val="center"/>
            </w:pPr>
            <w:r>
              <w:rPr>
                <w:sz w:val="20"/>
              </w:rPr>
              <w:t>Step 4综合分析结果</w:t>
            </w:r>
          </w:p>
        </w:tc>
      </w:tr>
      <w:tr>
        <w:tc>
          <w:tcPr>
            <w:tcW w:type="dxa" w:w="3600"/>
          </w:tcPr>
          <w:p>
            <w:pPr>
              <w:jc w:val="center"/>
            </w:pPr>
            <w:r>
              <w:rPr>
                <w:sz w:val="20"/>
              </w:rPr>
              <w:t>q2_fig1-5_*.png</w:t>
            </w:r>
          </w:p>
        </w:tc>
        <w:tc>
          <w:tcPr>
            <w:tcW w:type="dxa" w:w="5040"/>
          </w:tcPr>
          <w:p>
            <w:pPr>
              <w:jc w:val="center"/>
            </w:pPr>
            <w:r>
              <w:rPr>
                <w:sz w:val="20"/>
              </w:rPr>
              <w:t>5张可视化图表</w:t>
            </w:r>
          </w:p>
        </w:tc>
      </w:tr>
      <w:tr>
        <w:tc>
          <w:tcPr>
            <w:tcW w:type="dxa" w:w="3600"/>
          </w:tcPr>
          <w:p>
            <w:pPr>
              <w:jc w:val="center"/>
            </w:pPr>
            <w:r>
              <w:rPr>
                <w:sz w:val="20"/>
              </w:rPr>
              <w:t>q2_final_report.txt</w:t>
            </w:r>
          </w:p>
        </w:tc>
        <w:tc>
          <w:tcPr>
            <w:tcW w:type="dxa" w:w="5040"/>
          </w:tcPr>
          <w:p>
            <w:pPr>
              <w:jc w:val="center"/>
            </w:pPr>
            <w:r>
              <w:rPr>
                <w:sz w:val="20"/>
              </w:rPr>
              <w:t>最终分析报告</w:t>
            </w:r>
          </w:p>
        </w:tc>
      </w:tr>
    </w:tbl>
    <w:p/>
    <w:p>
      <w:pPr>
        <w:pStyle w:val="Heading2"/>
      </w:pPr>
      <w:r>
        <w:t>8.3 使用的Python库</w:t>
      </w:r>
    </w:p>
    <w:tbl>
      <w:tblPr>
        <w:tblStyle w:val="TableGrid"/>
        <w:tblW w:type="auto" w:w="0"/>
        <w:tblLook w:firstColumn="1" w:firstRow="1" w:lastColumn="0" w:lastRow="0" w:noHBand="0" w:noVBand="1" w:val="04A0"/>
      </w:tblPr>
      <w:tblGrid>
        <w:gridCol w:w="4320"/>
        <w:gridCol w:w="4320"/>
      </w:tblGrid>
      <w:tr>
        <w:tc>
          <w:tcPr>
            <w:tcW w:type="dxa" w:w="2880"/>
            <w:shd w:fill="D9E2F3"/>
          </w:tcPr>
          <w:p>
            <w:pPr>
              <w:jc w:val="center"/>
            </w:pPr>
            <w:r>
              <w:rPr>
                <w:b/>
                <w:sz w:val="20"/>
              </w:rPr>
              <w:t>库名</w:t>
            </w:r>
          </w:p>
        </w:tc>
        <w:tc>
          <w:tcPr>
            <w:tcW w:type="dxa" w:w="5760"/>
            <w:shd w:fill="D9E2F3"/>
          </w:tcPr>
          <w:p>
            <w:pPr>
              <w:jc w:val="center"/>
            </w:pPr>
            <w:r>
              <w:rPr>
                <w:b/>
                <w:sz w:val="20"/>
              </w:rPr>
              <w:t>用途</w:t>
            </w:r>
          </w:p>
        </w:tc>
      </w:tr>
      <w:tr>
        <w:tc>
          <w:tcPr>
            <w:tcW w:type="dxa" w:w="2880"/>
          </w:tcPr>
          <w:p>
            <w:pPr>
              <w:jc w:val="center"/>
            </w:pPr>
            <w:r>
              <w:rPr>
                <w:sz w:val="20"/>
              </w:rPr>
              <w:t>pandas</w:t>
            </w:r>
          </w:p>
        </w:tc>
        <w:tc>
          <w:tcPr>
            <w:tcW w:type="dxa" w:w="5760"/>
          </w:tcPr>
          <w:p>
            <w:pPr>
              <w:jc w:val="center"/>
            </w:pPr>
            <w:r>
              <w:rPr>
                <w:sz w:val="20"/>
              </w:rPr>
              <w:t>数据处理与分析</w:t>
            </w:r>
          </w:p>
        </w:tc>
      </w:tr>
      <w:tr>
        <w:tc>
          <w:tcPr>
            <w:tcW w:type="dxa" w:w="2880"/>
          </w:tcPr>
          <w:p>
            <w:pPr>
              <w:jc w:val="center"/>
            </w:pPr>
            <w:r>
              <w:rPr>
                <w:sz w:val="20"/>
              </w:rPr>
              <w:t>numpy</w:t>
            </w:r>
          </w:p>
        </w:tc>
        <w:tc>
          <w:tcPr>
            <w:tcW w:type="dxa" w:w="5760"/>
          </w:tcPr>
          <w:p>
            <w:pPr>
              <w:jc w:val="center"/>
            </w:pPr>
            <w:r>
              <w:rPr>
                <w:sz w:val="20"/>
              </w:rPr>
              <w:t>数值计算</w:t>
            </w:r>
          </w:p>
        </w:tc>
      </w:tr>
      <w:tr>
        <w:tc>
          <w:tcPr>
            <w:tcW w:type="dxa" w:w="2880"/>
          </w:tcPr>
          <w:p>
            <w:pPr>
              <w:jc w:val="center"/>
            </w:pPr>
            <w:r>
              <w:rPr>
                <w:sz w:val="20"/>
              </w:rPr>
              <w:t>matplotlib/seaborn</w:t>
            </w:r>
          </w:p>
        </w:tc>
        <w:tc>
          <w:tcPr>
            <w:tcW w:type="dxa" w:w="5760"/>
          </w:tcPr>
          <w:p>
            <w:pPr>
              <w:jc w:val="center"/>
            </w:pPr>
            <w:r>
              <w:rPr>
                <w:sz w:val="20"/>
              </w:rPr>
              <w:t>可视化</w:t>
            </w:r>
          </w:p>
        </w:tc>
      </w:tr>
      <w:tr>
        <w:tc>
          <w:tcPr>
            <w:tcW w:type="dxa" w:w="2880"/>
          </w:tcPr>
          <w:p>
            <w:pPr>
              <w:jc w:val="center"/>
            </w:pPr>
            <w:r>
              <w:rPr>
                <w:sz w:val="20"/>
              </w:rPr>
              <w:t>scipy</w:t>
            </w:r>
          </w:p>
        </w:tc>
        <w:tc>
          <w:tcPr>
            <w:tcW w:type="dxa" w:w="5760"/>
          </w:tcPr>
          <w:p>
            <w:pPr>
              <w:jc w:val="center"/>
            </w:pPr>
            <w:r>
              <w:rPr>
                <w:sz w:val="20"/>
              </w:rPr>
              <w:t>统计分析</w:t>
            </w:r>
          </w:p>
        </w:tc>
      </w:tr>
      <w:tr>
        <w:tc>
          <w:tcPr>
            <w:tcW w:type="dxa" w:w="2880"/>
          </w:tcPr>
          <w:p>
            <w:pPr>
              <w:jc w:val="center"/>
            </w:pPr>
            <w:r>
              <w:rPr>
                <w:sz w:val="20"/>
              </w:rPr>
              <w:t>joblib</w:t>
            </w:r>
          </w:p>
        </w:tc>
        <w:tc>
          <w:tcPr>
            <w:tcW w:type="dxa" w:w="5760"/>
          </w:tcPr>
          <w:p>
            <w:pPr>
              <w:jc w:val="center"/>
            </w:pPr>
            <w:r>
              <w:rPr>
                <w:sz w:val="20"/>
              </w:rPr>
              <w:t>模型保存与加载</w:t>
            </w:r>
          </w:p>
        </w:tc>
      </w:tr>
      <w:tr>
        <w:tc>
          <w:tcPr>
            <w:tcW w:type="dxa" w:w="2880"/>
          </w:tcPr>
          <w:p>
            <w:pPr>
              <w:jc w:val="center"/>
            </w:pPr>
            <w:r>
              <w:rPr>
                <w:sz w:val="20"/>
              </w:rPr>
              <w:t>python-docx</w:t>
            </w:r>
          </w:p>
        </w:tc>
        <w:tc>
          <w:tcPr>
            <w:tcW w:type="dxa" w:w="5760"/>
          </w:tcPr>
          <w:p>
            <w:pPr>
              <w:jc w:val="center"/>
            </w:pPr>
            <w:r>
              <w:rPr>
                <w:sz w:val="20"/>
              </w:rPr>
              <w:t>文档生成</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