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95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40" w:lineRule="auto"/>
        <w:ind w:left="0"/>
        <w:jc w:val="center"/>
        <w:textAlignment w:val="auto"/>
        <w:outlineLvl w:val="0"/>
        <w:rPr>
          <w:rFonts w:hint="default" w:eastAsia="等线"/>
          <w:lang w:val="en-US" w:eastAsia="zh-CN"/>
        </w:rPr>
      </w:pPr>
      <w:bookmarkStart w:id="5" w:name="_GoBack"/>
      <w:r>
        <w:rPr>
          <w:rFonts w:hint="eastAsia" w:ascii="Arial" w:hAnsi="Arial" w:eastAsia="等线" w:cs="Arial"/>
          <w:b/>
          <w:sz w:val="52"/>
          <w:lang w:val="en-US" w:eastAsia="zh-CN"/>
        </w:rPr>
        <w:t>一、数学建模美赛通用自查表</w:t>
      </w:r>
    </w:p>
    <w:tbl>
      <w:tblPr>
        <w:tblStyle w:val="2"/>
        <w:tblW w:w="852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7"/>
        <w:gridCol w:w="799"/>
        <w:gridCol w:w="5478"/>
        <w:gridCol w:w="868"/>
      </w:tblGrid>
      <w:tr w14:paraId="0EA81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7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5A2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自查维度</w:t>
            </w:r>
          </w:p>
        </w:tc>
        <w:tc>
          <w:tcPr>
            <w:tcW w:w="79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839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547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8A6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86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A1B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309B6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CDA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79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CBF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47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0FF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1-5分（不合格）：未涵盖核心模型/方法、关键结论、核心价值三要素；逻辑混乱，堆砌术语，无量化结果；字数超标或过短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；</w:t>
            </w:r>
          </w:p>
          <w:p w14:paraId="2C55DB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5-11分（合格）：涵盖三要素但描述笼统，无量化数据；无创新点提炼；存在冗余，重点不突出（评审印象分低）；</w:t>
            </w:r>
          </w:p>
          <w:p w14:paraId="4CF5CB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12-17分（良好）：三要素齐全，含1-2个量化结果；提炼1个核心创新点，逻辑清晰（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300单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词）；结尾有明确应用/推广导向；</w:t>
            </w:r>
          </w:p>
          <w:p w14:paraId="2DD230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18-20分（优秀）：精准概括模型/方法创新、关键发现、核心价值；语言精炼（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300单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词），专业易懂；直击题型核心，贴合美赛摘要评审偏好。</w:t>
            </w:r>
          </w:p>
        </w:tc>
        <w:tc>
          <w:tcPr>
            <w:tcW w:w="86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6A6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12F1C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357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核心建模/设计/分析</w:t>
            </w:r>
          </w:p>
        </w:tc>
        <w:tc>
          <w:tcPr>
            <w:tcW w:w="79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C9B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54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E95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1-7分（不合格）：未完成题型核心任务（建模/设计/分析）；仅定性描述，无量化过程；逻辑漏洞明显（美赛核心扣分点，适配所有题型）；</w:t>
            </w:r>
          </w:p>
          <w:p w14:paraId="0197F4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8-12分（合格）：完成核心任务，方法简单常规；仅考虑单一因素/维度；未解释核心参数/设计思路；</w:t>
            </w:r>
          </w:p>
          <w:p w14:paraId="0439F8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13-20分（良好）：采用适配题型的合理方法，多因素/多维度分析；核心参数/设计思路清晰；贴合题型核心要求，无明显逻辑漏洞；</w:t>
            </w:r>
          </w:p>
          <w:p w14:paraId="645F50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21-25分（优秀）：方法科学严谨，适配题型特点；考虑因素交互作用，可动态调整优化；核心过程可复现，精准对接题型核心需求。</w:t>
            </w:r>
          </w:p>
        </w:tc>
        <w:tc>
          <w:tcPr>
            <w:tcW w:w="8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593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143738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AE3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创新点</w:t>
            </w:r>
          </w:p>
        </w:tc>
        <w:tc>
          <w:tcPr>
            <w:tcW w:w="79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D73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54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ED8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1-4分（不合格）：无任何创新，照搬教材/网上常规方法，无自主改进（美赛无获奖可能，适配所有题型）；</w:t>
            </w:r>
          </w:p>
          <w:p w14:paraId="3045B2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5-8分（合格）：局部改进，无实质性突破，未形成核心创新点；创新与题型核心需求脱节；</w:t>
            </w:r>
          </w:p>
          <w:p w14:paraId="2473B5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9-12分（良好）：方法/视角/应用有一定创新；贴合题型特点，可解决题型核心难点；创新点有明确支撑；</w:t>
            </w:r>
          </w:p>
          <w:p w14:paraId="25EF6D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13-15分（优秀）：具备实质性创新（理论/方法/应用）；创新点突出，可体现竞争力；适配美赛评审偏好，可推广至同类问题。</w:t>
            </w:r>
          </w:p>
        </w:tc>
        <w:tc>
          <w:tcPr>
            <w:tcW w:w="8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A06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2B33A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9F5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模型/方案验证</w:t>
            </w:r>
          </w:p>
        </w:tc>
        <w:tc>
          <w:tcPr>
            <w:tcW w:w="79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509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4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74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1-6分（不合格）：无验证过程；仅主观描述“拟合良好/设计合理”，无量化支撑；无灵敏度/鲁棒性分析（美赛模型无说服力，直接降档）；</w:t>
            </w:r>
          </w:p>
          <w:p w14:paraId="35E49B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7-11分（合格）：采用单一数据/案例验证，计算误差/效果但未分析来源；灵敏度/鲁棒性分析简单，仅针对1个核心参数；</w:t>
            </w:r>
          </w:p>
          <w:p w14:paraId="3D3229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12-17分（良好）：多数据/多案例验证，误差/效果量化清晰；对核心参数做灵敏度分析，给出影响规律；对比常规方法/方案证明优势；</w:t>
            </w:r>
          </w:p>
          <w:p w14:paraId="281C96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18-20分（优秀）：多维度验证（数据/案例/场景），误差≤3%/效果显著；做全面鲁棒性分析，参数波动影响可控；验证过程严谨，可复现（对应模块满分，增强说服力）。</w:t>
            </w:r>
          </w:p>
        </w:tc>
        <w:tc>
          <w:tcPr>
            <w:tcW w:w="8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8AA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31F488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A3F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实用性/政策/推广建议</w:t>
            </w:r>
          </w:p>
        </w:tc>
        <w:tc>
          <w:tcPr>
            <w:tcW w:w="79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95D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54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0F4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1-3分（不合格）：建议空泛，无模型/方案支撑；与题型核心需求脱节，无实际可操作性；</w:t>
            </w:r>
          </w:p>
          <w:p w14:paraId="0CE3A4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5-8分（合格）：建议与模型/方案结果弱相关，未量化效果；仅给出单一维度建议，未考虑实际应用场景；</w:t>
            </w:r>
          </w:p>
          <w:p w14:paraId="570A10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9-10分（优秀）：建议贴合题型特点，分场景/分层面给出；有模型/方案数据支撑，可量化效果；具备实际可操作性，可推广至同类场景/问题。</w:t>
            </w:r>
          </w:p>
        </w:tc>
        <w:tc>
          <w:tcPr>
            <w:tcW w:w="8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148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0A7265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8B6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论文结构与格式</w:t>
            </w:r>
          </w:p>
        </w:tc>
        <w:tc>
          <w:tcPr>
            <w:tcW w:w="79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777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54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FA6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1-3分（不合格）：结构混乱，缺失核心章节（摘要/引言/核心部分/结论）；参考文献&lt;3篇且非权威；页数超标或无目录（美赛直接扣分）；</w:t>
            </w:r>
          </w:p>
          <w:p w14:paraId="37E9A4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5-8分（合格）：结构完整但章节衔接不自然；参考文献3-5篇，以教材为主，引用标注不规范；有少量格式/错别字错误；</w:t>
            </w:r>
          </w:p>
          <w:p w14:paraId="56A900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9-10分（优秀）：结构闭环，层层递进；参考文献&gt;10篇，含近3年研究，引用标注规范；附录含详细推导/数据/代码，可复现。</w:t>
            </w:r>
          </w:p>
        </w:tc>
        <w:tc>
          <w:tcPr>
            <w:tcW w:w="8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C7D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781DCD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1FD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79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98E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547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686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O/F奖；80—90分：M奖；70-80分：H奖</w:t>
            </w:r>
          </w:p>
        </w:tc>
        <w:tc>
          <w:tcPr>
            <w:tcW w:w="8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561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</w:tbl>
    <w:p w14:paraId="2212F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40" w:lineRule="auto"/>
        <w:ind w:left="0"/>
        <w:jc w:val="both"/>
        <w:textAlignment w:val="auto"/>
        <w:outlineLvl w:val="0"/>
        <w:rPr>
          <w:rFonts w:ascii="Arial" w:hAnsi="Arial" w:eastAsia="等线" w:cs="Arial"/>
          <w:b/>
          <w:sz w:val="36"/>
        </w:rPr>
      </w:pPr>
      <w:r>
        <w:br w:type="page"/>
      </w:r>
      <w:bookmarkStart w:id="0" w:name="heading_0"/>
      <w:r>
        <w:rPr>
          <w:rFonts w:hint="eastAsia" w:ascii="Arial" w:hAnsi="Arial" w:eastAsia="等线" w:cs="Arial"/>
          <w:b/>
          <w:sz w:val="36"/>
          <w:lang w:val="en-US" w:eastAsia="zh-CN"/>
        </w:rPr>
        <w:t>二</w:t>
      </w:r>
      <w:r>
        <w:rPr>
          <w:rFonts w:ascii="Arial" w:hAnsi="Arial" w:eastAsia="等线" w:cs="Arial"/>
          <w:b/>
          <w:sz w:val="36"/>
        </w:rPr>
        <w:t>、A：智能手机电池损耗建模（总分100分）</w:t>
      </w:r>
      <w:bookmarkEnd w:id="0"/>
    </w:p>
    <w:tbl>
      <w:tblPr>
        <w:tblStyle w:val="2"/>
        <w:tblW w:w="852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7"/>
        <w:gridCol w:w="1000"/>
        <w:gridCol w:w="5132"/>
        <w:gridCol w:w="863"/>
      </w:tblGrid>
      <w:tr w14:paraId="3C551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A52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</w:t>
            </w:r>
          </w:p>
          <w:p w14:paraId="3031CB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维度</w:t>
            </w:r>
          </w:p>
        </w:tc>
        <w:tc>
          <w:tcPr>
            <w:tcW w:w="10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097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51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798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8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CC3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2567A9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2C0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10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D09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1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4F1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1-5分（不合格）：未涵盖模型类型、关键影响因素、核心结论三要素；逻辑混乱，堆砌术语，无量化结果；无实用导向；</w:t>
            </w:r>
          </w:p>
          <w:p w14:paraId="201E0A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5-11分（合格）：涵盖三要素但描述笼统，无量化数据；无创新点提炼；存在冗余，字数超150词；</w:t>
            </w:r>
          </w:p>
          <w:p w14:paraId="4DCBC2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12-17分（良好）：三要素齐全，含1-2个量化结果；提炼1个创新点，逻辑清晰（100-150词）；结尾有明确用户建议导向；</w:t>
            </w:r>
          </w:p>
          <w:p w14:paraId="2ECF5A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18-20分（优秀）：精准概括模型创新、关键发现、核心建议；80-100词，专业易懂；直击连续时间模型+实用性核心，贴合美赛摘要评审偏好。</w:t>
            </w:r>
          </w:p>
        </w:tc>
        <w:tc>
          <w:tcPr>
            <w:tcW w:w="8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1F1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D3CC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114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连续时间模型构建</w:t>
            </w:r>
          </w:p>
        </w:tc>
        <w:tc>
          <w:tcPr>
            <w:tcW w:w="1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719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51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308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1-7分（不合格）：仅用离散数据拟合，未建连续时间方程；模型无物理意义；未区分不同场景功耗差异；</w:t>
            </w:r>
          </w:p>
          <w:p w14:paraId="6E5644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8-12分（合格）：建立基础微分方程，仅考虑1-2个因素；未解释参数含义；未考虑电池老化长期影响；</w:t>
            </w:r>
          </w:p>
          <w:p w14:paraId="4DDF0F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13-20分（良好）：构建多因素耦合微分方程，拆解功耗模块；各参数有明确物理意义；加入电池老化因子；</w:t>
            </w:r>
          </w:p>
          <w:p w14:paraId="0415CB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21-25分（优秀）：建立底层电化学+上层功耗分层模型；考虑因素交互作用；可动态调整参数，适配不同手机/场景。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C23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8EB5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FCB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模型验证与误差分析</w:t>
            </w:r>
          </w:p>
        </w:tc>
        <w:tc>
          <w:tcPr>
            <w:tcW w:w="1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A30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1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C79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1-6分（不合格）：无验证过程或仅1组数据测试；未计算误差；无灵敏度分析，仅主观描述拟合良好；</w:t>
            </w:r>
          </w:p>
          <w:p w14:paraId="5ABD43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7-11分（合格）：用1组实测数据验证，计算误差但未分析来源；灵敏度分析仅针对1个参数；未对比预测与实际差异；</w:t>
            </w:r>
          </w:p>
          <w:p w14:paraId="0A0AD2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12-17分（良好）：多场景数据验证，误差均&lt;5%；量化误差来源；对关键参数做灵敏度分析，给出影响曲线；</w:t>
            </w:r>
          </w:p>
          <w:p w14:paraId="08BA1D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18-20分（优秀）：公开+自制数据验证，误差≤3%；做鲁棒性分析（参数波动±20%偏差&lt;5%）；对比常规模型证明优势。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1AC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</w:t>
            </w:r>
          </w:p>
        </w:tc>
      </w:tr>
      <w:tr w14:paraId="7697B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ED9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创新点</w:t>
            </w:r>
          </w:p>
        </w:tc>
        <w:tc>
          <w:tcPr>
            <w:tcW w:w="1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452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51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8F3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1-4分（不合格）：无任何创新，照搬教材或网上常规模型，无自主改进；</w:t>
            </w:r>
          </w:p>
          <w:p w14:paraId="14AAB1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5-8分（合格）：局部改进（如增加1个新影响因素），无实质性突破，未形成核心创新点；</w:t>
            </w:r>
          </w:p>
          <w:p w14:paraId="104935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9-12分（良好）：方法创新（如用户行为-电池损耗耦合模型）或视角创新（如电化学层面解读功耗差异）；</w:t>
            </w:r>
          </w:p>
          <w:p w14:paraId="4C6166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13-15分（优秀）：理论/应用创新（如新型电池健康度评估指标）；模型可直接对接手机厂商功耗优化系统。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F4E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</w:t>
            </w:r>
          </w:p>
        </w:tc>
      </w:tr>
      <w:tr w14:paraId="152CD9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AE1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实用性建议</w:t>
            </w:r>
          </w:p>
        </w:tc>
        <w:tc>
          <w:tcPr>
            <w:tcW w:w="1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AFE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5分</w:t>
            </w:r>
          </w:p>
        </w:tc>
        <w:tc>
          <w:tcPr>
            <w:tcW w:w="51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6B6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1分（不合格）：建议空泛，无模型支撑；未针对不同用户群体给出差异化建议，无实际可操作性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；</w:t>
            </w:r>
          </w:p>
          <w:p w14:paraId="642CE2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2-3分（合格）：建议与模型结果弱相关，未量化；仅给出用户侧建议，未提及操作系统优化方向；</w:t>
            </w:r>
          </w:p>
          <w:p w14:paraId="118E2A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4-5分（优秀）：分场景定制建议（游戏/商务用户）；提出操作系统动态功耗优化方案；可推广至其他设备并给出参数调整方法。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10E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</w:t>
            </w:r>
          </w:p>
        </w:tc>
      </w:tr>
      <w:tr w14:paraId="4D983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003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论文结构与格式</w:t>
            </w:r>
          </w:p>
        </w:tc>
        <w:tc>
          <w:tcPr>
            <w:tcW w:w="1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C34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5分</w:t>
            </w:r>
          </w:p>
        </w:tc>
        <w:tc>
          <w:tcPr>
            <w:tcW w:w="51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FA3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1分（不合格）：结构混乱，缺失核心章节；参考文献&lt;3篇且非权威；页数超标（&gt;25页）或无目录；</w:t>
            </w:r>
          </w:p>
          <w:p w14:paraId="18180B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2-3分（合格）：结构完整但章节衔接不自然；参考文献3-5篇，以教材为主，无近5年最新研究；有少量格式/错别字错误；</w:t>
            </w:r>
          </w:p>
          <w:p w14:paraId="4A3CE9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4-5分（优秀）：结构闭环，层层递进；参考文献&gt;10篇，含近3年研究，引用标注规范；附录含详细推导/数据/代码，可复现。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D32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</w:t>
            </w:r>
          </w:p>
        </w:tc>
      </w:tr>
      <w:tr w14:paraId="4E90C7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78B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1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BBB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51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D1F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</w:t>
            </w:r>
          </w:p>
          <w:p w14:paraId="335FA6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70-80分：H奖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20F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</w:t>
            </w:r>
          </w:p>
        </w:tc>
      </w:tr>
    </w:tbl>
    <w:p w14:paraId="16E7D289">
      <w:pPr>
        <w:spacing w:before="380" w:after="140" w:line="288" w:lineRule="auto"/>
        <w:ind w:left="0"/>
        <w:jc w:val="left"/>
        <w:outlineLvl w:val="9"/>
        <w:rPr>
          <w:rFonts w:hint="eastAsia" w:ascii="Arial" w:hAnsi="Arial" w:eastAsia="等线" w:cs="Arial"/>
          <w:b/>
          <w:sz w:val="36"/>
          <w:lang w:val="en-US" w:eastAsia="zh-CN"/>
        </w:rPr>
      </w:pPr>
      <w:bookmarkStart w:id="1" w:name="heading_1"/>
    </w:p>
    <w:p w14:paraId="1DA9899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三</w:t>
      </w:r>
      <w:r>
        <w:rPr>
          <w:rFonts w:ascii="Arial" w:hAnsi="Arial" w:eastAsia="等线" w:cs="Arial"/>
          <w:b/>
          <w:sz w:val="36"/>
        </w:rPr>
        <w:t>、B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题</w:t>
      </w:r>
      <w:r>
        <w:rPr>
          <w:rFonts w:ascii="Arial" w:hAnsi="Arial" w:eastAsia="等线" w:cs="Arial"/>
          <w:b/>
          <w:sz w:val="36"/>
        </w:rPr>
        <w:t>月球殖民地建设运输系统建模</w:t>
      </w:r>
    </w:p>
    <w:bookmarkEnd w:id="1"/>
    <w:tbl>
      <w:tblPr>
        <w:tblStyle w:val="2"/>
        <w:tblW w:w="852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0"/>
        <w:gridCol w:w="1080"/>
        <w:gridCol w:w="5071"/>
        <w:gridCol w:w="855"/>
      </w:tblGrid>
      <w:tr w14:paraId="597527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3B3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bookmarkStart w:id="2" w:name="heading_2"/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自查维度</w:t>
            </w:r>
          </w:p>
        </w:tc>
        <w:tc>
          <w:tcPr>
            <w:tcW w:w="10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1C0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507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1F9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85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E28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03B70E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E7E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10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064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07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D7E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1-5分（不合格）：未明确三种运输方案的成本-时间-环境对比；无最优方案推荐，或推荐无依据；未提及风险分析和水资源需求（美赛直接降档）；</w:t>
            </w:r>
          </w:p>
          <w:p w14:paraId="6920E4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5-11分（合格）：明确最优方案，但仅对比成本一个维度；提及风险，但未量化；水资源需求估算粗略（评审印象分低）；</w:t>
            </w:r>
          </w:p>
          <w:p w14:paraId="66FD86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12-17分（良好）：三方案对比涵盖成本、时间、环境、可靠性四个维度；最优方案有量化支撑；提炼创新点；</w:t>
            </w:r>
          </w:p>
          <w:p w14:paraId="224F70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18-20分（优秀）：精准概括模型核心、关键发现、风险应对、环境影响；水资源需求计算有依据；结尾有政策建议导向，贴合美赛摘要评审偏好（对应模块满分，奠定高奖基础）。</w:t>
            </w:r>
          </w:p>
        </w:tc>
        <w:tc>
          <w:tcPr>
            <w:tcW w:w="85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C4A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00195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585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三种方案的量化对比模型</w:t>
            </w:r>
          </w:p>
        </w:tc>
        <w:tc>
          <w:tcPr>
            <w:tcW w:w="10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028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50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2E4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1-7分（不合格）：仅分析1种方案，或三种方案均为定性描述；成本计算遗漏关键项；时间计算未考虑运力限制（美赛优化类题目核心扣分点）；</w:t>
            </w:r>
          </w:p>
          <w:p w14:paraId="13FE05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8-12分（合格）：分析三种方案，但成本仅计算运输费，时间仅计算单程时间；未考虑三个港口协同作用；未考虑发射场地纬度优势；</w:t>
            </w:r>
          </w:p>
          <w:p w14:paraId="4100DC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13-20分（良好）：构建成本-时间双目标优化模型，涵盖全成本、全周期；考虑港口协同调度；考虑发射场地选择；</w:t>
            </w:r>
          </w:p>
          <w:p w14:paraId="712C52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21-25分（优秀）：建立动态多目标优化模型，考虑运力波动；引入边际成本概念；用帕累托最优曲线展示对比结果（对应模块满分，美赛高奖必备）。</w:t>
            </w:r>
          </w:p>
        </w:tc>
        <w:tc>
          <w:tcPr>
            <w:tcW w:w="8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E37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689AA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50A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风险分析与应急预案</w:t>
            </w:r>
          </w:p>
        </w:tc>
        <w:tc>
          <w:tcPr>
            <w:tcW w:w="10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98A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0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9CB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1-6分（不合格）：未考虑非理想条件，仅假设系统完美运行；风险分析空泛，无应对措施（美赛模型严谨性不足，直接降档）；</w:t>
            </w:r>
          </w:p>
          <w:p w14:paraId="272CF3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7-11分（合格）：提及2-3种风险，但未量化概率；应急预案简单，未考虑成本和时间影响；</w:t>
            </w:r>
          </w:p>
          <w:p w14:paraId="51341A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12-17分（良好）：量化风险概率；分析风险对运输的影响；提出基础应急预案；</w:t>
            </w:r>
          </w:p>
          <w:p w14:paraId="515085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18-20分（优秀）：建立风险评估矩阵（高/中/低分级）；设计冗余系统；应急预案包含成本-时间补偿策略（对应模块满分，体现模型严谨性）。</w:t>
            </w:r>
          </w:p>
        </w:tc>
        <w:tc>
          <w:tcPr>
            <w:tcW w:w="8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2E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583D2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1C6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创新点（方案/模型创新，定档次）</w:t>
            </w:r>
          </w:p>
        </w:tc>
        <w:tc>
          <w:tcPr>
            <w:tcW w:w="10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17F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50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FFD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1-4分（不合格）：无任何创新，照搬现有太空运输方案，无自主优化（美赛无获奖可能）；</w:t>
            </w:r>
          </w:p>
          <w:p w14:paraId="059A6F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5-8分（合格）：局部改进（如调整港口调度顺序），无实质性突破，未形成核心创新点；</w:t>
            </w:r>
          </w:p>
          <w:p w14:paraId="011EA2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9-12分（良好）：方案创新（如多港口动态协同运输模型）或方法创新（如风险-成本耦合优化）；</w:t>
            </w:r>
          </w:p>
          <w:p w14:paraId="7CC2BF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13-15分（优秀）：理论/应用创新（如太空电梯运力动态分配算法）；方案可直接对接月球殖民地建设初步规划。</w:t>
            </w:r>
          </w:p>
        </w:tc>
        <w:tc>
          <w:tcPr>
            <w:tcW w:w="8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C6A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2D8E6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B37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水资源需求与运输优化</w:t>
            </w:r>
          </w:p>
        </w:tc>
        <w:tc>
          <w:tcPr>
            <w:tcW w:w="10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D10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5分</w:t>
            </w:r>
          </w:p>
        </w:tc>
        <w:tc>
          <w:tcPr>
            <w:tcW w:w="50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68D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1分（不合格）：水资源需求估算无依据，或未考虑生活/生产/应急用水；未考虑月球冰矿就地利用；</w:t>
            </w:r>
          </w:p>
          <w:p w14:paraId="10D141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2-3分（合格）：计算生活用水，但未考虑生产用水和应急储备；提及就地利用，但未量化可开采量和成本；</w:t>
            </w:r>
          </w:p>
          <w:p w14:paraId="476AA0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4-5分（优秀）：建立水资源循环利用模型，精准测算回收率；对比地球运输与月球就地开采的最优组合；建立月球水资源储备库方案，保障长期可持续性）。</w:t>
            </w:r>
          </w:p>
        </w:tc>
        <w:tc>
          <w:tcPr>
            <w:tcW w:w="8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233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0BEF0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AC4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环境影响评估与优化</w:t>
            </w:r>
          </w:p>
        </w:tc>
        <w:tc>
          <w:tcPr>
            <w:tcW w:w="10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7E8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5分</w:t>
            </w:r>
          </w:p>
        </w:tc>
        <w:tc>
          <w:tcPr>
            <w:tcW w:w="50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A37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1分（不合格）：未评估环境影响，或仅定性描述“火箭污染大”；无模型优化措施；</w:t>
            </w:r>
          </w:p>
          <w:p w14:paraId="5EBAC7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2-3分（合格）：定性对比太空电梯（零排放）和火箭（碳排放、噪音污染）；未量化碳排放总量；</w:t>
            </w:r>
          </w:p>
          <w:p w14:paraId="03BCC0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4-5分（优秀）：构建全生命周期环境影响模型（建设、运输、运营、退役）；提出完善的碳中和策略；分析不同方案对地球生态的长期影响，给出针对性保护建议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。</w:t>
            </w:r>
          </w:p>
        </w:tc>
        <w:tc>
          <w:tcPr>
            <w:tcW w:w="8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7D1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7F626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094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10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113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50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294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O/F奖；80—90分：M奖；70-80分：H奖</w:t>
            </w:r>
          </w:p>
        </w:tc>
        <w:tc>
          <w:tcPr>
            <w:tcW w:w="8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9EE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</w:tbl>
    <w:p w14:paraId="20B79FA1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四</w:t>
      </w:r>
      <w:r>
        <w:rPr>
          <w:rFonts w:ascii="Arial" w:hAnsi="Arial" w:eastAsia="等线" w:cs="Arial"/>
          <w:b/>
          <w:sz w:val="36"/>
        </w:rPr>
        <w:t>、 C：《与星共舞》投票数据分析</w:t>
      </w:r>
      <w:bookmarkEnd w:id="2"/>
    </w:p>
    <w:tbl>
      <w:tblPr>
        <w:tblStyle w:val="2"/>
        <w:tblW w:w="852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6"/>
        <w:gridCol w:w="992"/>
        <w:gridCol w:w="5153"/>
        <w:gridCol w:w="851"/>
      </w:tblGrid>
      <w:tr w14:paraId="1CD42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91E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bookmarkStart w:id="3" w:name="heading_3"/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自查维度</w:t>
            </w:r>
          </w:p>
        </w:tc>
        <w:tc>
          <w:tcPr>
            <w:tcW w:w="99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6DE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515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DBF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85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6A8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4B355C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44D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99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B9A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15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D2E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1-5分（不合格）：未涵盖粉丝投票估算模型、两种机制对比、争议案例分析三核心；无量化结果；未提新机制设计（美赛直接降档）；</w:t>
            </w:r>
          </w:p>
          <w:p w14:paraId="3104C9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5-11分（合格）：涵盖三核心但描述笼统，无量化数据；争议案例解读肤浅；新机制设计空泛（评审印象分低）；</w:t>
            </w:r>
          </w:p>
          <w:p w14:paraId="51E4F8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12-17分（良好）：含模型精度、机制对比结论、争议案例结论；新机制有明确核心思路；</w:t>
            </w:r>
          </w:p>
          <w:p w14:paraId="25CE20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18-20分（优秀）：精准概括模型创新、关键发现、新机制优势；语言精炼，逻辑严密，直击评审核心，贴合美赛摘要评审偏好（对应模块满分，奠定高奖基础）。</w:t>
            </w:r>
          </w:p>
        </w:tc>
        <w:tc>
          <w:tcPr>
            <w:tcW w:w="85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C57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6CC83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2C7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粉丝投票估算模型</w:t>
            </w:r>
          </w:p>
        </w:tc>
        <w:tc>
          <w:tcPr>
            <w:tcW w:w="9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2FE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51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01F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1-7分（不合格）：无模型，主观猜测投票数；未结合评委分数和淘汰规则（美赛数据分析类题目核心扣分点）；</w:t>
            </w:r>
          </w:p>
          <w:p w14:paraId="19E7A9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8-12分（合格）：建立简单统计模型，仅分析1个赛季；验证单一，未量化准确率；</w:t>
            </w:r>
          </w:p>
          <w:p w14:paraId="0E3797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9-20分（良好）：构建反向推导模型；多赛季数据验证，准确率&gt;85%；量化估算不确定性；</w:t>
            </w:r>
          </w:p>
          <w:p w14:paraId="7667FD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21-25分（优秀）：建立贝叶斯推断模型，考虑投票限制和粉丝群体特征；准确率&gt;90%，可解释95%以上淘汰结果。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7ED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5B28F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B00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两种投票机制对比分析</w:t>
            </w:r>
          </w:p>
        </w:tc>
        <w:tc>
          <w:tcPr>
            <w:tcW w:w="9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79C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51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D10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1-6分（不合格）：未对比两种机制，仅定性描述；争议案例分析无模型支撑）；</w:t>
            </w:r>
          </w:p>
          <w:p w14:paraId="0D7C22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7-11分（合格）：对比两种机制，但仅分析2-3个赛季；未量化粉丝/评委权重；争议案例仅描述现象；</w:t>
            </w:r>
          </w:p>
          <w:p w14:paraId="72C1FF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12-17分（良好）：全赛季数据对比，量化粉丝权重；复盘4个经典争议案例，分析机制缺陷；</w:t>
            </w:r>
          </w:p>
          <w:p w14:paraId="04B9BE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18-20分（优秀）：构建机制评估指标体系；量化不同机制对各类选手的影响；分析规则优化空间。</w:t>
            </w:r>
          </w:p>
          <w:p w14:paraId="430DAB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D01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</w:t>
            </w:r>
          </w:p>
        </w:tc>
      </w:tr>
      <w:tr w14:paraId="7B6E8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7FA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创新点</w:t>
            </w:r>
          </w:p>
        </w:tc>
        <w:tc>
          <w:tcPr>
            <w:tcW w:w="9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42B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51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EF7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1-4分（不合格）：无任何创新，照搬常规数据分析模型，无自主改进（美赛无获奖可能）；</w:t>
            </w:r>
          </w:p>
          <w:p w14:paraId="562BA6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5-8分（合格）：局部改进（如增加1个投票影响因素），无实质性突破，未形成核心创新点；</w:t>
            </w:r>
          </w:p>
          <w:p w14:paraId="19D762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9-12分（良好）：方法创新（如粉丝投票-评委评分耦合推断模型）或视角创新（如从博弈论角度分析投票机制）；</w:t>
            </w:r>
          </w:p>
          <w:p w14:paraId="49CD07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13-15分（优秀）：理论/应用创新（如新型投票真实性校验算法）；模型可直接对接同类选秀节目投票分析（对应模块满分，美赛高奖核心竞争力）。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905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08C323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56F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新投票机制设计</w:t>
            </w:r>
          </w:p>
        </w:tc>
        <w:tc>
          <w:tcPr>
            <w:tcW w:w="9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760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51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A89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1-3分（不合格）：新机制照搬现有，无创新；无模型支撑优势；</w:t>
            </w:r>
          </w:p>
          <w:p w14:paraId="4140C8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4-6分（合格）：新机制有基础创新，但未量化优势；未考虑可操作性；</w:t>
            </w:r>
          </w:p>
          <w:p w14:paraId="2CB5FE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7-8分（良好）：设计混合加权机制；用模型验证优势，争议率下降30%；可操作性强；</w:t>
            </w:r>
          </w:p>
          <w:p w14:paraId="207200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9-10分（优秀）：设计动态加权机制，加入反作弊和互动模块；全赛季模拟验证，争议率≤5%，兼顾公平与观赏性（对应模块满分）。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CCE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53667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9DD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名人特征影响分析</w:t>
            </w:r>
          </w:p>
        </w:tc>
        <w:tc>
          <w:tcPr>
            <w:tcW w:w="9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499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5分</w:t>
            </w:r>
          </w:p>
        </w:tc>
        <w:tc>
          <w:tcPr>
            <w:tcW w:w="51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D24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1分（不合格）：未分析名人特征，仅定性描述；未区分评委/粉丝偏好；</w:t>
            </w:r>
          </w:p>
          <w:p w14:paraId="1E70A0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2-3分（合格）：分析1-2个特征，未量化影响权重；未对比偏好差异；</w:t>
            </w:r>
          </w:p>
          <w:p w14:paraId="1B7DF7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4-5分（优秀）：用SHAP值量化特征重要性，发现隐性关联；模型可预测选手晋级概率（准确率&gt;80%）（对应模块满分）。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45B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43C108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51C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9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326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51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00A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O/F奖；80—90分：M奖；70-80分：H奖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A0E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</w:tbl>
    <w:p w14:paraId="1DC3C309">
      <w:pPr>
        <w:spacing w:before="380" w:after="140" w:line="288" w:lineRule="auto"/>
        <w:ind w:left="0"/>
        <w:jc w:val="left"/>
        <w:outlineLvl w:val="9"/>
        <w:rPr>
          <w:rFonts w:ascii="Arial" w:hAnsi="Arial" w:eastAsia="等线" w:cs="Arial"/>
          <w:b/>
          <w:sz w:val="36"/>
        </w:rPr>
      </w:pPr>
    </w:p>
    <w:p w14:paraId="2E0FEC0F">
      <w:pPr>
        <w:spacing w:before="380" w:after="140" w:line="288" w:lineRule="auto"/>
        <w:ind w:left="0"/>
        <w:jc w:val="left"/>
        <w:outlineLvl w:val="9"/>
        <w:rPr>
          <w:rFonts w:ascii="Arial" w:hAnsi="Arial" w:eastAsia="等线" w:cs="Arial"/>
          <w:b/>
          <w:sz w:val="36"/>
        </w:rPr>
      </w:pPr>
    </w:p>
    <w:p w14:paraId="6622CBC3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五</w:t>
      </w:r>
      <w:r>
        <w:rPr>
          <w:rFonts w:ascii="Arial" w:hAnsi="Arial" w:eastAsia="等线" w:cs="Arial"/>
          <w:b/>
          <w:sz w:val="36"/>
        </w:rPr>
        <w:t>、D：体育团队运营管理建模（总分100分）</w:t>
      </w:r>
      <w:bookmarkEnd w:id="3"/>
    </w:p>
    <w:tbl>
      <w:tblPr>
        <w:tblStyle w:val="2"/>
        <w:tblW w:w="852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6"/>
        <w:gridCol w:w="1016"/>
        <w:gridCol w:w="4850"/>
        <w:gridCol w:w="1130"/>
      </w:tblGrid>
      <w:tr w14:paraId="4876E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755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bookmarkStart w:id="4" w:name="heading_4"/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自查维度</w:t>
            </w:r>
          </w:p>
        </w:tc>
        <w:tc>
          <w:tcPr>
            <w:tcW w:w="101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098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485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62A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11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346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3EC3C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11B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101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3ED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485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6B4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1-5分（不合格）：未涵盖双目标模型、招募策略、伤病应对三核心；无量化结果；未提联赛扩张影响（美赛直接降档）；</w:t>
            </w:r>
          </w:p>
          <w:p w14:paraId="7BB67B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5-11分（合格）：涵盖三核心但描述笼统，无量化数据；未提炼创新点（评审印象分低）；</w:t>
            </w:r>
          </w:p>
          <w:p w14:paraId="05953A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12-17分（良好）：含模型核心、关键结论、策略建议；提及联赛扩张影响；</w:t>
            </w:r>
          </w:p>
          <w:p w14:paraId="4CAD16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18-20分（优秀）：精准概括模型创新、策略优势、伤病应对效果；突出“竞技-财务双赢”核心，贴合美赛摘要评审偏好（对应模块满分，奠定高奖基础）。</w:t>
            </w:r>
          </w:p>
        </w:tc>
        <w:tc>
          <w:tcPr>
            <w:tcW w:w="11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20F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6ED913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3BF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双目标动态决策模型</w:t>
            </w:r>
          </w:p>
        </w:tc>
        <w:tc>
          <w:tcPr>
            <w:tcW w:w="10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E3E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48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7A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1-7分（不合格）：仅单维度分析，无动态性；未考虑联赛规则（美赛管理类题目核心扣分点）；</w:t>
            </w:r>
          </w:p>
          <w:p w14:paraId="13F6F6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8-12分（合格）：构建双目标模型，但权重固定；未考虑人气、伤病风险；未区分市场规模；</w:t>
            </w:r>
          </w:p>
          <w:p w14:paraId="3DEDE3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9-20分（良好）：构建动态权重双目标模型；涵盖竞技与财务价值；考虑联赛规则约束；</w:t>
            </w:r>
          </w:p>
          <w:p w14:paraId="41D79E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21-25分（优秀）：建立多主体动态博弈模型，引入时间维度；适配不同市场规模球队，可实时调整策略（对应模块满分，美赛高奖必备）。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198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5E50D8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5DE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球员招募策略与估值</w:t>
            </w:r>
          </w:p>
        </w:tc>
        <w:tc>
          <w:tcPr>
            <w:tcW w:w="10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172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48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897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1-6分（不合格）：策略空泛，无模型支撑；未考虑联赛招募规则（美赛实用性不足，直接降档）；</w:t>
            </w:r>
          </w:p>
          <w:p w14:paraId="404118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7-11分（合格）：结合选秀/自由市场，但未量化成本-收益；未考虑团队适配性；</w:t>
            </w:r>
          </w:p>
          <w:p w14:paraId="5EE41A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12-17分（良好）：多渠道招募策略；估值模型涵盖竞技、财务、伤病、适配四维度；量化策略优势；</w:t>
            </w:r>
          </w:p>
          <w:p w14:paraId="63F90A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18-20分（优秀）：差异化招募策略，考虑球员组合效应；适配联赛扩张后的人才竞争；估值精准可落地（对应模块满分，体现实用性）。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641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47BF62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7F5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创新点</w:t>
            </w:r>
          </w:p>
        </w:tc>
        <w:tc>
          <w:tcPr>
            <w:tcW w:w="10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638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48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1C9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1-4分（不合格）：无任何创新，照搬现有体育团队管理策略，无自主优化（美赛无获奖可能）；</w:t>
            </w:r>
          </w:p>
          <w:p w14:paraId="307F2F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5-8分（合格）：局部改进（如调整球员估值权重），无实质性突破，未形成核心创新点；</w:t>
            </w:r>
          </w:p>
          <w:p w14:paraId="37C8DF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9-12分（良好）：方法创新（如球员组合效应估值模型）或策略创新（如差异化市场招募方案）；</w:t>
            </w:r>
          </w:p>
          <w:p w14:paraId="297EB3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13-15分（优秀）：理论/应用创新（如体育团队动态薪酬-绩效耦合模型）；策略可直接对接中小规模体育团队运营（对应模块满分，美赛高奖核心竞争力）。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AF4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576DE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E1C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伤病应对与风险对冲</w:t>
            </w:r>
          </w:p>
        </w:tc>
        <w:tc>
          <w:tcPr>
            <w:tcW w:w="10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EF0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48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593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1-3分（不合格）：未考虑核心球员伤病；应对措施空泛，未量化影响；</w:t>
            </w:r>
          </w:p>
          <w:p w14:paraId="3CB912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4-6分（合格）：提及伤病影响，未量化；替补策略简单，未考虑性价比；</w:t>
            </w:r>
          </w:p>
          <w:p w14:paraId="06E130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7-8分（良好）：量化伤病对胜率、票房的影响；建立替补储备模型；提出风险对冲策略；</w:t>
            </w:r>
          </w:p>
          <w:p w14:paraId="7CECE5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9-10分（优秀）：构建伤病风险评估体系；设计动态轮换机制；分短期/长期给出应对策略（对应模块满分）。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FFD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30EAAE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0ED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联赛扩张影响与策略调整（</w:t>
            </w:r>
          </w:p>
        </w:tc>
        <w:tc>
          <w:tcPr>
            <w:tcW w:w="10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E8C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48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2E9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1-3分（不合格）：未分析扩张影响，仅定性描述；策略调整无模型支撑；</w:t>
            </w:r>
          </w:p>
          <w:p w14:paraId="09E886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4-6分（合格）：提及扩张影响，未量化；策略调整简单，未考虑新球队位置；</w:t>
            </w:r>
          </w:p>
          <w:p w14:paraId="2CEE8E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7-8分（良好）：量化扩张对票房、转播的影响；分区域给出针对性调整策略；分析威胁与机遇；</w:t>
            </w:r>
          </w:p>
          <w:p w14:paraId="762362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9-10分（优秀）：建立扩张冲击模型；设计合作-竞争策略；分析新球队最优选址（对应模块满分）。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7E8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  <w:tr w14:paraId="2DC063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CC1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10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D32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48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3E4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O/F奖；80—90分：M奖；70-80分：H奖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B53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</w:t>
            </w:r>
          </w:p>
        </w:tc>
      </w:tr>
    </w:tbl>
    <w:p w14:paraId="034883C6">
      <w:pPr>
        <w:spacing w:before="380" w:after="140" w:line="288" w:lineRule="auto"/>
        <w:ind w:left="0"/>
        <w:jc w:val="left"/>
        <w:outlineLvl w:val="9"/>
        <w:rPr>
          <w:rFonts w:ascii="Arial" w:hAnsi="Arial" w:eastAsia="等线" w:cs="Arial"/>
          <w:b/>
          <w:sz w:val="36"/>
        </w:rPr>
      </w:pPr>
    </w:p>
    <w:p w14:paraId="27BEA40F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六</w:t>
      </w:r>
      <w:r>
        <w:rPr>
          <w:rFonts w:ascii="Arial" w:hAnsi="Arial" w:eastAsia="等线" w:cs="Arial"/>
          <w:b/>
          <w:sz w:val="36"/>
        </w:rPr>
        <w:t>、 E：被动式遮阳系统设计建模（总分100分）</w:t>
      </w:r>
      <w:bookmarkEnd w:id="4"/>
    </w:p>
    <w:tbl>
      <w:tblPr>
        <w:tblStyle w:val="2"/>
        <w:tblW w:w="852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2"/>
        <w:gridCol w:w="1029"/>
        <w:gridCol w:w="4884"/>
        <w:gridCol w:w="1097"/>
      </w:tblGrid>
      <w:tr w14:paraId="11F5B8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1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B51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自查维度</w:t>
            </w:r>
          </w:p>
        </w:tc>
        <w:tc>
          <w:tcPr>
            <w:tcW w:w="10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36B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48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6D8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10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0DD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511D7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CA5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10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49F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48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8A2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1-5分（不合格）：未涵盖双校区差异化方案、热负荷模型、推广性三核心；无量化结果；未提太阳角度影响（美赛直接降档）；</w:t>
            </w:r>
          </w:p>
          <w:p w14:paraId="0BBFAB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5-11分（合格）：涵盖三核心但描述笼统，无量化数据；未提炼创新点（评审印象分低）；</w:t>
            </w:r>
          </w:p>
          <w:p w14:paraId="7BA202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12-17分（良好）：含方案核心、关键结论、推广建议；提及太阳角度优化；</w:t>
            </w:r>
          </w:p>
          <w:p w14:paraId="135B3A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18-20分（优秀）：精准概括模型创新、方案优势、未来适应性；突出“因地制宜+可持续”核心，贴合美赛摘要评审偏好。</w:t>
            </w:r>
          </w:p>
        </w:tc>
        <w:tc>
          <w:tcPr>
            <w:tcW w:w="10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8DA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  <w:tr w14:paraId="37D89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9B1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双校区差异化遮阳方案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02D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48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8C0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1-7分（不合格）：未区分双校区气候差异，方案完全一致；未结合建筑朝向、太阳角度；无具体结构设计（美赛工程类题目核心扣分点）；</w:t>
            </w:r>
          </w:p>
          <w:p w14:paraId="3E5795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8-12分（合格）：提及双校区气候差异，但方案差异较小；仅设计单一类型遮阳结构；未考虑冬季采光需求；</w:t>
            </w:r>
          </w:p>
          <w:p w14:paraId="7CDA0F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13-20分（良好）：结合双校区气候（温度、日照时长）设计差异化方案；采用两种及以上遮阳技术；兼顾夏季遮阳与冬季采光；</w:t>
            </w:r>
          </w:p>
          <w:p w14:paraId="4B898F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21-25分（优秀）：精准匹配双校区气候参数，设计模块化可调节遮阳结构；结合建筑功能（教室/实验室）优化设计；结构参数可量化，可直接落地施工。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545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  <w:tr w14:paraId="4CAD9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636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热负荷计算与性能评估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7A2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48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DDC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1-6分（不合格）：无热负荷计算或仅定性描述；未评估遮阳系统性能；无验证过程；</w:t>
            </w:r>
          </w:p>
          <w:p w14:paraId="73914B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7-11分（合格）：采用简单公式计算热负荷，未考虑遮阳系统影响；仅评估单一性能指标（如降温效果）；未对比有无遮阳的差异；</w:t>
            </w:r>
          </w:p>
          <w:p w14:paraId="4FF981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12-17分（良好）：用专业软件（如EnergyPlus）计算热负荷；评估降温、节能、采光多维度性能；量化性能提升幅度；</w:t>
            </w:r>
          </w:p>
          <w:p w14:paraId="1D424D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18-20分（优秀）：结合双校区气候数据精准计算热负荷；做全年性能模拟验。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C2E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  <w:tr w14:paraId="5F2B85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C38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创新点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FF8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48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663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1-4分（不合格）：无任何创新，照搬现有遮阳设计，无自主改进；</w:t>
            </w:r>
          </w:p>
          <w:p w14:paraId="4D08DF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5-8分（合格）：局部改进（如调整遮阳板角度），无实质性突破，未形成核心创新点；</w:t>
            </w:r>
          </w:p>
          <w:p w14:paraId="58CEB9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9-12分（良好）：设计创新（如可折叠自适应遮阳结构）或方法创新（如热负荷-遮阳参数耦合优化）；</w:t>
            </w:r>
          </w:p>
          <w:p w14:paraId="33345F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13-15分（优秀）：材料/理论创新（如新型环保遮阳材料应用）；设计可适配不同地域气候，具备模块化推广价值。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876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  <w:tr w14:paraId="22441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3A7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方案推广性与地域适配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674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48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017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1-3分（不合格）：推广建议空泛，无模型支撑；未考虑不同地域气候适配性；无成本控制建议；</w:t>
            </w:r>
          </w:p>
          <w:p w14:paraId="33C767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4-6分（合格）：提及推广方向，但未分地域适配；未量化推广成本与收益；</w:t>
            </w:r>
          </w:p>
          <w:p w14:paraId="70E8C9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7-8分（良好）：分不同气候带给出适配方案；提出批量推广策略；量化推广性价比；</w:t>
            </w:r>
          </w:p>
          <w:p w14:paraId="1D9AA4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9-10分（优秀）：构建地域适配评估体系；给出成本-收益回收模型（回收期≤5年）；可对接绿色建筑标准，具备政策推广潜力。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13D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  <w:tr w14:paraId="22C4B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5FC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热质量材料的优化配置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E49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48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09D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1-3分（不合格）：未考虑热质量材料；材料选择与遮阳系统不适配；无参数优化；</w:t>
            </w:r>
          </w:p>
          <w:p w14:paraId="3929C4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4-6分（合格）：选择常规热质量材料，未结合双校区气候差异；未量化材料热工参数；</w:t>
            </w:r>
          </w:p>
          <w:p w14:paraId="4F738C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7-8分（良好）：结合双校区气候选择适配材料；优化材料厚度、铺设位置；量化材料对热负荷的影响；</w:t>
            </w:r>
          </w:p>
          <w:p w14:paraId="40BF18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9-10分（优秀）：采用新型复合热质量材料；构建材料-遮阳系统协同优化模型；量化节能增效幅度（对应模块满分）。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FB2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  <w:tr w14:paraId="2D9CE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6E5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E8A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48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CBF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O/F奖；80—90分：M奖；70-80分：H奖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181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</w:t>
            </w:r>
          </w:p>
        </w:tc>
      </w:tr>
    </w:tbl>
    <w:p w14:paraId="703A777E">
      <w:pPr>
        <w:spacing w:before="380" w:after="140" w:line="288" w:lineRule="auto"/>
        <w:ind w:left="0"/>
        <w:jc w:val="left"/>
        <w:outlineLvl w:val="9"/>
        <w:rPr>
          <w:rFonts w:ascii="Arial" w:hAnsi="Arial" w:eastAsia="等线" w:cs="Arial"/>
          <w:b/>
          <w:sz w:val="36"/>
        </w:rPr>
      </w:pPr>
    </w:p>
    <w:p w14:paraId="713AF4C8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七</w:t>
      </w:r>
      <w:r>
        <w:rPr>
          <w:rFonts w:ascii="Arial" w:hAnsi="Arial" w:eastAsia="等线" w:cs="Arial"/>
          <w:b/>
          <w:sz w:val="36"/>
        </w:rPr>
        <w:t>、F：全球供应链经济学建模（总分100分）</w:t>
      </w:r>
    </w:p>
    <w:tbl>
      <w:tblPr>
        <w:tblStyle w:val="2"/>
        <w:tblW w:w="852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2"/>
        <w:gridCol w:w="1011"/>
        <w:gridCol w:w="4859"/>
        <w:gridCol w:w="1130"/>
      </w:tblGrid>
      <w:tr w14:paraId="35DCB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C35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自查维度</w:t>
            </w:r>
          </w:p>
        </w:tc>
        <w:tc>
          <w:tcPr>
            <w:tcW w:w="101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369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分值</w:t>
            </w:r>
          </w:p>
        </w:tc>
        <w:tc>
          <w:tcPr>
            <w:tcW w:w="48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2AF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评分标准</w:t>
            </w:r>
          </w:p>
        </w:tc>
        <w:tc>
          <w:tcPr>
            <w:tcW w:w="11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04C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i w:val="0"/>
                <w:color w:val="FFFFFF"/>
                <w:sz w:val="22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自查得分</w:t>
            </w:r>
          </w:p>
        </w:tc>
      </w:tr>
      <w:tr w14:paraId="511FB7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B4A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摘要质量</w:t>
            </w:r>
          </w:p>
        </w:tc>
        <w:tc>
          <w:tcPr>
            <w:tcW w:w="101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78E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48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1CC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1-5分（不合格）：未涵盖核心模型/方法、关键结论、核心价值三要素；逻辑混乱，堆砌术语，无量化结果；字数超标或过短；</w:t>
            </w:r>
          </w:p>
          <w:p w14:paraId="2E55FB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5-11分（合格）：涵盖三要素但描述笼统，无量化数据；无创新点提炼；存在冗余，重点不突出（评审印象分低）；</w:t>
            </w:r>
          </w:p>
          <w:p w14:paraId="7CC15B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12-17分（良好）：三要素齐全，含1-2个量化结果；提炼1个核心创新点，逻辑清晰（80-150词）；结尾有明确应用/推广导向；</w:t>
            </w:r>
          </w:p>
          <w:p w14:paraId="4631E3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18-20分（优秀）：精准概括模型/方法创新、关键发现、核心价值；语言精炼（80-100词），专业易懂；直击题型核心。</w:t>
            </w:r>
          </w:p>
        </w:tc>
        <w:tc>
          <w:tcPr>
            <w:tcW w:w="11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757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5F62B9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726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2. 核心建模/设计/分析</w:t>
            </w:r>
          </w:p>
        </w:tc>
        <w:tc>
          <w:tcPr>
            <w:tcW w:w="10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1AD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25分</w:t>
            </w:r>
          </w:p>
        </w:tc>
        <w:tc>
          <w:tcPr>
            <w:tcW w:w="48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FC8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1-7分（不合格）：未完成题型核心任务（建模/设计/分析）；仅定性描述，无量化过程；逻辑漏洞明显；</w:t>
            </w:r>
          </w:p>
          <w:p w14:paraId="3F69F7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8-12分（合格）：完成核心任务，方法简单常规；仅考虑单一因素/维度；未解释核心参数/设计思路；</w:t>
            </w:r>
          </w:p>
          <w:p w14:paraId="27344A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13-20分（良好）：采用适配题型的合理方法，多因素/多维度分析；核心参数/设计思路清晰；贴合题型核心要求，无明显逻辑漏洞；</w:t>
            </w:r>
          </w:p>
          <w:p w14:paraId="6CFC05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21-25分（优秀）：方法科学严谨，适配题型特点；考虑因素交互作用，可动态调整优化；核心过程可复现，精准对接题型核心需求。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826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31385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82E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3. 创新点</w:t>
            </w:r>
          </w:p>
        </w:tc>
        <w:tc>
          <w:tcPr>
            <w:tcW w:w="10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B20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15分</w:t>
            </w:r>
          </w:p>
        </w:tc>
        <w:tc>
          <w:tcPr>
            <w:tcW w:w="48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DB4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1-4分（不合格）：无任何创新，照搬教材/网上常规方法，无自主改进；</w:t>
            </w:r>
          </w:p>
          <w:p w14:paraId="1C1A3F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5-8分（合格）：局部改进，无实质性突破，未形成核心创新点；创新与题型核心需求脱节；</w:t>
            </w:r>
          </w:p>
          <w:p w14:paraId="26E6E4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9-12分（良好）：方法/视角/应用有一定创新；贴合题型特点，可解决题型核心难点；创新点有明确支撑；</w:t>
            </w:r>
          </w:p>
          <w:p w14:paraId="3C292B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13-15分（优秀）：具备实质性创新（理论/方法/应用）；创新点突出，可体现竞争力；适配美赛评审偏好，可推广至同类问题。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EBB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1ACCFB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DB0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4. 模型/方案验证</w:t>
            </w:r>
          </w:p>
        </w:tc>
        <w:tc>
          <w:tcPr>
            <w:tcW w:w="10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650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20分</w:t>
            </w:r>
          </w:p>
        </w:tc>
        <w:tc>
          <w:tcPr>
            <w:tcW w:w="48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A00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1-6分（不合格）：无验证过程；仅主观描述“拟合良好/设计合理”，无量化支撑；无灵敏度/鲁棒性分析；</w:t>
            </w:r>
          </w:p>
          <w:p w14:paraId="19C22B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7-11分（合格）：采用单一数据/案例验证，计算误差/效果但未分析来源；灵敏度/鲁棒性分析简单，仅针对1个核心参数；</w:t>
            </w:r>
          </w:p>
          <w:p w14:paraId="03CA06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12-17分（良好）：多数据/多案例验证，误差/效果量化清晰；对核心参数做灵敏度分析，给出影响规律；对比常规方法/方案证明优势；</w:t>
            </w:r>
          </w:p>
          <w:p w14:paraId="6F7A26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18-20分（优秀）：多维度验证（数据/案例/场景），误差≤3%/效果显著；做全面鲁棒性分析，参数波动影响可控；验证过程严谨。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A7E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34B54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3DC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5. 实用性/政策/推广建议</w:t>
            </w:r>
          </w:p>
        </w:tc>
        <w:tc>
          <w:tcPr>
            <w:tcW w:w="10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B04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48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E17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1-3分（不合格）：建议空泛，无模型/方案支撑；与题型核心需求脱节，无实际可操作性；</w:t>
            </w:r>
          </w:p>
          <w:p w14:paraId="4B3EF3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5-8分（合格）：建议与模型/方案结果弱相关，未量化效果；仅给出单一维度建议，未考虑实际应用场景；</w:t>
            </w:r>
          </w:p>
          <w:p w14:paraId="77EED3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9-10分（优秀）：建议贴合题型特点（含2026年AI主题F题的高校课程、招生优化等核心需求），分场景/分层面给出；有模型/方案数据支撑，可量化效果；具备实际可操作性，可推广至同类场景/问题。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C80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14A4A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E8C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6. 论文结构与格式</w:t>
            </w:r>
          </w:p>
        </w:tc>
        <w:tc>
          <w:tcPr>
            <w:tcW w:w="10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053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10分</w:t>
            </w:r>
          </w:p>
        </w:tc>
        <w:tc>
          <w:tcPr>
            <w:tcW w:w="48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91D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1-3分（不合格）：结构混乱，缺失核心章节（摘要/引言/核心部分/结论）；参考文献&lt;3篇且非权威；页数超标或无目录（美赛直接扣分）；</w:t>
            </w:r>
          </w:p>
          <w:p w14:paraId="579F72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5-8分（合格）：结构完整但章节衔接不自然；参考文献3-5篇，以教材为主，引用标注不规范；有少量格式/错别字错误；</w:t>
            </w:r>
          </w:p>
          <w:p w14:paraId="2C66BD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9-10分（优秀）：结构闭环，层层递进；参考文献&gt;10篇，含近3年研究，引用标注规范；附录含详细推导/数据/代码，可复现。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C6D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  <w:tr w14:paraId="11C402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091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合计（总分100分）</w:t>
            </w:r>
          </w:p>
        </w:tc>
        <w:tc>
          <w:tcPr>
            <w:tcW w:w="101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C7E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100分</w:t>
            </w:r>
          </w:p>
        </w:tc>
        <w:tc>
          <w:tcPr>
            <w:tcW w:w="48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61B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1"/>
                <w:szCs w:val="21"/>
              </w:rPr>
              <w:t>90-100 分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O/F奖；80—90分：M奖；70-80分：H奖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8B2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 xml:space="preserve">     </w:t>
            </w:r>
          </w:p>
        </w:tc>
      </w:tr>
    </w:tbl>
    <w:p w14:paraId="0FA27B1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172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87D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04414"/>
    <w:rsid w:val="6AEC2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8583</Words>
  <Characters>9341</Characters>
  <TotalTime>22</TotalTime>
  <ScaleCrop>false</ScaleCrop>
  <LinksUpToDate>false</LinksUpToDate>
  <CharactersWithSpaces>9550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2026-02-02T10:23:00Z</dcterms:created>
  <dc:creator>Apache POI</dc:creator>
  <cp:lastModifiedBy>数学建模老哥团队</cp:lastModifiedBy>
  <dcterms:modified xsi:type="dcterms:W3CDTF">2026-02-02T11:33:25Z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358F84C49C174245B753314CBF5CBB10_13</vt:lpwstr>
  </property>
</Properties>
</file>