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Q1 结果分析模块</w:t>
      </w:r>
    </w:p>
    <w:p>
      <w:pPr>
        <w:jc w:val="center"/>
      </w:pPr>
      <w:r>
        <w:t>——TAN贝叶斯网络与随机森林+SHAP模型交叉验证分析</w:t>
      </w:r>
    </w:p>
    <w:p>
      <w:r>
        <w:t>MCM 2026 Problem C - Dancing with the Stars</w:t>
      </w:r>
    </w:p>
    <w:p/>
    <w:p>
      <w:pPr>
        <w:pStyle w:val="Heading1"/>
      </w:pPr>
      <w:r>
        <w:t>一、基础分析</w:t>
      </w:r>
    </w:p>
    <w:p>
      <w:pPr>
        <w:pStyle w:val="Heading2"/>
      </w:pPr>
      <w:r>
        <w:t>1.1 数值与指标解读</w:t>
      </w:r>
    </w:p>
    <w:p>
      <w:pPr>
        <w:pStyle w:val="Heading3"/>
      </w:pPr>
      <w:r>
        <w:t>(1) TAN贝叶斯网络模型</w:t>
      </w:r>
    </w:p>
    <w:p>
      <w:r>
        <w:rPr>
          <w:b/>
        </w:rPr>
        <w:t>模型预测准确率达82.48%，ROC-AUC值为0.8102</w:t>
      </w:r>
      <w:r>
        <w:t>，表明TAN模型能够有效区分淘汰选手与晋级选手。淘汰类别的召回率(Recall)为56.14%，说明模型能够识别超过半数的真实淘汰事件；精确率(Precision)为46.72%，F1值为51.00%，综合反映了模型在不平衡数据集(淘汰事件仅占16.24%)上的分类能力。</w:t>
      </w:r>
    </w:p>
    <w:p>
      <w:r>
        <w:t>统计意义：TAN模型通过建模特征间的条件依赖关系，学习到了9条显著的特征依赖边(如week_rank→cumulative_rank，weeks_participated→remaining_weeks)，这些依赖关系符合舞蹈比赛的实际逻辑——选手的累计排名与每周排名高度相关，参赛周数与剩余周数存在天然的负相关。模型结构的可解释性为后续观众投票估计提供了可靠的概率基础。</w:t>
      </w:r>
    </w:p>
    <w:p>
      <w:pPr>
        <w:pStyle w:val="Heading3"/>
      </w:pPr>
      <w:r>
        <w:t>(2) 随机森林+SHAP模型</w:t>
      </w:r>
    </w:p>
    <w:p>
      <w:r>
        <w:rPr>
          <w:b/>
        </w:rPr>
        <w:t>模型预测准确率达84.33%，ROC-AUC值为0.8875</w:t>
      </w:r>
      <w:r>
        <w:t>，在所有评估指标上均优于TAN模型。特别是淘汰类别的召回率提升至76.32%(+20.18%)，F1值达到61.27%(+10.27%)，表明随机森林模型对淘汰事件的识别能力显著更强。</w:t>
      </w:r>
    </w:p>
    <w:p>
      <w:r>
        <w:t>统计意义：随机森林通过集成200棵决策树，有效降低了过拟合风险，并通过balanced类别权重策略缓解了数据不平衡问题。ROC-AUC从0.8102提升至0.8875，说明模型的整体分类能力和阈值鲁棒性更优。SHAP分析进一步量化了每个特征对预测结果的边际贡献，为特征重要性排序提供了博弈论基础的可解释性。</w:t>
      </w:r>
    </w:p>
    <w:p>
      <w:pPr>
        <w:pStyle w:val="Heading2"/>
      </w:pPr>
      <w:r>
        <w:t>1.2 模型对比分析</w:t>
      </w:r>
    </w:p>
    <w:p>
      <w:r>
        <w:t>表1：TAN与随机森林模型性能指标对比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评估指标</w:t>
            </w:r>
          </w:p>
        </w:tc>
        <w:tc>
          <w:tcPr>
            <w:tcW w:type="dxa" w:w="1728"/>
          </w:tcPr>
          <w:p>
            <w:r>
              <w:rPr>
                <w:b/>
              </w:rPr>
              <w:t>TAN模型</w:t>
            </w:r>
          </w:p>
        </w:tc>
        <w:tc>
          <w:tcPr>
            <w:tcW w:type="dxa" w:w="1728"/>
          </w:tcPr>
          <w:p>
            <w:r>
              <w:rPr>
                <w:b/>
              </w:rPr>
              <w:t>随机森林</w:t>
            </w:r>
          </w:p>
        </w:tc>
        <w:tc>
          <w:tcPr>
            <w:tcW w:type="dxa" w:w="1728"/>
          </w:tcPr>
          <w:p>
            <w:r>
              <w:rPr>
                <w:b/>
              </w:rPr>
              <w:t>差异</w:t>
            </w:r>
          </w:p>
        </w:tc>
        <w:tc>
          <w:tcPr>
            <w:tcW w:type="dxa" w:w="1728"/>
          </w:tcPr>
          <w:p>
            <w:r>
              <w:rPr>
                <w:b/>
              </w:rPr>
              <w:t>统计解读</w:t>
            </w:r>
          </w:p>
        </w:tc>
      </w:tr>
      <w:tr>
        <w:tc>
          <w:tcPr>
            <w:tcW w:type="dxa" w:w="1728"/>
          </w:tcPr>
          <w:p>
            <w:r>
              <w:t>Accuracy</w:t>
            </w:r>
          </w:p>
        </w:tc>
        <w:tc>
          <w:tcPr>
            <w:tcW w:type="dxa" w:w="1728"/>
          </w:tcPr>
          <w:p>
            <w:r>
              <w:t>82.48%</w:t>
            </w:r>
          </w:p>
        </w:tc>
        <w:tc>
          <w:tcPr>
            <w:tcW w:type="dxa" w:w="1728"/>
          </w:tcPr>
          <w:p>
            <w:r>
              <w:t>84.33%</w:t>
            </w:r>
          </w:p>
        </w:tc>
        <w:tc>
          <w:tcPr>
            <w:tcW w:type="dxa" w:w="1728"/>
          </w:tcPr>
          <w:p>
            <w:r>
              <w:t>+1.85%</w:t>
            </w:r>
          </w:p>
        </w:tc>
        <w:tc>
          <w:tcPr>
            <w:tcW w:type="dxa" w:w="1728"/>
          </w:tcPr>
          <w:p>
            <w:r>
              <w:t>RF泛化能力略优</w:t>
            </w:r>
          </w:p>
        </w:tc>
      </w:tr>
      <w:tr>
        <w:tc>
          <w:tcPr>
            <w:tcW w:type="dxa" w:w="1728"/>
          </w:tcPr>
          <w:p>
            <w:r>
              <w:t>Recall</w:t>
            </w:r>
          </w:p>
        </w:tc>
        <w:tc>
          <w:tcPr>
            <w:tcW w:type="dxa" w:w="1728"/>
          </w:tcPr>
          <w:p>
            <w:r>
              <w:t>56.14%</w:t>
            </w:r>
          </w:p>
        </w:tc>
        <w:tc>
          <w:tcPr>
            <w:tcW w:type="dxa" w:w="1728"/>
          </w:tcPr>
          <w:p>
            <w:r>
              <w:t>76.32%</w:t>
            </w:r>
          </w:p>
        </w:tc>
        <w:tc>
          <w:tcPr>
            <w:tcW w:type="dxa" w:w="1728"/>
          </w:tcPr>
          <w:p>
            <w:r>
              <w:t>+20.18%</w:t>
            </w:r>
          </w:p>
        </w:tc>
        <w:tc>
          <w:tcPr>
            <w:tcW w:type="dxa" w:w="1728"/>
          </w:tcPr>
          <w:p>
            <w:r>
              <w:t>RF显著提升淘汰识别</w:t>
            </w:r>
          </w:p>
        </w:tc>
      </w:tr>
      <w:tr>
        <w:tc>
          <w:tcPr>
            <w:tcW w:type="dxa" w:w="1728"/>
          </w:tcPr>
          <w:p>
            <w:r>
              <w:t>Precision</w:t>
            </w:r>
          </w:p>
        </w:tc>
        <w:tc>
          <w:tcPr>
            <w:tcW w:type="dxa" w:w="1728"/>
          </w:tcPr>
          <w:p>
            <w:r>
              <w:t>46.72%</w:t>
            </w:r>
          </w:p>
        </w:tc>
        <w:tc>
          <w:tcPr>
            <w:tcW w:type="dxa" w:w="1728"/>
          </w:tcPr>
          <w:p>
            <w:r>
              <w:t>51.18%</w:t>
            </w:r>
          </w:p>
        </w:tc>
        <w:tc>
          <w:tcPr>
            <w:tcW w:type="dxa" w:w="1728"/>
          </w:tcPr>
          <w:p>
            <w:r>
              <w:t>+4.46%</w:t>
            </w:r>
          </w:p>
        </w:tc>
        <w:tc>
          <w:tcPr>
            <w:tcW w:type="dxa" w:w="1728"/>
          </w:tcPr>
          <w:p>
            <w:r>
              <w:t>RF假阳性率降低</w:t>
            </w:r>
          </w:p>
        </w:tc>
      </w:tr>
      <w:tr>
        <w:tc>
          <w:tcPr>
            <w:tcW w:type="dxa" w:w="1728"/>
          </w:tcPr>
          <w:p>
            <w:r>
              <w:t>F1 Score</w:t>
            </w:r>
          </w:p>
        </w:tc>
        <w:tc>
          <w:tcPr>
            <w:tcW w:type="dxa" w:w="1728"/>
          </w:tcPr>
          <w:p>
            <w:r>
              <w:t>51.00%</w:t>
            </w:r>
          </w:p>
        </w:tc>
        <w:tc>
          <w:tcPr>
            <w:tcW w:type="dxa" w:w="1728"/>
          </w:tcPr>
          <w:p>
            <w:r>
              <w:t>61.27%</w:t>
            </w:r>
          </w:p>
        </w:tc>
        <w:tc>
          <w:tcPr>
            <w:tcW w:type="dxa" w:w="1728"/>
          </w:tcPr>
          <w:p>
            <w:r>
              <w:t>+10.27%</w:t>
            </w:r>
          </w:p>
        </w:tc>
        <w:tc>
          <w:tcPr>
            <w:tcW w:type="dxa" w:w="1728"/>
          </w:tcPr>
          <w:p>
            <w:r>
              <w:t>RF综合性能更优</w:t>
            </w:r>
          </w:p>
        </w:tc>
      </w:tr>
      <w:tr>
        <w:tc>
          <w:tcPr>
            <w:tcW w:type="dxa" w:w="1728"/>
          </w:tcPr>
          <w:p>
            <w:r>
              <w:t>ROC-AUC</w:t>
            </w:r>
          </w:p>
        </w:tc>
        <w:tc>
          <w:tcPr>
            <w:tcW w:type="dxa" w:w="1728"/>
          </w:tcPr>
          <w:p>
            <w:r>
              <w:t>0.8102</w:t>
            </w:r>
          </w:p>
        </w:tc>
        <w:tc>
          <w:tcPr>
            <w:tcW w:type="dxa" w:w="1728"/>
          </w:tcPr>
          <w:p>
            <w:r>
              <w:t>0.8875</w:t>
            </w:r>
          </w:p>
        </w:tc>
        <w:tc>
          <w:tcPr>
            <w:tcW w:type="dxa" w:w="1728"/>
          </w:tcPr>
          <w:p>
            <w:r>
              <w:t>+0.0773</w:t>
            </w:r>
          </w:p>
        </w:tc>
        <w:tc>
          <w:tcPr>
            <w:tcW w:type="dxa" w:w="1728"/>
          </w:tcPr>
          <w:p>
            <w:r>
              <w:t>RF分类边界更清晰</w:t>
            </w:r>
          </w:p>
        </w:tc>
      </w:tr>
      <w:tr>
        <w:tc>
          <w:tcPr>
            <w:tcW w:type="dxa" w:w="1728"/>
          </w:tcPr>
          <w:p>
            <w:r>
              <w:t>混淆矩阵TP</w:t>
            </w:r>
          </w:p>
        </w:tc>
        <w:tc>
          <w:tcPr>
            <w:tcW w:type="dxa" w:w="1728"/>
          </w:tcPr>
          <w:p>
            <w:r>
              <w:t>64</w:t>
            </w:r>
          </w:p>
        </w:tc>
        <w:tc>
          <w:tcPr>
            <w:tcW w:type="dxa" w:w="1728"/>
          </w:tcPr>
          <w:p>
            <w:r>
              <w:t>87</w:t>
            </w:r>
          </w:p>
        </w:tc>
        <w:tc>
          <w:tcPr>
            <w:tcW w:type="dxa" w:w="1728"/>
          </w:tcPr>
          <w:p>
            <w:r>
              <w:t>+23</w:t>
            </w:r>
          </w:p>
        </w:tc>
        <w:tc>
          <w:tcPr>
            <w:tcW w:type="dxa" w:w="1728"/>
          </w:tcPr>
          <w:p>
            <w:r>
              <w:t>RF多识别23例淘汰</w:t>
            </w:r>
          </w:p>
        </w:tc>
      </w:tr>
    </w:tbl>
    <w:p/>
    <w:p>
      <w:r>
        <w:rPr>
          <w:b/>
        </w:rPr>
        <w:t>对比结论：</w:t>
      </w:r>
      <w:r>
        <w:t>随机森林集成模型较TAN贝叶斯模型，测试集Recall提升20.18%，F1值提升10.27%，表明集成学习方法在处理类别不平衡的淘汰预测任务时具有更强的泛化能力。然而，TAN模型的优势在于其概率图结构的可解释性，能够直观展示特征间的依赖关系，为理解观众投票的影响因素提供贝叶斯推断基础。两种方法论的互补性增强了结论的可信度。</w:t>
      </w:r>
    </w:p>
    <w:p>
      <w:pPr>
        <w:pStyle w:val="Heading1"/>
      </w:pPr>
      <w:r>
        <w:t>二、深层分析（美赛高奖核心）</w:t>
      </w:r>
    </w:p>
    <w:p>
      <w:pPr>
        <w:pStyle w:val="Heading2"/>
      </w:pPr>
      <w:r>
        <w:t>2.1 预测结果与数据特征的关联性</w:t>
      </w:r>
    </w:p>
    <w:p>
      <w:r>
        <w:t>表2：两模型预测一致性分析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一致性指标</w:t>
            </w:r>
          </w:p>
        </w:tc>
        <w:tc>
          <w:tcPr>
            <w:tcW w:type="dxa" w:w="2880"/>
          </w:tcPr>
          <w:p>
            <w:r>
              <w:rPr>
                <w:b/>
              </w:rPr>
              <w:t>数值</w:t>
            </w:r>
          </w:p>
        </w:tc>
        <w:tc>
          <w:tcPr>
            <w:tcW w:type="dxa" w:w="2880"/>
          </w:tcPr>
          <w:p>
            <w:r>
              <w:rPr>
                <w:b/>
              </w:rPr>
              <w:t>统计解读</w:t>
            </w:r>
          </w:p>
        </w:tc>
      </w:tr>
      <w:tr>
        <w:tc>
          <w:tcPr>
            <w:tcW w:type="dxa" w:w="2880"/>
          </w:tcPr>
          <w:p>
            <w:r>
              <w:t>Spearman相关系数</w:t>
            </w:r>
          </w:p>
        </w:tc>
        <w:tc>
          <w:tcPr>
            <w:tcW w:type="dxa" w:w="2880"/>
          </w:tcPr>
          <w:p>
            <w:r>
              <w:t>ρ = 0.8075</w:t>
            </w:r>
          </w:p>
        </w:tc>
        <w:tc>
          <w:tcPr>
            <w:tcW w:type="dxa" w:w="2880"/>
          </w:tcPr>
          <w:p>
            <w:r>
              <w:t>两模型预测高度正相关(p&lt;0.001)</w:t>
            </w:r>
          </w:p>
        </w:tc>
      </w:tr>
      <w:tr>
        <w:tc>
          <w:tcPr>
            <w:tcW w:type="dxa" w:w="2880"/>
          </w:tcPr>
          <w:p>
            <w:r>
              <w:t>Pearson相关系数</w:t>
            </w:r>
          </w:p>
        </w:tc>
        <w:tc>
          <w:tcPr>
            <w:tcW w:type="dxa" w:w="2880"/>
          </w:tcPr>
          <w:p>
            <w:r>
              <w:t>r = 0.8359</w:t>
            </w:r>
          </w:p>
        </w:tc>
        <w:tc>
          <w:tcPr>
            <w:tcW w:type="dxa" w:w="2880"/>
          </w:tcPr>
          <w:p>
            <w:r>
              <w:t>线性相关性极强</w:t>
            </w:r>
          </w:p>
        </w:tc>
      </w:tr>
      <w:tr>
        <w:tc>
          <w:tcPr>
            <w:tcW w:type="dxa" w:w="2880"/>
          </w:tcPr>
          <w:p>
            <w:r>
              <w:t>预测方向一致率</w:t>
            </w:r>
          </w:p>
        </w:tc>
        <w:tc>
          <w:tcPr>
            <w:tcW w:type="dxa" w:w="2880"/>
          </w:tcPr>
          <w:p>
            <w:r>
              <w:t>88.76%</w:t>
            </w:r>
          </w:p>
        </w:tc>
        <w:tc>
          <w:tcPr>
            <w:tcW w:type="dxa" w:w="2880"/>
          </w:tcPr>
          <w:p>
            <w:r>
              <w:t>近90%样本预测方向一致</w:t>
            </w:r>
          </w:p>
        </w:tc>
      </w:tr>
      <w:tr>
        <w:tc>
          <w:tcPr>
            <w:tcW w:type="dxa" w:w="2880"/>
          </w:tcPr>
          <w:p>
            <w:r>
              <w:t>平均绝对差异(MAE)</w:t>
            </w:r>
          </w:p>
        </w:tc>
        <w:tc>
          <w:tcPr>
            <w:tcW w:type="dxa" w:w="2880"/>
          </w:tcPr>
          <w:p>
            <w:r>
              <w:t>13.35分</w:t>
            </w:r>
          </w:p>
        </w:tc>
        <w:tc>
          <w:tcPr>
            <w:tcW w:type="dxa" w:w="2880"/>
          </w:tcPr>
          <w:p>
            <w:r>
              <w:t>预测差异在可接受范围</w:t>
            </w:r>
          </w:p>
        </w:tc>
      </w:tr>
      <w:tr>
        <w:tc>
          <w:tcPr>
            <w:tcW w:type="dxa" w:w="2880"/>
          </w:tcPr>
          <w:p>
            <w:r>
              <w:t>特征排名相关性</w:t>
            </w:r>
          </w:p>
        </w:tc>
        <w:tc>
          <w:tcPr>
            <w:tcW w:type="dxa" w:w="2880"/>
          </w:tcPr>
          <w:p>
            <w:r>
              <w:t>ρ = 0.9650</w:t>
            </w:r>
          </w:p>
        </w:tc>
        <w:tc>
          <w:tcPr>
            <w:tcW w:type="dxa" w:w="2880"/>
          </w:tcPr>
          <w:p>
            <w:r>
              <w:t>特征重要性排序几乎一致</w:t>
            </w:r>
          </w:p>
        </w:tc>
      </w:tr>
    </w:tbl>
    <w:p/>
    <w:p>
      <w:r>
        <w:rPr>
          <w:b/>
        </w:rPr>
        <w:t>关联性验证：</w:t>
      </w:r>
      <w:r>
        <w:t>两模型对观众投票分数的预测呈现高度正相关(Spearman ρ=0.8075, p&lt;0.001)，且预测方向一致率达88.76%。这表明尽管TAN采用生成式概率建模、随机森林采用判别式集成学习，两种方法论截然不同的模型对相同数据得出了高度一致的预测结果。</w:t>
      </w:r>
    </w:p>
    <w:p>
      <w:r>
        <w:t>此外，两模型预测的观众投票分数均呈现合理的双峰分布特征：晋级选手平均分约80分(TAN:79.42, RF:81.31)，淘汰选手平均分约25-30分，两组差异约55分，与比赛淘汰机制(低分选手被淘汰)的逻辑完全吻合。预测结果的统计特征与原始数据的淘汰模式一致，验证了模型的合理性。</w:t>
      </w:r>
    </w:p>
    <w:p>
      <w:pPr>
        <w:pStyle w:val="Heading2"/>
      </w:pPr>
      <w:r>
        <w:t>2.2 敏感性/特征重要性分析（美赛必做）</w:t>
      </w:r>
    </w:p>
    <w:p>
      <w:r>
        <w:t>表3：两模型特征重要性排序对比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排名</w:t>
            </w:r>
          </w:p>
        </w:tc>
        <w:tc>
          <w:tcPr>
            <w:tcW w:type="dxa" w:w="1728"/>
          </w:tcPr>
          <w:p>
            <w:r>
              <w:rPr>
                <w:b/>
              </w:rPr>
              <w:t>TAN(互信息)</w:t>
            </w:r>
          </w:p>
        </w:tc>
        <w:tc>
          <w:tcPr>
            <w:tcW w:type="dxa" w:w="1728"/>
          </w:tcPr>
          <w:p>
            <w:r>
              <w:rPr>
                <w:b/>
              </w:rPr>
              <w:t>RF(SHAP)</w:t>
            </w:r>
          </w:p>
        </w:tc>
        <w:tc>
          <w:tcPr>
            <w:tcW w:type="dxa" w:w="1728"/>
          </w:tcPr>
          <w:p>
            <w:r>
              <w:rPr>
                <w:b/>
              </w:rPr>
              <w:t>排名差异</w:t>
            </w:r>
          </w:p>
        </w:tc>
        <w:tc>
          <w:tcPr>
            <w:tcW w:type="dxa" w:w="1728"/>
          </w:tcPr>
          <w:p>
            <w:r>
              <w:rPr>
                <w:b/>
              </w:rPr>
              <w:t>特征类别</w:t>
            </w:r>
          </w:p>
        </w:tc>
      </w:tr>
      <w:tr>
        <w:tc>
          <w:tcPr>
            <w:tcW w:type="dxa" w:w="1728"/>
          </w:tcPr>
          <w:p>
            <w:r>
              <w:t>1</w:t>
            </w:r>
          </w:p>
        </w:tc>
        <w:tc>
          <w:tcPr>
            <w:tcW w:type="dxa" w:w="1728"/>
          </w:tcPr>
          <w:p>
            <w:r>
              <w:t>weeks_participated</w:t>
            </w:r>
          </w:p>
        </w:tc>
        <w:tc>
          <w:tcPr>
            <w:tcW w:type="dxa" w:w="1728"/>
          </w:tcPr>
          <w:p>
            <w:r>
              <w:t>weeks_participated</w:t>
            </w:r>
          </w:p>
        </w:tc>
        <w:tc>
          <w:tcPr>
            <w:tcW w:type="dxa" w:w="1728"/>
          </w:tcPr>
          <w:p>
            <w:r>
              <w:t>0</w:t>
            </w:r>
          </w:p>
        </w:tc>
        <w:tc>
          <w:tcPr>
            <w:tcW w:type="dxa" w:w="1728"/>
          </w:tcPr>
          <w:p>
            <w:r>
              <w:t>时间进程</w:t>
            </w:r>
          </w:p>
        </w:tc>
      </w:tr>
      <w:tr>
        <w:tc>
          <w:tcPr>
            <w:tcW w:type="dxa" w:w="1728"/>
          </w:tcPr>
          <w:p>
            <w:r>
              <w:t>2</w:t>
            </w:r>
          </w:p>
        </w:tc>
        <w:tc>
          <w:tcPr>
            <w:tcW w:type="dxa" w:w="1728"/>
          </w:tcPr>
          <w:p>
            <w:r>
              <w:t>remaining_weeks</w:t>
            </w:r>
          </w:p>
        </w:tc>
        <w:tc>
          <w:tcPr>
            <w:tcW w:type="dxa" w:w="1728"/>
          </w:tcPr>
          <w:p>
            <w:r>
              <w:t>remaining_weeks</w:t>
            </w:r>
          </w:p>
        </w:tc>
        <w:tc>
          <w:tcPr>
            <w:tcW w:type="dxa" w:w="1728"/>
          </w:tcPr>
          <w:p>
            <w:r>
              <w:t>0</w:t>
            </w:r>
          </w:p>
        </w:tc>
        <w:tc>
          <w:tcPr>
            <w:tcW w:type="dxa" w:w="1728"/>
          </w:tcPr>
          <w:p>
            <w:r>
              <w:t>时间进程</w:t>
            </w:r>
          </w:p>
        </w:tc>
      </w:tr>
      <w:tr>
        <w:tc>
          <w:tcPr>
            <w:tcW w:type="dxa" w:w="1728"/>
          </w:tcPr>
          <w:p>
            <w:r>
              <w:t>3</w:t>
            </w:r>
          </w:p>
        </w:tc>
        <w:tc>
          <w:tcPr>
            <w:tcW w:type="dxa" w:w="1728"/>
          </w:tcPr>
          <w:p>
            <w:r>
              <w:t>cumulative_rank</w:t>
            </w:r>
          </w:p>
        </w:tc>
        <w:tc>
          <w:tcPr>
            <w:tcW w:type="dxa" w:w="1728"/>
          </w:tcPr>
          <w:p>
            <w:r>
              <w:t>cumulative_rank</w:t>
            </w:r>
          </w:p>
        </w:tc>
        <w:tc>
          <w:tcPr>
            <w:tcW w:type="dxa" w:w="1728"/>
          </w:tcPr>
          <w:p>
            <w:r>
              <w:t>0</w:t>
            </w:r>
          </w:p>
        </w:tc>
        <w:tc>
          <w:tcPr>
            <w:tcW w:type="dxa" w:w="1728"/>
          </w:tcPr>
          <w:p>
            <w:r>
              <w:t>累计表现</w:t>
            </w:r>
          </w:p>
        </w:tc>
      </w:tr>
      <w:tr>
        <w:tc>
          <w:tcPr>
            <w:tcW w:type="dxa" w:w="1728"/>
          </w:tcPr>
          <w:p>
            <w:r>
              <w:t>4</w:t>
            </w:r>
          </w:p>
        </w:tc>
        <w:tc>
          <w:tcPr>
            <w:tcW w:type="dxa" w:w="1728"/>
          </w:tcPr>
          <w:p>
            <w:r>
              <w:t>elimination_risk</w:t>
            </w:r>
          </w:p>
        </w:tc>
        <w:tc>
          <w:tcPr>
            <w:tcW w:type="dxa" w:w="1728"/>
          </w:tcPr>
          <w:p>
            <w:r>
              <w:t>relative_performance</w:t>
            </w:r>
          </w:p>
        </w:tc>
        <w:tc>
          <w:tcPr>
            <w:tcW w:type="dxa" w:w="1728"/>
          </w:tcPr>
          <w:p>
            <w:r>
              <w:t>1</w:t>
            </w:r>
          </w:p>
        </w:tc>
        <w:tc>
          <w:tcPr>
            <w:tcW w:type="dxa" w:w="1728"/>
          </w:tcPr>
          <w:p>
            <w:r>
              <w:t>风险/表现</w:t>
            </w:r>
          </w:p>
        </w:tc>
      </w:tr>
      <w:tr>
        <w:tc>
          <w:tcPr>
            <w:tcW w:type="dxa" w:w="1728"/>
          </w:tcPr>
          <w:p>
            <w:r>
              <w:t>5</w:t>
            </w:r>
          </w:p>
        </w:tc>
        <w:tc>
          <w:tcPr>
            <w:tcW w:type="dxa" w:w="1728"/>
          </w:tcPr>
          <w:p>
            <w:r>
              <w:t>relative_performance</w:t>
            </w:r>
          </w:p>
        </w:tc>
        <w:tc>
          <w:tcPr>
            <w:tcW w:type="dxa" w:w="1728"/>
          </w:tcPr>
          <w:p>
            <w:r>
              <w:t>elimination_risk</w:t>
            </w:r>
          </w:p>
        </w:tc>
        <w:tc>
          <w:tcPr>
            <w:tcW w:type="dxa" w:w="1728"/>
          </w:tcPr>
          <w:p>
            <w:r>
              <w:t>1</w:t>
            </w:r>
          </w:p>
        </w:tc>
        <w:tc>
          <w:tcPr>
            <w:tcW w:type="dxa" w:w="1728"/>
          </w:tcPr>
          <w:p>
            <w:r>
              <w:t>表现/风险</w:t>
            </w:r>
          </w:p>
        </w:tc>
      </w:tr>
      <w:tr>
        <w:tc>
          <w:tcPr>
            <w:tcW w:type="dxa" w:w="1728"/>
          </w:tcPr>
          <w:p>
            <w:r>
              <w:t>6</w:t>
            </w:r>
          </w:p>
        </w:tc>
        <w:tc>
          <w:tcPr>
            <w:tcW w:type="dxa" w:w="1728"/>
          </w:tcPr>
          <w:p>
            <w:r>
              <w:t>week_rank</w:t>
            </w:r>
          </w:p>
        </w:tc>
        <w:tc>
          <w:tcPr>
            <w:tcW w:type="dxa" w:w="1728"/>
          </w:tcPr>
          <w:p>
            <w:r>
              <w:t>week_percent</w:t>
            </w:r>
          </w:p>
        </w:tc>
        <w:tc>
          <w:tcPr>
            <w:tcW w:type="dxa" w:w="1728"/>
          </w:tcPr>
          <w:p>
            <w:r>
              <w:t>1</w:t>
            </w:r>
          </w:p>
        </w:tc>
        <w:tc>
          <w:tcPr>
            <w:tcW w:type="dxa" w:w="1728"/>
          </w:tcPr>
          <w:p>
            <w:r>
              <w:t>当周表现</w:t>
            </w:r>
          </w:p>
        </w:tc>
      </w:tr>
      <w:tr>
        <w:tc>
          <w:tcPr>
            <w:tcW w:type="dxa" w:w="1728"/>
          </w:tcPr>
          <w:p>
            <w:r>
              <w:t>7</w:t>
            </w:r>
          </w:p>
        </w:tc>
        <w:tc>
          <w:tcPr>
            <w:tcW w:type="dxa" w:w="1728"/>
          </w:tcPr>
          <w:p>
            <w:r>
              <w:t>week_percent</w:t>
            </w:r>
          </w:p>
        </w:tc>
        <w:tc>
          <w:tcPr>
            <w:tcW w:type="dxa" w:w="1728"/>
          </w:tcPr>
          <w:p>
            <w:r>
              <w:t>week_total_score</w:t>
            </w:r>
          </w:p>
        </w:tc>
        <w:tc>
          <w:tcPr>
            <w:tcW w:type="dxa" w:w="1728"/>
          </w:tcPr>
          <w:p>
            <w:r>
              <w:t>1</w:t>
            </w:r>
          </w:p>
        </w:tc>
        <w:tc>
          <w:tcPr>
            <w:tcW w:type="dxa" w:w="1728"/>
          </w:tcPr>
          <w:p>
            <w:r>
              <w:t>当周表现</w:t>
            </w:r>
          </w:p>
        </w:tc>
      </w:tr>
      <w:tr>
        <w:tc>
          <w:tcPr>
            <w:tcW w:type="dxa" w:w="1728"/>
          </w:tcPr>
          <w:p>
            <w:r>
              <w:t>8</w:t>
            </w:r>
          </w:p>
        </w:tc>
        <w:tc>
          <w:tcPr>
            <w:tcW w:type="dxa" w:w="1728"/>
          </w:tcPr>
          <w:p>
            <w:r>
              <w:t>week_total_score</w:t>
            </w:r>
          </w:p>
        </w:tc>
        <w:tc>
          <w:tcPr>
            <w:tcW w:type="dxa" w:w="1728"/>
          </w:tcPr>
          <w:p>
            <w:r>
              <w:t>week_rank</w:t>
            </w:r>
          </w:p>
        </w:tc>
        <w:tc>
          <w:tcPr>
            <w:tcW w:type="dxa" w:w="1728"/>
          </w:tcPr>
          <w:p>
            <w:r>
              <w:t>1</w:t>
            </w:r>
          </w:p>
        </w:tc>
        <w:tc>
          <w:tcPr>
            <w:tcW w:type="dxa" w:w="1728"/>
          </w:tcPr>
          <w:p>
            <w:r>
              <w:t>当周表现</w:t>
            </w:r>
          </w:p>
        </w:tc>
      </w:tr>
      <w:tr>
        <w:tc>
          <w:tcPr>
            <w:tcW w:type="dxa" w:w="1728"/>
          </w:tcPr>
          <w:p>
            <w:r>
              <w:t>9</w:t>
            </w:r>
          </w:p>
        </w:tc>
        <w:tc>
          <w:tcPr>
            <w:tcW w:type="dxa" w:w="1728"/>
          </w:tcPr>
          <w:p>
            <w:r>
              <w:t>age_zscore</w:t>
            </w:r>
          </w:p>
        </w:tc>
        <w:tc>
          <w:tcPr>
            <w:tcW w:type="dxa" w:w="1728"/>
          </w:tcPr>
          <w:p>
            <w:r>
              <w:t>age_zscore</w:t>
            </w:r>
          </w:p>
        </w:tc>
        <w:tc>
          <w:tcPr>
            <w:tcW w:type="dxa" w:w="1728"/>
          </w:tcPr>
          <w:p>
            <w:r>
              <w:t>0</w:t>
            </w:r>
          </w:p>
        </w:tc>
        <w:tc>
          <w:tcPr>
            <w:tcW w:type="dxa" w:w="1728"/>
          </w:tcPr>
          <w:p>
            <w:r>
              <w:t>人口统计</w:t>
            </w:r>
          </w:p>
        </w:tc>
      </w:tr>
      <w:tr>
        <w:tc>
          <w:tcPr>
            <w:tcW w:type="dxa" w:w="1728"/>
          </w:tcPr>
          <w:p>
            <w:r>
              <w:t>10</w:t>
            </w:r>
          </w:p>
        </w:tc>
        <w:tc>
          <w:tcPr>
            <w:tcW w:type="dxa" w:w="1728"/>
          </w:tcPr>
          <w:p>
            <w:r>
              <w:t>judge_score_std</w:t>
            </w:r>
          </w:p>
        </w:tc>
        <w:tc>
          <w:tcPr>
            <w:tcW w:type="dxa" w:w="1728"/>
          </w:tcPr>
          <w:p>
            <w:r>
              <w:t>celebrity_age</w:t>
            </w:r>
          </w:p>
        </w:tc>
        <w:tc>
          <w:tcPr>
            <w:tcW w:type="dxa" w:w="1728"/>
          </w:tcPr>
          <w:p>
            <w:r>
              <w:t>1</w:t>
            </w:r>
          </w:p>
        </w:tc>
        <w:tc>
          <w:tcPr>
            <w:tcW w:type="dxa" w:w="1728"/>
          </w:tcPr>
          <w:p>
            <w:r>
              <w:t>评分/年龄</w:t>
            </w:r>
          </w:p>
        </w:tc>
      </w:tr>
      <w:tr>
        <w:tc>
          <w:tcPr>
            <w:tcW w:type="dxa" w:w="1728"/>
          </w:tcPr>
          <w:p>
            <w:r>
              <w:t>11</w:t>
            </w:r>
          </w:p>
        </w:tc>
        <w:tc>
          <w:tcPr>
            <w:tcW w:type="dxa" w:w="1728"/>
          </w:tcPr>
          <w:p>
            <w:r>
              <w:t>celebrity_age</w:t>
            </w:r>
          </w:p>
        </w:tc>
        <w:tc>
          <w:tcPr>
            <w:tcW w:type="dxa" w:w="1728"/>
          </w:tcPr>
          <w:p>
            <w:r>
              <w:t>judge_score_std</w:t>
            </w:r>
          </w:p>
        </w:tc>
        <w:tc>
          <w:tcPr>
            <w:tcW w:type="dxa" w:w="1728"/>
          </w:tcPr>
          <w:p>
            <w:r>
              <w:t>1</w:t>
            </w:r>
          </w:p>
        </w:tc>
        <w:tc>
          <w:tcPr>
            <w:tcW w:type="dxa" w:w="1728"/>
          </w:tcPr>
          <w:p>
            <w:r>
              <w:t>年龄/评分</w:t>
            </w:r>
          </w:p>
        </w:tc>
      </w:tr>
      <w:tr>
        <w:tc>
          <w:tcPr>
            <w:tcW w:type="dxa" w:w="1728"/>
          </w:tcPr>
          <w:p>
            <w:r>
              <w:t>12</w:t>
            </w:r>
          </w:p>
        </w:tc>
        <w:tc>
          <w:tcPr>
            <w:tcW w:type="dxa" w:w="1728"/>
          </w:tcPr>
          <w:p>
            <w:r>
              <w:t>industry_code</w:t>
            </w:r>
          </w:p>
        </w:tc>
        <w:tc>
          <w:tcPr>
            <w:tcW w:type="dxa" w:w="1728"/>
          </w:tcPr>
          <w:p>
            <w:r>
              <w:t>industry_code</w:t>
            </w:r>
          </w:p>
        </w:tc>
        <w:tc>
          <w:tcPr>
            <w:tcW w:type="dxa" w:w="1728"/>
          </w:tcPr>
          <w:p>
            <w:r>
              <w:t>0</w:t>
            </w:r>
          </w:p>
        </w:tc>
        <w:tc>
          <w:tcPr>
            <w:tcW w:type="dxa" w:w="1728"/>
          </w:tcPr>
          <w:p>
            <w:r>
              <w:t>背景特征</w:t>
            </w:r>
          </w:p>
        </w:tc>
      </w:tr>
    </w:tbl>
    <w:p/>
    <w:p>
      <w:r>
        <w:rPr>
          <w:b/>
        </w:rPr>
        <w:t>核心发现：</w:t>
      </w:r>
    </w:p>
    <w:p>
      <w:r>
        <w:t>① 时间进程特征占主导地位：两模型均将weeks_participated(参赛周数)和remaining_weeks(剩余周数)列为最重要的前两个特征。TAN模型中，参赛周数的互信息值最高；RF模型中，weeks_participated的SHAP贡献度达0.1034(占总贡献的17.68%)。这揭示了DWTS比赛的核心机制——随着比赛推进，淘汰概率逐渐上升，时间进程是决定选手去留的关键因子。</w:t>
      </w:r>
    </w:p>
    <w:p>
      <w:r>
        <w:t>② 累计表现的"强者恒强"效应：cumulative_rank(累计排名)在两模型中均排名第3。这反映了比赛中的马太效应——历史表现优异的选手更容易获得观众青睐，形成正向循环；而历史排名靠后的选手则面临更高的淘汰风险，符合真人秀节目"强者恒强"的竞争逻辑。</w:t>
      </w:r>
    </w:p>
    <w:p>
      <w:r>
        <w:t>③ 行业背景影响最小：industry_code(行业编码)在两模型中均排名第12(最后)。这说明观众投票更关注选手的比赛表现而非其职业背景(运动员、演员、歌手等)，体现了DWTS观众评判的公平性和表演导向性。</w:t>
      </w:r>
    </w:p>
    <w:p>
      <w:r>
        <w:t>④ 特征敏感性一致性极高：两模型特征重要性排名的Spearman相关系数达0.9650(p&lt;0.001)，前3名和后1名完全一致，中间排名仅有微小差异。这种高度一致性从特征层面验证了两模型的鲁棒性。</w:t>
      </w:r>
    </w:p>
    <w:p/>
    <w:p>
      <w:r>
        <w:t>图1：特征重要性对比可视化</w:t>
      </w:r>
    </w:p>
    <w:p>
      <w:r>
        <w:drawing>
          <wp:inline xmlns:a="http://schemas.openxmlformats.org/drawingml/2006/main" xmlns:pic="http://schemas.openxmlformats.org/drawingml/2006/picture">
            <wp:extent cx="5029200" cy="2132284"/>
            <wp:docPr id="1" name="Picture 1"/>
            <wp:cNvGraphicFramePr>
              <a:graphicFrameLocks noChangeAspect="1"/>
            </wp:cNvGraphicFramePr>
            <a:graphic>
              <a:graphicData uri="http://schemas.openxmlformats.org/drawingml/2006/picture">
                <pic:pic>
                  <pic:nvPicPr>
                    <pic:cNvPr id="0" name="fig1_rf_feature_importance.png"/>
                    <pic:cNvPicPr/>
                  </pic:nvPicPr>
                  <pic:blipFill>
                    <a:blip r:embed="rId9"/>
                    <a:stretch>
                      <a:fillRect/>
                    </a:stretch>
                  </pic:blipFill>
                  <pic:spPr>
                    <a:xfrm>
                      <a:off x="0" y="0"/>
                      <a:ext cx="5029200" cy="2132284"/>
                    </a:xfrm>
                    <a:prstGeom prst="rect"/>
                  </pic:spPr>
                </pic:pic>
              </a:graphicData>
            </a:graphic>
          </wp:inline>
        </w:drawing>
      </w:r>
    </w:p>
    <w:p/>
    <w:p>
      <w:r>
        <w:t>图2：SHAP Summary Plot (特征对预测的边际影响)</w:t>
      </w:r>
    </w:p>
    <w:p>
      <w:r>
        <w:drawing>
          <wp:inline xmlns:a="http://schemas.openxmlformats.org/drawingml/2006/main" xmlns:pic="http://schemas.openxmlformats.org/drawingml/2006/picture">
            <wp:extent cx="5029200" cy="4042486"/>
            <wp:docPr id="2" name="Picture 2"/>
            <wp:cNvGraphicFramePr>
              <a:graphicFrameLocks noChangeAspect="1"/>
            </wp:cNvGraphicFramePr>
            <a:graphic>
              <a:graphicData uri="http://schemas.openxmlformats.org/drawingml/2006/picture">
                <pic:pic>
                  <pic:nvPicPr>
                    <pic:cNvPr id="0" name="fig2_rf_shap_summary.png"/>
                    <pic:cNvPicPr/>
                  </pic:nvPicPr>
                  <pic:blipFill>
                    <a:blip r:embed="rId10"/>
                    <a:stretch>
                      <a:fillRect/>
                    </a:stretch>
                  </pic:blipFill>
                  <pic:spPr>
                    <a:xfrm>
                      <a:off x="0" y="0"/>
                      <a:ext cx="5029200" cy="4042486"/>
                    </a:xfrm>
                    <a:prstGeom prst="rect"/>
                  </pic:spPr>
                </pic:pic>
              </a:graphicData>
            </a:graphic>
          </wp:inline>
        </w:drawing>
      </w:r>
    </w:p>
    <w:p/>
    <w:p>
      <w:r>
        <w:t>图3：两模型预测一致性散点图</w:t>
      </w:r>
    </w:p>
    <w:p>
      <w:r>
        <w:drawing>
          <wp:inline xmlns:a="http://schemas.openxmlformats.org/drawingml/2006/main" xmlns:pic="http://schemas.openxmlformats.org/drawingml/2006/picture">
            <wp:extent cx="4572000" cy="4575861"/>
            <wp:docPr id="3" name="Picture 3"/>
            <wp:cNvGraphicFramePr>
              <a:graphicFrameLocks noChangeAspect="1"/>
            </wp:cNvGraphicFramePr>
            <a:graphic>
              <a:graphicData uri="http://schemas.openxmlformats.org/drawingml/2006/picture">
                <pic:pic>
                  <pic:nvPicPr>
                    <pic:cNvPr id="0" name="fig6_rf_tan_comparison.png"/>
                    <pic:cNvPicPr/>
                  </pic:nvPicPr>
                  <pic:blipFill>
                    <a:blip r:embed="rId11"/>
                    <a:stretch>
                      <a:fillRect/>
                    </a:stretch>
                  </pic:blipFill>
                  <pic:spPr>
                    <a:xfrm>
                      <a:off x="0" y="0"/>
                      <a:ext cx="4572000" cy="4575861"/>
                    </a:xfrm>
                    <a:prstGeom prst="rect"/>
                  </pic:spPr>
                </pic:pic>
              </a:graphicData>
            </a:graphic>
          </wp:inline>
        </w:drawing>
      </w:r>
    </w:p>
    <w:p/>
    <w:p>
      <w:r>
        <w:t>图4：综合交叉验证分析图</w:t>
      </w:r>
    </w:p>
    <w:p>
      <w:r>
        <w:drawing>
          <wp:inline xmlns:a="http://schemas.openxmlformats.org/drawingml/2006/main" xmlns:pic="http://schemas.openxmlformats.org/drawingml/2006/picture">
            <wp:extent cx="5486400" cy="4696990"/>
            <wp:docPr id="4" name="Picture 4"/>
            <wp:cNvGraphicFramePr>
              <a:graphicFrameLocks noChangeAspect="1"/>
            </wp:cNvGraphicFramePr>
            <a:graphic>
              <a:graphicData uri="http://schemas.openxmlformats.org/drawingml/2006/picture">
                <pic:pic>
                  <pic:nvPicPr>
                    <pic:cNvPr id="0" name="fig_cross_validation_summary.png"/>
                    <pic:cNvPicPr/>
                  </pic:nvPicPr>
                  <pic:blipFill>
                    <a:blip r:embed="rId12"/>
                    <a:stretch>
                      <a:fillRect/>
                    </a:stretch>
                  </pic:blipFill>
                  <pic:spPr>
                    <a:xfrm>
                      <a:off x="0" y="0"/>
                      <a:ext cx="5486400" cy="4696990"/>
                    </a:xfrm>
                    <a:prstGeom prst="rect"/>
                  </pic:spPr>
                </pic:pic>
              </a:graphicData>
            </a:graphic>
          </wp:inline>
        </w:drawing>
      </w:r>
    </w:p>
    <w:p>
      <w:pPr>
        <w:pStyle w:val="Heading1"/>
      </w:pPr>
      <w:r>
        <w:t>三、实际意义与延伸</w:t>
      </w:r>
    </w:p>
    <w:p>
      <w:pPr>
        <w:pStyle w:val="Heading2"/>
      </w:pPr>
      <w:r>
        <w:t>3.1 研究结论</w:t>
      </w:r>
    </w:p>
    <w:p>
      <w:r>
        <w:rPr>
          <w:b/>
        </w:rPr>
        <w:t>核心结论：</w:t>
      </w:r>
      <w:r>
        <w:t>本研究采用TAN贝叶斯网络和随机森林+SHAP两种方法论互补的模型，成功从历史淘汰数据中反推观众投票分数。两模型预测结果的Spearman相关系数达0.8075，特征重要性排序相关系数达0.9650，验证了结果的鲁棒性和可信度。</w:t>
      </w:r>
    </w:p>
    <w:p>
      <w:r>
        <w:t>① 观众投票机制洞察：模型揭示了DWTS观众投票的核心影响因素——时间进程(参赛周数、剩余周数)和累计表现(历史排名)是决定选手去留的关键。这为理解真人秀节目的观众行为提供了定量依据。</w:t>
      </w:r>
    </w:p>
    <w:p>
      <w:r>
        <w:t>② 预测能力验证：随机森林模型的ROC-AUC达0.8875，Recall达76.32%，能够识别超过3/4的真实淘汰事件，为后续各小问的分析提供了可靠的观众投票估计值。</w:t>
      </w:r>
    </w:p>
    <w:p>
      <w:pPr>
        <w:pStyle w:val="Heading2"/>
      </w:pPr>
      <w:r>
        <w:t>3.2 实际应用场景</w:t>
      </w:r>
    </w:p>
    <w:p>
      <w:r>
        <w:t>① 节目制作优化：模型识别的特征重要性可指导节目组调整赛制设计。例如，鉴于"参赛周数"对淘汰的高影响力，可考虑引入复活机制或阶段性保护规则，增加比赛悬念和观众参与度。</w:t>
      </w:r>
    </w:p>
    <w:p>
      <w:r>
        <w:t>② 选手策略建议：累计排名的"强者恒强"效应提示选手应在比赛早期争取优异表现，建立正向口碑循环。同时，行业背景影响较小说明跨界选手无需担忧专业劣势，表演质量才是赢得观众的关键。</w:t>
      </w:r>
    </w:p>
    <w:p>
      <w:r>
        <w:t>③ 商业价值评估：基于观众投票预测，节目方可提前识别高人气选手，优化广告投放和商业合作策略，提升节目的商业价值转化效率。</w:t>
      </w:r>
    </w:p>
    <w:p>
      <w:pPr>
        <w:pStyle w:val="Heading2"/>
      </w:pPr>
      <w:r>
        <w:t>3.3 方法论贡献</w:t>
      </w:r>
    </w:p>
    <w:p>
      <w:r>
        <w:t>① 交叉验证范式：本研究建立了"生成式模型(TAN)+判别式模型(RF)"的交叉验证框架，通过两种方法论互补验证增强结论可信度，可推广至其他机器学习应用场景。</w:t>
      </w:r>
    </w:p>
    <w:p>
      <w:r>
        <w:t>② 可解释性与性能兼顾：TAN模型提供概率图结构的可解释性，RF+SHAP提供特征贡献的可解释性，两者结合实现了"模型性能"与"结果解释"的平衡，符合美赛对模型透明度的要求。</w:t>
      </w:r>
    </w:p>
    <w:p>
      <w:r>
        <w:t>③ 逆向推断方法：本研究采用"从淘汰结果反推观众投票"的逆向推断思路，将二分类问题转化为连续分数估计，为类似"从结果推断过程"的研究提供了方法论参考。</w:t>
      </w:r>
    </w:p>
    <w:p>
      <w:pPr>
        <w:pStyle w:val="Heading1"/>
      </w:pPr>
      <w:r>
        <w:t>四、总结</w:t>
      </w:r>
    </w:p>
    <w:tbl>
      <w:tblPr>
        <w:tblStyle w:val="TableGrid"/>
        <w:tblW w:type="auto" w:w="0"/>
        <w:tblLook w:firstColumn="1" w:firstRow="1" w:lastColumn="0" w:lastRow="0" w:noHBand="0" w:noVBand="1" w:val="04A0"/>
      </w:tblPr>
      <w:tblGrid>
        <w:gridCol w:w="4320"/>
        <w:gridCol w:w="4320"/>
      </w:tblGrid>
      <w:tr>
        <w:tc>
          <w:tcPr>
            <w:tcW w:type="dxa" w:w="4320"/>
          </w:tcPr>
          <w:p>
            <w:r>
              <w:rPr>
                <w:b/>
              </w:rPr>
              <w:t>分析维度</w:t>
            </w:r>
          </w:p>
        </w:tc>
        <w:tc>
          <w:tcPr>
            <w:tcW w:type="dxa" w:w="4320"/>
          </w:tcPr>
          <w:p>
            <w:r>
              <w:rPr>
                <w:b/>
              </w:rPr>
              <w:t>核心发现</w:t>
            </w:r>
          </w:p>
        </w:tc>
      </w:tr>
      <w:tr>
        <w:tc>
          <w:tcPr>
            <w:tcW w:type="dxa" w:w="4320"/>
          </w:tcPr>
          <w:p>
            <w:r>
              <w:t>基础分析</w:t>
            </w:r>
          </w:p>
        </w:tc>
        <w:tc>
          <w:tcPr>
            <w:tcW w:type="dxa" w:w="4320"/>
          </w:tcPr>
          <w:p>
            <w:r>
              <w:t>RF模型在所有指标上优于TAN(Recall+20.18%, F1+10.27%)，但TAN具有更强的概率可解释性</w:t>
            </w:r>
          </w:p>
        </w:tc>
      </w:tr>
      <w:tr>
        <w:tc>
          <w:tcPr>
            <w:tcW w:type="dxa" w:w="4320"/>
          </w:tcPr>
          <w:p>
            <w:r>
              <w:t>关联性验证</w:t>
            </w:r>
          </w:p>
        </w:tc>
        <w:tc>
          <w:tcPr>
            <w:tcW w:type="dxa" w:w="4320"/>
          </w:tcPr>
          <w:p>
            <w:r>
              <w:t>两模型预测Spearman ρ=0.8075，预测方向一致率88.76%，结果高度一致</w:t>
            </w:r>
          </w:p>
        </w:tc>
      </w:tr>
      <w:tr>
        <w:tc>
          <w:tcPr>
            <w:tcW w:type="dxa" w:w="4320"/>
          </w:tcPr>
          <w:p>
            <w:r>
              <w:t>特征重要性</w:t>
            </w:r>
          </w:p>
        </w:tc>
        <w:tc>
          <w:tcPr>
            <w:tcW w:type="dxa" w:w="4320"/>
          </w:tcPr>
          <w:p>
            <w:r>
              <w:t>Top3特征完全一致(参赛周数、剩余周数、累计排名)，排名相关性ρ=0.9650</w:t>
            </w:r>
          </w:p>
        </w:tc>
      </w:tr>
      <w:tr>
        <w:tc>
          <w:tcPr>
            <w:tcW w:type="dxa" w:w="4320"/>
          </w:tcPr>
          <w:p>
            <w:r>
              <w:t>实际意义</w:t>
            </w:r>
          </w:p>
        </w:tc>
        <w:tc>
          <w:tcPr>
            <w:tcW w:type="dxa" w:w="4320"/>
          </w:tcPr>
          <w:p>
            <w:r>
              <w:t>揭示观众投票机制，为节目优化、选手策略、商业决策提供数据支撑</w:t>
            </w:r>
          </w:p>
        </w:tc>
      </w:tr>
    </w:tbl>
    <w:p/>
    <w:p>
      <w:r>
        <w:rPr>
          <w:b/>
        </w:rPr>
        <w:t>最终结论：</w:t>
      </w:r>
      <w:r>
        <w:t>通过TAN贝叶斯网络和随机森林+SHAP的交叉验证，本研究成功建立了从淘汰数据反推观众投票分数的定量模型。两种方法论互补的模型得出高度一致的预测结果(ρ=0.8075)和特征重要性排序(ρ=0.9650)，充分验证了结果的鲁棒性。该模型为Q2-Q4的后续分析提供了可靠的观众投票估计值，同时为理解真人秀节目观众行为提供了方法论框架和实证洞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