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Q1 随机森林+SHAP方法说明文档</w:t>
      </w:r>
    </w:p>
    <w:p>
      <w:pPr>
        <w:pStyle w:val="Heading1"/>
      </w:pPr>
      <w:r>
        <w:t>1. 问题背景</w:t>
      </w:r>
    </w:p>
    <w:p>
      <w:r>
        <w:t>本研究使用随机森林(Random Forest)分类器结合SHAP(SHapley Additive exPlanations)可解释性分析，从淘汰结果反推观众投票分数。该方法与TAN(Tree Augmented Naive Bayes)模型形成互补验证，增强结论的可信度和鲁棒性。</w:t>
      </w:r>
    </w:p>
    <w:p>
      <w:pPr>
        <w:pStyle w:val="Heading1"/>
      </w:pPr>
      <w:r>
        <w:t>2. 随机森林模型原理</w:t>
      </w:r>
    </w:p>
    <w:p>
      <w:pPr>
        <w:pStyle w:val="Heading2"/>
      </w:pPr>
      <w:r>
        <w:t>2.1 集成学习思想</w:t>
      </w:r>
    </w:p>
    <w:p>
      <w:r>
        <w:t>随机森林是一种基于Bagging(Bootstrap Aggregating)的集成学习方法，通过构建多棵决策树并综合它们的预测结果来提高模型的准确性和稳定性。</w:t>
      </w:r>
    </w:p>
    <w:p>
      <w:r>
        <w:t>随机森林的预测公式为：</w:t>
      </w:r>
    </w:p>
    <w:p>
      <w:r>
        <w:t>对于分类任务：ŷ = mode{h₁(x), h₂(x), ..., hₖ(x)}</w:t>
      </w:r>
    </w:p>
    <w:p>
      <w:r>
        <w:t>其中 hₖ(x) 表示第k棵决策树的预测结果，mode表示众数投票。</w:t>
      </w:r>
    </w:p>
    <w:p>
      <w:pPr>
        <w:pStyle w:val="Heading2"/>
      </w:pPr>
      <w:r>
        <w:t>2.2 随机性来源</w:t>
      </w:r>
    </w:p>
    <w:p>
      <w:r>
        <w:t>1. 样本随机性（Bootstrap采样）：每棵树使用原始数据的有放回随机采样</w:t>
      </w:r>
    </w:p>
    <w:p>
      <w:r>
        <w:t>2. 特征随机性：每次分裂时只考虑随机选择的特征子集</w:t>
      </w:r>
    </w:p>
    <w:p>
      <w:pPr>
        <w:pStyle w:val="Heading2"/>
      </w:pPr>
      <w:r>
        <w:t>2.3 淘汰概率计算</w:t>
      </w:r>
    </w:p>
    <w:p>
      <w:r>
        <w:t>对于二分类问题，淘汰概率计算为：</w:t>
      </w:r>
    </w:p>
    <w:p>
      <w:r>
        <w:t>P(eliminated|x) = (1/K) × Σₖ I(hₖ(x) = 1)</w:t>
      </w:r>
    </w:p>
    <w:p>
      <w:r>
        <w:t>其中K是决策树的数量，I(·)是指示函数。</w:t>
      </w:r>
    </w:p>
    <w:p>
      <w:pPr>
        <w:pStyle w:val="Heading1"/>
      </w:pPr>
      <w:r>
        <w:t>3. SHAP可解释性分析</w:t>
      </w:r>
    </w:p>
    <w:p>
      <w:pPr>
        <w:pStyle w:val="Heading2"/>
      </w:pPr>
      <w:r>
        <w:t>3.1 Shapley值原理</w:t>
      </w:r>
    </w:p>
    <w:p>
      <w:r>
        <w:t>SHAP基于博弈论中的Shapley值，为每个特征分配一个"贡献度"，表示该特征对模型预测的影响。</w:t>
      </w:r>
    </w:p>
    <w:p>
      <w:r>
        <w:t>Shapley值的计算公式：</w:t>
      </w:r>
    </w:p>
    <w:p>
      <w:r>
        <w:t>φᵢ = Σ_{S⊆N\{i}} [|S|!(|N|-|S|-1)!/|N|!] × [f(S∪{i}) - f(S)]</w:t>
      </w:r>
    </w:p>
    <w:p>
      <w:r>
        <w:t>其中N是特征集合，S是不包含特征i的子集，f是模型的预测函数。</w:t>
      </w:r>
    </w:p>
    <w:p>
      <w:pPr>
        <w:pStyle w:val="Heading2"/>
      </w:pPr>
      <w:r>
        <w:t>3.2 SHAP特征重要性</w:t>
      </w:r>
    </w:p>
    <w:p>
      <w:r>
        <w:t>全局特征重要性定义为所有样本上SHAP值绝对值的平均：</w:t>
      </w:r>
    </w:p>
    <w:p>
      <w:r>
        <w:t>Importance(i) = (1/n) × Σⱼ |φᵢ(xⱼ)|</w:t>
      </w:r>
    </w:p>
    <w:p>
      <w:pPr>
        <w:pStyle w:val="Heading1"/>
      </w:pPr>
      <w:r>
        <w:t>4. 模型配置</w:t>
      </w:r>
    </w:p>
    <w:p>
      <w:r>
        <w:t>本研究使用的随机森林模型参数如下：</w:t>
      </w:r>
    </w:p>
    <w:tbl>
      <w:tblPr>
        <w:tblStyle w:val="TableGrid"/>
        <w:tblW w:type="auto" w:w="0"/>
        <w:tblLook w:firstColumn="1" w:firstRow="1" w:lastColumn="0" w:lastRow="0" w:noHBand="0" w:noVBand="1" w:val="04A0"/>
      </w:tblPr>
      <w:tblGrid>
        <w:gridCol w:w="4320"/>
        <w:gridCol w:w="4320"/>
      </w:tblGrid>
      <w:tr>
        <w:tc>
          <w:tcPr>
            <w:tcW w:type="dxa" w:w="4320"/>
          </w:tcPr>
          <w:p>
            <w:r>
              <w:t>参数</w:t>
            </w:r>
          </w:p>
        </w:tc>
        <w:tc>
          <w:tcPr>
            <w:tcW w:type="dxa" w:w="4320"/>
          </w:tcPr>
          <w:p>
            <w:r>
              <w:t>值</w:t>
            </w:r>
          </w:p>
        </w:tc>
      </w:tr>
      <w:tr>
        <w:tc>
          <w:tcPr>
            <w:tcW w:type="dxa" w:w="4320"/>
          </w:tcPr>
          <w:p>
            <w:r>
              <w:t>n_estimators (树的数量)</w:t>
            </w:r>
          </w:p>
        </w:tc>
        <w:tc>
          <w:tcPr>
            <w:tcW w:type="dxa" w:w="4320"/>
          </w:tcPr>
          <w:p>
            <w:r>
              <w:t>200</w:t>
            </w:r>
          </w:p>
        </w:tc>
      </w:tr>
      <w:tr>
        <w:tc>
          <w:tcPr>
            <w:tcW w:type="dxa" w:w="4320"/>
          </w:tcPr>
          <w:p>
            <w:r>
              <w:t>max_depth (最大深度)</w:t>
            </w:r>
          </w:p>
        </w:tc>
        <w:tc>
          <w:tcPr>
            <w:tcW w:type="dxa" w:w="4320"/>
          </w:tcPr>
          <w:p>
            <w:r>
              <w:t>10</w:t>
            </w:r>
          </w:p>
        </w:tc>
      </w:tr>
      <w:tr>
        <w:tc>
          <w:tcPr>
            <w:tcW w:type="dxa" w:w="4320"/>
          </w:tcPr>
          <w:p>
            <w:r>
              <w:t>min_samples_split</w:t>
            </w:r>
          </w:p>
        </w:tc>
        <w:tc>
          <w:tcPr>
            <w:tcW w:type="dxa" w:w="4320"/>
          </w:tcPr>
          <w:p>
            <w:r>
              <w:t>10</w:t>
            </w:r>
          </w:p>
        </w:tc>
      </w:tr>
      <w:tr>
        <w:tc>
          <w:tcPr>
            <w:tcW w:type="dxa" w:w="4320"/>
          </w:tcPr>
          <w:p>
            <w:r>
              <w:t>min_samples_leaf</w:t>
            </w:r>
          </w:p>
        </w:tc>
        <w:tc>
          <w:tcPr>
            <w:tcW w:type="dxa" w:w="4320"/>
          </w:tcPr>
          <w:p>
            <w:r>
              <w:t>5</w:t>
            </w:r>
          </w:p>
        </w:tc>
      </w:tr>
      <w:tr>
        <w:tc>
          <w:tcPr>
            <w:tcW w:type="dxa" w:w="4320"/>
          </w:tcPr>
          <w:p>
            <w:r>
              <w:t>class_weight</w:t>
            </w:r>
          </w:p>
        </w:tc>
        <w:tc>
          <w:tcPr>
            <w:tcW w:type="dxa" w:w="4320"/>
          </w:tcPr>
          <w:p>
            <w:r>
              <w:t>balanced</w:t>
            </w:r>
          </w:p>
        </w:tc>
      </w:tr>
    </w:tbl>
    <w:p>
      <w:pPr>
        <w:pStyle w:val="Heading1"/>
      </w:pPr>
      <w:r>
        <w:t>5. 特征工程</w:t>
      </w:r>
    </w:p>
    <w:p>
      <w:r>
        <w:t>使用与TAN模型相同的12个特征，确保模型对比的公平性：</w:t>
      </w:r>
    </w:p>
    <w:tbl>
      <w:tblPr>
        <w:tblStyle w:val="TableGrid"/>
        <w:tblW w:type="auto" w:w="0"/>
        <w:tblLook w:firstColumn="1" w:firstRow="1" w:lastColumn="0" w:lastRow="0" w:noHBand="0" w:noVBand="1" w:val="04A0"/>
      </w:tblPr>
      <w:tblGrid>
        <w:gridCol w:w="4320"/>
        <w:gridCol w:w="4320"/>
      </w:tblGrid>
      <w:tr>
        <w:tc>
          <w:tcPr>
            <w:tcW w:type="dxa" w:w="4320"/>
          </w:tcPr>
          <w:p>
            <w:r>
              <w:t>特征名称</w:t>
            </w:r>
          </w:p>
        </w:tc>
        <w:tc>
          <w:tcPr>
            <w:tcW w:type="dxa" w:w="4320"/>
          </w:tcPr>
          <w:p>
            <w:r>
              <w:t>描述</w:t>
            </w:r>
          </w:p>
        </w:tc>
      </w:tr>
      <w:tr>
        <w:tc>
          <w:tcPr>
            <w:tcW w:type="dxa" w:w="4320"/>
          </w:tcPr>
          <w:p>
            <w:r>
              <w:t>week_total_score</w:t>
            </w:r>
          </w:p>
        </w:tc>
        <w:tc>
          <w:tcPr>
            <w:tcW w:type="dxa" w:w="4320"/>
          </w:tcPr>
          <w:p>
            <w:r>
              <w:t>当周总分</w:t>
            </w:r>
          </w:p>
        </w:tc>
      </w:tr>
      <w:tr>
        <w:tc>
          <w:tcPr>
            <w:tcW w:type="dxa" w:w="4320"/>
          </w:tcPr>
          <w:p>
            <w:r>
              <w:t>week_rank</w:t>
            </w:r>
          </w:p>
        </w:tc>
        <w:tc>
          <w:tcPr>
            <w:tcW w:type="dxa" w:w="4320"/>
          </w:tcPr>
          <w:p>
            <w:r>
              <w:t>当周排名</w:t>
            </w:r>
          </w:p>
        </w:tc>
      </w:tr>
      <w:tr>
        <w:tc>
          <w:tcPr>
            <w:tcW w:type="dxa" w:w="4320"/>
          </w:tcPr>
          <w:p>
            <w:r>
              <w:t>week_percent</w:t>
            </w:r>
          </w:p>
        </w:tc>
        <w:tc>
          <w:tcPr>
            <w:tcW w:type="dxa" w:w="4320"/>
          </w:tcPr>
          <w:p>
            <w:r>
              <w:t>当周得分百分比</w:t>
            </w:r>
          </w:p>
        </w:tc>
      </w:tr>
      <w:tr>
        <w:tc>
          <w:tcPr>
            <w:tcW w:type="dxa" w:w="4320"/>
          </w:tcPr>
          <w:p>
            <w:r>
              <w:t>celebrity_age_during_season</w:t>
            </w:r>
          </w:p>
        </w:tc>
        <w:tc>
          <w:tcPr>
            <w:tcW w:type="dxa" w:w="4320"/>
          </w:tcPr>
          <w:p>
            <w:r>
              <w:t>选手年龄</w:t>
            </w:r>
          </w:p>
        </w:tc>
      </w:tr>
      <w:tr>
        <w:tc>
          <w:tcPr>
            <w:tcW w:type="dxa" w:w="4320"/>
          </w:tcPr>
          <w:p>
            <w:r>
              <w:t>judge_score_std</w:t>
            </w:r>
          </w:p>
        </w:tc>
        <w:tc>
          <w:tcPr>
            <w:tcW w:type="dxa" w:w="4320"/>
          </w:tcPr>
          <w:p>
            <w:r>
              <w:t>评委评分标准差</w:t>
            </w:r>
          </w:p>
        </w:tc>
      </w:tr>
      <w:tr>
        <w:tc>
          <w:tcPr>
            <w:tcW w:type="dxa" w:w="4320"/>
          </w:tcPr>
          <w:p>
            <w:r>
              <w:t>age_zscore</w:t>
            </w:r>
          </w:p>
        </w:tc>
        <w:tc>
          <w:tcPr>
            <w:tcW w:type="dxa" w:w="4320"/>
          </w:tcPr>
          <w:p>
            <w:r>
              <w:t>年龄Z分数</w:t>
            </w:r>
          </w:p>
        </w:tc>
      </w:tr>
      <w:tr>
        <w:tc>
          <w:tcPr>
            <w:tcW w:type="dxa" w:w="4320"/>
          </w:tcPr>
          <w:p>
            <w:r>
              <w:t>remaining_weeks</w:t>
            </w:r>
          </w:p>
        </w:tc>
        <w:tc>
          <w:tcPr>
            <w:tcW w:type="dxa" w:w="4320"/>
          </w:tcPr>
          <w:p>
            <w:r>
              <w:t>剩余周数</w:t>
            </w:r>
          </w:p>
        </w:tc>
      </w:tr>
      <w:tr>
        <w:tc>
          <w:tcPr>
            <w:tcW w:type="dxa" w:w="4320"/>
          </w:tcPr>
          <w:p>
            <w:r>
              <w:t>cumulative_rank</w:t>
            </w:r>
          </w:p>
        </w:tc>
        <w:tc>
          <w:tcPr>
            <w:tcW w:type="dxa" w:w="4320"/>
          </w:tcPr>
          <w:p>
            <w:r>
              <w:t>累计排名</w:t>
            </w:r>
          </w:p>
        </w:tc>
      </w:tr>
      <w:tr>
        <w:tc>
          <w:tcPr>
            <w:tcW w:type="dxa" w:w="4320"/>
          </w:tcPr>
          <w:p>
            <w:r>
              <w:t>elimination_risk</w:t>
            </w:r>
          </w:p>
        </w:tc>
        <w:tc>
          <w:tcPr>
            <w:tcW w:type="dxa" w:w="4320"/>
          </w:tcPr>
          <w:p>
            <w:r>
              <w:t>淘汰风险</w:t>
            </w:r>
          </w:p>
        </w:tc>
      </w:tr>
      <w:tr>
        <w:tc>
          <w:tcPr>
            <w:tcW w:type="dxa" w:w="4320"/>
          </w:tcPr>
          <w:p>
            <w:r>
              <w:t>weeks_participated</w:t>
            </w:r>
          </w:p>
        </w:tc>
        <w:tc>
          <w:tcPr>
            <w:tcW w:type="dxa" w:w="4320"/>
          </w:tcPr>
          <w:p>
            <w:r>
              <w:t>参赛周数</w:t>
            </w:r>
          </w:p>
        </w:tc>
      </w:tr>
      <w:tr>
        <w:tc>
          <w:tcPr>
            <w:tcW w:type="dxa" w:w="4320"/>
          </w:tcPr>
          <w:p>
            <w:r>
              <w:t>relative_performance</w:t>
            </w:r>
          </w:p>
        </w:tc>
        <w:tc>
          <w:tcPr>
            <w:tcW w:type="dxa" w:w="4320"/>
          </w:tcPr>
          <w:p>
            <w:r>
              <w:t>相对表现</w:t>
            </w:r>
          </w:p>
        </w:tc>
      </w:tr>
      <w:tr>
        <w:tc>
          <w:tcPr>
            <w:tcW w:type="dxa" w:w="4320"/>
          </w:tcPr>
          <w:p>
            <w:r>
              <w:t>industry_code</w:t>
            </w:r>
          </w:p>
        </w:tc>
        <w:tc>
          <w:tcPr>
            <w:tcW w:type="dxa" w:w="4320"/>
          </w:tcPr>
          <w:p>
            <w:r>
              <w:t>行业编码</w:t>
            </w:r>
          </w:p>
        </w:tc>
      </w:tr>
    </w:tbl>
    <w:p>
      <w:pPr>
        <w:pStyle w:val="Heading1"/>
      </w:pPr>
      <w:r>
        <w:t>6. 评估结果</w:t>
      </w:r>
    </w:p>
    <w:p>
      <w:pPr>
        <w:pStyle w:val="Heading2"/>
      </w:pPr>
      <w:r>
        <w:t>6.1 分类性能指标</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值</w:t>
            </w:r>
          </w:p>
        </w:tc>
      </w:tr>
      <w:tr>
        <w:tc>
          <w:tcPr>
            <w:tcW w:type="dxa" w:w="4320"/>
          </w:tcPr>
          <w:p>
            <w:r>
              <w:t>Accuracy</w:t>
            </w:r>
          </w:p>
        </w:tc>
        <w:tc>
          <w:tcPr>
            <w:tcW w:type="dxa" w:w="4320"/>
          </w:tcPr>
          <w:p>
            <w:r>
              <w:t>84.33%</w:t>
            </w:r>
          </w:p>
        </w:tc>
      </w:tr>
      <w:tr>
        <w:tc>
          <w:tcPr>
            <w:tcW w:type="dxa" w:w="4320"/>
          </w:tcPr>
          <w:p>
            <w:r>
              <w:t>Elimination Recall</w:t>
            </w:r>
          </w:p>
        </w:tc>
        <w:tc>
          <w:tcPr>
            <w:tcW w:type="dxa" w:w="4320"/>
          </w:tcPr>
          <w:p>
            <w:r>
              <w:t>76.32%</w:t>
            </w:r>
          </w:p>
        </w:tc>
      </w:tr>
      <w:tr>
        <w:tc>
          <w:tcPr>
            <w:tcW w:type="dxa" w:w="4320"/>
          </w:tcPr>
          <w:p>
            <w:r>
              <w:t>Elimination Precision</w:t>
            </w:r>
          </w:p>
        </w:tc>
        <w:tc>
          <w:tcPr>
            <w:tcW w:type="dxa" w:w="4320"/>
          </w:tcPr>
          <w:p>
            <w:r>
              <w:t>51.18%</w:t>
            </w:r>
          </w:p>
        </w:tc>
      </w:tr>
      <w:tr>
        <w:tc>
          <w:tcPr>
            <w:tcW w:type="dxa" w:w="4320"/>
          </w:tcPr>
          <w:p>
            <w:r>
              <w:t>Elimination F1</w:t>
            </w:r>
          </w:p>
        </w:tc>
        <w:tc>
          <w:tcPr>
            <w:tcW w:type="dxa" w:w="4320"/>
          </w:tcPr>
          <w:p>
            <w:r>
              <w:t>61.27%</w:t>
            </w:r>
          </w:p>
        </w:tc>
      </w:tr>
      <w:tr>
        <w:tc>
          <w:tcPr>
            <w:tcW w:type="dxa" w:w="4320"/>
          </w:tcPr>
          <w:p>
            <w:r>
              <w:t>ROC-AUC</w:t>
            </w:r>
          </w:p>
        </w:tc>
        <w:tc>
          <w:tcPr>
            <w:tcW w:type="dxa" w:w="4320"/>
          </w:tcPr>
          <w:p>
            <w:r>
              <w:t>0.8875</w:t>
            </w:r>
          </w:p>
        </w:tc>
      </w:tr>
    </w:tbl>
    <w:p>
      <w:pPr>
        <w:pStyle w:val="Heading2"/>
      </w:pPr>
      <w:r>
        <w:t>6.2 混淆矩阵</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Stay</w:t>
            </w:r>
          </w:p>
        </w:tc>
        <w:tc>
          <w:tcPr>
            <w:tcW w:type="dxa" w:w="2880"/>
          </w:tcPr>
          <w:p>
            <w:r>
              <w:t>Predicted Elim</w:t>
            </w:r>
          </w:p>
        </w:tc>
      </w:tr>
      <w:tr>
        <w:tc>
          <w:tcPr>
            <w:tcW w:type="dxa" w:w="2880"/>
          </w:tcPr>
          <w:p>
            <w:r>
              <w:t>Actual Stay</w:t>
            </w:r>
          </w:p>
        </w:tc>
        <w:tc>
          <w:tcPr>
            <w:tcW w:type="dxa" w:w="2880"/>
          </w:tcPr>
          <w:p>
            <w:r>
              <w:t>505</w:t>
            </w:r>
          </w:p>
        </w:tc>
        <w:tc>
          <w:tcPr>
            <w:tcW w:type="dxa" w:w="2880"/>
          </w:tcPr>
          <w:p>
            <w:r>
              <w:t>83</w:t>
            </w:r>
          </w:p>
        </w:tc>
      </w:tr>
      <w:tr>
        <w:tc>
          <w:tcPr>
            <w:tcW w:type="dxa" w:w="2880"/>
          </w:tcPr>
          <w:p>
            <w:r>
              <w:t>Actual Elim</w:t>
            </w:r>
          </w:p>
        </w:tc>
        <w:tc>
          <w:tcPr>
            <w:tcW w:type="dxa" w:w="2880"/>
          </w:tcPr>
          <w:p>
            <w:r>
              <w:t>27</w:t>
            </w:r>
          </w:p>
        </w:tc>
        <w:tc>
          <w:tcPr>
            <w:tcW w:type="dxa" w:w="2880"/>
          </w:tcPr>
          <w:p>
            <w:r>
              <w:t>87</w:t>
            </w:r>
          </w:p>
        </w:tc>
      </w:tr>
    </w:tbl>
    <w:p>
      <w:pPr>
        <w:pStyle w:val="Heading1"/>
      </w:pPr>
      <w:r>
        <w:t>7. 特征重要性分析</w:t>
      </w:r>
    </w:p>
    <w:p>
      <w:pPr>
        <w:pStyle w:val="Heading2"/>
      </w:pPr>
      <w:r>
        <w:t>7.1 Gini重要性排序</w:t>
      </w:r>
    </w:p>
    <w:tbl>
      <w:tblPr>
        <w:tblStyle w:val="TableGrid"/>
        <w:tblW w:type="auto" w:w="0"/>
        <w:tblLook w:firstColumn="1" w:firstRow="1" w:lastColumn="0" w:lastRow="0" w:noHBand="0" w:noVBand="1" w:val="04A0"/>
      </w:tblPr>
      <w:tblGrid>
        <w:gridCol w:w="2880"/>
        <w:gridCol w:w="2880"/>
        <w:gridCol w:w="2880"/>
      </w:tblGrid>
      <w:tr>
        <w:tc>
          <w:tcPr>
            <w:tcW w:type="dxa" w:w="2880"/>
          </w:tcPr>
          <w:p>
            <w:r>
              <w:t>排名</w:t>
            </w:r>
          </w:p>
        </w:tc>
        <w:tc>
          <w:tcPr>
            <w:tcW w:type="dxa" w:w="2880"/>
          </w:tcPr>
          <w:p>
            <w:r>
              <w:t>特征</w:t>
            </w:r>
          </w:p>
        </w:tc>
        <w:tc>
          <w:tcPr>
            <w:tcW w:type="dxa" w:w="2880"/>
          </w:tcPr>
          <w:p>
            <w:r>
              <w:t>Gini重要性</w:t>
            </w:r>
          </w:p>
        </w:tc>
      </w:tr>
      <w:tr>
        <w:tc>
          <w:tcPr>
            <w:tcW w:type="dxa" w:w="2880"/>
          </w:tcPr>
          <w:p>
            <w:r>
              <w:t>1</w:t>
            </w:r>
          </w:p>
        </w:tc>
        <w:tc>
          <w:tcPr>
            <w:tcW w:type="dxa" w:w="2880"/>
          </w:tcPr>
          <w:p>
            <w:r>
              <w:t>weeks_participated</w:t>
            </w:r>
          </w:p>
        </w:tc>
        <w:tc>
          <w:tcPr>
            <w:tcW w:type="dxa" w:w="2880"/>
          </w:tcPr>
          <w:p>
            <w:r>
              <w:t>0.1768</w:t>
            </w:r>
          </w:p>
        </w:tc>
      </w:tr>
      <w:tr>
        <w:tc>
          <w:tcPr>
            <w:tcW w:type="dxa" w:w="2880"/>
          </w:tcPr>
          <w:p>
            <w:r>
              <w:t>2</w:t>
            </w:r>
          </w:p>
        </w:tc>
        <w:tc>
          <w:tcPr>
            <w:tcW w:type="dxa" w:w="2880"/>
          </w:tcPr>
          <w:p>
            <w:r>
              <w:t>remaining_weeks</w:t>
            </w:r>
          </w:p>
        </w:tc>
        <w:tc>
          <w:tcPr>
            <w:tcW w:type="dxa" w:w="2880"/>
          </w:tcPr>
          <w:p>
            <w:r>
              <w:t>0.1483</w:t>
            </w:r>
          </w:p>
        </w:tc>
      </w:tr>
      <w:tr>
        <w:tc>
          <w:tcPr>
            <w:tcW w:type="dxa" w:w="2880"/>
          </w:tcPr>
          <w:p>
            <w:r>
              <w:t>3</w:t>
            </w:r>
          </w:p>
        </w:tc>
        <w:tc>
          <w:tcPr>
            <w:tcW w:type="dxa" w:w="2880"/>
          </w:tcPr>
          <w:p>
            <w:r>
              <w:t>week_percent</w:t>
            </w:r>
          </w:p>
        </w:tc>
        <w:tc>
          <w:tcPr>
            <w:tcW w:type="dxa" w:w="2880"/>
          </w:tcPr>
          <w:p>
            <w:r>
              <w:t>0.1201</w:t>
            </w:r>
          </w:p>
        </w:tc>
      </w:tr>
      <w:tr>
        <w:tc>
          <w:tcPr>
            <w:tcW w:type="dxa" w:w="2880"/>
          </w:tcPr>
          <w:p>
            <w:r>
              <w:t>4</w:t>
            </w:r>
          </w:p>
        </w:tc>
        <w:tc>
          <w:tcPr>
            <w:tcW w:type="dxa" w:w="2880"/>
          </w:tcPr>
          <w:p>
            <w:r>
              <w:t>cumulative_rank</w:t>
            </w:r>
          </w:p>
        </w:tc>
        <w:tc>
          <w:tcPr>
            <w:tcW w:type="dxa" w:w="2880"/>
          </w:tcPr>
          <w:p>
            <w:r>
              <w:t>0.1120</w:t>
            </w:r>
          </w:p>
        </w:tc>
      </w:tr>
      <w:tr>
        <w:tc>
          <w:tcPr>
            <w:tcW w:type="dxa" w:w="2880"/>
          </w:tcPr>
          <w:p>
            <w:r>
              <w:t>5</w:t>
            </w:r>
          </w:p>
        </w:tc>
        <w:tc>
          <w:tcPr>
            <w:tcW w:type="dxa" w:w="2880"/>
          </w:tcPr>
          <w:p>
            <w:r>
              <w:t>relative_performance</w:t>
            </w:r>
          </w:p>
        </w:tc>
        <w:tc>
          <w:tcPr>
            <w:tcW w:type="dxa" w:w="2880"/>
          </w:tcPr>
          <w:p>
            <w:r>
              <w:t>0.1039</w:t>
            </w:r>
          </w:p>
        </w:tc>
      </w:tr>
      <w:tr>
        <w:tc>
          <w:tcPr>
            <w:tcW w:type="dxa" w:w="2880"/>
          </w:tcPr>
          <w:p>
            <w:r>
              <w:t>6</w:t>
            </w:r>
          </w:p>
        </w:tc>
        <w:tc>
          <w:tcPr>
            <w:tcW w:type="dxa" w:w="2880"/>
          </w:tcPr>
          <w:p>
            <w:r>
              <w:t>elimination_risk</w:t>
            </w:r>
          </w:p>
        </w:tc>
        <w:tc>
          <w:tcPr>
            <w:tcW w:type="dxa" w:w="2880"/>
          </w:tcPr>
          <w:p>
            <w:r>
              <w:t>0.0789</w:t>
            </w:r>
          </w:p>
        </w:tc>
      </w:tr>
      <w:tr>
        <w:tc>
          <w:tcPr>
            <w:tcW w:type="dxa" w:w="2880"/>
          </w:tcPr>
          <w:p>
            <w:r>
              <w:t>7</w:t>
            </w:r>
          </w:p>
        </w:tc>
        <w:tc>
          <w:tcPr>
            <w:tcW w:type="dxa" w:w="2880"/>
          </w:tcPr>
          <w:p>
            <w:r>
              <w:t>week_total_score</w:t>
            </w:r>
          </w:p>
        </w:tc>
        <w:tc>
          <w:tcPr>
            <w:tcW w:type="dxa" w:w="2880"/>
          </w:tcPr>
          <w:p>
            <w:r>
              <w:t>0.0725</w:t>
            </w:r>
          </w:p>
        </w:tc>
      </w:tr>
      <w:tr>
        <w:tc>
          <w:tcPr>
            <w:tcW w:type="dxa" w:w="2880"/>
          </w:tcPr>
          <w:p>
            <w:r>
              <w:t>8</w:t>
            </w:r>
          </w:p>
        </w:tc>
        <w:tc>
          <w:tcPr>
            <w:tcW w:type="dxa" w:w="2880"/>
          </w:tcPr>
          <w:p>
            <w:r>
              <w:t>age_zscore</w:t>
            </w:r>
          </w:p>
        </w:tc>
        <w:tc>
          <w:tcPr>
            <w:tcW w:type="dxa" w:w="2880"/>
          </w:tcPr>
          <w:p>
            <w:r>
              <w:t>0.0493</w:t>
            </w:r>
          </w:p>
        </w:tc>
      </w:tr>
      <w:tr>
        <w:tc>
          <w:tcPr>
            <w:tcW w:type="dxa" w:w="2880"/>
          </w:tcPr>
          <w:p>
            <w:r>
              <w:t>9</w:t>
            </w:r>
          </w:p>
        </w:tc>
        <w:tc>
          <w:tcPr>
            <w:tcW w:type="dxa" w:w="2880"/>
          </w:tcPr>
          <w:p>
            <w:r>
              <w:t>week_rank</w:t>
            </w:r>
          </w:p>
        </w:tc>
        <w:tc>
          <w:tcPr>
            <w:tcW w:type="dxa" w:w="2880"/>
          </w:tcPr>
          <w:p>
            <w:r>
              <w:t>0.0471</w:t>
            </w:r>
          </w:p>
        </w:tc>
      </w:tr>
      <w:tr>
        <w:tc>
          <w:tcPr>
            <w:tcW w:type="dxa" w:w="2880"/>
          </w:tcPr>
          <w:p>
            <w:r>
              <w:t>10</w:t>
            </w:r>
          </w:p>
        </w:tc>
        <w:tc>
          <w:tcPr>
            <w:tcW w:type="dxa" w:w="2880"/>
          </w:tcPr>
          <w:p>
            <w:r>
              <w:t>celebrity_age_during_season</w:t>
            </w:r>
          </w:p>
        </w:tc>
        <w:tc>
          <w:tcPr>
            <w:tcW w:type="dxa" w:w="2880"/>
          </w:tcPr>
          <w:p>
            <w:r>
              <w:t>0.0414</w:t>
            </w:r>
          </w:p>
        </w:tc>
      </w:tr>
      <w:tr>
        <w:tc>
          <w:tcPr>
            <w:tcW w:type="dxa" w:w="2880"/>
          </w:tcPr>
          <w:p>
            <w:r>
              <w:t>11</w:t>
            </w:r>
          </w:p>
        </w:tc>
        <w:tc>
          <w:tcPr>
            <w:tcW w:type="dxa" w:w="2880"/>
          </w:tcPr>
          <w:p>
            <w:r>
              <w:t>judge_score_std</w:t>
            </w:r>
          </w:p>
        </w:tc>
        <w:tc>
          <w:tcPr>
            <w:tcW w:type="dxa" w:w="2880"/>
          </w:tcPr>
          <w:p>
            <w:r>
              <w:t>0.0413</w:t>
            </w:r>
          </w:p>
        </w:tc>
      </w:tr>
      <w:tr>
        <w:tc>
          <w:tcPr>
            <w:tcW w:type="dxa" w:w="2880"/>
          </w:tcPr>
          <w:p>
            <w:r>
              <w:t>12</w:t>
            </w:r>
          </w:p>
        </w:tc>
        <w:tc>
          <w:tcPr>
            <w:tcW w:type="dxa" w:w="2880"/>
          </w:tcPr>
          <w:p>
            <w:r>
              <w:t>industry_code</w:t>
            </w:r>
          </w:p>
        </w:tc>
        <w:tc>
          <w:tcPr>
            <w:tcW w:type="dxa" w:w="2880"/>
          </w:tcPr>
          <w:p>
            <w:r>
              <w:t>0.0085</w:t>
            </w:r>
          </w:p>
        </w:tc>
      </w:tr>
    </w:tbl>
    <w:p>
      <w:pPr>
        <w:pStyle w:val="Heading2"/>
      </w:pPr>
      <w:r>
        <w:t>7.2 SHAP重要性排序</w:t>
      </w:r>
    </w:p>
    <w:tbl>
      <w:tblPr>
        <w:tblStyle w:val="TableGrid"/>
        <w:tblW w:type="auto" w:w="0"/>
        <w:tblLook w:firstColumn="1" w:firstRow="1" w:lastColumn="0" w:lastRow="0" w:noHBand="0" w:noVBand="1" w:val="04A0"/>
      </w:tblPr>
      <w:tblGrid>
        <w:gridCol w:w="2880"/>
        <w:gridCol w:w="2880"/>
        <w:gridCol w:w="2880"/>
      </w:tblGrid>
      <w:tr>
        <w:tc>
          <w:tcPr>
            <w:tcW w:type="dxa" w:w="2880"/>
          </w:tcPr>
          <w:p>
            <w:r>
              <w:t>排名</w:t>
            </w:r>
          </w:p>
        </w:tc>
        <w:tc>
          <w:tcPr>
            <w:tcW w:type="dxa" w:w="2880"/>
          </w:tcPr>
          <w:p>
            <w:r>
              <w:t>特征</w:t>
            </w:r>
          </w:p>
        </w:tc>
        <w:tc>
          <w:tcPr>
            <w:tcW w:type="dxa" w:w="2880"/>
          </w:tcPr>
          <w:p>
            <w:r>
              <w:t>Mean |SHAP|</w:t>
            </w:r>
          </w:p>
        </w:tc>
      </w:tr>
      <w:tr>
        <w:tc>
          <w:tcPr>
            <w:tcW w:type="dxa" w:w="2880"/>
          </w:tcPr>
          <w:p>
            <w:r>
              <w:t>1</w:t>
            </w:r>
          </w:p>
        </w:tc>
        <w:tc>
          <w:tcPr>
            <w:tcW w:type="dxa" w:w="2880"/>
          </w:tcPr>
          <w:p>
            <w:r>
              <w:t>weeks_participated</w:t>
            </w:r>
          </w:p>
        </w:tc>
        <w:tc>
          <w:tcPr>
            <w:tcW w:type="dxa" w:w="2880"/>
          </w:tcPr>
          <w:p>
            <w:r>
              <w:t>0.1034</w:t>
            </w:r>
          </w:p>
        </w:tc>
      </w:tr>
      <w:tr>
        <w:tc>
          <w:tcPr>
            <w:tcW w:type="dxa" w:w="2880"/>
          </w:tcPr>
          <w:p>
            <w:r>
              <w:t>2</w:t>
            </w:r>
          </w:p>
        </w:tc>
        <w:tc>
          <w:tcPr>
            <w:tcW w:type="dxa" w:w="2880"/>
          </w:tcPr>
          <w:p>
            <w:r>
              <w:t>remaining_weeks</w:t>
            </w:r>
          </w:p>
        </w:tc>
        <w:tc>
          <w:tcPr>
            <w:tcW w:type="dxa" w:w="2880"/>
          </w:tcPr>
          <w:p>
            <w:r>
              <w:t>0.0785</w:t>
            </w:r>
          </w:p>
        </w:tc>
      </w:tr>
      <w:tr>
        <w:tc>
          <w:tcPr>
            <w:tcW w:type="dxa" w:w="2880"/>
          </w:tcPr>
          <w:p>
            <w:r>
              <w:t>3</w:t>
            </w:r>
          </w:p>
        </w:tc>
        <w:tc>
          <w:tcPr>
            <w:tcW w:type="dxa" w:w="2880"/>
          </w:tcPr>
          <w:p>
            <w:r>
              <w:t>cumulative_rank</w:t>
            </w:r>
          </w:p>
        </w:tc>
        <w:tc>
          <w:tcPr>
            <w:tcW w:type="dxa" w:w="2880"/>
          </w:tcPr>
          <w:p>
            <w:r>
              <w:t>0.0625</w:t>
            </w:r>
          </w:p>
        </w:tc>
      </w:tr>
      <w:tr>
        <w:tc>
          <w:tcPr>
            <w:tcW w:type="dxa" w:w="2880"/>
          </w:tcPr>
          <w:p>
            <w:r>
              <w:t>4</w:t>
            </w:r>
          </w:p>
        </w:tc>
        <w:tc>
          <w:tcPr>
            <w:tcW w:type="dxa" w:w="2880"/>
          </w:tcPr>
          <w:p>
            <w:r>
              <w:t>relative_performance</w:t>
            </w:r>
          </w:p>
        </w:tc>
        <w:tc>
          <w:tcPr>
            <w:tcW w:type="dxa" w:w="2880"/>
          </w:tcPr>
          <w:p>
            <w:r>
              <w:t>0.0561</w:t>
            </w:r>
          </w:p>
        </w:tc>
      </w:tr>
      <w:tr>
        <w:tc>
          <w:tcPr>
            <w:tcW w:type="dxa" w:w="2880"/>
          </w:tcPr>
          <w:p>
            <w:r>
              <w:t>5</w:t>
            </w:r>
          </w:p>
        </w:tc>
        <w:tc>
          <w:tcPr>
            <w:tcW w:type="dxa" w:w="2880"/>
          </w:tcPr>
          <w:p>
            <w:r>
              <w:t>elimination_risk</w:t>
            </w:r>
          </w:p>
        </w:tc>
        <w:tc>
          <w:tcPr>
            <w:tcW w:type="dxa" w:w="2880"/>
          </w:tcPr>
          <w:p>
            <w:r>
              <w:t>0.0368</w:t>
            </w:r>
          </w:p>
        </w:tc>
      </w:tr>
      <w:tr>
        <w:tc>
          <w:tcPr>
            <w:tcW w:type="dxa" w:w="2880"/>
          </w:tcPr>
          <w:p>
            <w:r>
              <w:t>6</w:t>
            </w:r>
          </w:p>
        </w:tc>
        <w:tc>
          <w:tcPr>
            <w:tcW w:type="dxa" w:w="2880"/>
          </w:tcPr>
          <w:p>
            <w:r>
              <w:t>week_percent</w:t>
            </w:r>
          </w:p>
        </w:tc>
        <w:tc>
          <w:tcPr>
            <w:tcW w:type="dxa" w:w="2880"/>
          </w:tcPr>
          <w:p>
            <w:r>
              <w:t>0.0353</w:t>
            </w:r>
          </w:p>
        </w:tc>
      </w:tr>
      <w:tr>
        <w:tc>
          <w:tcPr>
            <w:tcW w:type="dxa" w:w="2880"/>
          </w:tcPr>
          <w:p>
            <w:r>
              <w:t>7</w:t>
            </w:r>
          </w:p>
        </w:tc>
        <w:tc>
          <w:tcPr>
            <w:tcW w:type="dxa" w:w="2880"/>
          </w:tcPr>
          <w:p>
            <w:r>
              <w:t>week_total_score</w:t>
            </w:r>
          </w:p>
        </w:tc>
        <w:tc>
          <w:tcPr>
            <w:tcW w:type="dxa" w:w="2880"/>
          </w:tcPr>
          <w:p>
            <w:r>
              <w:t>0.0332</w:t>
            </w:r>
          </w:p>
        </w:tc>
      </w:tr>
      <w:tr>
        <w:tc>
          <w:tcPr>
            <w:tcW w:type="dxa" w:w="2880"/>
          </w:tcPr>
          <w:p>
            <w:r>
              <w:t>8</w:t>
            </w:r>
          </w:p>
        </w:tc>
        <w:tc>
          <w:tcPr>
            <w:tcW w:type="dxa" w:w="2880"/>
          </w:tcPr>
          <w:p>
            <w:r>
              <w:t>week_rank</w:t>
            </w:r>
          </w:p>
        </w:tc>
        <w:tc>
          <w:tcPr>
            <w:tcW w:type="dxa" w:w="2880"/>
          </w:tcPr>
          <w:p>
            <w:r>
              <w:t>0.0191</w:t>
            </w:r>
          </w:p>
        </w:tc>
      </w:tr>
      <w:tr>
        <w:tc>
          <w:tcPr>
            <w:tcW w:type="dxa" w:w="2880"/>
          </w:tcPr>
          <w:p>
            <w:r>
              <w:t>9</w:t>
            </w:r>
          </w:p>
        </w:tc>
        <w:tc>
          <w:tcPr>
            <w:tcW w:type="dxa" w:w="2880"/>
          </w:tcPr>
          <w:p>
            <w:r>
              <w:t>age_zscore</w:t>
            </w:r>
          </w:p>
        </w:tc>
        <w:tc>
          <w:tcPr>
            <w:tcW w:type="dxa" w:w="2880"/>
          </w:tcPr>
          <w:p>
            <w:r>
              <w:t>0.0174</w:t>
            </w:r>
          </w:p>
        </w:tc>
      </w:tr>
      <w:tr>
        <w:tc>
          <w:tcPr>
            <w:tcW w:type="dxa" w:w="2880"/>
          </w:tcPr>
          <w:p>
            <w:r>
              <w:t>10</w:t>
            </w:r>
          </w:p>
        </w:tc>
        <w:tc>
          <w:tcPr>
            <w:tcW w:type="dxa" w:w="2880"/>
          </w:tcPr>
          <w:p>
            <w:r>
              <w:t>celebrity_age_during_season</w:t>
            </w:r>
          </w:p>
        </w:tc>
        <w:tc>
          <w:tcPr>
            <w:tcW w:type="dxa" w:w="2880"/>
          </w:tcPr>
          <w:p>
            <w:r>
              <w:t>0.0152</w:t>
            </w:r>
          </w:p>
        </w:tc>
      </w:tr>
      <w:tr>
        <w:tc>
          <w:tcPr>
            <w:tcW w:type="dxa" w:w="2880"/>
          </w:tcPr>
          <w:p>
            <w:r>
              <w:t>11</w:t>
            </w:r>
          </w:p>
        </w:tc>
        <w:tc>
          <w:tcPr>
            <w:tcW w:type="dxa" w:w="2880"/>
          </w:tcPr>
          <w:p>
            <w:r>
              <w:t>judge_score_std</w:t>
            </w:r>
          </w:p>
        </w:tc>
        <w:tc>
          <w:tcPr>
            <w:tcW w:type="dxa" w:w="2880"/>
          </w:tcPr>
          <w:p>
            <w:r>
              <w:t>0.0114</w:t>
            </w:r>
          </w:p>
        </w:tc>
      </w:tr>
      <w:tr>
        <w:tc>
          <w:tcPr>
            <w:tcW w:type="dxa" w:w="2880"/>
          </w:tcPr>
          <w:p>
            <w:r>
              <w:t>12</w:t>
            </w:r>
          </w:p>
        </w:tc>
        <w:tc>
          <w:tcPr>
            <w:tcW w:type="dxa" w:w="2880"/>
          </w:tcPr>
          <w:p>
            <w:r>
              <w:t>industry_code</w:t>
            </w:r>
          </w:p>
        </w:tc>
        <w:tc>
          <w:tcPr>
            <w:tcW w:type="dxa" w:w="2880"/>
          </w:tcPr>
          <w:p>
            <w:r>
              <w:t>0.0027</w:t>
            </w:r>
          </w:p>
        </w:tc>
      </w:tr>
    </w:tbl>
    <w:p>
      <w:pPr>
        <w:pStyle w:val="Heading1"/>
      </w:pPr>
      <w:r>
        <w:t>8. 与TAN模型对比</w:t>
      </w:r>
    </w:p>
    <w:p>
      <w:pPr>
        <w:pStyle w:val="Heading2"/>
      </w:pPr>
      <w:r>
        <w:t>8.1 性能指标对比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TAN</w:t>
            </w:r>
          </w:p>
        </w:tc>
        <w:tc>
          <w:tcPr>
            <w:tcW w:type="dxa" w:w="2160"/>
          </w:tcPr>
          <w:p>
            <w:r>
              <w:t>Random Forest</w:t>
            </w:r>
          </w:p>
        </w:tc>
        <w:tc>
          <w:tcPr>
            <w:tcW w:type="dxa" w:w="2160"/>
          </w:tcPr>
          <w:p>
            <w:r>
              <w:t>差异</w:t>
            </w:r>
          </w:p>
        </w:tc>
      </w:tr>
      <w:tr>
        <w:tc>
          <w:tcPr>
            <w:tcW w:type="dxa" w:w="2160"/>
          </w:tcPr>
          <w:p>
            <w:r>
              <w:t>Accuracy</w:t>
            </w:r>
          </w:p>
        </w:tc>
        <w:tc>
          <w:tcPr>
            <w:tcW w:type="dxa" w:w="2160"/>
          </w:tcPr>
          <w:p>
            <w:r>
              <w:t>82.48%</w:t>
            </w:r>
          </w:p>
        </w:tc>
        <w:tc>
          <w:tcPr>
            <w:tcW w:type="dxa" w:w="2160"/>
          </w:tcPr>
          <w:p>
            <w:r>
              <w:t>84.33%</w:t>
            </w:r>
          </w:p>
        </w:tc>
        <w:tc>
          <w:tcPr>
            <w:tcW w:type="dxa" w:w="2160"/>
          </w:tcPr>
          <w:p>
            <w:r>
              <w:t>+1.85%</w:t>
            </w:r>
          </w:p>
        </w:tc>
      </w:tr>
      <w:tr>
        <w:tc>
          <w:tcPr>
            <w:tcW w:type="dxa" w:w="2160"/>
          </w:tcPr>
          <w:p>
            <w:r>
              <w:t>Recall</w:t>
            </w:r>
          </w:p>
        </w:tc>
        <w:tc>
          <w:tcPr>
            <w:tcW w:type="dxa" w:w="2160"/>
          </w:tcPr>
          <w:p>
            <w:r>
              <w:t>56.14%</w:t>
            </w:r>
          </w:p>
        </w:tc>
        <w:tc>
          <w:tcPr>
            <w:tcW w:type="dxa" w:w="2160"/>
          </w:tcPr>
          <w:p>
            <w:r>
              <w:t>76.32%</w:t>
            </w:r>
          </w:p>
        </w:tc>
        <w:tc>
          <w:tcPr>
            <w:tcW w:type="dxa" w:w="2160"/>
          </w:tcPr>
          <w:p>
            <w:r>
              <w:t>+20.18%</w:t>
            </w:r>
          </w:p>
        </w:tc>
      </w:tr>
      <w:tr>
        <w:tc>
          <w:tcPr>
            <w:tcW w:type="dxa" w:w="2160"/>
          </w:tcPr>
          <w:p>
            <w:r>
              <w:t>Precision</w:t>
            </w:r>
          </w:p>
        </w:tc>
        <w:tc>
          <w:tcPr>
            <w:tcW w:type="dxa" w:w="2160"/>
          </w:tcPr>
          <w:p>
            <w:r>
              <w:t>46.72%</w:t>
            </w:r>
          </w:p>
        </w:tc>
        <w:tc>
          <w:tcPr>
            <w:tcW w:type="dxa" w:w="2160"/>
          </w:tcPr>
          <w:p>
            <w:r>
              <w:t>51.18%</w:t>
            </w:r>
          </w:p>
        </w:tc>
        <w:tc>
          <w:tcPr>
            <w:tcW w:type="dxa" w:w="2160"/>
          </w:tcPr>
          <w:p>
            <w:r>
              <w:t>+4.46%</w:t>
            </w:r>
          </w:p>
        </w:tc>
      </w:tr>
      <w:tr>
        <w:tc>
          <w:tcPr>
            <w:tcW w:type="dxa" w:w="2160"/>
          </w:tcPr>
          <w:p>
            <w:r>
              <w:t>F1</w:t>
            </w:r>
          </w:p>
        </w:tc>
        <w:tc>
          <w:tcPr>
            <w:tcW w:type="dxa" w:w="2160"/>
          </w:tcPr>
          <w:p>
            <w:r>
              <w:t>51.00%</w:t>
            </w:r>
          </w:p>
        </w:tc>
        <w:tc>
          <w:tcPr>
            <w:tcW w:type="dxa" w:w="2160"/>
          </w:tcPr>
          <w:p>
            <w:r>
              <w:t>61.27%</w:t>
            </w:r>
          </w:p>
        </w:tc>
        <w:tc>
          <w:tcPr>
            <w:tcW w:type="dxa" w:w="2160"/>
          </w:tcPr>
          <w:p>
            <w:r>
              <w:t>+10.27%</w:t>
            </w:r>
          </w:p>
        </w:tc>
      </w:tr>
      <w:tr>
        <w:tc>
          <w:tcPr>
            <w:tcW w:type="dxa" w:w="2160"/>
          </w:tcPr>
          <w:p>
            <w:r>
              <w:t>ROC-AUC</w:t>
            </w:r>
          </w:p>
        </w:tc>
        <w:tc>
          <w:tcPr>
            <w:tcW w:type="dxa" w:w="2160"/>
          </w:tcPr>
          <w:p>
            <w:r>
              <w:t>0.8102</w:t>
            </w:r>
          </w:p>
        </w:tc>
        <w:tc>
          <w:tcPr>
            <w:tcW w:type="dxa" w:w="2160"/>
          </w:tcPr>
          <w:p>
            <w:r>
              <w:t>0.8875</w:t>
            </w:r>
          </w:p>
        </w:tc>
        <w:tc>
          <w:tcPr>
            <w:tcW w:type="dxa" w:w="2160"/>
          </w:tcPr>
          <w:p>
            <w:r>
              <w:t>+0.0773</w:t>
            </w:r>
          </w:p>
        </w:tc>
      </w:tr>
    </w:tbl>
    <w:p>
      <w:pPr>
        <w:pStyle w:val="Heading2"/>
      </w:pPr>
      <w:r>
        <w:t>8.2 预测一致性分析</w:t>
      </w:r>
    </w:p>
    <w:p>
      <w:r>
        <w:t>观众投票分数预测一致性：</w:t>
      </w:r>
    </w:p>
    <w:p>
      <w:r>
        <w:t>• Spearman相关系数: ρ = 0.8075</w:t>
      </w:r>
    </w:p>
    <w:p>
      <w:r>
        <w:t>• p-value &lt; 0.001</w:t>
      </w:r>
    </w:p>
    <w:p>
      <w:r>
        <w:t>• 结论: 两模型预测高度一致</w:t>
      </w:r>
    </w:p>
    <w:p>
      <w:pPr>
        <w:pStyle w:val="Heading1"/>
      </w:pPr>
      <w:r>
        <w:t>9. 可视化结果</w:t>
      </w:r>
    </w:p>
    <w:p>
      <w:r>
        <w:t>图1: 特征重要性对比 (Gini vs SHAP)</w:t>
      </w:r>
    </w:p>
    <w:p>
      <w:r>
        <w:drawing>
          <wp:inline xmlns:a="http://schemas.openxmlformats.org/drawingml/2006/main" xmlns:pic="http://schemas.openxmlformats.org/drawingml/2006/picture">
            <wp:extent cx="5029200" cy="2132284"/>
            <wp:docPr id="1" name="Picture 1"/>
            <wp:cNvGraphicFramePr>
              <a:graphicFrameLocks noChangeAspect="1"/>
            </wp:cNvGraphicFramePr>
            <a:graphic>
              <a:graphicData uri="http://schemas.openxmlformats.org/drawingml/2006/picture">
                <pic:pic>
                  <pic:nvPicPr>
                    <pic:cNvPr id="0" name="fig1_rf_feature_importance.png"/>
                    <pic:cNvPicPr/>
                  </pic:nvPicPr>
                  <pic:blipFill>
                    <a:blip r:embed="rId9"/>
                    <a:stretch>
                      <a:fillRect/>
                    </a:stretch>
                  </pic:blipFill>
                  <pic:spPr>
                    <a:xfrm>
                      <a:off x="0" y="0"/>
                      <a:ext cx="5029200" cy="2132284"/>
                    </a:xfrm>
                    <a:prstGeom prst="rect"/>
                  </pic:spPr>
                </pic:pic>
              </a:graphicData>
            </a:graphic>
          </wp:inline>
        </w:drawing>
      </w:r>
    </w:p>
    <w:p/>
    <w:p>
      <w:r>
        <w:t>图2: SHAP Summary Plot</w:t>
      </w:r>
    </w:p>
    <w:p>
      <w:r>
        <w:drawing>
          <wp:inline xmlns:a="http://schemas.openxmlformats.org/drawingml/2006/main" xmlns:pic="http://schemas.openxmlformats.org/drawingml/2006/picture">
            <wp:extent cx="5029200" cy="4042486"/>
            <wp:docPr id="2" name="Picture 2"/>
            <wp:cNvGraphicFramePr>
              <a:graphicFrameLocks noChangeAspect="1"/>
            </wp:cNvGraphicFramePr>
            <a:graphic>
              <a:graphicData uri="http://schemas.openxmlformats.org/drawingml/2006/picture">
                <pic:pic>
                  <pic:nvPicPr>
                    <pic:cNvPr id="0" name="fig2_rf_shap_summary.png"/>
                    <pic:cNvPicPr/>
                  </pic:nvPicPr>
                  <pic:blipFill>
                    <a:blip r:embed="rId10"/>
                    <a:stretch>
                      <a:fillRect/>
                    </a:stretch>
                  </pic:blipFill>
                  <pic:spPr>
                    <a:xfrm>
                      <a:off x="0" y="0"/>
                      <a:ext cx="5029200" cy="4042486"/>
                    </a:xfrm>
                    <a:prstGeom prst="rect"/>
                  </pic:spPr>
                </pic:pic>
              </a:graphicData>
            </a:graphic>
          </wp:inline>
        </w:drawing>
      </w:r>
    </w:p>
    <w:p/>
    <w:p>
      <w:r>
        <w:t>图3: 混淆矩阵</w:t>
      </w:r>
    </w:p>
    <w:p>
      <w:r>
        <w:drawing>
          <wp:inline xmlns:a="http://schemas.openxmlformats.org/drawingml/2006/main" xmlns:pic="http://schemas.openxmlformats.org/drawingml/2006/picture">
            <wp:extent cx="5029200" cy="4035215"/>
            <wp:docPr id="3" name="Picture 3"/>
            <wp:cNvGraphicFramePr>
              <a:graphicFrameLocks noChangeAspect="1"/>
            </wp:cNvGraphicFramePr>
            <a:graphic>
              <a:graphicData uri="http://schemas.openxmlformats.org/drawingml/2006/picture">
                <pic:pic>
                  <pic:nvPicPr>
                    <pic:cNvPr id="0" name="fig3_rf_confusion_matrix.png"/>
                    <pic:cNvPicPr/>
                  </pic:nvPicPr>
                  <pic:blipFill>
                    <a:blip r:embed="rId11"/>
                    <a:stretch>
                      <a:fillRect/>
                    </a:stretch>
                  </pic:blipFill>
                  <pic:spPr>
                    <a:xfrm>
                      <a:off x="0" y="0"/>
                      <a:ext cx="5029200" cy="4035215"/>
                    </a:xfrm>
                    <a:prstGeom prst="rect"/>
                  </pic:spPr>
                </pic:pic>
              </a:graphicData>
            </a:graphic>
          </wp:inline>
        </w:drawing>
      </w:r>
    </w:p>
    <w:p/>
    <w:p>
      <w:r>
        <w:t>图4: ROC曲线</w:t>
      </w:r>
    </w:p>
    <w:p>
      <w:r>
        <w:drawing>
          <wp:inline xmlns:a="http://schemas.openxmlformats.org/drawingml/2006/main" xmlns:pic="http://schemas.openxmlformats.org/drawingml/2006/picture">
            <wp:extent cx="5029200" cy="3759157"/>
            <wp:docPr id="4" name="Picture 4"/>
            <wp:cNvGraphicFramePr>
              <a:graphicFrameLocks noChangeAspect="1"/>
            </wp:cNvGraphicFramePr>
            <a:graphic>
              <a:graphicData uri="http://schemas.openxmlformats.org/drawingml/2006/picture">
                <pic:pic>
                  <pic:nvPicPr>
                    <pic:cNvPr id="0" name="fig4_rf_roc_curve.png"/>
                    <pic:cNvPicPr/>
                  </pic:nvPicPr>
                  <pic:blipFill>
                    <a:blip r:embed="rId12"/>
                    <a:stretch>
                      <a:fillRect/>
                    </a:stretch>
                  </pic:blipFill>
                  <pic:spPr>
                    <a:xfrm>
                      <a:off x="0" y="0"/>
                      <a:ext cx="5029200" cy="3759157"/>
                    </a:xfrm>
                    <a:prstGeom prst="rect"/>
                  </pic:spPr>
                </pic:pic>
              </a:graphicData>
            </a:graphic>
          </wp:inline>
        </w:drawing>
      </w:r>
    </w:p>
    <w:p/>
    <w:p>
      <w:r>
        <w:t>图5: 观众投票分数分布</w:t>
      </w:r>
    </w:p>
    <w:p>
      <w:r>
        <w:drawing>
          <wp:inline xmlns:a="http://schemas.openxmlformats.org/drawingml/2006/main" xmlns:pic="http://schemas.openxmlformats.org/drawingml/2006/picture">
            <wp:extent cx="5029200" cy="2997200"/>
            <wp:docPr id="5" name="Picture 5"/>
            <wp:cNvGraphicFramePr>
              <a:graphicFrameLocks noChangeAspect="1"/>
            </wp:cNvGraphicFramePr>
            <a:graphic>
              <a:graphicData uri="http://schemas.openxmlformats.org/drawingml/2006/picture">
                <pic:pic>
                  <pic:nvPicPr>
                    <pic:cNvPr id="0" name="fig5_rf_fan_vote_distribution.png"/>
                    <pic:cNvPicPr/>
                  </pic:nvPicPr>
                  <pic:blipFill>
                    <a:blip r:embed="rId13"/>
                    <a:stretch>
                      <a:fillRect/>
                    </a:stretch>
                  </pic:blipFill>
                  <pic:spPr>
                    <a:xfrm>
                      <a:off x="0" y="0"/>
                      <a:ext cx="5029200" cy="2997200"/>
                    </a:xfrm>
                    <a:prstGeom prst="rect"/>
                  </pic:spPr>
                </pic:pic>
              </a:graphicData>
            </a:graphic>
          </wp:inline>
        </w:drawing>
      </w:r>
    </w:p>
    <w:p/>
    <w:p>
      <w:r>
        <w:t>图6: TAN vs RF 预测对比</w:t>
      </w:r>
    </w:p>
    <w:p>
      <w:r>
        <w:drawing>
          <wp:inline xmlns:a="http://schemas.openxmlformats.org/drawingml/2006/main" xmlns:pic="http://schemas.openxmlformats.org/drawingml/2006/picture">
            <wp:extent cx="5029200" cy="5033448"/>
            <wp:docPr id="6" name="Picture 6"/>
            <wp:cNvGraphicFramePr>
              <a:graphicFrameLocks noChangeAspect="1"/>
            </wp:cNvGraphicFramePr>
            <a:graphic>
              <a:graphicData uri="http://schemas.openxmlformats.org/drawingml/2006/picture">
                <pic:pic>
                  <pic:nvPicPr>
                    <pic:cNvPr id="0" name="fig6_rf_tan_comparison.png"/>
                    <pic:cNvPicPr/>
                  </pic:nvPicPr>
                  <pic:blipFill>
                    <a:blip r:embed="rId14"/>
                    <a:stretch>
                      <a:fillRect/>
                    </a:stretch>
                  </pic:blipFill>
                  <pic:spPr>
                    <a:xfrm>
                      <a:off x="0" y="0"/>
                      <a:ext cx="5029200" cy="5033448"/>
                    </a:xfrm>
                    <a:prstGeom prst="rect"/>
                  </pic:spPr>
                </pic:pic>
              </a:graphicData>
            </a:graphic>
          </wp:inline>
        </w:drawing>
      </w:r>
    </w:p>
    <w:p/>
    <w:p>
      <w:pPr>
        <w:pStyle w:val="Heading1"/>
      </w:pPr>
      <w:r>
        <w:t>10. 结论</w:t>
      </w:r>
    </w:p>
    <w:p>
      <w:r>
        <w:t>1. 模型性能：随机森林在所有指标上均优于TAN模型，特别是Recall提升20.18%。</w:t>
      </w:r>
    </w:p>
    <w:p>
      <w:r>
        <w:t>2. 预测一致性：两模型预测的观众投票分数Spearman相关系数达0.8075，高度一致。</w:t>
      </w:r>
    </w:p>
    <w:p>
      <w:r>
        <w:t>3. 特征重要性：Gini和SHAP两种方法的特征重要性排序高度一致，前5重要特征均为：weeks_participated, remaining_weeks, cumulative_rank, relative_performance, elimination_risk。</w:t>
      </w:r>
    </w:p>
    <w:p>
      <w:r>
        <w:t>4. 交叉验证：TAN(生成式模型)和随机森林(判别式模型)从不同角度验证了观众投票估计的合理性，增强了结论的可信度。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