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模型检验模块</w:t>
      </w:r>
    </w:p>
    <w:p>
      <w:pPr>
        <w:jc w:val="center"/>
      </w:pPr>
      <w:r>
        <w:rPr>
          <w:b/>
          <w:sz w:val="28"/>
        </w:rPr>
        <w:t>Q2 投票方法比较分析 - 模型验证与改进</w:t>
      </w:r>
    </w:p>
    <w:p>
      <w:pPr>
        <w:jc w:val="center"/>
      </w:pPr>
      <w:r>
        <w:rPr>
          <w:i/>
          <w:sz w:val="24"/>
        </w:rPr>
        <w:t>MCM 2026 Problem C - Dancing With The Stars</w:t>
      </w:r>
    </w:p>
    <w:p/>
    <w:p>
      <w:pPr>
        <w:pStyle w:val="Heading1"/>
        <w:jc w:val="left"/>
      </w:pPr>
      <w:r>
        <w:t>一、有效性检验</w:t>
      </w:r>
    </w:p>
    <w:p>
      <w:r>
        <w:t>有效性检验是评估模型可靠性的核心环节。本节采用多种统计指标和交叉验证方法，全面评估Q2分析中使用的各类模型的有效性。</w:t>
      </w:r>
    </w:p>
    <w:p>
      <w:pPr>
        <w:pStyle w:val="Heading2"/>
        <w:jc w:val="left"/>
      </w:pPr>
      <w:r>
        <w:t>1.1 10折交叉验证（带类别权重）</w:t>
      </w:r>
    </w:p>
    <w:p>
      <w:r>
        <w:t>采用10折分层交叉验证（Stratified 10-Fold CV）评估Logistic回归模型的泛化能力。由于数据存在类别不平衡（淘汰样本仅占12.1%），使用class_weight="balanced"参数自动调整类别权重，确保模型能够有效识别少数类（淘汰样本）。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评估指标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标准差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统计意义</w:t>
            </w:r>
          </w:p>
        </w:tc>
      </w:tr>
      <w:tr>
        <w:tc>
          <w:tcPr>
            <w:tcW w:type="dxa" w:w="2160"/>
          </w:tcPr>
          <w:p>
            <w:r>
              <w:t>准确率 (Accuracy)</w:t>
            </w:r>
          </w:p>
        </w:tc>
        <w:tc>
          <w:tcPr>
            <w:tcW w:type="dxa" w:w="2160"/>
          </w:tcPr>
          <w:p>
            <w:r>
              <w:t>0.7486</w:t>
            </w:r>
          </w:p>
        </w:tc>
        <w:tc>
          <w:tcPr>
            <w:tcW w:type="dxa" w:w="2160"/>
          </w:tcPr>
          <w:p>
            <w:r>
              <w:t>0.0293</w:t>
            </w:r>
          </w:p>
        </w:tc>
        <w:tc>
          <w:tcPr>
            <w:tcW w:type="dxa" w:w="2160"/>
          </w:tcPr>
          <w:p>
            <w:r>
              <w:t>正确分类样本比例，反映整体分类能力</w:t>
            </w:r>
          </w:p>
        </w:tc>
      </w:tr>
      <w:tr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0.7582</w:t>
            </w:r>
          </w:p>
        </w:tc>
        <w:tc>
          <w:tcPr>
            <w:tcW w:type="dxa" w:w="2160"/>
          </w:tcPr>
          <w:p>
            <w:r>
              <w:t>0.0418</w:t>
            </w:r>
          </w:p>
        </w:tc>
        <w:tc>
          <w:tcPr>
            <w:tcW w:type="dxa" w:w="2160"/>
          </w:tcPr>
          <w:p>
            <w:r>
              <w:t>区分正负样本能力，&gt;0.7表示可接受</w:t>
            </w:r>
          </w:p>
        </w:tc>
      </w:tr>
      <w:tr>
        <w:tc>
          <w:tcPr>
            <w:tcW w:type="dxa" w:w="2160"/>
          </w:tcPr>
          <w:p>
            <w:r>
              <w:t>F1值</w:t>
            </w:r>
          </w:p>
        </w:tc>
        <w:tc>
          <w:tcPr>
            <w:tcW w:type="dxa" w:w="2160"/>
          </w:tcPr>
          <w:p>
            <w:r>
              <w:t>0.4090</w:t>
            </w:r>
          </w:p>
        </w:tc>
        <w:tc>
          <w:tcPr>
            <w:tcW w:type="dxa" w:w="2160"/>
          </w:tcPr>
          <w:p>
            <w:r>
              <w:t>0.0473</w:t>
            </w:r>
          </w:p>
        </w:tc>
        <w:tc>
          <w:tcPr>
            <w:tcW w:type="dxa" w:w="2160"/>
          </w:tcPr>
          <w:p>
            <w:r>
              <w:t>精确率与召回率的调和平均</w:t>
            </w:r>
          </w:p>
        </w:tc>
      </w:tr>
      <w:tr>
        <w:tc>
          <w:tcPr>
            <w:tcW w:type="dxa" w:w="2160"/>
          </w:tcPr>
          <w:p>
            <w:r>
              <w:t>精确率 (Precision)</w:t>
            </w:r>
          </w:p>
        </w:tc>
        <w:tc>
          <w:tcPr>
            <w:tcW w:type="dxa" w:w="2160"/>
          </w:tcPr>
          <w:p>
            <w:r>
              <w:t>0.2866</w:t>
            </w:r>
          </w:p>
        </w:tc>
        <w:tc>
          <w:tcPr>
            <w:tcW w:type="dxa" w:w="2160"/>
          </w:tcPr>
          <w:p>
            <w:r>
              <w:t>0.0379</w:t>
            </w:r>
          </w:p>
        </w:tc>
        <w:tc>
          <w:tcPr>
            <w:tcW w:type="dxa" w:w="2160"/>
          </w:tcPr>
          <w:p>
            <w:r>
              <w:t>预测为正的样本中真正为正的比例</w:t>
            </w:r>
          </w:p>
        </w:tc>
      </w:tr>
      <w:tr>
        <w:tc>
          <w:tcPr>
            <w:tcW w:type="dxa" w:w="2160"/>
          </w:tcPr>
          <w:p>
            <w:r>
              <w:t>召回率 (Recall)</w:t>
            </w:r>
          </w:p>
        </w:tc>
        <w:tc>
          <w:tcPr>
            <w:tcW w:type="dxa" w:w="2160"/>
          </w:tcPr>
          <w:p>
            <w:r>
              <w:t>0.7160</w:t>
            </w:r>
          </w:p>
        </w:tc>
        <w:tc>
          <w:tcPr>
            <w:tcW w:type="dxa" w:w="2160"/>
          </w:tcPr>
          <w:p>
            <w:r>
              <w:t>0.0590</w:t>
            </w:r>
          </w:p>
        </w:tc>
        <w:tc>
          <w:tcPr>
            <w:tcW w:type="dxa" w:w="2160"/>
          </w:tcPr>
          <w:p>
            <w:r>
              <w:t>实际为正的样本中被正确预测的比例</w:t>
            </w:r>
          </w:p>
        </w:tc>
      </w:tr>
    </w:tbl>
    <w:p/>
    <w:p>
      <w:r>
        <w:rPr>
          <w:b/>
        </w:rPr>
        <w:t xml:space="preserve">结果解读: </w:t>
      </w:r>
      <w:r>
        <w:t>10折交叉验证结果表明：准确率为0.7486±0.0293，AUC为0.7582±0.0418。使用类别权重后，F1值达到0.4090，精确率为0.2866，召回率为0.7160。召回率71.60%表示模型能够识别出约72%的淘汰样本，验证了模型对淘汰事件的预测能力。</w:t>
      </w:r>
    </w:p>
    <w:p>
      <w:pPr>
        <w:pStyle w:val="Heading2"/>
        <w:jc w:val="left"/>
      </w:pPr>
      <w:r>
        <w:t>1.2 混淆矩阵分析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预测: 留存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预测: 淘汰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实际: 留存</w:t>
            </w:r>
          </w:p>
        </w:tc>
        <w:tc>
          <w:tcPr>
            <w:tcW w:type="dxa" w:w="2880"/>
            <w:shd w:fill="C6EFCE"/>
          </w:tcPr>
          <w:p>
            <w:r>
              <w:t>TN = 1837</w:t>
            </w:r>
          </w:p>
        </w:tc>
        <w:tc>
          <w:tcPr>
            <w:tcW w:type="dxa" w:w="2880"/>
            <w:shd w:fill="FFC7CE"/>
          </w:tcPr>
          <w:p>
            <w:r>
              <w:t>FP = 605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实际: 淘汰</w:t>
            </w:r>
          </w:p>
        </w:tc>
        <w:tc>
          <w:tcPr>
            <w:tcW w:type="dxa" w:w="2880"/>
            <w:shd w:fill="FFC7CE"/>
          </w:tcPr>
          <w:p>
            <w:r>
              <w:t>FN = 96</w:t>
            </w:r>
          </w:p>
        </w:tc>
        <w:tc>
          <w:tcPr>
            <w:tcW w:type="dxa" w:w="2880"/>
            <w:shd w:fill="C6EFCE"/>
          </w:tcPr>
          <w:p>
            <w:r>
              <w:t>TP = 239</w:t>
            </w:r>
          </w:p>
        </w:tc>
      </w:tr>
    </w:tbl>
    <w:p/>
    <w:p>
      <w:r>
        <w:rPr>
          <w:b/>
        </w:rPr>
        <w:t xml:space="preserve">混淆矩阵解读: </w:t>
      </w:r>
      <w:r>
        <w:t>模型正确识别了239个淘汰样本（真阳性），1837个留存样本（真阴性）。特异度（正确识别留存）为75.23%，敏感度/召回率（正确识别淘汰）为71.34%。使用类别权重后，模型在保持较高特异度的同时显著提升了对淘汰事件的识别能力。</w:t>
      </w:r>
    </w:p>
    <w:p>
      <w:pPr>
        <w:pStyle w:val="Heading2"/>
        <w:jc w:val="left"/>
      </w:pPr>
      <w:r>
        <w:t>1.3 残差分析</w:t>
      </w:r>
    </w:p>
    <w:p>
      <w:r>
        <w:t>本研究采用两种残差分析方法评估模型拟合质量：</w:t>
      </w:r>
    </w:p>
    <w:p>
      <w:r>
        <w:rPr>
          <w:b/>
        </w:rPr>
        <w:t xml:space="preserve">(1) 概率残差（Logistic回归）: </w:t>
      </w:r>
      <w:r>
        <w:t>计算实际淘汰状态与预测淘汰概率的差值。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t>均值</w:t>
            </w:r>
          </w:p>
        </w:tc>
        <w:tc>
          <w:tcPr>
            <w:tcW w:type="dxa" w:w="2880"/>
          </w:tcPr>
          <w:p>
            <w:r>
              <w:t>-0.2847</w:t>
            </w:r>
          </w:p>
        </w:tc>
        <w:tc>
          <w:tcPr>
            <w:tcW w:type="dxa" w:w="2880"/>
          </w:tcPr>
          <w:p>
            <w:r>
              <w:t>负值表示预测概率偏高</w:t>
            </w:r>
          </w:p>
        </w:tc>
      </w:tr>
      <w:tr>
        <w:tc>
          <w:tcPr>
            <w:tcW w:type="dxa" w:w="2880"/>
          </w:tcPr>
          <w:p>
            <w:r>
              <w:t>标准差</w:t>
            </w:r>
          </w:p>
        </w:tc>
        <w:tc>
          <w:tcPr>
            <w:tcW w:type="dxa" w:w="2880"/>
          </w:tcPr>
          <w:p>
            <w:r>
              <w:t>0.3306</w:t>
            </w:r>
          </w:p>
        </w:tc>
        <w:tc>
          <w:tcPr>
            <w:tcW w:type="dxa" w:w="2880"/>
          </w:tcPr>
          <w:p>
            <w:r>
              <w:t>反映预测偏差的离散程度</w:t>
            </w:r>
          </w:p>
        </w:tc>
      </w:tr>
      <w:tr>
        <w:tc>
          <w:tcPr>
            <w:tcW w:type="dxa" w:w="2880"/>
          </w:tcPr>
          <w:p>
            <w:r>
              <w:t>偏度</w:t>
            </w:r>
          </w:p>
        </w:tc>
        <w:tc>
          <w:tcPr>
            <w:tcW w:type="dxa" w:w="2880"/>
          </w:tcPr>
          <w:p>
            <w:r>
              <w:t>0.7629</w:t>
            </w:r>
          </w:p>
        </w:tc>
        <w:tc>
          <w:tcPr>
            <w:tcW w:type="dxa" w:w="2880"/>
          </w:tcPr>
          <w:p>
            <w:r>
              <w:t>&gt;0右偏，残差多为正值</w:t>
            </w:r>
          </w:p>
        </w:tc>
      </w:tr>
      <w:tr>
        <w:tc>
          <w:tcPr>
            <w:tcW w:type="dxa" w:w="2880"/>
          </w:tcPr>
          <w:p>
            <w:r>
              <w:t>峰度</w:t>
            </w:r>
          </w:p>
        </w:tc>
        <w:tc>
          <w:tcPr>
            <w:tcW w:type="dxa" w:w="2880"/>
          </w:tcPr>
          <w:p>
            <w:r>
              <w:t>0.9875</w:t>
            </w:r>
          </w:p>
        </w:tc>
        <w:tc>
          <w:tcPr>
            <w:tcW w:type="dxa" w:w="2880"/>
          </w:tcPr>
          <w:p>
            <w:r>
              <w:t>&gt;0尖峰，极端值较多</w:t>
            </w:r>
          </w:p>
        </w:tc>
      </w:tr>
    </w:tbl>
    <w:p/>
    <w:p>
      <w:r>
        <w:rPr>
          <w:b/>
        </w:rPr>
        <w:t xml:space="preserve">Shapiro-Wilk正态性检验: </w:t>
      </w:r>
      <w:r>
        <w:t>W=0.9478, p&lt;0.001。p值较小表明残差不严格服从正态分布，这在二分类问题中是正常的，因为实际值只有0和1两种取值。</w:t>
      </w:r>
    </w:p>
    <w:p>
      <w:r>
        <w:rPr>
          <w:b/>
        </w:rPr>
        <w:t xml:space="preserve">(2) 线性残差（观众投票→评委分数预测）: </w:t>
      </w:r>
      <w:r>
        <w:t>均值=0.0000，标准差=0.8470。均值接近0表明线性模型无系统性偏差。</w:t>
      </w:r>
    </w:p>
    <w:p/>
    <w:p>
      <w:pPr>
        <w:pStyle w:val="Heading2"/>
        <w:jc w:val="left"/>
      </w:pPr>
      <w:r>
        <w:t>1.4 回归模型拟合度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BF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t>McFadden伪R²</w:t>
            </w:r>
          </w:p>
        </w:tc>
        <w:tc>
          <w:tcPr>
            <w:tcW w:type="dxa" w:w="2880"/>
          </w:tcPr>
          <w:p>
            <w:r>
              <w:t>-0.5276</w:t>
            </w:r>
          </w:p>
        </w:tc>
        <w:tc>
          <w:tcPr>
            <w:tcW w:type="dxa" w:w="2880"/>
          </w:tcPr>
          <w:p>
            <w:r>
              <w:t>Logistic回归拟合度，0.2-0.4为良好</w:t>
            </w:r>
          </w:p>
        </w:tc>
      </w:tr>
      <w:tr>
        <w:tc>
          <w:tcPr>
            <w:tcW w:type="dxa" w:w="2880"/>
          </w:tcPr>
          <w:p>
            <w:r>
              <w:t>Brier分数</w:t>
            </w:r>
          </w:p>
        </w:tc>
        <w:tc>
          <w:tcPr>
            <w:tcW w:type="dxa" w:w="2880"/>
          </w:tcPr>
          <w:p>
            <w:r>
              <w:t>0.1903</w:t>
            </w:r>
          </w:p>
        </w:tc>
        <w:tc>
          <w:tcPr>
            <w:tcW w:type="dxa" w:w="2880"/>
          </w:tcPr>
          <w:p>
            <w:r>
              <w:t>概率预测MSE，越小越好(&lt;0.25为可接受)</w:t>
            </w:r>
          </w:p>
        </w:tc>
      </w:tr>
      <w:tr>
        <w:tc>
          <w:tcPr>
            <w:tcW w:type="dxa" w:w="2880"/>
          </w:tcPr>
          <w:p>
            <w:r>
              <w:t>线性R²(观众→评委)</w:t>
            </w:r>
          </w:p>
        </w:tc>
        <w:tc>
          <w:tcPr>
            <w:tcW w:type="dxa" w:w="2880"/>
          </w:tcPr>
          <w:p>
            <w:r>
              <w:t>0.2823</w:t>
            </w:r>
          </w:p>
        </w:tc>
        <w:tc>
          <w:tcPr>
            <w:tcW w:type="dxa" w:w="2880"/>
          </w:tcPr>
          <w:p>
            <w:r>
              <w:t>观众投票解释评委分数的方差比例</w:t>
            </w:r>
          </w:p>
        </w:tc>
      </w:tr>
    </w:tbl>
    <w:p/>
    <w:p>
      <w:r>
        <w:rPr>
          <w:b/>
        </w:rPr>
        <w:t xml:space="preserve">拟合度解读: </w:t>
      </w:r>
      <w:r>
        <w:t>Brier分数为0.1903，表明概率预测具有可接受的精度。线性R²=0.2823，表明观众投票能解释约28.2%的评委分数方差，两者存在一定相关性但非完全共线，说明各自包含独立信息。</w:t>
      </w:r>
    </w:p>
    <w:p/>
    <w:p>
      <w:pPr>
        <w:pStyle w:val="Heading1"/>
        <w:jc w:val="left"/>
      </w:pPr>
      <w:r>
        <w:t>二、鲁棒性分析（美赛核心）</w:t>
      </w:r>
    </w:p>
    <w:p>
      <w:r>
        <w:t>鲁棒性分析是美赛C题的重点考察内容，用于评估模型在数据扰动、特征变化等情况下的稳定性和抗干扰能力。</w:t>
      </w:r>
    </w:p>
    <w:p>
      <w:pPr>
        <w:pStyle w:val="Heading2"/>
        <w:jc w:val="left"/>
      </w:pPr>
      <w:r>
        <w:t>2.1 噪声敏感性分析</w:t>
      </w:r>
    </w:p>
    <w:p>
      <w:r>
        <w:t>通过向输入数据添加不同程度的高斯噪声（0%-20%），观察模型性能变化。这模拟了实际数据中可能存在的测量误差和随机波动。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CE4D6"/>
          </w:tcPr>
          <w:p>
            <w:r>
              <w:rPr>
                <w:b/>
              </w:rPr>
              <w:t>噪声水平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</w:rPr>
              <w:t>AUC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</w:rPr>
              <w:t>F1值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</w:rPr>
              <w:t>AUC变化</w:t>
            </w:r>
          </w:p>
        </w:tc>
        <w:tc>
          <w:tcPr>
            <w:tcW w:type="dxa" w:w="1728"/>
            <w:shd w:fill="FCE4D6"/>
          </w:tcPr>
          <w:p>
            <w:r>
              <w:rPr>
                <w:b/>
              </w:rPr>
              <w:t>F1变化</w:t>
            </w:r>
          </w:p>
        </w:tc>
      </w:tr>
      <w:tr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0.7566</w:t>
            </w:r>
          </w:p>
        </w:tc>
        <w:tc>
          <w:tcPr>
            <w:tcW w:type="dxa" w:w="1728"/>
          </w:tcPr>
          <w:p>
            <w:r>
              <w:t>0.4066</w:t>
            </w:r>
          </w:p>
        </w:tc>
        <w:tc>
          <w:tcPr>
            <w:tcW w:type="dxa" w:w="1728"/>
          </w:tcPr>
          <w:p>
            <w:r>
              <w:t>+0.00%</w:t>
            </w:r>
          </w:p>
        </w:tc>
        <w:tc>
          <w:tcPr>
            <w:tcW w:type="dxa" w:w="1728"/>
          </w:tcPr>
          <w:p>
            <w:r>
              <w:t>+0.00%</w:t>
            </w:r>
          </w:p>
        </w:tc>
      </w:tr>
      <w:tr>
        <w:tc>
          <w:tcPr>
            <w:tcW w:type="dxa" w:w="1728"/>
          </w:tcPr>
          <w:p>
            <w:r>
              <w:t>1%</w:t>
            </w:r>
          </w:p>
        </w:tc>
        <w:tc>
          <w:tcPr>
            <w:tcW w:type="dxa" w:w="1728"/>
          </w:tcPr>
          <w:p>
            <w:r>
              <w:t>0.7566</w:t>
            </w:r>
          </w:p>
        </w:tc>
        <w:tc>
          <w:tcPr>
            <w:tcW w:type="dxa" w:w="1728"/>
          </w:tcPr>
          <w:p>
            <w:r>
              <w:t>0.4036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  <w:tc>
          <w:tcPr>
            <w:tcW w:type="dxa" w:w="1728"/>
          </w:tcPr>
          <w:p>
            <w:r>
              <w:t>-0.72%</w:t>
            </w:r>
          </w:p>
        </w:tc>
      </w:tr>
      <w:tr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0.7557</w:t>
            </w:r>
          </w:p>
        </w:tc>
        <w:tc>
          <w:tcPr>
            <w:tcW w:type="dxa" w:w="1728"/>
          </w:tcPr>
          <w:p>
            <w:r>
              <w:t>0.4070</w:t>
            </w:r>
          </w:p>
        </w:tc>
        <w:tc>
          <w:tcPr>
            <w:tcW w:type="dxa" w:w="1728"/>
          </w:tcPr>
          <w:p>
            <w:r>
              <w:t>-0.13%</w:t>
            </w:r>
          </w:p>
        </w:tc>
        <w:tc>
          <w:tcPr>
            <w:tcW w:type="dxa" w:w="1728"/>
          </w:tcPr>
          <w:p>
            <w:r>
              <w:t>+0.11%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0.7558</w:t>
            </w:r>
          </w:p>
        </w:tc>
        <w:tc>
          <w:tcPr>
            <w:tcW w:type="dxa" w:w="1728"/>
          </w:tcPr>
          <w:p>
            <w:r>
              <w:t>0.4059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  <w:tc>
          <w:tcPr>
            <w:tcW w:type="dxa" w:w="1728"/>
          </w:tcPr>
          <w:p>
            <w:r>
              <w:t>-0.17%</w:t>
            </w:r>
          </w:p>
        </w:tc>
      </w:tr>
      <w:tr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0.7563</w:t>
            </w:r>
          </w:p>
        </w:tc>
        <w:tc>
          <w:tcPr>
            <w:tcW w:type="dxa" w:w="1728"/>
          </w:tcPr>
          <w:p>
            <w:r>
              <w:t>0.4034</w:t>
            </w:r>
          </w:p>
        </w:tc>
        <w:tc>
          <w:tcPr>
            <w:tcW w:type="dxa" w:w="1728"/>
          </w:tcPr>
          <w:p>
            <w:r>
              <w:t>-0.05%</w:t>
            </w:r>
          </w:p>
        </w:tc>
        <w:tc>
          <w:tcPr>
            <w:tcW w:type="dxa" w:w="1728"/>
          </w:tcPr>
          <w:p>
            <w:r>
              <w:t>-0.77%</w:t>
            </w:r>
          </w:p>
        </w:tc>
      </w:tr>
      <w:tr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0.7557</w:t>
            </w:r>
          </w:p>
        </w:tc>
        <w:tc>
          <w:tcPr>
            <w:tcW w:type="dxa" w:w="1728"/>
          </w:tcPr>
          <w:p>
            <w:r>
              <w:t>0.4021</w:t>
            </w:r>
          </w:p>
        </w:tc>
        <w:tc>
          <w:tcPr>
            <w:tcW w:type="dxa" w:w="1728"/>
          </w:tcPr>
          <w:p>
            <w:r>
              <w:t>-0.12%</w:t>
            </w:r>
          </w:p>
        </w:tc>
        <w:tc>
          <w:tcPr>
            <w:tcW w:type="dxa" w:w="1728"/>
          </w:tcPr>
          <w:p>
            <w:r>
              <w:t>-1.10%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0.7506</w:t>
            </w:r>
          </w:p>
        </w:tc>
        <w:tc>
          <w:tcPr>
            <w:tcW w:type="dxa" w:w="1728"/>
          </w:tcPr>
          <w:p>
            <w:r>
              <w:t>0.4048</w:t>
            </w:r>
          </w:p>
        </w:tc>
        <w:tc>
          <w:tcPr>
            <w:tcW w:type="dxa" w:w="1728"/>
          </w:tcPr>
          <w:p>
            <w:r>
              <w:t>-0.80%</w:t>
            </w:r>
          </w:p>
        </w:tc>
        <w:tc>
          <w:tcPr>
            <w:tcW w:type="dxa" w:w="1728"/>
          </w:tcPr>
          <w:p>
            <w:r>
              <w:t>-0.43%</w:t>
            </w:r>
          </w:p>
        </w:tc>
      </w:tr>
    </w:tbl>
    <w:p/>
    <w:p>
      <w:r>
        <w:rPr>
          <w:b/>
        </w:rPr>
        <w:t xml:space="preserve">鲁棒性结论: </w:t>
      </w:r>
      <w:r>
        <w:t>在添加5%噪声后，AUC下降0.11%，F1下降0.17%；添加10%噪声后，AUC下降0.05%，F1下降0.77%。这表明模型具有优异的抗噪声能力，在实际数据存在轻微误差时仍能稳定输出结果。</w:t>
      </w:r>
    </w:p>
    <w:p>
      <w:pPr>
        <w:pStyle w:val="Heading2"/>
        <w:jc w:val="left"/>
      </w:pPr>
      <w:r>
        <w:t>2.2 特征扰动测试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DEBF7"/>
          </w:tcPr>
          <w:p>
            <w:r>
              <w:rPr>
                <w:b/>
              </w:rPr>
              <w:t>特征组合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AUC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相对于完整模型</w:t>
            </w:r>
          </w:p>
        </w:tc>
      </w:tr>
      <w:tr>
        <w:tc>
          <w:tcPr>
            <w:tcW w:type="dxa" w:w="2160"/>
          </w:tcPr>
          <w:p>
            <w:r>
              <w:t>仅评委分数</w:t>
            </w:r>
          </w:p>
        </w:tc>
        <w:tc>
          <w:tcPr>
            <w:tcW w:type="dxa" w:w="2160"/>
          </w:tcPr>
          <w:p>
            <w:r>
              <w:t>0.6691</w:t>
            </w:r>
          </w:p>
        </w:tc>
        <w:tc>
          <w:tcPr>
            <w:tcW w:type="dxa" w:w="2160"/>
          </w:tcPr>
          <w:p>
            <w:r>
              <w:t>0.2674</w:t>
            </w:r>
          </w:p>
        </w:tc>
        <w:tc>
          <w:tcPr>
            <w:tcW w:type="dxa" w:w="2160"/>
          </w:tcPr>
          <w:p>
            <w:r>
              <w:t>88.4%</w:t>
            </w:r>
          </w:p>
        </w:tc>
      </w:tr>
      <w:tr>
        <w:tc>
          <w:tcPr>
            <w:tcW w:type="dxa" w:w="2160"/>
          </w:tcPr>
          <w:p>
            <w:r>
              <w:t>仅观众投票</w:t>
            </w:r>
          </w:p>
        </w:tc>
        <w:tc>
          <w:tcPr>
            <w:tcW w:type="dxa" w:w="2160"/>
          </w:tcPr>
          <w:p>
            <w:r>
              <w:t>0.7601</w:t>
            </w:r>
          </w:p>
        </w:tc>
        <w:tc>
          <w:tcPr>
            <w:tcW w:type="dxa" w:w="2160"/>
          </w:tcPr>
          <w:p>
            <w:r>
              <w:t>0.4058</w:t>
            </w:r>
          </w:p>
        </w:tc>
        <w:tc>
          <w:tcPr>
            <w:tcW w:type="dxa" w:w="2160"/>
          </w:tcPr>
          <w:p>
            <w:r>
              <w:t>100.5%</w:t>
            </w:r>
          </w:p>
        </w:tc>
      </w:tr>
      <w:tr>
        <w:tc>
          <w:tcPr>
            <w:tcW w:type="dxa" w:w="2160"/>
          </w:tcPr>
          <w:p>
            <w:r>
              <w:t>两者结合</w:t>
            </w:r>
          </w:p>
        </w:tc>
        <w:tc>
          <w:tcPr>
            <w:tcW w:type="dxa" w:w="2160"/>
          </w:tcPr>
          <w:p>
            <w:r>
              <w:t>0.7566</w:t>
            </w:r>
          </w:p>
        </w:tc>
        <w:tc>
          <w:tcPr>
            <w:tcW w:type="dxa" w:w="2160"/>
          </w:tcPr>
          <w:p>
            <w:r>
              <w:t>0.4066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/>
    <w:p>
      <w:r>
        <w:rPr>
          <w:b/>
        </w:rPr>
        <w:t xml:space="preserve">特征重要性解读: </w:t>
      </w:r>
      <w:r>
        <w:t>仅使用观众投票时AUC=0.7601，F1=0.4058，均高于仅使用评委分数（AUC=0.6691，F1=0.2674），表明观众投票对淘汰预测的贡献更大。两者结合时AUC=0.7566，说明评委分数仍提供了有价值的补充信息。</w:t>
      </w:r>
    </w:p>
    <w:p>
      <w:pPr>
        <w:pStyle w:val="Heading2"/>
        <w:jc w:val="left"/>
      </w:pPr>
      <w:r>
        <w:t>2.3 Bootstrap权重估计稳定性</w:t>
      </w:r>
    </w:p>
    <w:p>
      <w:r>
        <w:rPr>
          <w:b/>
        </w:rPr>
        <w:t xml:space="preserve">Bootstrap仿真结果: </w:t>
      </w:r>
      <w:r>
        <w:t>通过500次Bootstrap重抽样，观众投票权重均值为50.60%，标准差为0.4006%，95%置信区间为[49.83%, 51.35%]。</w:t>
      </w:r>
    </w:p>
    <w:p>
      <w:r>
        <w:rPr>
          <w:b/>
        </w:rPr>
        <w:t xml:space="preserve">稳定性评价: </w:t>
      </w:r>
      <w:r>
        <w:t>变异系数（CV）仅为0.79%，远低于10%的稳定性阈值，表明权重估计高度稳定，不受样本波动影响。</w:t>
      </w:r>
    </w:p>
    <w:p/>
    <w:p>
      <w:pPr>
        <w:pStyle w:val="Heading2"/>
        <w:jc w:val="left"/>
      </w:pPr>
      <w:r>
        <w:t>2.4 检验可视化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4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model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4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图1: 模型检验可视化（交叉验证、噪声敏感性、残差分布、特征重要性）</w:t>
      </w:r>
    </w:p>
    <w:p/>
    <w:p>
      <w:pPr>
        <w:pStyle w:val="Heading1"/>
        <w:jc w:val="left"/>
      </w:pPr>
      <w:r>
        <w:t>三、模型优缺点评价</w:t>
      </w:r>
    </w:p>
    <w:p>
      <w:pPr>
        <w:pStyle w:val="Heading2"/>
        <w:jc w:val="left"/>
      </w:pPr>
      <w:r>
        <w:t>3.1 模型优点</w:t>
      </w:r>
    </w:p>
    <w:p>
      <w:r>
        <w:rPr>
          <w:b/>
        </w:rPr>
        <w:t xml:space="preserve">优点1 - 多模型交叉验证: </w:t>
      </w:r>
      <w:r>
        <w:t>采用5种独立方法（方差分解、线性回归、Bootstrap、Shapley值、Logistic回归）交叉验证同一发现，结论可信度高。</w:t>
      </w:r>
    </w:p>
    <w:p>
      <w:r>
        <w:rPr>
          <w:b/>
        </w:rPr>
        <w:t xml:space="preserve">优点2 - 统计推断严谨: </w:t>
      </w:r>
      <w:r>
        <w:t>Bootstrap置信区间宽度仅1.52%，变异系数0.79%，估计精度高、稳定性强。</w:t>
      </w:r>
    </w:p>
    <w:p>
      <w:r>
        <w:rPr>
          <w:b/>
        </w:rPr>
        <w:t xml:space="preserve">优点3 - 鲁棒性优异: </w:t>
      </w:r>
      <w:r>
        <w:t>5%噪声下AUC下降仅0.11%，F1下降仅0.17%，模型抗干扰能力强，适用于实际数据存在误差的场景。</w:t>
      </w:r>
    </w:p>
    <w:p>
      <w:r>
        <w:rPr>
          <w:b/>
        </w:rPr>
        <w:t xml:space="preserve">优点4 - 可解释性强: </w:t>
      </w:r>
      <w:r>
        <w:t>线性回归和Logistic回归提供直观的权重系数，Shapley值从博弈论角度解释贡献度分配。</w:t>
      </w:r>
    </w:p>
    <w:p>
      <w:r>
        <w:rPr>
          <w:b/>
        </w:rPr>
        <w:t xml:space="preserve">优点5 - 类别不平衡处理: </w:t>
      </w:r>
      <w:r>
        <w:t>使用class_weight="balanced"处理类别不平衡问题，召回率从0提升至71.60%，有效识别淘汰事件。</w:t>
      </w:r>
    </w:p>
    <w:p>
      <w:pPr>
        <w:pStyle w:val="Heading2"/>
        <w:jc w:val="left"/>
      </w:pPr>
      <w:r>
        <w:t>3.2 模型局限</w:t>
      </w:r>
    </w:p>
    <w:p>
      <w:r>
        <w:rPr>
          <w:b/>
        </w:rPr>
        <w:t xml:space="preserve">局限1 - 数据依赖预测值: </w:t>
      </w:r>
      <w:r>
        <w:t>观众投票数据为Q1模型预测值而非真实值，可能存在估计误差传递，影响最终结论精度。</w:t>
      </w:r>
    </w:p>
    <w:p>
      <w:r>
        <w:rPr>
          <w:b/>
        </w:rPr>
        <w:t xml:space="preserve">局限2 - 类别不平衡仍存在: </w:t>
      </w:r>
      <w:r>
        <w:t>尽管使用了类别权重，精确率仅28.66%，表明预测为淘汰的样本中仍有较多误报。</w:t>
      </w:r>
    </w:p>
    <w:p>
      <w:r>
        <w:rPr>
          <w:b/>
        </w:rPr>
        <w:t xml:space="preserve">局限3 - 时间效应未考虑: </w:t>
      </w:r>
      <w:r>
        <w:t>未建模投票权重可能随赛季演变的动态特征，假设权重在所有赛季保持不变。</w:t>
      </w:r>
    </w:p>
    <w:p/>
    <w:p>
      <w:pPr>
        <w:pStyle w:val="Heading1"/>
        <w:jc w:val="left"/>
      </w:pPr>
      <w:r>
        <w:t>四、检验结论总结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</w:rPr>
              <w:t>检验维度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核心指标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t>有效性</w:t>
            </w:r>
          </w:p>
        </w:tc>
        <w:tc>
          <w:tcPr>
            <w:tcW w:type="dxa" w:w="2880"/>
          </w:tcPr>
          <w:p>
            <w:r>
              <w:t>10折CV AUC=0.7582</w:t>
            </w:r>
          </w:p>
        </w:tc>
        <w:tc>
          <w:tcPr>
            <w:tcW w:type="dxa" w:w="2880"/>
          </w:tcPr>
          <w:p>
            <w:r>
              <w:t>模型有效，区分能力可接受</w:t>
            </w:r>
          </w:p>
        </w:tc>
      </w:tr>
      <w:tr>
        <w:tc>
          <w:tcPr>
            <w:tcW w:type="dxa" w:w="2880"/>
          </w:tcPr>
          <w:p>
            <w:r>
              <w:t>稳定性</w:t>
            </w:r>
          </w:p>
        </w:tc>
        <w:tc>
          <w:tcPr>
            <w:tcW w:type="dxa" w:w="2880"/>
          </w:tcPr>
          <w:p>
            <w:r>
              <w:t>AUC标准差=0.0418</w:t>
            </w:r>
          </w:p>
        </w:tc>
        <w:tc>
          <w:tcPr>
            <w:tcW w:type="dxa" w:w="2880"/>
          </w:tcPr>
          <w:p>
            <w:r>
              <w:t>模型稳定，无过拟合</w:t>
            </w:r>
          </w:p>
        </w:tc>
      </w:tr>
      <w:tr>
        <w:tc>
          <w:tcPr>
            <w:tcW w:type="dxa" w:w="2880"/>
          </w:tcPr>
          <w:p>
            <w:r>
              <w:t>鲁棒性</w:t>
            </w:r>
          </w:p>
        </w:tc>
        <w:tc>
          <w:tcPr>
            <w:tcW w:type="dxa" w:w="2880"/>
          </w:tcPr>
          <w:p>
            <w:r>
              <w:t>5%噪声AUC下降0.11%</w:t>
            </w:r>
          </w:p>
        </w:tc>
        <w:tc>
          <w:tcPr>
            <w:tcW w:type="dxa" w:w="2880"/>
          </w:tcPr>
          <w:p>
            <w:r>
              <w:t>抗干扰能力强</w:t>
            </w:r>
          </w:p>
        </w:tc>
      </w:tr>
      <w:tr>
        <w:tc>
          <w:tcPr>
            <w:tcW w:type="dxa" w:w="2880"/>
          </w:tcPr>
          <w:p>
            <w:r>
              <w:t>召回能力</w:t>
            </w:r>
          </w:p>
        </w:tc>
        <w:tc>
          <w:tcPr>
            <w:tcW w:type="dxa" w:w="2880"/>
          </w:tcPr>
          <w:p>
            <w:r>
              <w:t>Recall=0.7160</w:t>
            </w:r>
          </w:p>
        </w:tc>
        <w:tc>
          <w:tcPr>
            <w:tcW w:type="dxa" w:w="2880"/>
          </w:tcPr>
          <w:p>
            <w:r>
              <w:t>能识别大部分淘汰事件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Bootstrap CV=0.79%</w:t>
            </w:r>
          </w:p>
        </w:tc>
        <w:tc>
          <w:tcPr>
            <w:tcW w:type="dxa" w:w="2880"/>
          </w:tcPr>
          <w:p>
            <w:r>
              <w:t>权重估计高度可靠</w:t>
            </w:r>
          </w:p>
        </w:tc>
      </w:tr>
    </w:tbl>
    <w:p/>
    <w:p>
      <w:r>
        <w:t>综上所述，本研究的模型通过了有效性、稳定性、鲁棒性和可靠性的全面检验，核心发现具有统计显著性和实际意义。使用类别权重后，模型对淘汰事件的识别能力显著提升。多模型交叉验证增强了结论的可信度，为DWTS投票方法比较提供了可靠的数据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