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黑体"/>
          <w:b/>
          <w:sz w:val="36"/>
        </w:rPr>
        <w:t>问题四：公平性增强的评分融合机制设计</w:t>
      </w:r>
    </w:p>
    <w:p/>
    <w:p>
      <w:pPr>
        <w:pStyle w:val="Heading2"/>
      </w:pPr>
      <w:r>
        <w:t>一、引言</w:t>
      </w:r>
    </w:p>
    <w:p>
      <w:r>
        <w:t>在《与星共舞》（Dancing with the Stars, DWTS）等真人秀竞技节目中，评分机制的设计直接关系到比赛的公平性和可信度。传统的固定权重融合方法（如50:50评委-观众权重）虽然简单直观，但忽略了以下关键问题：</w:t>
      </w:r>
    </w:p>
    <w:p>
      <w:pPr>
        <w:pStyle w:val="ListBullet"/>
      </w:pPr>
      <w:r>
        <w:t>评委评分与观众投票可能存在系统性分歧，导致部分选手因"观众缘"获得不成比例的优势；</w:t>
      </w:r>
    </w:p>
    <w:p>
      <w:pPr>
        <w:pStyle w:val="ListBullet"/>
      </w:pPr>
      <w:r>
        <w:t>不同赛程阶段对专业性和大众性的需求不同，固定权重无法适应动态变化；</w:t>
      </w:r>
    </w:p>
    <w:p>
      <w:pPr>
        <w:pStyle w:val="ListBullet"/>
      </w:pPr>
      <w:r>
        <w:t>缺乏对"争议选手"（评委-观众评价差异大）的有效约束机制。</w:t>
      </w:r>
    </w:p>
    <w:p>
      <w:r>
        <w:t>为解决上述问题，本文基于社会选择理论（Social Choice Theory）和投票系统设计的前沿研究成果，提出了KMDR（Kemeny-Metric Distortion Rank）模型。该模型融合了Kemeny排名聚合、度量扭曲理论、Condorcet方法、Borda计数和比例公平性等五种经典投票理论，旨在构建一个兼具公平性、准确性和可解释性的综合评分机制。</w:t>
      </w:r>
    </w:p>
    <w:p>
      <w:pPr>
        <w:pStyle w:val="Heading2"/>
      </w:pPr>
      <w:r>
        <w:t>二、理论基础与相关工作</w:t>
      </w:r>
    </w:p>
    <w:p>
      <w:pPr>
        <w:pStyle w:val="Heading3"/>
      </w:pPr>
      <w:r>
        <w:t>2.1 社会选择理论</w:t>
      </w:r>
    </w:p>
    <w:p>
      <w:r>
        <w:t>社会选择理论研究如何从个体偏好中聚合出群体决策。Arrow不可能定理（Arrow's Impossibility Theorem）指出，不存在同时满足所有"公平性"条件的完美投票系统[1]。因此，实际应用中需要根据具体场景权衡不同准则。</w:t>
      </w:r>
    </w:p>
    <w:p>
      <w:pPr>
        <w:pStyle w:val="Heading3"/>
      </w:pPr>
      <w:r>
        <w:t>2.2 Kemeny排名聚合</w:t>
      </w:r>
    </w:p>
    <w:p>
      <w:r>
        <w:t xml:space="preserve">Kemeny聚合方法寻找与所有输入排名的Kendall-tau距离之和最小的共识排名[2]。给定 </w:t>
      </w:r>
      <w:r>
        <w:rPr>
          <w:i/>
        </w:rPr>
        <w:t>m</w:t>
      </w:r>
      <w:r>
        <w:t xml:space="preserve"> 个选手的 </w:t>
      </w:r>
      <w:r>
        <w:rPr>
          <w:i/>
        </w:rPr>
        <w:t>n</w:t>
      </w:r>
      <w:r>
        <w:t xml:space="preserve"> 个排名 </w:t>
      </w:r>
      <w:r>
        <w:rPr>
          <w:i/>
        </w:rPr>
        <w:t>R₁, R₂, ..., Rₙ</w:t>
      </w:r>
      <w:r>
        <w:t>，Kemeny最优排名定义为：</w:t>
      </w:r>
    </w:p>
    <w:p>
      <w:pPr>
        <w:spacing w:after="240"/>
        <w:jc w:val="center"/>
      </w:pPr>
      <w:r>
        <w:rPr>
          <w:rFonts w:ascii="Cambria Math" w:hAnsi="Cambria Math"/>
          <w:i/>
        </w:rPr>
        <w:t>K</w:t>
      </w:r>
      <w:r>
        <w:rPr>
          <w:rFonts w:ascii="Cambria Math" w:hAnsi="Cambria Math"/>
        </w:rPr>
        <w:t>* = argmin</w:t>
      </w:r>
      <w:r>
        <w:rPr>
          <w:rFonts w:ascii="Cambria Math" w:hAnsi="Cambria Math"/>
          <w:i/>
          <w:vertAlign w:val="subscript"/>
        </w:rPr>
        <w:t>K</w:t>
      </w:r>
      <w:r>
        <w:rPr>
          <w:rFonts w:ascii="Cambria Math" w:hAnsi="Cambria Math"/>
        </w:rPr>
        <w:t xml:space="preserve"> Σ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>=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i/>
          <w:vertAlign w:val="superscript"/>
        </w:rPr>
        <w:t>n</w:t>
      </w:r>
      <w:r>
        <w:t xml:space="preserve">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  <w:vertAlign w:val="subscript"/>
        </w:rPr>
        <w:t>τ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K</w:t>
      </w:r>
      <w:r>
        <w:rPr>
          <w:rFonts w:ascii="Cambria Math" w:hAnsi="Cambria Math"/>
        </w:rPr>
        <w:t xml:space="preserve">,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>)</w:t>
      </w:r>
    </w:p>
    <w:p>
      <w:r>
        <w:t xml:space="preserve">其中 </w:t>
      </w:r>
      <w:r>
        <w:rPr>
          <w:i/>
        </w:rPr>
        <w:t>d_τ</w:t>
      </w:r>
      <w:r>
        <w:t xml:space="preserve"> 为Kendall-tau距离，表示两个排名间的逆序对数量。Boehmer等[2]证明了Kemeny方法满足Condorcet准则，并具有良好的抗操纵性。</w:t>
      </w:r>
    </w:p>
    <w:p>
      <w:pPr>
        <w:pStyle w:val="Heading3"/>
      </w:pPr>
      <w:r>
        <w:t>2.3 度量扭曲理论</w:t>
      </w:r>
    </w:p>
    <w:p>
      <w:r>
        <w:t>度量扭曲（Metric Distortion）理论由Charikar等[3]提出，用于评估投票规则在度量空间中的社会福利损失。假设选手和选民位于共同的度量空间，选民对选手的"成本"由距离定义。投票规则的扭曲度量其选择的候选人与最优候选人（最小化总距离）之间的差距。</w:t>
      </w:r>
    </w:p>
    <w:p>
      <w:pPr>
        <w:pStyle w:val="Heading3"/>
      </w:pPr>
      <w:r>
        <w:t>2.4 Condorcet方法与Borda计数</w:t>
      </w:r>
    </w:p>
    <w:p>
      <w:r>
        <w:t xml:space="preserve">Condorcet方法通过两两比较确定胜者：若候选人在与其他所有候选人的两两对决中都获胜，则其为Condorcet胜者[4]。Borda计数则基于位置评分：排名第一获 </w:t>
      </w:r>
      <w:r>
        <w:rPr>
          <w:i/>
        </w:rPr>
        <w:t>m-1</w:t>
      </w:r>
      <w:r>
        <w:t xml:space="preserve"> 分，第二获 </w:t>
      </w:r>
      <w:r>
        <w:rPr>
          <w:i/>
        </w:rPr>
        <w:t>m-2</w:t>
      </w:r>
      <w:r>
        <w:t xml:space="preserve"> 分，依此类推。两种方法各有优劣，Condorcet注重相对比较，Borda注重绝对位置。</w:t>
      </w:r>
    </w:p>
    <w:p>
      <w:pPr>
        <w:pStyle w:val="Heading3"/>
      </w:pPr>
      <w:r>
        <w:t>2.5 比例公平性</w:t>
      </w:r>
    </w:p>
    <w:p>
      <w:r>
        <w:t>Ebadian等[5]研究了投票系统中的比例公平性（Proportional Fairness）问题，提出应根据不同群体的规模动态调整其影响力。在DWTS场景中，这意味着应在专业评委和大众观众之间寻求动态平衡。</w:t>
      </w:r>
    </w:p>
    <w:p>
      <w:pPr>
        <w:pStyle w:val="Heading2"/>
      </w:pPr>
      <w:r>
        <w:t>三、KMDR模型设计</w:t>
      </w:r>
    </w:p>
    <w:p>
      <w:pPr>
        <w:pStyle w:val="Heading3"/>
      </w:pPr>
      <w:r>
        <w:t>3.1 问题定义</w:t>
      </w:r>
    </w:p>
    <w:p>
      <w:r>
        <w:t xml:space="preserve">给定第 </w:t>
      </w:r>
      <w:r>
        <w:rPr>
          <w:i/>
        </w:rPr>
        <w:t>t</w:t>
      </w:r>
      <w:r>
        <w:t xml:space="preserve"> 周的比赛，有 </w:t>
      </w:r>
      <w:r>
        <w:rPr>
          <w:i/>
        </w:rPr>
        <w:t>n</w:t>
      </w:r>
      <w:r>
        <w:t xml:space="preserve"> 位选手参赛。记：</w:t>
      </w:r>
    </w:p>
    <w:p>
      <w:pPr>
        <w:pStyle w:val="ListBullet"/>
        <w:ind w:left="720"/>
      </w:pPr>
      <w:r>
        <w:t>Jᵢ：第 i 位选手的评委评分（百分制）</w:t>
      </w:r>
    </w:p>
    <w:p>
      <w:pPr>
        <w:pStyle w:val="ListBullet"/>
        <w:ind w:left="720"/>
      </w:pPr>
      <w:r>
        <w:t>Fᵢ：第 i 位选手的观众投票得分（百分制）</w:t>
      </w:r>
    </w:p>
    <w:p>
      <w:pPr>
        <w:pStyle w:val="ListBullet"/>
        <w:ind w:left="720"/>
      </w:pPr>
      <w:r>
        <w:t>Rⱼ = rank(-J)：评委评分对应的排名</w:t>
      </w:r>
    </w:p>
    <w:p>
      <w:pPr>
        <w:pStyle w:val="ListBullet"/>
        <w:ind w:left="720"/>
      </w:pPr>
      <w:r>
        <w:t>Rғ = rank(-F)：观众投票对应的排名</w:t>
      </w:r>
    </w:p>
    <w:p>
      <w:r>
        <w:t xml:space="preserve">目标是设计综合评分函数 </w:t>
      </w:r>
      <w:r>
        <w:rPr>
          <w:i/>
        </w:rPr>
        <w:t>S = f(J, F, t)</w:t>
      </w:r>
      <w:r>
        <w:t>，使其满足以下准则：</w:t>
      </w:r>
    </w:p>
    <w:p>
      <w:pPr>
        <w:pStyle w:val="ListNumber"/>
      </w:pPr>
      <w:r>
        <w:t>公平性：有效约束评委-观众分歧大的"争议选手"</w:t>
      </w:r>
    </w:p>
    <w:p>
      <w:pPr>
        <w:pStyle w:val="ListNumber"/>
      </w:pPr>
      <w:r>
        <w:t>适应性：根据赛程阶段动态调整评委-观众权重</w:t>
      </w:r>
    </w:p>
    <w:p>
      <w:pPr>
        <w:pStyle w:val="ListNumber"/>
      </w:pPr>
      <w:r>
        <w:t>准确性：准确预测淘汰和最终排名</w:t>
      </w:r>
    </w:p>
    <w:p>
      <w:pPr>
        <w:pStyle w:val="ListNumber"/>
      </w:pPr>
      <w:r>
        <w:t>可解释性：每个组件具有明确的物理意义</w:t>
      </w:r>
    </w:p>
    <w:p>
      <w:pPr>
        <w:pStyle w:val="Heading3"/>
      </w:pPr>
      <w:r>
        <w:t>3.2 模型架构</w:t>
      </w:r>
    </w:p>
    <w:p>
      <w:r>
        <w:t>KMDR模型由五个核心组件构成：</w:t>
      </w:r>
    </w:p>
    <w:p>
      <w:pPr>
        <w:pStyle w:val="Heading4"/>
      </w:pPr>
      <w:r>
        <w:t>（1）Borda位置评分</w:t>
      </w:r>
    </w:p>
    <w:p>
      <w:r>
        <w:t>将原始分数转换为位置得分，消除尺度差异：</w:t>
      </w:r>
    </w:p>
    <w:p>
      <w:pPr>
        <w:spacing w:after="120"/>
        <w:jc w:val="center"/>
      </w:pPr>
      <w:r>
        <w:rPr>
          <w:rFonts w:ascii="Cambria Math" w:hAnsi="Cambria Math"/>
          <w:i/>
          <w:sz w:val="24"/>
        </w:rPr>
        <w:t>B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 −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</w:t>
      </w:r>
    </w:p>
    <w:p>
      <w:pPr>
        <w:spacing w:after="240"/>
        <w:jc w:val="center"/>
      </w:pPr>
      <w:r>
        <w:rPr>
          <w:rFonts w:ascii="Cambria Math" w:hAnsi="Cambria Math"/>
          <w:i/>
          <w:sz w:val="24"/>
        </w:rPr>
        <w:t>B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 −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</w:t>
      </w:r>
    </w:p>
    <w:p>
      <w:r>
        <w:t xml:space="preserve">最高排名（第1名）得 </w:t>
      </w:r>
      <w:r>
        <w:rPr>
          <w:i/>
        </w:rPr>
        <w:t>n-1</w:t>
      </w:r>
      <w:r>
        <w:t xml:space="preserve"> 分，最低排名（第n名）得0分。</w:t>
      </w:r>
    </w:p>
    <w:p>
      <w:pPr>
        <w:pStyle w:val="Heading4"/>
      </w:pPr>
      <w:r>
        <w:t>（2）动态权重融合</w:t>
      </w:r>
    </w:p>
    <w:p>
      <w:r>
        <w:t>根据赛程阶段调整评委-观众权重：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赛程阶段</w:t>
            </w:r>
          </w:p>
        </w:tc>
        <w:tc>
          <w:tcPr>
            <w:tcW w:type="dxa" w:w="2880"/>
          </w:tcPr>
          <w:p>
            <w:r>
              <w:t xml:space="preserve">评委权重 </w:t>
            </w:r>
            <w:r>
              <w:rPr>
                <w:rFonts w:ascii="Cambria Math" w:hAnsi="Cambria Math"/>
                <w:i/>
              </w:rPr>
              <w:t>w</w:t>
            </w:r>
            <w:r>
              <w:rPr>
                <w:rFonts w:ascii="Cambria Math" w:hAnsi="Cambria Math"/>
                <w:i/>
                <w:vertAlign w:val="subscript"/>
              </w:rPr>
              <w:t>J</w:t>
            </w:r>
          </w:p>
        </w:tc>
        <w:tc>
          <w:tcPr>
            <w:tcW w:type="dxa" w:w="2880"/>
          </w:tcPr>
          <w:p>
            <w:r>
              <w:t>设计理念</w:t>
            </w:r>
          </w:p>
        </w:tc>
      </w:tr>
      <w:tr>
        <w:tc>
          <w:tcPr>
            <w:tcW w:type="dxa" w:w="2880"/>
          </w:tcPr>
          <w:p>
            <w:r>
              <w:t>Week 1-3（早期）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  <w:tc>
          <w:tcPr>
            <w:tcW w:type="dxa" w:w="2880"/>
          </w:tcPr>
          <w:p>
            <w:r>
              <w:t>重视专业性，评委主导</w:t>
            </w:r>
          </w:p>
        </w:tc>
      </w:tr>
      <w:tr>
        <w:tc>
          <w:tcPr>
            <w:tcW w:type="dxa" w:w="2880"/>
          </w:tcPr>
          <w:p>
            <w:r>
              <w:t>Week 4-6（中期）</w:t>
            </w:r>
          </w:p>
        </w:tc>
        <w:tc>
          <w:tcPr>
            <w:tcW w:type="dxa" w:w="2880"/>
          </w:tcPr>
          <w:p>
            <w:r>
              <w:t>0.60</w:t>
            </w:r>
          </w:p>
        </w:tc>
        <w:tc>
          <w:tcPr>
            <w:tcW w:type="dxa" w:w="2880"/>
          </w:tcPr>
          <w:p>
            <w:r>
              <w:t>平衡过渡</w:t>
            </w:r>
          </w:p>
        </w:tc>
      </w:tr>
      <w:tr>
        <w:tc>
          <w:tcPr>
            <w:tcW w:type="dxa" w:w="2880"/>
          </w:tcPr>
          <w:p>
            <w:r>
              <w:t>Week 7+（后期）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  <w:tc>
          <w:tcPr>
            <w:tcW w:type="dxa" w:w="2880"/>
          </w:tcPr>
          <w:p>
            <w:r>
              <w:t>完全平衡，大众参与</w:t>
            </w:r>
          </w:p>
        </w:tc>
      </w:tr>
    </w:tbl>
    <w:p/>
    <w:p>
      <w:r>
        <w:t>融合后的Borda得分：</w:t>
      </w:r>
    </w:p>
    <w:p>
      <w:pPr>
        <w:spacing w:after="240"/>
        <w:jc w:val="center"/>
      </w:pPr>
      <w:r>
        <w:rPr>
          <w:rFonts w:ascii="Cambria Math" w:hAnsi="Cambria Math"/>
          <w:i/>
          <w:sz w:val="24"/>
        </w:rPr>
        <w:t>B</w:t>
      </w:r>
      <w:r>
        <w:rPr>
          <w:rFonts w:ascii="Cambria Math" w:hAnsi="Cambria Math"/>
          <w:vertAlign w:val="subscript"/>
        </w:rPr>
        <w:t>fused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 xml:space="preserve"> 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+ (1 − </w:t>
      </w:r>
      <w:r>
        <w:rPr>
          <w:rFonts w:ascii="Cambria Math" w:hAnsi="Cambria Math"/>
          <w:i/>
        </w:rPr>
        <w:t>w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 xml:space="preserve">) ·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</w:t>
      </w:r>
    </w:p>
    <w:p>
      <w:pPr>
        <w:pStyle w:val="Heading4"/>
      </w:pPr>
      <w:r>
        <w:t>（3）Condorcet共识矩阵</w:t>
      </w:r>
    </w:p>
    <w:p>
      <w:r>
        <w:t xml:space="preserve">构建两两比较矩阵 </w:t>
      </w:r>
      <w:r>
        <w:rPr>
          <w:i/>
        </w:rPr>
        <w:t>C</w:t>
      </w:r>
      <w:r>
        <w:t>，评估评委-观众对选手相对优势的共识程度：</w:t>
      </w:r>
    </w:p>
    <w:p>
      <w:pPr>
        <w:jc w:val="center"/>
      </w:pPr>
      <w:r>
        <w:rPr>
          <w:rFonts w:ascii="Cambria Math" w:hAnsi="Cambria Math"/>
          <w:sz w:val="20"/>
        </w:rPr>
        <w:t>C(i,j) = { 1.0, if both Rⱼ(i)&lt;Rⱼ(j) and Rғ(i)&lt;Rғ(j)</w:t>
        <w:br/>
        <w:t xml:space="preserve">           0.5, if only one holds</w:t>
        <w:br/>
        <w:t xml:space="preserve">           1.0, if both Rⱼ(i)&gt;Rⱼ(j) and Rғ(i)&gt;Rғ(j) }</w:t>
      </w:r>
    </w:p>
    <w:p>
      <w:r>
        <w:t xml:space="preserve">选手 </w:t>
      </w:r>
      <w:r>
        <w:rPr>
          <w:i/>
        </w:rPr>
        <w:t>i</w:t>
      </w:r>
      <w:r>
        <w:t xml:space="preserve"> 的共识得分：</w:t>
      </w:r>
    </w:p>
    <w:p>
      <w:pPr>
        <w:spacing w:after="240"/>
        <w:jc w:val="center"/>
      </w:pPr>
      <w:r>
        <w:rPr>
          <w:rFonts w:ascii="Cambria Math" w:hAnsi="Cambria Math"/>
          <w:i/>
          <w:sz w:val="24"/>
        </w:rPr>
        <w:t>C</w:t>
      </w:r>
      <w:r>
        <w:rPr>
          <w:rFonts w:ascii="Cambria Math" w:hAnsi="Cambria Math"/>
          <w:vertAlign w:val="subscript"/>
        </w:rPr>
        <w:t>score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</w:rPr>
        <w:t>Σ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  <w:vertAlign w:val="subscript"/>
        </w:rPr>
        <w:t>=</w:t>
      </w:r>
      <w:r>
        <w:rPr>
          <w:rFonts w:ascii="Cambria Math" w:hAnsi="Cambria Math"/>
          <w:vertAlign w:val="subscript"/>
        </w:rPr>
        <w:t>1</w:t>
      </w:r>
      <w:r>
        <w:rPr>
          <w:rFonts w:ascii="Cambria Math" w:hAnsi="Cambria Math"/>
          <w:i/>
          <w:vertAlign w:val="superscript"/>
        </w:rPr>
        <w:t>n</w:t>
      </w:r>
      <w:r>
        <w:t xml:space="preserve">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, 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</w:rPr>
        <w:t>)</w:t>
      </w:r>
    </w:p>
    <w:p>
      <w:r>
        <w:t>该指标反映了选手在评委和观众心中的"一致认可度"。</w:t>
      </w:r>
    </w:p>
    <w:p>
      <w:pPr>
        <w:pStyle w:val="Heading4"/>
      </w:pPr>
      <w:r>
        <w:t>（4）度量扭曲惩罚</w:t>
      </w:r>
    </w:p>
    <w:p>
      <w:r>
        <w:t>计算评委-观众在度量空间中的不一致性：</w:t>
      </w:r>
    </w:p>
    <w:p>
      <w:pPr>
        <w:spacing w:after="120"/>
        <w:jc w:val="center"/>
      </w:pPr>
      <w:r>
        <w:rPr>
          <w:rFonts w:ascii="Cambria Math" w:hAnsi="Cambria Math"/>
          <w:i/>
          <w:sz w:val="22"/>
        </w:rPr>
        <w:t>J</w:t>
      </w:r>
      <w:r>
        <w:rPr>
          <w:rFonts w:ascii="Cambria Math" w:hAnsi="Cambria Math"/>
          <w:vertAlign w:val="subscript"/>
        </w:rPr>
        <w:t>norm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 = (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 xml:space="preserve"> − min 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</w:rPr>
        <w:t xml:space="preserve">) / (max 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</w:rPr>
        <w:t xml:space="preserve"> − min 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</w:rPr>
        <w:t>)</w:t>
      </w:r>
    </w:p>
    <w:p>
      <w:pPr>
        <w:spacing w:after="120"/>
        <w:jc w:val="center"/>
      </w:pPr>
      <w:r>
        <w:rPr>
          <w:rFonts w:ascii="Cambria Math" w:hAnsi="Cambria Math"/>
          <w:i/>
          <w:sz w:val="22"/>
        </w:rPr>
        <w:t>F</w:t>
      </w:r>
      <w:r>
        <w:rPr>
          <w:rFonts w:ascii="Cambria Math" w:hAnsi="Cambria Math"/>
          <w:vertAlign w:val="subscript"/>
        </w:rPr>
        <w:t>norm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 = (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  <w:i/>
          <w:vertAlign w:val="subscript"/>
        </w:rPr>
        <w:t>i</w:t>
      </w:r>
      <w:r>
        <w:rPr>
          <w:rFonts w:ascii="Cambria Math" w:hAnsi="Cambria Math"/>
        </w:rPr>
        <w:t xml:space="preserve"> − min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 xml:space="preserve">) / (max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 xml:space="preserve"> − min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</w:rPr>
        <w:t>)</w:t>
      </w:r>
    </w:p>
    <w:p>
      <w:pPr>
        <w:spacing w:after="240"/>
        <w:jc w:val="center"/>
      </w:pPr>
      <w:r>
        <w:rPr>
          <w:rFonts w:ascii="Cambria Math" w:hAnsi="Cambria Math"/>
          <w:i/>
          <w:sz w:val="22"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 = 0.6 × |</w:t>
      </w:r>
      <w:r>
        <w:rPr>
          <w:rFonts w:ascii="Cambria Math" w:hAnsi="Cambria Math"/>
          <w:i/>
        </w:rPr>
        <w:t>J</w:t>
      </w:r>
      <w:r>
        <w:rPr>
          <w:rFonts w:ascii="Cambria Math" w:hAnsi="Cambria Math"/>
          <w:vertAlign w:val="subscript"/>
        </w:rPr>
        <w:t>norm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− </w:t>
      </w:r>
      <w:r>
        <w:rPr>
          <w:rFonts w:ascii="Cambria Math" w:hAnsi="Cambria Math"/>
          <w:i/>
        </w:rPr>
        <w:t>F</w:t>
      </w:r>
      <w:r>
        <w:rPr>
          <w:rFonts w:ascii="Cambria Math" w:hAnsi="Cambria Math"/>
          <w:vertAlign w:val="subscript"/>
        </w:rPr>
        <w:t>norm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)| + 0.4 × |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J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− </w:t>
      </w:r>
      <w:r>
        <w:rPr>
          <w:rFonts w:ascii="Cambria Math" w:hAnsi="Cambria Math"/>
          <w:i/>
        </w:rPr>
        <w:t>R</w:t>
      </w:r>
      <w:r>
        <w:rPr>
          <w:rFonts w:ascii="Cambria Math" w:hAnsi="Cambria Math"/>
          <w:i/>
          <w:vertAlign w:val="subscript"/>
        </w:rPr>
        <w:t>F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)|/</w:t>
      </w:r>
      <w:r>
        <w:rPr>
          <w:rFonts w:ascii="Cambria Math" w:hAnsi="Cambria Math"/>
          <w:i/>
        </w:rPr>
        <w:t>n</w:t>
      </w:r>
    </w:p>
    <w:p>
      <w:r>
        <w:t>该惩罚项对评委-观众评价差异大的"争议选手"施加负面影响。</w:t>
      </w:r>
    </w:p>
    <w:p>
      <w:pPr>
        <w:pStyle w:val="Heading4"/>
      </w:pPr>
      <w:r>
        <w:t>（5）综合评分公式</w:t>
      </w:r>
    </w:p>
    <w:p>
      <w:r>
        <w:t>将上述组件整合：</w:t>
      </w:r>
    </w:p>
    <w:p>
      <w:pPr>
        <w:spacing w:after="240"/>
        <w:jc w:val="center"/>
      </w:pPr>
      <w:r>
        <w:rPr>
          <w:rFonts w:ascii="Cambria Math" w:hAnsi="Cambria Math"/>
          <w:i/>
          <w:sz w:val="26"/>
        </w:rPr>
        <w:t>S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  <w:i/>
        </w:rPr>
        <w:t>B</w:t>
      </w:r>
      <w:r>
        <w:rPr>
          <w:rFonts w:ascii="Cambria Math" w:hAnsi="Cambria Math"/>
          <w:vertAlign w:val="subscript"/>
        </w:rPr>
        <w:t>fused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+ </w:t>
      </w:r>
      <w:r>
        <w:rPr>
          <w:rFonts w:ascii="Cambria Math" w:hAnsi="Cambria Math"/>
          <w:i/>
        </w:rPr>
        <w:t>β</w:t>
      </w:r>
      <w:r>
        <w:rPr>
          <w:rFonts w:ascii="Cambria Math" w:hAnsi="Cambria Math"/>
        </w:rPr>
        <w:t xml:space="preserve"> · </w:t>
      </w:r>
      <w:r>
        <w:rPr>
          <w:rFonts w:ascii="Cambria Math" w:hAnsi="Cambria Math"/>
          <w:i/>
        </w:rPr>
        <w:t>C</w:t>
      </w:r>
      <w:r>
        <w:rPr>
          <w:rFonts w:ascii="Cambria Math" w:hAnsi="Cambria Math"/>
          <w:vertAlign w:val="subscript"/>
        </w:rPr>
        <w:t>score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 xml:space="preserve">) − </w:t>
      </w:r>
      <w:r>
        <w:rPr>
          <w:rFonts w:ascii="Cambria Math" w:hAnsi="Cambria Math"/>
          <w:i/>
        </w:rPr>
        <w:t>α</w:t>
      </w:r>
      <w:r>
        <w:rPr>
          <w:rFonts w:ascii="Cambria Math" w:hAnsi="Cambria Math"/>
        </w:rPr>
        <w:t xml:space="preserve"> · </w:t>
      </w:r>
      <w:r>
        <w:rPr>
          <w:rFonts w:ascii="Cambria Math" w:hAnsi="Cambria Math"/>
          <w:i/>
        </w:rPr>
        <w:t>n</w:t>
      </w:r>
      <w:r>
        <w:rPr>
          <w:rFonts w:ascii="Cambria Math" w:hAnsi="Cambria Math"/>
        </w:rPr>
        <w:t xml:space="preserve"> · </w:t>
      </w:r>
      <w:r>
        <w:rPr>
          <w:rFonts w:ascii="Cambria Math" w:hAnsi="Cambria Math"/>
          <w:i/>
        </w:rPr>
        <w:t>D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</w:rPr>
        <w:t>i</w:t>
      </w:r>
      <w:r>
        <w:rPr>
          <w:rFonts w:ascii="Cambria Math" w:hAnsi="Cambria Math"/>
        </w:rPr>
        <w:t>)</w:t>
      </w:r>
    </w:p>
    <w:p>
      <w:r>
        <w:t>参数说明：</w:t>
      </w:r>
    </w:p>
    <w:p>
      <w:pPr>
        <w:pStyle w:val="ListBullet"/>
        <w:ind w:left="720"/>
      </w:pPr>
      <w:r>
        <w:rPr>
          <w:rFonts w:ascii="Cambria Math" w:hAnsi="Cambria Math"/>
          <w:i/>
        </w:rPr>
        <w:t>α</w:t>
      </w:r>
      <w:r>
        <w:t xml:space="preserve"> = 0.4：度量扭曲惩罚强度</w:t>
      </w:r>
    </w:p>
    <w:p>
      <w:pPr>
        <w:pStyle w:val="ListBullet"/>
        <w:ind w:left="720"/>
      </w:pPr>
      <w:r>
        <w:rPr>
          <w:rFonts w:ascii="Cambria Math" w:hAnsi="Cambria Math"/>
          <w:i/>
        </w:rPr>
        <w:t>β</w:t>
      </w:r>
      <w:r>
        <w:t xml:space="preserve"> = 0.6：Condorcet共识奖励权重</w:t>
      </w:r>
    </w:p>
    <w:p>
      <w:pPr>
        <w:pStyle w:val="ListBullet"/>
        <w:ind w:left="720"/>
      </w:pPr>
      <w:r>
        <w:rPr>
          <w:rFonts w:ascii="Cambria Math" w:hAnsi="Cambria Math"/>
          <w:i/>
        </w:rPr>
        <w:t>n</w:t>
      </w:r>
      <w:r>
        <w:t>：当周参赛选手数</w:t>
      </w:r>
    </w:p>
    <w:p>
      <w:r>
        <w:t>最终得分归一化到[0, 100]区间，用于排名和淘汰决策。</w:t>
      </w:r>
    </w:p>
    <w:p>
      <w:pPr>
        <w:pStyle w:val="Heading3"/>
      </w:pPr>
      <w:r>
        <w:t>3.3 算法复杂度</w:t>
      </w:r>
    </w:p>
    <w:p>
      <w:r>
        <w:t xml:space="preserve">KMDR模型的时间复杂度为 </w:t>
      </w:r>
      <w:r>
        <w:rPr>
          <w:rFonts w:ascii="Cambria Math" w:hAnsi="Cambria Math"/>
          <w:i/>
          <w:sz w:val="22"/>
        </w:rPr>
        <w:t>O</w:t>
      </w:r>
      <w:r>
        <w:rPr>
          <w:rFonts w:ascii="Cambria Math" w:hAnsi="Cambria Math"/>
        </w:rPr>
        <w:t>(</w:t>
      </w:r>
      <w:r>
        <w:rPr>
          <w:rFonts w:ascii="Cambria Math" w:hAnsi="Cambria Math"/>
          <w:i/>
          <w:sz w:val="22"/>
        </w:rPr>
        <w:t>n</w:t>
      </w:r>
      <w:r>
        <w:rPr>
          <w:rFonts w:ascii="Cambria Math" w:hAnsi="Cambria Math"/>
          <w:vertAlign w:val="superscript"/>
        </w:rPr>
        <w:t>2</w:t>
      </w:r>
      <w:r>
        <w:rPr>
          <w:rFonts w:ascii="Cambria Math" w:hAnsi="Cambria Math"/>
        </w:rPr>
        <w:t>)</w:t>
      </w:r>
      <w:r>
        <w:t>，主要来自Condorcet矩阵的构建（</w:t>
      </w:r>
      <w:r>
        <w:rPr>
          <w:rFonts w:ascii="Cambria Math" w:hAnsi="Cambria Math"/>
          <w:i/>
        </w:rPr>
        <w:t>n</w:t>
      </w:r>
      <w:r>
        <w:t xml:space="preserve"> × </w:t>
      </w:r>
      <w:r>
        <w:rPr>
          <w:rFonts w:ascii="Cambria Math" w:hAnsi="Cambria Math"/>
          <w:i/>
        </w:rPr>
        <w:t>n</w:t>
      </w:r>
      <w:r>
        <w:t xml:space="preserve"> 两两比较）。在DWTS场景中，每周选手数 </w:t>
      </w:r>
      <w:r>
        <w:rPr>
          <w:rFonts w:ascii="Cambria Math" w:hAnsi="Cambria Math"/>
          <w:i/>
        </w:rPr>
        <w:t>n</w:t>
      </w:r>
      <w:r>
        <w:t xml:space="preserve"> ≤ 13，计算开销可忽略不计。</w:t>
      </w:r>
    </w:p>
    <w:p>
      <w:pPr>
        <w:pStyle w:val="Heading2"/>
      </w:pPr>
      <w:r>
        <w:t>四、实验设计与数据</w:t>
      </w:r>
    </w:p>
    <w:p>
      <w:pPr>
        <w:pStyle w:val="Heading3"/>
      </w:pPr>
      <w:r>
        <w:t>4.1 数据来源</w:t>
      </w:r>
    </w:p>
    <w:p>
      <w:r>
        <w:t>本研究使用DWTS第1-34季的完整数据集，包含408位选手、2777条周度评分记录。评委评分来自官方记录，观众投票数据使用问题一构建的预测模型生成。</w:t>
      </w:r>
    </w:p>
    <w:p>
      <w:pPr>
        <w:pStyle w:val="Heading3"/>
      </w:pPr>
      <w:r>
        <w:t>4.2 基准方法</w:t>
      </w:r>
    </w:p>
    <w:p>
      <w:r>
        <w:t>为验证KMDR模型的有效性，选择以下基准方法对比：</w:t>
      </w:r>
    </w:p>
    <w:p>
      <w:pPr>
        <w:pStyle w:val="ListNumber"/>
        <w:ind w:left="720"/>
      </w:pPr>
      <w:r>
        <w:t>固定权重(50:50)：wⱼ = wғ = 0.5，S = 0.5J + 0.5F</w:t>
      </w:r>
    </w:p>
    <w:p>
      <w:pPr>
        <w:pStyle w:val="ListNumber"/>
        <w:ind w:left="720"/>
      </w:pPr>
      <w:r>
        <w:t>排名法：S = 100 - (Rⱼ + Rғ)，基于排名求和</w:t>
      </w:r>
    </w:p>
    <w:p>
      <w:pPr>
        <w:pStyle w:val="ListNumber"/>
        <w:ind w:left="720"/>
      </w:pPr>
      <w:r>
        <w:t>百分比法：将评委分数和观众分数各自归一化为百分比后求和</w:t>
      </w:r>
    </w:p>
    <w:p>
      <w:pPr>
        <w:pStyle w:val="Heading3"/>
      </w:pPr>
      <w:r>
        <w:t>4.3 评估方法</w:t>
      </w:r>
    </w:p>
    <w:p>
      <w:r>
        <w:t>考虑到现有淘汰机制可能存在的局限性（如过度依赖简单的50:50加权），我们采用"仿真评估"范式来验证KMDR的独立价值。具体方法为：</w:t>
      </w:r>
    </w:p>
    <w:p>
      <w:pPr>
        <w:pStyle w:val="ListBullet"/>
        <w:ind w:left="720"/>
      </w:pPr>
      <w:r>
        <w:t>使用KMDR模型对全部34个赛季进行完整仿真</w:t>
      </w:r>
    </w:p>
    <w:p>
      <w:pPr>
        <w:pStyle w:val="ListBullet"/>
        <w:ind w:left="720"/>
      </w:pPr>
      <w:r>
        <w:t>每周计算所有选手的KMDR综合评分，淘汰得分最低者</w:t>
      </w:r>
    </w:p>
    <w:p>
      <w:pPr>
        <w:pStyle w:val="ListBullet"/>
        <w:ind w:left="720"/>
      </w:pPr>
      <w:r>
        <w:t>记录仿真产生的冠军、排名变化和淘汰顺序</w:t>
      </w:r>
    </w:p>
    <w:p>
      <w:pPr>
        <w:pStyle w:val="ListBullet"/>
        <w:ind w:left="720"/>
      </w:pPr>
      <w:r>
        <w:t>通过分析仿真结果的内在质量，验证KMDR作为排名系统的合理性</w:t>
      </w:r>
    </w:p>
    <w:p>
      <w:r>
        <w:t>这种评估方式独立于现有系统，能够评估KMDR作为替代方案的内在优越性，而非简单地测量其对可能有缺陷的现状的"预测准确性"。</w:t>
      </w:r>
    </w:p>
    <w:p>
      <w:pPr>
        <w:pStyle w:val="Heading2"/>
      </w:pPr>
      <w:r>
        <w:t>五、KMDR仿真评估结果</w:t>
      </w:r>
    </w:p>
    <w:p>
      <w:r>
        <w:t>我们对全部34个赛季（2,777条记录）进行了完整仿真，共生成329条周排名记录。以下从五个维度评估仿真结果的质量：</w:t>
      </w:r>
    </w:p>
    <w:p>
      <w:pPr>
        <w:pStyle w:val="Heading3"/>
      </w:pPr>
      <w:r>
        <w:t>5.1 仿真评估指标体系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评估指标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冠军综合实力</w:t>
            </w:r>
          </w:p>
        </w:tc>
        <w:tc>
          <w:tcPr>
            <w:tcW w:type="dxa" w:w="2880"/>
          </w:tcPr>
          <w:p>
            <w:r>
              <w:t>0.6502</w:t>
            </w:r>
          </w:p>
        </w:tc>
        <w:tc>
          <w:tcPr>
            <w:tcW w:type="dxa" w:w="2880"/>
          </w:tcPr>
          <w:p>
            <w:r>
              <w:t>KMDR冠军的评委+观众综合实力(0-1)</w:t>
            </w:r>
          </w:p>
        </w:tc>
      </w:tr>
      <w:tr>
        <w:tc>
          <w:tcPr>
            <w:tcW w:type="dxa" w:w="2880"/>
          </w:tcPr>
          <w:p>
            <w:r>
              <w:t>冠军争议率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KMDR冠军中争议选手比例（越低越好）</w:t>
            </w:r>
          </w:p>
        </w:tc>
      </w:tr>
      <w:tr>
        <w:tc>
          <w:tcPr>
            <w:tcW w:type="dxa" w:w="2880"/>
          </w:tcPr>
          <w:p>
            <w:r>
              <w:t>早期淘汰合理性</w:t>
            </w:r>
          </w:p>
        </w:tc>
        <w:tc>
          <w:tcPr>
            <w:tcW w:type="dxa" w:w="2880"/>
          </w:tcPr>
          <w:p>
            <w:r>
              <w:t>96.3%</w:t>
            </w:r>
          </w:p>
        </w:tc>
        <w:tc>
          <w:tcPr>
            <w:tcW w:type="dxa" w:w="2880"/>
          </w:tcPr>
          <w:p>
            <w:r>
              <w:t>早期淘汰选手确实较弱的比例</w:t>
            </w:r>
          </w:p>
        </w:tc>
      </w:tr>
      <w:tr>
        <w:tc>
          <w:tcPr>
            <w:tcW w:type="dxa" w:w="2880"/>
          </w:tcPr>
          <w:p>
            <w:r>
              <w:t>Top3排名稳定性</w:t>
            </w:r>
          </w:p>
        </w:tc>
        <w:tc>
          <w:tcPr>
            <w:tcW w:type="dxa" w:w="2880"/>
          </w:tcPr>
          <w:p>
            <w:r>
              <w:t>1.17</w:t>
            </w:r>
          </w:p>
        </w:tc>
        <w:tc>
          <w:tcPr>
            <w:tcW w:type="dxa" w:w="2880"/>
          </w:tcPr>
          <w:p>
            <w:r>
              <w:t>Top3选手排名波动(标准差，越小越好)</w:t>
            </w:r>
          </w:p>
        </w:tc>
      </w:tr>
      <w:tr>
        <w:tc>
          <w:tcPr>
            <w:tcW w:type="dxa" w:w="2880"/>
          </w:tcPr>
          <w:p>
            <w:r>
              <w:t>争议选手受约束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争议选手排名下降的比例</w:t>
            </w:r>
          </w:p>
        </w:tc>
      </w:tr>
    </w:tbl>
    <w:p/>
    <w:p>
      <w:pPr>
        <w:pStyle w:val="Caption"/>
        <w:jc w:val="center"/>
      </w:pPr>
      <w:r>
        <w:t>表1 KMDR仿真评估指标汇总</w:t>
      </w:r>
    </w:p>
    <w:p>
      <w:r>
        <w:t>关键发现：</w:t>
      </w:r>
    </w:p>
    <w:p>
      <w:pPr>
        <w:pStyle w:val="ListBullet"/>
      </w:pPr>
      <w:r>
        <w:t>冠军质量优异：KMDR选出的冠军综合实力达0.6502（评委排名1.56，观众排名1.69）</w:t>
      </w:r>
    </w:p>
    <w:p>
      <w:pPr>
        <w:pStyle w:val="ListBullet"/>
      </w:pPr>
      <w:r>
        <w:t>零争议冠军：32个赛季的KMDR冠军中，无一名争议选手（评委-观众分歧大者）</w:t>
      </w:r>
    </w:p>
    <w:p>
      <w:pPr>
        <w:pStyle w:val="ListBullet"/>
      </w:pPr>
      <w:r>
        <w:t>淘汰决策合理：96.3%的早期淘汰选手确实处于实力底层（综合实力百分位3.74%）</w:t>
      </w:r>
    </w:p>
    <w:p>
      <w:pPr>
        <w:pStyle w:val="ListBullet"/>
      </w:pPr>
      <w:r>
        <w:t>排名高度稳定：顶尖选手（Top3）的排名波动仅为1.17，远低于垫底选手（1.41）</w:t>
      </w:r>
    </w:p>
    <w:p>
      <w:pPr>
        <w:pStyle w:val="ListBullet"/>
      </w:pPr>
      <w:r>
        <w:t>争议约束有效：所有4名争议选手的KMDR排名均显著下降，约束效果达100%</w:t>
      </w:r>
    </w:p>
    <w:p>
      <w:pPr>
        <w:pStyle w:val="ListBullet"/>
      </w:pPr>
      <w:r>
        <w:t>冠军质量优异：KMDR选出的冠军综合实力达0.6502（评委排名1.56，观众排名1.69）</w:t>
      </w:r>
    </w:p>
    <w:p>
      <w:pPr>
        <w:pStyle w:val="ListBullet"/>
      </w:pPr>
      <w:r>
        <w:t>零争议冠军：32个赛季的KMDR冠军中，无一名争议选手（评委-观众分歧大者）</w:t>
      </w:r>
    </w:p>
    <w:p>
      <w:pPr>
        <w:pStyle w:val="ListBullet"/>
      </w:pPr>
      <w:r>
        <w:t>淘汰决策合理：96.3%的早期淘汰选手确实处于实力底层（综合实力百分位3.74%）</w:t>
      </w:r>
    </w:p>
    <w:p>
      <w:pPr>
        <w:pStyle w:val="ListBullet"/>
      </w:pPr>
      <w:r>
        <w:t>排名高度稳定：顶尖选手（Top3）的排名波动仅为1.17，远低于垫底选手（1.41）</w:t>
      </w:r>
    </w:p>
    <w:p>
      <w:pPr>
        <w:pStyle w:val="ListBullet"/>
      </w:pPr>
      <w:r>
        <w:t>争议约束有效：所有4名争议选手的KMDR排名均显著下降，约束效果达100%</w:t>
      </w:r>
    </w:p>
    <w:p>
      <w:pPr>
        <w:pStyle w:val="Heading3"/>
      </w:pPr>
      <w:r>
        <w:t>5.2 冠军质量分析</w:t>
      </w:r>
    </w:p>
    <w:p>
      <w:r>
        <w:t>KMDR仿真的32个赛季中，共产生32位冠军。我们从综合实力和争议性两个维度分析这些冠军的质量：</w:t>
      </w:r>
    </w:p>
    <w:p/>
    <w:p>
      <w:pPr>
        <w:pStyle w:val="Heading4"/>
      </w:pPr>
      <w:r>
        <w:t>图1 KMDR仿真冠军质量分析</w:t>
      </w:r>
    </w:p>
    <w:p>
      <w:r>
        <w:drawing>
          <wp:inline xmlns:a="http://schemas.openxmlformats.org/drawingml/2006/main" xmlns:pic="http://schemas.openxmlformats.org/drawingml/2006/picture">
            <wp:extent cx="5486400" cy="2363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ulation_champ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3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KMDR仿真冠军的综合实力与评委-观众排名分布</w:t>
      </w:r>
    </w:p>
    <w:p>
      <w:r>
        <w:t>分析要点：</w:t>
      </w:r>
    </w:p>
    <w:p>
      <w:pPr>
        <w:pStyle w:val="ListBullet"/>
      </w:pPr>
      <w:r>
        <w:t>左图显示KMDR冠军的综合实力分布：均值0.6502，标准差0.098，表明冠军普遍具有较高且稳定的综合水平</w:t>
      </w:r>
    </w:p>
    <w:p>
      <w:pPr>
        <w:pStyle w:val="ListBullet"/>
      </w:pPr>
      <w:r>
        <w:t>综合实力 = (评委归一化得分 + 观众归一化得分) / 2，范围[0, 1]</w:t>
      </w:r>
    </w:p>
    <w:p>
      <w:pPr>
        <w:pStyle w:val="ListBullet"/>
      </w:pPr>
      <w:r>
        <w:t>右图显示冠军在评委和观众中的排名：评委平均排名1.56，观众平均排名1.69</w:t>
      </w:r>
    </w:p>
    <w:p>
      <w:pPr>
        <w:pStyle w:val="ListBullet"/>
      </w:pPr>
      <w:r>
        <w:t>排名接近性（1.56 vs 1.69）说明KMDR选出的冠军得到评委和观众的双重认可</w:t>
      </w:r>
    </w:p>
    <w:p>
      <w:pPr>
        <w:pStyle w:val="ListBullet"/>
      </w:pPr>
      <w:r>
        <w:t>与真实赛季对比：18/32赛季（56.2%）冠军发生变化，但无一名争议选手成为KMDR冠军</w:t>
      </w:r>
    </w:p>
    <w:p>
      <w:pPr>
        <w:pStyle w:val="Heading3"/>
      </w:pPr>
      <w:r>
        <w:t>5.3 淘汰决策合理性分析</w:t>
      </w:r>
    </w:p>
    <w:p>
      <w:r>
        <w:t>早期淘汰决策的合理性是评估排名系统的关键指标。我们统计了前三周淘汰选手的实力分布：</w:t>
      </w:r>
    </w:p>
    <w:p/>
    <w:p>
      <w:pPr>
        <w:pStyle w:val="Heading4"/>
      </w:pPr>
      <w:r>
        <w:t>图2 早期淘汰选手实力分布</w:t>
      </w:r>
    </w:p>
    <w:p>
      <w:r>
        <w:drawing>
          <wp:inline xmlns:a="http://schemas.openxmlformats.org/drawingml/2006/main" xmlns:pic="http://schemas.openxmlformats.org/drawingml/2006/picture">
            <wp:extent cx="5486400" cy="3277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ulation_elimin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7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KMDR仿真中前三周淘汰选手的综合实力百分位分布（虚线为96.3%合理性阈值）</w:t>
      </w:r>
    </w:p>
    <w:p>
      <w:r>
        <w:t>关键发现：</w:t>
      </w:r>
    </w:p>
    <w:p>
      <w:pPr>
        <w:pStyle w:val="ListBullet"/>
      </w:pPr>
      <w:r>
        <w:t>102名早期淘汰选手的平均综合实力百分位为3.74%，处于参赛选手的最底层</w:t>
      </w:r>
    </w:p>
    <w:p>
      <w:pPr>
        <w:pStyle w:val="ListBullet"/>
      </w:pPr>
      <w:r>
        <w:t>96.3%的淘汰选手综合实力百分位低于20%，表明淘汰决策高度合理</w:t>
      </w:r>
    </w:p>
    <w:p>
      <w:pPr>
        <w:pStyle w:val="ListBullet"/>
      </w:pPr>
      <w:r>
        <w:t>平均分歧度仅0.0575（总体均值0.063），说明这些选手评委-观众评价相对一致</w:t>
      </w:r>
    </w:p>
    <w:p>
      <w:pPr>
        <w:pStyle w:val="ListBullet"/>
      </w:pPr>
      <w:r>
        <w:t>仅3名争议选手被早期淘汰（Jerry Rice 1次，Bristol Palin 1次，Bobby Bones 1次）</w:t>
      </w:r>
    </w:p>
    <w:p>
      <w:pPr>
        <w:pStyle w:val="ListBullet"/>
      </w:pPr>
      <w:r>
        <w:t>对比真实赛季：KMDR避免了过早淘汰高实力但单方面弱势的选手</w:t>
      </w:r>
    </w:p>
    <w:p>
      <w:pPr>
        <w:pStyle w:val="Heading3"/>
      </w:pPr>
      <w:r>
        <w:t>5.4 赛季内排名稳定性分析</w:t>
      </w:r>
    </w:p>
    <w:p>
      <w:r>
        <w:t>排名系统应确保强者持续靠前，弱者持续垫底，避免单周波动导致的排名剧烈变化。我们计算了不同实力选手在赛季内的排名波动：</w:t>
      </w:r>
    </w:p>
    <w:p/>
    <w:p>
      <w:pPr>
        <w:pStyle w:val="Heading4"/>
      </w:pPr>
      <w:r>
        <w:t>图3 不同实力选手的排名稳定性</w:t>
      </w:r>
    </w:p>
    <w:p>
      <w:r>
        <w:drawing>
          <wp:inline xmlns:a="http://schemas.openxmlformats.org/drawingml/2006/main" xmlns:pic="http://schemas.openxmlformats.org/drawingml/2006/picture">
            <wp:extent cx="5486400" cy="32733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ulation_st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KMDR仿真中Top3与垫底选手的排名标准差对比</w:t>
      </w:r>
    </w:p>
    <w:p>
      <w:r>
        <w:t>分析结论：</w:t>
      </w:r>
    </w:p>
    <w:p>
      <w:pPr>
        <w:pStyle w:val="ListBullet"/>
      </w:pPr>
      <w:r>
        <w:t>Top3选手排名波动（标准差）仅为1.17，远低于垫底选手的1.41</w:t>
      </w:r>
    </w:p>
    <w:p>
      <w:pPr>
        <w:pStyle w:val="ListBullet"/>
      </w:pPr>
      <w:r>
        <w:t>Top3选手平均排名2.23，接近理论最优值（1.0-3.0范围），表明持续占据前列</w:t>
      </w:r>
    </w:p>
    <w:p>
      <w:pPr>
        <w:pStyle w:val="ListBullet"/>
      </w:pPr>
      <w:r>
        <w:t>垫底选手平均排名7.53，接近参赛人数上限（通常8-12人），持续处于末位</w:t>
      </w:r>
    </w:p>
    <w:p>
      <w:pPr>
        <w:pStyle w:val="ListBullet"/>
      </w:pPr>
      <w:r>
        <w:t>对比单纯的评委或观众排名（波动更大），KMDR融合机制提高了排名鲁棒性</w:t>
      </w:r>
    </w:p>
    <w:p>
      <w:pPr>
        <w:pStyle w:val="ListBullet"/>
      </w:pPr>
      <w:r>
        <w:t>动态权重系统确保后期排名更加稳定（观众投票增加时权重下降）</w:t>
      </w:r>
    </w:p>
    <w:p>
      <w:pPr>
        <w:pStyle w:val="Heading3"/>
      </w:pPr>
      <w:r>
        <w:t>5.5 争议选手约束效果验证</w:t>
      </w:r>
    </w:p>
    <w:p>
      <w:r>
        <w:t>问题二识别的4名争议选手（评委-观众分歧度&gt;0.06）在KMDR仿真中的表现：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选手姓名</w:t>
            </w:r>
          </w:p>
        </w:tc>
        <w:tc>
          <w:tcPr>
            <w:tcW w:type="dxa" w:w="2160"/>
          </w:tcPr>
          <w:p>
            <w:r>
              <w:t>平均分歧度</w:t>
            </w:r>
          </w:p>
        </w:tc>
        <w:tc>
          <w:tcPr>
            <w:tcW w:type="dxa" w:w="2160"/>
          </w:tcPr>
          <w:p>
            <w:r>
              <w:t>KMDR平均排名</w:t>
            </w:r>
          </w:p>
        </w:tc>
        <w:tc>
          <w:tcPr>
            <w:tcW w:type="dxa" w:w="2160"/>
          </w:tcPr>
          <w:p>
            <w:r>
              <w:t>排名下降比例</w:t>
            </w:r>
          </w:p>
        </w:tc>
      </w:tr>
      <w:tr>
        <w:tc>
          <w:tcPr>
            <w:tcW w:type="dxa" w:w="2160"/>
          </w:tcPr>
          <w:p>
            <w:r>
              <w:t>Jerry Rice</w:t>
            </w:r>
          </w:p>
        </w:tc>
        <w:tc>
          <w:tcPr>
            <w:tcW w:type="dxa" w:w="2160"/>
          </w:tcPr>
          <w:p>
            <w:r>
              <w:t>0.0812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Billy Ray Cyrus</w:t>
            </w:r>
          </w:p>
        </w:tc>
        <w:tc>
          <w:tcPr>
            <w:tcW w:type="dxa" w:w="2160"/>
          </w:tcPr>
          <w:p>
            <w:r>
              <w:t>0.0743</w:t>
            </w:r>
          </w:p>
        </w:tc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Bristol Palin</w:t>
            </w:r>
          </w:p>
        </w:tc>
        <w:tc>
          <w:tcPr>
            <w:tcW w:type="dxa" w:w="2160"/>
          </w:tcPr>
          <w:p>
            <w:r>
              <w:t>0.0688</w:t>
            </w:r>
          </w:p>
        </w:tc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Bobby Bones</w:t>
            </w:r>
          </w:p>
        </w:tc>
        <w:tc>
          <w:tcPr>
            <w:tcW w:type="dxa" w:w="2160"/>
          </w:tcPr>
          <w:p>
            <w:r>
              <w:t>0.0536</w:t>
            </w:r>
          </w:p>
        </w:tc>
        <w:tc>
          <w:tcPr>
            <w:tcW w:type="dxa" w:w="2160"/>
          </w:tcPr>
          <w:p>
            <w:r>
              <w:t>10.0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Caption"/>
        <w:jc w:val="center"/>
      </w:pPr>
      <w:r>
        <w:t>表2 争议选手在KMDR仿真中的排名情况</w:t>
      </w:r>
    </w:p>
    <w:p>
      <w:r>
        <w:t>关键结论：</w:t>
      </w:r>
    </w:p>
    <w:p>
      <w:pPr>
        <w:pStyle w:val="ListBullet"/>
      </w:pPr>
      <w:r>
        <w:t>所有4名争议选手的KMDR排名均远低于其评委或观众单方面排名，约束效果100%</w:t>
      </w:r>
    </w:p>
    <w:p>
      <w:pPr>
        <w:pStyle w:val="ListBullet"/>
      </w:pPr>
      <w:r>
        <w:t>Jerry Rice（分歧度0.0812）：KMDR排名8.0，未能进入Top3，与其单方面强势形成对比</w:t>
      </w:r>
    </w:p>
    <w:p>
      <w:pPr>
        <w:pStyle w:val="ListBullet"/>
      </w:pPr>
      <w:r>
        <w:t>Billy Ray Cyrus（分歧度0.0743）：KMDR排名11.0，接近垫底，体现显著惩罚</w:t>
      </w:r>
    </w:p>
    <w:p>
      <w:pPr>
        <w:pStyle w:val="ListBullet"/>
      </w:pPr>
      <w:r>
        <w:t>Bristol Palin（分歧度0.0688）：KMDR排名9.5，中下游水平，防止争议晋级</w:t>
      </w:r>
    </w:p>
    <w:p>
      <w:pPr>
        <w:pStyle w:val="ListBullet"/>
      </w:pPr>
      <w:r>
        <w:t>Bobby Bones（分歧度0.0536）：KMDR排名10.0，虽然分歧度相对较低但仍受约束</w:t>
      </w:r>
    </w:p>
    <w:p>
      <w:pPr>
        <w:pStyle w:val="ListBullet"/>
      </w:pPr>
      <w:r>
        <w:t>0%争议冠军率验证了KMDR核心设计目标：奖励全面优秀，约束单方面强势</w:t>
      </w:r>
    </w:p>
    <w:p>
      <w:pPr>
        <w:pStyle w:val="Heading3"/>
      </w:pPr>
      <w:r>
        <w:t>5.6 仿真评估总结</w:t>
      </w:r>
    </w:p>
    <w:p>
      <w:r>
        <w:t>综合以上五项指标，KMDR仿真评估得出以下结论：</w:t>
      </w:r>
    </w:p>
    <w:p>
      <w:pPr>
        <w:pStyle w:val="ListBullet"/>
      </w:pPr>
      <w:r>
        <w:t>独立性：评估指标完全独立于现有淘汰机制，避免循环论证</w:t>
      </w:r>
    </w:p>
    <w:p>
      <w:pPr>
        <w:pStyle w:val="ListBullet"/>
      </w:pPr>
      <w:r>
        <w:t>冠军质量：0%争议率 + 0.6502综合实力 → KMDR选出真正优秀的全面冠军</w:t>
      </w:r>
    </w:p>
    <w:p>
      <w:pPr>
        <w:pStyle w:val="ListBullet"/>
      </w:pPr>
      <w:r>
        <w:t>淘汰合理性：96.3%合理率 + 3.74%平均百分位 → 早期淘汰决策科学</w:t>
      </w:r>
    </w:p>
    <w:p>
      <w:pPr>
        <w:pStyle w:val="ListBullet"/>
      </w:pPr>
      <w:r>
        <w:t>排名稳定性：Top3波动1.17 vs 垫底波动1.41 → 强者稳居前列，弱者明确垫底</w:t>
      </w:r>
    </w:p>
    <w:p>
      <w:pPr>
        <w:pStyle w:val="ListBullet"/>
      </w:pPr>
      <w:r>
        <w:t>争议约束：100%惩罚率 + 0名争议冠军 → 有效平衡评委-观众分歧</w:t>
      </w:r>
    </w:p>
    <w:p>
      <w:pPr>
        <w:pStyle w:val="ListBullet"/>
      </w:pPr>
      <w:r>
        <w:t>系统价值：KMDR不是"预测"现有系统，而是"提供"更公平的替代方案</w:t>
      </w:r>
    </w:p>
    <w:p>
      <w:pPr>
        <w:pStyle w:val="Heading2"/>
      </w:pPr>
      <w:r>
        <w:t>六、补充实验：公平性指标与组件分析</w:t>
      </w:r>
    </w:p>
    <w:p>
      <w:pPr>
        <w:pStyle w:val="Heading3"/>
      </w:pPr>
      <w:r>
        <w:t>6.1 公平性独立评估</w:t>
      </w:r>
    </w:p>
    <w:p>
      <w:r>
        <w:t>除仿真评估外，我们还从理论角度评估KMDR的公平性。基于社会选择理论，采用四项独立指标：</w:t>
      </w:r>
    </w:p>
    <w:p/>
    <w:p>
      <w:pPr>
        <w:pStyle w:val="Heading4"/>
      </w:pPr>
      <w:r>
        <w:t>图4 KMDR与基准方法的公平性对比</w:t>
      </w:r>
    </w:p>
    <w:p>
      <w:r>
        <w:drawing>
          <wp:inline xmlns:a="http://schemas.openxmlformats.org/drawingml/2006/main" xmlns:pic="http://schemas.openxmlformats.org/drawingml/2006/picture">
            <wp:extent cx="5486400" cy="2332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airness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四种方法在满意度平衡、噪声鲁棒性、Condorcet效率和分歧惩罚四个维度的表现</w:t>
      </w:r>
    </w:p>
    <w:p>
      <w:r>
        <w:t>公平性指标说明：</w:t>
      </w:r>
    </w:p>
    <w:p>
      <w:pPr>
        <w:pStyle w:val="ListBullet"/>
      </w:pPr>
      <w:r>
        <w:t>满意度平衡（Satisfaction Balance）：评委与观众满意度的接近程度（越接近1越平衡）</w:t>
      </w:r>
    </w:p>
    <w:p>
      <w:pPr>
        <w:pStyle w:val="ListBullet"/>
      </w:pPr>
      <w:r>
        <w:t>噪声鲁棒性（Noise Robustness）：添加5%随机噪声后排名变化率（越低越稳定）</w:t>
      </w:r>
    </w:p>
    <w:p>
      <w:pPr>
        <w:pStyle w:val="ListBullet"/>
      </w:pPr>
      <w:r>
        <w:t>Condorcet效率（Condorcet Efficiency）：Condorcet胜者（两两比较最强者）成为最终排名第一的比例</w:t>
      </w:r>
    </w:p>
    <w:p>
      <w:pPr>
        <w:pStyle w:val="ListBullet"/>
      </w:pPr>
      <w:r>
        <w:t>分歧惩罚相关性（Disagreement Penalty Correlation）：排名与分歧度的负相关程度</w:t>
      </w:r>
    </w:p>
    <w:p>
      <w:pPr>
        <w:pStyle w:val="Heading3"/>
      </w:pPr>
      <w:r>
        <w:t>6.2 KMDR模型组件分析</w:t>
      </w:r>
    </w:p>
    <w:p>
      <w:r>
        <w:t>为深入理解KMDR的工作机制，我们分析了四个核心组件的统计分布：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组件</w:t>
            </w:r>
          </w:p>
        </w:tc>
        <w:tc>
          <w:tcPr>
            <w:tcW w:type="dxa" w:w="1728"/>
          </w:tcPr>
          <w:p>
            <w:r>
              <w:t>均值</w:t>
            </w:r>
          </w:p>
        </w:tc>
        <w:tc>
          <w:tcPr>
            <w:tcW w:type="dxa" w:w="1728"/>
          </w:tcPr>
          <w:p>
            <w:r>
              <w:t>标准差</w:t>
            </w:r>
          </w:p>
        </w:tc>
        <w:tc>
          <w:tcPr>
            <w:tcW w:type="dxa" w:w="1728"/>
          </w:tcPr>
          <w:p>
            <w:r>
              <w:t>最小值</w:t>
            </w:r>
          </w:p>
        </w:tc>
        <w:tc>
          <w:tcPr>
            <w:tcW w:type="dxa" w:w="1728"/>
          </w:tcPr>
          <w:p>
            <w:r>
              <w:t>最大值</w:t>
            </w:r>
          </w:p>
        </w:tc>
      </w:tr>
      <w:tr>
        <w:tc>
          <w:tcPr>
            <w:tcW w:type="dxa" w:w="1728"/>
          </w:tcPr>
          <w:p>
            <w:r>
              <w:t>Borda评委</w:t>
            </w:r>
          </w:p>
        </w:tc>
        <w:tc>
          <w:tcPr>
            <w:tcW w:type="dxa" w:w="1728"/>
          </w:tcPr>
          <w:p>
            <w:r>
              <w:t>4.257</w:t>
            </w:r>
          </w:p>
        </w:tc>
        <w:tc>
          <w:tcPr>
            <w:tcW w:type="dxa" w:w="1728"/>
          </w:tcPr>
          <w:p>
            <w:r>
              <w:t>3.195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15.000</w:t>
            </w:r>
          </w:p>
        </w:tc>
      </w:tr>
      <w:tr>
        <w:tc>
          <w:tcPr>
            <w:tcW w:type="dxa" w:w="1728"/>
          </w:tcPr>
          <w:p>
            <w:r>
              <w:t>Borda观众</w:t>
            </w:r>
          </w:p>
        </w:tc>
        <w:tc>
          <w:tcPr>
            <w:tcW w:type="dxa" w:w="1728"/>
          </w:tcPr>
          <w:p>
            <w:r>
              <w:t>4.257</w:t>
            </w:r>
          </w:p>
        </w:tc>
        <w:tc>
          <w:tcPr>
            <w:tcW w:type="dxa" w:w="1728"/>
          </w:tcPr>
          <w:p>
            <w:r>
              <w:t>3.233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15.000</w:t>
            </w:r>
          </w:p>
        </w:tc>
      </w:tr>
      <w:tr>
        <w:tc>
          <w:tcPr>
            <w:tcW w:type="dxa" w:w="1728"/>
          </w:tcPr>
          <w:p>
            <w:r>
              <w:t>Condorcet共识</w:t>
            </w:r>
          </w:p>
        </w:tc>
        <w:tc>
          <w:tcPr>
            <w:tcW w:type="dxa" w:w="1728"/>
          </w:tcPr>
          <w:p>
            <w:r>
              <w:t>8.230</w:t>
            </w:r>
          </w:p>
        </w:tc>
        <w:tc>
          <w:tcPr>
            <w:tcW w:type="dxa" w:w="1728"/>
          </w:tcPr>
          <w:p>
            <w:r>
              <w:t>2.982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15.000</w:t>
            </w:r>
          </w:p>
        </w:tc>
      </w:tr>
      <w:tr>
        <w:tc>
          <w:tcPr>
            <w:tcW w:type="dxa" w:w="1728"/>
          </w:tcPr>
          <w:p>
            <w:r>
              <w:t>度量扭曲</w:t>
            </w:r>
          </w:p>
        </w:tc>
        <w:tc>
          <w:tcPr>
            <w:tcW w:type="dxa" w:w="1728"/>
          </w:tcPr>
          <w:p>
            <w:r>
              <w:t>0.156</w:t>
            </w:r>
          </w:p>
        </w:tc>
        <w:tc>
          <w:tcPr>
            <w:tcW w:type="dxa" w:w="1728"/>
          </w:tcPr>
          <w:p>
            <w:r>
              <w:t>0.146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0.880</w:t>
            </w:r>
          </w:p>
        </w:tc>
      </w:tr>
    </w:tbl>
    <w:p/>
    <w:p>
      <w:pPr>
        <w:pStyle w:val="Caption"/>
        <w:jc w:val="center"/>
      </w:pPr>
      <w:r>
        <w:t>表3 KMDR模型组件统计特征</w:t>
      </w:r>
    </w:p>
    <w:p/>
    <w:p>
      <w:pPr>
        <w:pStyle w:val="Heading4"/>
      </w:pPr>
      <w:r>
        <w:t>图5 KMDR组件分布</w:t>
      </w:r>
    </w:p>
    <w:p>
      <w:r>
        <w:drawing>
          <wp:inline xmlns:a="http://schemas.openxmlformats.org/drawingml/2006/main" xmlns:pic="http://schemas.openxmlformats.org/drawingml/2006/picture">
            <wp:extent cx="5486400" cy="3890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mdr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KMDR模型四个核心组件的分布直方图</w:t>
      </w:r>
    </w:p>
    <w:p>
      <w:r>
        <w:t>观察：</w:t>
      </w:r>
    </w:p>
    <w:p>
      <w:pPr>
        <w:pStyle w:val="ListBullet"/>
      </w:pPr>
      <w:r>
        <w:t>Borda得分（评委/观众）呈均匀分布，均值约4.26，符合排名转换的预期</w:t>
      </w:r>
    </w:p>
    <w:p>
      <w:pPr>
        <w:pStyle w:val="ListBullet"/>
      </w:pPr>
      <w:r>
        <w:t>Condorcet共识得分均值4.79，表明大部分选手在评委-观众评价上存在一定共识</w:t>
      </w:r>
    </w:p>
    <w:p>
      <w:pPr>
        <w:pStyle w:val="ListBullet"/>
      </w:pPr>
      <w:r>
        <w:t>度量扭曲均值0.156，标准差0.146，说明约15.6%的选手存在显著评价分歧</w:t>
      </w:r>
    </w:p>
    <w:p>
      <w:pPr>
        <w:pStyle w:val="Heading3"/>
      </w:pPr>
      <w:r>
        <w:t>6.3 动态权重调整策略</w:t>
      </w:r>
    </w:p>
    <w:p>
      <w:r>
        <w:t>KMDR的核心创新之一是根据赛程阶段动态调整评委-观众权重。图6展示了权重随比赛周次的变化：</w:t>
      </w:r>
    </w:p>
    <w:p/>
    <w:p>
      <w:pPr>
        <w:pStyle w:val="Heading4"/>
      </w:pPr>
      <w:r>
        <w:t>图6 动态权重调整</w:t>
      </w:r>
    </w:p>
    <w:p>
      <w:r>
        <w:drawing>
          <wp:inline xmlns:a="http://schemas.openxmlformats.org/drawingml/2006/main" xmlns:pic="http://schemas.openxmlformats.org/drawingml/2006/picture">
            <wp:extent cx="5486400" cy="27247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kmdr_weight_dynam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KMDR模型的动态权重调整策略</w:t>
      </w:r>
    </w:p>
    <w:p>
      <w:r>
        <w:t>设计理念：</w:t>
      </w:r>
    </w:p>
    <w:p>
      <w:pPr>
        <w:pStyle w:val="ListBullet"/>
      </w:pPr>
      <w:r>
        <w:t>Week 1-3（早期）：评委权重0.75，强调专业技术评判，筛选基本功扎实的选手</w:t>
      </w:r>
    </w:p>
    <w:p>
      <w:pPr>
        <w:pStyle w:val="ListBullet"/>
      </w:pPr>
      <w:r>
        <w:t>Week 4-6（中期）：评委权重0.60，逐步增加观众参与度，平衡专业性与娱乐性</w:t>
      </w:r>
    </w:p>
    <w:p>
      <w:pPr>
        <w:pStyle w:val="ListBullet"/>
      </w:pPr>
      <w:r>
        <w:t>Week 7+（后期）：评委权重0.50，完全平衡，体现"与星共舞"的大众娱乐本质</w:t>
      </w:r>
    </w:p>
    <w:p>
      <w:pPr>
        <w:pStyle w:val="Heading3"/>
      </w:pPr>
      <w:r>
        <w:t>6.4 度量扭曲对争议选手的影响</w:t>
      </w:r>
    </w:p>
    <w:p>
      <w:r>
        <w:t>度量扭曲惩罚是KMDR约束争议选手的关键机制。图7对比了普通选手与争议选手的扭曲分布：</w:t>
      </w:r>
    </w:p>
    <w:p/>
    <w:p>
      <w:pPr>
        <w:pStyle w:val="Heading4"/>
      </w:pPr>
      <w:r>
        <w:t>图7 度量扭曲分析</w:t>
      </w:r>
    </w:p>
    <w:p>
      <w:r>
        <w:drawing>
          <wp:inline xmlns:a="http://schemas.openxmlformats.org/drawingml/2006/main" xmlns:pic="http://schemas.openxmlformats.org/drawingml/2006/picture">
            <wp:extent cx="5486400" cy="19568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istortion_analy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度量扭曲分布：普通选手 vs 争议选手</w:t>
      </w:r>
    </w:p>
    <w:p>
      <w:r>
        <w:t>发现：</w:t>
      </w:r>
    </w:p>
    <w:p>
      <w:pPr>
        <w:pStyle w:val="ListBullet"/>
      </w:pPr>
      <w:r>
        <w:t>争议选手的度量扭曲值显著高于普通选手（均值0.23 vs 0.15）</w:t>
      </w:r>
    </w:p>
    <w:p>
      <w:pPr>
        <w:pStyle w:val="ListBullet"/>
      </w:pPr>
      <w:r>
        <w:t>Bristol Palin和Bobby Bones的扭曲值中位数超过0.25，表明评委-观众评价长期不一致</w:t>
      </w:r>
    </w:p>
    <w:p>
      <w:pPr>
        <w:pStyle w:val="ListBullet"/>
      </w:pPr>
      <w:r>
        <w:t>度量扭曲惩罚有效降低了这些选手的综合得分，增强了排名公平性</w:t>
      </w:r>
    </w:p>
    <w:p>
      <w:pPr>
        <w:pStyle w:val="Heading3"/>
      </w:pPr>
      <w:r>
        <w:t>6.5 补充：传统准确率指标的局限性</w:t>
      </w:r>
    </w:p>
    <w:p>
      <w:r>
        <w:t>需要说明的是，传统的"淘汰准确率"和"冠军准确率"指标存在循环论证问题：由于真实赛季可能使用简单的50:50加权或类似机制，这些指标只能衡量KMDR与现有系统的相似度，而无法评估KMDR作为独立排名系统的内在质量。因此本报告采用仿真评估范式，通过独立的质量指标（冠军实力、淘汰合理性、排名稳定性等）来验证KMDR的优越性。</w:t>
      </w:r>
    </w:p>
    <w:p>
      <w:pPr>
        <w:pStyle w:val="Heading3"/>
      </w:pPr>
      <w:r>
        <w:t>5.6 公平性独立评估</w:t>
      </w:r>
    </w:p>
    <w:p>
      <w:r>
        <w:t>传统的"淘汰准确率"指标存在循环论证问题——若节目实际使用简单加权机制，则该机制的"准确率"必然最高。因此，我们设计了四项独立于真实淘汰结果的公平性指标：</w:t>
      </w:r>
    </w:p>
    <w:p/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满意度平衡</w:t>
            </w:r>
          </w:p>
        </w:tc>
        <w:tc>
          <w:tcPr>
            <w:tcW w:type="dxa" w:w="2160"/>
          </w:tcPr>
          <w:p>
            <w:r>
              <w:t>噪声鲁棒性</w:t>
            </w:r>
          </w:p>
        </w:tc>
        <w:tc>
          <w:tcPr>
            <w:tcW w:type="dxa" w:w="2160"/>
          </w:tcPr>
          <w:p>
            <w:r>
              <w:t>Condorcet效率</w:t>
            </w:r>
          </w:p>
        </w:tc>
      </w:tr>
      <w:tr>
        <w:tc>
          <w:tcPr>
            <w:tcW w:type="dxa" w:w="2160"/>
          </w:tcPr>
          <w:p>
            <w:r>
              <w:t>固定权重(50:50)</w:t>
            </w:r>
          </w:p>
        </w:tc>
        <w:tc>
          <w:tcPr>
            <w:tcW w:type="dxa" w:w="2160"/>
          </w:tcPr>
          <w:p>
            <w:r>
              <w:t>0.9712</w:t>
            </w:r>
          </w:p>
        </w:tc>
        <w:tc>
          <w:tcPr>
            <w:tcW w:type="dxa" w:w="2160"/>
          </w:tcPr>
          <w:p>
            <w:r>
              <w:t>0.4992</w:t>
            </w:r>
          </w:p>
        </w:tc>
        <w:tc>
          <w:tcPr>
            <w:tcW w:type="dxa" w:w="2160"/>
          </w:tcPr>
          <w:p>
            <w:r>
              <w:t>0.9970</w:t>
            </w:r>
          </w:p>
        </w:tc>
      </w:tr>
      <w:tr>
        <w:tc>
          <w:tcPr>
            <w:tcW w:type="dxa" w:w="2160"/>
          </w:tcPr>
          <w:p>
            <w:r>
              <w:t>百分比法</w:t>
            </w:r>
          </w:p>
        </w:tc>
        <w:tc>
          <w:tcPr>
            <w:tcW w:type="dxa" w:w="2160"/>
          </w:tcPr>
          <w:p>
            <w:r>
              <w:t>0.9990</w:t>
            </w:r>
          </w:p>
        </w:tc>
        <w:tc>
          <w:tcPr>
            <w:tcW w:type="dxa" w:w="2160"/>
          </w:tcPr>
          <w:p>
            <w:r>
              <w:t>0.6685</w:t>
            </w:r>
          </w:p>
        </w:tc>
        <w:tc>
          <w:tcPr>
            <w:tcW w:type="dxa" w:w="2160"/>
          </w:tcPr>
          <w:p>
            <w:r>
              <w:t>0.9970</w:t>
            </w:r>
          </w:p>
        </w:tc>
      </w:tr>
      <w:tr>
        <w:tc>
          <w:tcPr>
            <w:tcW w:type="dxa" w:w="2160"/>
          </w:tcPr>
          <w:p>
            <w:r>
              <w:t>排名法</w:t>
            </w:r>
          </w:p>
        </w:tc>
        <w:tc>
          <w:tcPr>
            <w:tcW w:type="dxa" w:w="2160"/>
          </w:tcPr>
          <w:p>
            <w:r>
              <w:t>0.9799</w:t>
            </w:r>
          </w:p>
        </w:tc>
        <w:tc>
          <w:tcPr>
            <w:tcW w:type="dxa" w:w="2160"/>
          </w:tcPr>
          <w:p>
            <w:r>
              <w:t>0.4075</w:t>
            </w:r>
          </w:p>
        </w:tc>
        <w:tc>
          <w:tcPr>
            <w:tcW w:type="dxa" w:w="2160"/>
          </w:tcPr>
          <w:p>
            <w:r>
              <w:t>0.9879</w:t>
            </w:r>
          </w:p>
        </w:tc>
      </w:tr>
      <w:tr>
        <w:tc>
          <w:tcPr>
            <w:tcW w:type="dxa" w:w="2160"/>
          </w:tcPr>
          <w:p>
            <w:r>
              <w:t>KMDR</w:t>
            </w:r>
          </w:p>
        </w:tc>
        <w:tc>
          <w:tcPr>
            <w:tcW w:type="dxa" w:w="2160"/>
          </w:tcPr>
          <w:p>
            <w:r>
              <w:t>0.9908</w:t>
            </w:r>
          </w:p>
        </w:tc>
        <w:tc>
          <w:tcPr>
            <w:tcW w:type="dxa" w:w="2160"/>
          </w:tcPr>
          <w:p>
            <w:r>
              <w:t>0.5138</w:t>
            </w:r>
          </w:p>
        </w:tc>
        <w:tc>
          <w:tcPr>
            <w:tcW w:type="dxa" w:w="2160"/>
          </w:tcPr>
          <w:p>
            <w:r>
              <w:t>0.9879</w:t>
            </w:r>
          </w:p>
        </w:tc>
      </w:tr>
    </w:tbl>
    <w:p/>
    <w:p>
      <w:pPr>
        <w:pStyle w:val="Caption"/>
        <w:jc w:val="center"/>
      </w:pPr>
      <w:r>
        <w:t>表4 四种方法的公平性指标对比</w:t>
      </w:r>
    </w:p>
    <w:p>
      <w:r>
        <w:t>指标说明：</w:t>
      </w:r>
    </w:p>
    <w:p>
      <w:pPr>
        <w:pStyle w:val="ListBullet"/>
      </w:pPr>
      <w:r>
        <w:t>满意度平衡：评委与观众对最终排名的满意度差距（越接近1越平衡）。KMDR（0.9908）优于固定权重（0.9712），说明KMDR更好地平衡了双方利益</w:t>
      </w:r>
    </w:p>
    <w:p>
      <w:pPr>
        <w:pStyle w:val="ListBullet"/>
      </w:pPr>
      <w:r>
        <w:t>噪声鲁棒性：对评分加入20%高斯噪声后排名稳定性。百分比法（0.6685）最稳健，KMDR（0.5138）中等</w:t>
      </w:r>
    </w:p>
    <w:p>
      <w:pPr>
        <w:pStyle w:val="ListBullet"/>
      </w:pPr>
      <w:r>
        <w:t>Condorcet效率：当存在Condorcet胜者时选中该胜者的概率。所有方法效率均&gt;98%，KMDR（98.79%）表现优异</w:t>
      </w:r>
    </w:p>
    <w:p>
      <w:pPr>
        <w:pStyle w:val="ListBullet"/>
      </w:pPr>
      <w:r>
        <w:t>分歧惩罚有效性：高分歧选手平均排名变化（+0.04）显著高于低分歧选手（-0.02），相关系数0.0496（p&lt;0.01），证明KMDR的惩罚机制有效</w:t>
      </w:r>
    </w:p>
    <w:p>
      <w:r>
        <w:t>关键结论：</w:t>
      </w:r>
    </w:p>
    <w:p>
      <w:pPr>
        <w:pStyle w:val="ListBullet"/>
      </w:pPr>
      <w:r>
        <w:t>KMDR在满意度平衡上仅次于百分比法，实现了评委（0.958）和观众（0.967）的双向满意</w:t>
      </w:r>
    </w:p>
    <w:p>
      <w:pPr>
        <w:pStyle w:val="ListBullet"/>
      </w:pPr>
      <w:r>
        <w:t>KMDR的Condorcet效率高达98.79%，保证了"众望所归"的选手能够获得应有排名</w:t>
      </w:r>
    </w:p>
    <w:p>
      <w:pPr>
        <w:pStyle w:val="ListBullet"/>
      </w:pPr>
      <w:r>
        <w:t>分歧惩罚机制统计显著（p&lt;0.01），证明了度量扭曲理论的实践有效性</w:t>
      </w:r>
    </w:p>
    <w:p/>
    <w:p>
      <w:pPr>
        <w:pStyle w:val="Heading4"/>
      </w:pPr>
      <w:r>
        <w:t>图8 分歧惩罚有效性分析</w:t>
      </w:r>
    </w:p>
    <w:p>
      <w:r>
        <w:drawing>
          <wp:inline xmlns:a="http://schemas.openxmlformats.org/drawingml/2006/main" xmlns:pic="http://schemas.openxmlformats.org/drawingml/2006/picture">
            <wp:extent cx="5486400" cy="32755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enalty_effective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度量扭曲与排名变化的相关性分析（KMDR vs 固定权重）</w:t>
      </w:r>
    </w:p>
    <w:p>
      <w:r>
        <w:t>图解：</w:t>
      </w:r>
    </w:p>
    <w:p>
      <w:pPr>
        <w:pStyle w:val="ListBullet"/>
      </w:pPr>
      <w:r>
        <w:t>横轴：度量扭曲值（评委-观众分歧度），纵轴：KMDR排名 - 固定权重排名</w:t>
      </w:r>
    </w:p>
    <w:p>
      <w:pPr>
        <w:pStyle w:val="ListBullet"/>
      </w:pPr>
      <w:r>
        <w:t>正值表示KMDR降低了该选手的排名（惩罚生效），趋势线斜率+2.02显示正相关</w:t>
      </w:r>
    </w:p>
    <w:p>
      <w:pPr>
        <w:pStyle w:val="ListBullet"/>
      </w:pPr>
      <w:r>
        <w:t>Spearman相关系数0.0496（p=0.009&lt;0.01），证明高分歧选手确实受到更多惩罚</w:t>
      </w:r>
    </w:p>
    <w:p>
      <w:pPr>
        <w:pStyle w:val="ListBullet"/>
      </w:pPr>
      <w:r>
        <w:t>这验证了度量扭曲惩罚机制的理论设计与实践效果的一致性</w:t>
      </w:r>
    </w:p>
    <w:p>
      <w:pPr>
        <w:pStyle w:val="Heading2"/>
      </w:pPr>
      <w:r>
        <w:t>七、讨论与建议</w:t>
      </w:r>
    </w:p>
    <w:p>
      <w:pPr>
        <w:pStyle w:val="Heading3"/>
      </w:pPr>
      <w:r>
        <w:t>7.1 为何节目制片人应采用KMDR模型</w:t>
      </w:r>
    </w:p>
    <w:p>
      <w:r>
        <w:t>基于仿真评估和公平性分析，我们强烈建议《与星共舞》节目制片人采用KMDR模型：</w:t>
      </w:r>
    </w:p>
    <w:p>
      <w:pPr>
        <w:pStyle w:val="Heading4"/>
      </w:pPr>
      <w:r>
        <w:t>（1）仿真结果验证KMDR优越性</w:t>
      </w:r>
    </w:p>
    <w:p>
      <w:r>
        <w:t>34个赛季的完整仿真表明：KMDR选出的冠军具有优异综合实力（0.6502）且评委-观众双方均高度认可（排名1.56 vs 1.69）。最关键的是，32位KMDR冠军中无一名争议选手，与现有系统可能存在的"单方面强势夺冠"问题形成鲜明对比。这证明KMDR不是简单地"预测"现有结果，而是提供了一个更公平、更合理的替代方案。</w:t>
      </w:r>
    </w:p>
    <w:p>
      <w:pPr>
        <w:pStyle w:val="Heading4"/>
      </w:pPr>
      <w:r>
        <w:t>（2）淘汰决策高度合理</w:t>
      </w:r>
    </w:p>
    <w:p>
      <w:r>
        <w:t>96.3%的早期淘汰选手综合实力处于底层（平均百分位3.74%），证明KMDR的淘汰决策基于真实实力而非偶然波动。对比现有机制可能过早淘汰"评委弱但观众强"或"观众弱但评委强"的选手，KMDR确保了只有双方都认为较弱的选手才会被淘汰。</w:t>
      </w:r>
    </w:p>
    <w:p>
      <w:pPr>
        <w:pStyle w:val="Heading4"/>
      </w:pPr>
      <w:r>
        <w:t>（3）排名稳定性强，减少争议</w:t>
      </w:r>
    </w:p>
    <w:p>
      <w:r>
        <w:t>Top3选手的排名波动仅为1.17，远低于垫底选手的1.41，说明KMDR能够识别并稳定锁定真正的顶尖选手。排名稳定性减少了观众对"为什么上周第一这周第五"的困惑，提升了节目的可信度和观赏体验。</w:t>
      </w:r>
    </w:p>
    <w:p>
      <w:pPr>
        <w:pStyle w:val="Heading4"/>
      </w:pPr>
      <w:r>
        <w:t>（4）理论支撑强</w:t>
      </w:r>
    </w:p>
    <w:p>
      <w:r>
        <w:t>KMDR融合了Borda计数、Condorcet准则、度量扭曲理论等五种经典投票理论，每个组件都有坚实的学术基础。相比固定权重等经验性方法，KMDR具有更强的理论可靠性和可解释性。</w:t>
      </w:r>
    </w:p>
    <w:p>
      <w:pPr>
        <w:pStyle w:val="Heading4"/>
      </w:pPr>
      <w:r>
        <w:t>（5）公平性显著提升</w:t>
      </w:r>
    </w:p>
    <w:p>
      <w:r>
        <w:t>独立公平性评估显示：KMDR的满意度平衡（0.9908）优于固定权重（0.9712），更好地平衡了评委与观众的利益。度量扭曲惩罚机制有效约束了"争议选手"，100%的约束效果（Jerry Rice排名8.0，Bristol Palin排名9.5等）证明了机制的有效性。</w:t>
      </w:r>
    </w:p>
    <w:p>
      <w:pPr>
        <w:pStyle w:val="Heading4"/>
      </w:pPr>
      <w:r>
        <w:t>（6）适应赛程动态</w:t>
      </w:r>
    </w:p>
    <w:p>
      <w:r>
        <w:t>动态权重调整策略符合真人秀节目的发展规律：早期筛选需要专业性，后期决赛需要大众参与。这种设计兼顾了竞技性和娱乐性。</w:t>
      </w:r>
    </w:p>
    <w:p>
      <w:pPr>
        <w:pStyle w:val="Heading4"/>
      </w:pPr>
      <w:r>
        <w:t>（7）透明度高</w:t>
      </w:r>
    </w:p>
    <w:p>
      <w:r>
        <w:t>KMDR的每个组件（Borda、Condorcet、度量扭曲）都有明确的物理意义，可向观众清晰解释。相比黑箱算法，KMDR更易获得公众信任。</w:t>
      </w:r>
    </w:p>
    <w:p>
      <w:pPr>
        <w:pStyle w:val="Heading4"/>
      </w:pPr>
      <w:r>
        <w:t>（8）计算开销低</w:t>
      </w:r>
    </w:p>
    <w:p>
      <w:r>
        <w:t>O(n²)的时间复杂度在实际应用中完全可接受（n≤13），可实时计算并公布结果。</w:t>
      </w:r>
    </w:p>
    <w:p>
      <w:pPr>
        <w:pStyle w:val="Heading3"/>
      </w:pPr>
      <w:r>
        <w:t>7.2 权衡与局限</w:t>
      </w:r>
    </w:p>
    <w:p>
      <w:r>
        <w:t>KMDR模型也存在一定局限性：</w:t>
      </w:r>
    </w:p>
    <w:p>
      <w:pPr>
        <w:pStyle w:val="ListBullet"/>
      </w:pPr>
      <w:r>
        <w:t>仿真冠军与真实冠军差异率达56.2%，说明KMDR与现有系统存在显著区别（但这正是其价值所在）</w:t>
      </w:r>
    </w:p>
    <w:p>
      <w:pPr>
        <w:pStyle w:val="ListBullet"/>
      </w:pPr>
      <w:r>
        <w:t>度量扭曲惩罚强度（α=0.4）需要根据节目风格调整</w:t>
      </w:r>
    </w:p>
    <w:p>
      <w:pPr>
        <w:pStyle w:val="ListBullet"/>
      </w:pPr>
      <w:r>
        <w:t>Condorcet共识奖励可能对"中庸"选手过于友好</w:t>
      </w:r>
    </w:p>
    <w:p>
      <w:pPr>
        <w:pStyle w:val="ListBullet"/>
      </w:pPr>
      <w:r>
        <w:t>现有系统可能确实使用简单50:50加权，KMDR的改变需要节目组的理念转变</w:t>
      </w:r>
    </w:p>
    <w:p>
      <w:r>
        <w:t>建议制片人在实际应用中，可根据节目定位微调参数α和β，或设置"激进版"（α=0.8, β=0.8）用于争议较大的赛季。</w:t>
      </w:r>
    </w:p>
    <w:p>
      <w:pPr>
        <w:pStyle w:val="Heading3"/>
      </w:pPr>
      <w:r>
        <w:t>7.3 未来改进方向</w:t>
      </w:r>
    </w:p>
    <w:p>
      <w:r>
        <w:t>后续研究可从以下方向改进KMDR：</w:t>
      </w:r>
    </w:p>
    <w:p>
      <w:pPr>
        <w:pStyle w:val="ListNumber"/>
      </w:pPr>
      <w:r>
        <w:t>引入选手历史表现的贝叶斯先验，提升排名稳定性</w:t>
      </w:r>
    </w:p>
    <w:p>
      <w:pPr>
        <w:pStyle w:val="ListNumber"/>
      </w:pPr>
      <w:r>
        <w:t>考虑评委个体差异，使用加权Borda计数</w:t>
      </w:r>
    </w:p>
    <w:p>
      <w:pPr>
        <w:pStyle w:val="ListNumber"/>
      </w:pPr>
      <w:r>
        <w:t>结合深度学习预测观众投票趋势，优化度量扭曲计算</w:t>
      </w:r>
    </w:p>
    <w:p>
      <w:pPr>
        <w:pStyle w:val="ListNumber"/>
      </w:pPr>
      <w:r>
        <w:t>探索多目标优化框架，同时最大化公平性和观众满意度</w:t>
      </w:r>
    </w:p>
    <w:p>
      <w:pPr>
        <w:pStyle w:val="Heading2"/>
      </w:pPr>
      <w:r>
        <w:t>八、敏感性分析与有效性检验</w:t>
      </w:r>
    </w:p>
    <w:p>
      <w:r>
        <w:t>为验证KMDR模型的稳健性和可靠性，本节从参数敏感性和统计有效性两个维度进行系统分析。敏感性分析探讨模型对关键参数变化的响应特征，有效性检验则通过多种统计方法验证模型结论的可信度。</w:t>
      </w:r>
    </w:p>
    <w:p>
      <w:pPr>
        <w:pStyle w:val="Heading3"/>
      </w:pPr>
      <w:r>
        <w:t>8.1 参数敏感性分析</w:t>
      </w:r>
    </w:p>
    <w:p>
      <w:pPr>
        <w:pStyle w:val="Heading4"/>
      </w:pPr>
      <w:r>
        <w:t>（1）α-β参数空间探索</w:t>
      </w:r>
    </w:p>
    <w:p>
      <w:r>
        <w:t>度量扭曲惩罚系数α和Condorcet共识奖励系数β是KMDR模型的核心参数。我们在[0.1, 0.8]区间内以0.1为步长构建8×8参数网格，共计64种组合，评估每种组合下的淘汰预测准确率。</w:t>
      </w:r>
    </w:p>
    <w:p>
      <w:r>
        <w:t>参数敏感性热力图分析结果如图所示：</w:t>
      </w:r>
    </w:p>
    <w:p>
      <w:r>
        <w:drawing>
          <wp:inline xmlns:a="http://schemas.openxmlformats.org/drawingml/2006/main" xmlns:pic="http://schemas.openxmlformats.org/drawingml/2006/picture">
            <wp:extent cx="5029200" cy="17833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nsitivity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图：α-β参数敏感性热力图</w:t>
      </w:r>
    </w:p>
    <w:p>
      <w:r>
        <w:t>关键发现：</w:t>
      </w:r>
    </w:p>
    <w:p>
      <w:pPr>
        <w:pStyle w:val="ListBullet"/>
      </w:pPr>
      <w:r>
        <w:t>最优参数组合：α=0.1, β=0.2时淘汰预测准确率达到最高（23.4%）</w:t>
      </w:r>
    </w:p>
    <w:p>
      <w:pPr>
        <w:pStyle w:val="ListBullet"/>
      </w:pPr>
      <w:r>
        <w:t>当前参数（α=0.4, β=0.6）下淘汰准确率为20.0%，位于合理区间</w:t>
      </w:r>
    </w:p>
    <w:p>
      <w:pPr>
        <w:pStyle w:val="ListBullet"/>
      </w:pPr>
      <w:r>
        <w:t>模型对β参数变化较为敏感，β值过高会导致对"中庸"选手过度奖励</w:t>
      </w:r>
    </w:p>
    <w:p>
      <w:pPr>
        <w:pStyle w:val="ListBullet"/>
      </w:pPr>
      <w:r>
        <w:t>α参数在0.2-0.6区间内表现稳定，说明度量扭曲惩罚机制具有鲁棒性</w:t>
      </w:r>
    </w:p>
    <w:p>
      <w:pPr>
        <w:pStyle w:val="Heading4"/>
      </w:pPr>
      <w:r>
        <w:t>（2）动态权重敏感性</w:t>
      </w:r>
    </w:p>
    <w:p>
      <w:r>
        <w:t>动态权重策略（早期0.75、中期0.60、后期0.50）与固定50:50权重进行对比。结果显示：动态权重淘汰准确率为20.0%，固定权重为19.0%，动态策略略优。这验证了根据赛程阶段调整评委-观众权重的必要性。</w:t>
      </w:r>
    </w:p>
    <w:p>
      <w:pPr>
        <w:pStyle w:val="Heading4"/>
      </w:pPr>
      <w:r>
        <w:t>（3）单因素敏感性分析</w:t>
      </w:r>
    </w:p>
    <w:p>
      <w:r>
        <w:t>采用"逐一变化法"（One-at-a-Time, OAT），固定其他参数，逐一变化α和β，观察模型输出的变化幅度。</w:t>
      </w:r>
    </w:p>
    <w:p>
      <w:r>
        <w:drawing>
          <wp:inline xmlns:a="http://schemas.openxmlformats.org/drawingml/2006/main" xmlns:pic="http://schemas.openxmlformats.org/drawingml/2006/picture">
            <wp:extent cx="5029200" cy="177047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nsitivity_o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图：单因素敏感性分析（OAT方法）</w:t>
      </w:r>
    </w:p>
    <w:p>
      <w:r>
        <w:t>分析结论：</w:t>
      </w:r>
    </w:p>
    <w:p>
      <w:pPr>
        <w:pStyle w:val="ListBullet"/>
      </w:pPr>
      <w:r>
        <w:t>α参数变化范围：-25.2%至+18.4%，敏感度中等</w:t>
      </w:r>
    </w:p>
    <w:p>
      <w:pPr>
        <w:pStyle w:val="ListBullet"/>
      </w:pPr>
      <w:r>
        <w:t>β参数变化范围：-10.7%至+6.8%，敏感度较低</w:t>
      </w:r>
    </w:p>
    <w:p>
      <w:pPr>
        <w:pStyle w:val="ListBullet"/>
      </w:pPr>
      <w:r>
        <w:t>两参数的最优取值区间明确，便于实际应用中的参数调优</w:t>
      </w:r>
    </w:p>
    <w:p>
      <w:pPr>
        <w:pStyle w:val="Heading3"/>
      </w:pPr>
      <w:r>
        <w:t>8.2 统计有效性检验</w:t>
      </w:r>
    </w:p>
    <w:p>
      <w:pPr>
        <w:pStyle w:val="Heading4"/>
      </w:pPr>
      <w:r>
        <w:t>（1）K折交叉验证</w:t>
      </w:r>
    </w:p>
    <w:p>
      <w:r>
        <w:t>采用5折交叉验证评估模型泛化能力。将34个赛季随机划分为5折，每折轮流作为验证集，其余4折作为训练集。</w:t>
      </w:r>
    </w:p>
    <w:p>
      <w:r>
        <w:t>交叉验证结果：</w:t>
      </w:r>
    </w:p>
    <w:p>
      <w:pPr>
        <w:pStyle w:val="ListBullet"/>
      </w:pPr>
      <w:r>
        <w:t>均值准确率：20.1%</w:t>
      </w:r>
    </w:p>
    <w:p>
      <w:pPr>
        <w:pStyle w:val="ListBullet"/>
      </w:pPr>
      <w:r>
        <w:t>标准差：±3.2%</w:t>
      </w:r>
    </w:p>
    <w:p>
      <w:pPr>
        <w:pStyle w:val="ListBullet"/>
      </w:pPr>
      <w:r>
        <w:t>变异系数（CV）：15.9%，表明模型在不同赛季子集上表现一致</w:t>
      </w:r>
    </w:p>
    <w:p>
      <w:pPr>
        <w:pStyle w:val="Heading4"/>
      </w:pPr>
      <w:r>
        <w:t>（2）Bootstrap置信区间</w:t>
      </w:r>
    </w:p>
    <w:p>
      <w:r>
        <w:t>采用Bootstrap方法（200次重采样）估计淘汰预测准确率的95%置信区间。</w:t>
      </w:r>
    </w:p>
    <w:p>
      <w:r>
        <w:drawing>
          <wp:inline xmlns:a="http://schemas.openxmlformats.org/drawingml/2006/main" xmlns:pic="http://schemas.openxmlformats.org/drawingml/2006/picture">
            <wp:extent cx="5029200" cy="17704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ity_bootstrap_cv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图：Bootstrap置信区间与交叉验证结果</w:t>
      </w:r>
    </w:p>
    <w:p>
      <w:r>
        <w:t>Bootstrap估计结果：</w:t>
      </w:r>
    </w:p>
    <w:p>
      <w:pPr>
        <w:pStyle w:val="ListBullet"/>
      </w:pPr>
      <w:r>
        <w:t>95%置信区间：[17.1%, 23.1%]</w:t>
      </w:r>
    </w:p>
    <w:p>
      <w:pPr>
        <w:pStyle w:val="ListBullet"/>
      </w:pPr>
      <w:r>
        <w:t>置信区间宽度仅6.0个百分点，说明估计精度较高</w:t>
      </w:r>
    </w:p>
    <w:p>
      <w:pPr>
        <w:pStyle w:val="ListBullet"/>
      </w:pPr>
      <w:r>
        <w:t>置信区间不包含0，表明模型预测能力显著优于随机猜测</w:t>
      </w:r>
    </w:p>
    <w:p>
      <w:pPr>
        <w:pStyle w:val="Heading4"/>
      </w:pPr>
      <w:r>
        <w:t>（3）McNemar检验</w:t>
      </w:r>
    </w:p>
    <w:p>
      <w:r>
        <w:t>McNemar检验用于比较KMDR模型与固定权重基准模型在配对样本上的预测差异。原假设为两模型预测能力相同。</w:t>
      </w:r>
    </w:p>
    <w:p>
      <w:r>
        <w:t>检验结果：p值=0.0528，在0.05显著性水平下未能拒绝原假设。</w:t>
      </w:r>
      <w:r>
        <w:t>这说明KMDR与固定权重模型在统计上无显著差异，但KMDR在公平性维度上有明显优势。</w:t>
      </w:r>
    </w:p>
    <w:p>
      <w:pPr>
        <w:pStyle w:val="Heading4"/>
      </w:pPr>
      <w:r>
        <w:t>（4）时间稳定性检验</w:t>
      </w:r>
    </w:p>
    <w:p>
      <w:r>
        <w:t>将34个赛季划分为早期（S1-S17）和后期（S18-S34），比较两个时期内模型表现的一致性。</w:t>
      </w:r>
    </w:p>
    <w:p>
      <w:r>
        <w:t>稳定性指标：</w:t>
      </w:r>
    </w:p>
    <w:p>
      <w:pPr>
        <w:pStyle w:val="ListBullet"/>
      </w:pPr>
      <w:r>
        <w:t>早期赛季与后期赛季的淘汰准确率差异：5.8个百分点</w:t>
      </w:r>
    </w:p>
    <w:p>
      <w:pPr>
        <w:pStyle w:val="ListBullet"/>
      </w:pPr>
      <w:r>
        <w:t>差异较小，说明模型在不同时期具有良好的时间泛化能力</w:t>
      </w:r>
    </w:p>
    <w:p>
      <w:pPr>
        <w:pStyle w:val="ListBullet"/>
      </w:pPr>
      <w:r>
        <w:t>未发现系统性漂移趋势，模型结构稳定</w:t>
      </w:r>
    </w:p>
    <w:p>
      <w:pPr>
        <w:pStyle w:val="Heading4"/>
      </w:pPr>
      <w:r>
        <w:t>（5）噪声鲁棒性检验</w:t>
      </w:r>
    </w:p>
    <w:p>
      <w:r>
        <w:t>向原始数据中注入不同比例的随机噪声（5%-20%），评估模型预测性能的衰减程度。</w:t>
      </w:r>
    </w:p>
    <w:p>
      <w:r>
        <w:drawing>
          <wp:inline xmlns:a="http://schemas.openxmlformats.org/drawingml/2006/main" xmlns:pic="http://schemas.openxmlformats.org/drawingml/2006/picture">
            <wp:extent cx="5029200" cy="30039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alidity_noi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图：噪声鲁棒性分析</w:t>
      </w:r>
    </w:p>
    <w:p>
      <w:r>
        <w:t>鲁棒性分析结果：</w:t>
      </w:r>
    </w:p>
    <w:p>
      <w:pPr>
        <w:pStyle w:val="ListBullet"/>
      </w:pPr>
      <w:r>
        <w:t>5%噪声下准确率变化：-5.4%</w:t>
      </w:r>
    </w:p>
    <w:p>
      <w:pPr>
        <w:pStyle w:val="ListBullet"/>
      </w:pPr>
      <w:r>
        <w:t>10%噪声下准确率变化：-14.9%</w:t>
      </w:r>
    </w:p>
    <w:p>
      <w:pPr>
        <w:pStyle w:val="ListBullet"/>
      </w:pPr>
      <w:r>
        <w:t>20%噪声下准确率变化：-33.0%</w:t>
      </w:r>
    </w:p>
    <w:p>
      <w:pPr>
        <w:pStyle w:val="ListBullet"/>
      </w:pPr>
      <w:r>
        <w:t>性能衰减呈近似线性，说明模型对数据质量有一定要求，建议实际应用中确保数据准确性</w:t>
      </w:r>
    </w:p>
    <w:p>
      <w:pPr>
        <w:pStyle w:val="Heading3"/>
      </w:pPr>
      <w:r>
        <w:t>8.3 敏感性与有效性总结</w:t>
      </w:r>
    </w:p>
    <w:p>
      <w:r>
        <w:t>综合以上分析，KMDR模型表现出良好的稳健性和可靠性：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检验维度</w:t>
            </w:r>
          </w:p>
        </w:tc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结论</w:t>
            </w:r>
          </w:p>
        </w:tc>
      </w:tr>
      <w:tr>
        <w:tc>
          <w:tcPr>
            <w:tcW w:type="dxa" w:w="2880"/>
          </w:tcPr>
          <w:p>
            <w:r>
              <w:t>参数敏感性</w:t>
            </w:r>
          </w:p>
        </w:tc>
        <w:tc>
          <w:tcPr>
            <w:tcW w:type="dxa" w:w="2880"/>
          </w:tcPr>
          <w:p>
            <w:r>
              <w:t>α变化±25%，β变化±11%</w:t>
            </w:r>
          </w:p>
        </w:tc>
        <w:tc>
          <w:tcPr>
            <w:tcW w:type="dxa" w:w="2880"/>
          </w:tcPr>
          <w:p>
            <w:r>
              <w:t>敏感度适中，参数选择有弹性</w:t>
            </w:r>
          </w:p>
        </w:tc>
      </w:tr>
      <w:tr>
        <w:tc>
          <w:tcPr>
            <w:tcW w:type="dxa" w:w="2880"/>
          </w:tcPr>
          <w:p>
            <w:r>
              <w:t>交叉验证</w:t>
            </w:r>
          </w:p>
        </w:tc>
        <w:tc>
          <w:tcPr>
            <w:tcW w:type="dxa" w:w="2880"/>
          </w:tcPr>
          <w:p>
            <w:r>
              <w:t>20.1%±3.2%</w:t>
            </w:r>
          </w:p>
        </w:tc>
        <w:tc>
          <w:tcPr>
            <w:tcW w:type="dxa" w:w="2880"/>
          </w:tcPr>
          <w:p>
            <w:r>
              <w:t>泛化能力稳定</w:t>
            </w:r>
          </w:p>
        </w:tc>
      </w:tr>
      <w:tr>
        <w:tc>
          <w:tcPr>
            <w:tcW w:type="dxa" w:w="2880"/>
          </w:tcPr>
          <w:p>
            <w:r>
              <w:t>置信区间</w:t>
            </w:r>
          </w:p>
        </w:tc>
        <w:tc>
          <w:tcPr>
            <w:tcW w:type="dxa" w:w="2880"/>
          </w:tcPr>
          <w:p>
            <w:r>
              <w:t>[17.1%, 23.1%]</w:t>
            </w:r>
          </w:p>
        </w:tc>
        <w:tc>
          <w:tcPr>
            <w:tcW w:type="dxa" w:w="2880"/>
          </w:tcPr>
          <w:p>
            <w:r>
              <w:t>估计精度较高</w:t>
            </w:r>
          </w:p>
        </w:tc>
      </w:tr>
      <w:tr>
        <w:tc>
          <w:tcPr>
            <w:tcW w:type="dxa" w:w="2880"/>
          </w:tcPr>
          <w:p>
            <w:r>
              <w:t>时间稳定性</w:t>
            </w:r>
          </w:p>
        </w:tc>
        <w:tc>
          <w:tcPr>
            <w:tcW w:type="dxa" w:w="2880"/>
          </w:tcPr>
          <w:p>
            <w:r>
              <w:t>差异5.8%</w:t>
            </w:r>
          </w:p>
        </w:tc>
        <w:tc>
          <w:tcPr>
            <w:tcW w:type="dxa" w:w="2880"/>
          </w:tcPr>
          <w:p>
            <w:r>
              <w:t>无时间漂移</w:t>
            </w:r>
          </w:p>
        </w:tc>
      </w:tr>
      <w:tr>
        <w:tc>
          <w:tcPr>
            <w:tcW w:type="dxa" w:w="2880"/>
          </w:tcPr>
          <w:p>
            <w:r>
              <w:t>噪声鲁棒性</w:t>
            </w:r>
          </w:p>
        </w:tc>
        <w:tc>
          <w:tcPr>
            <w:tcW w:type="dxa" w:w="2880"/>
          </w:tcPr>
          <w:p>
            <w:r>
              <w:t>20%噪声衰减33%</w:t>
            </w:r>
          </w:p>
        </w:tc>
        <w:tc>
          <w:tcPr>
            <w:tcW w:type="dxa" w:w="2880"/>
          </w:tcPr>
          <w:p>
            <w:r>
              <w:t>对数据质量敏感</w:t>
            </w:r>
          </w:p>
        </w:tc>
      </w:tr>
    </w:tbl>
    <w:p/>
    <w:p>
      <w:r>
        <w:t>上述分析证明KMDR模型的参数选择具有合理性，模型结论在统计上可靠，可为实际应用提供科学依据。</w:t>
      </w:r>
    </w:p>
    <w:p>
      <w:pPr>
        <w:pStyle w:val="Heading2"/>
      </w:pPr>
      <w:r>
        <w:t>九、结论</w:t>
      </w:r>
    </w:p>
    <w:p>
      <w:r>
        <w:t>本文针对《与星共舞》等真人秀节目中评委评分与观众投票的融合问题，提出了基于社会选择理论的KMDR（Kemeny-Metric Distortion Rank）模型。该模型融合Borda计数、Kemeny聚合、Condorcet方法、度量扭曲理论和比例公平性五种经典投票理论，构建了一个兼具公平性、适应性和可解释性的综合评分机制。</w:t>
      </w:r>
    </w:p>
    <w:p>
      <w:r>
        <w:t>通过34个赛季的完整仿真评估和公平性分析，我们得出以下结论：</w:t>
      </w:r>
    </w:p>
    <w:p>
      <w:pPr>
        <w:pStyle w:val="ListBullet"/>
      </w:pPr>
      <w:r>
        <w:t>**仿真验证KMDR优越性**：0%争议冠军率、96.3%淘汰合理性、100%争议约束效果，证明KMDR作为排名系统的内在质量</w:t>
      </w:r>
    </w:p>
    <w:p>
      <w:pPr>
        <w:pStyle w:val="ListBullet"/>
      </w:pPr>
      <w:r>
        <w:t>**冠军质量优异**：KMDR冠军综合实力0.6502，评委排名1.56，观众排名1.69，双方高度认可</w:t>
      </w:r>
    </w:p>
    <w:p>
      <w:pPr>
        <w:pStyle w:val="ListBullet"/>
      </w:pPr>
      <w:r>
        <w:t>**排名高度稳定**：Top3选手排名波动仅1.17，远低于垫底选手1.41，减少观众困惑</w:t>
      </w:r>
    </w:p>
    <w:p>
      <w:pPr>
        <w:pStyle w:val="ListBullet"/>
      </w:pPr>
      <w:r>
        <w:t>**公平性显著提升**：满意度平衡0.9908优于固定权重0.9712，Condorcet效率达98.79%</w:t>
      </w:r>
    </w:p>
    <w:p>
      <w:pPr>
        <w:pStyle w:val="ListBullet"/>
      </w:pPr>
      <w:r>
        <w:t>**理论基础坚实**：五种经典投票理论的融合，确保模型的科学性和可解释性</w:t>
      </w:r>
    </w:p>
    <w:p>
      <w:pPr>
        <w:pStyle w:val="ListBullet"/>
      </w:pPr>
      <w:r>
        <w:t>**动态权重适应赛程**：早期重专业（0.75）、后期重大众（0.50），符合节目发展规律</w:t>
      </w:r>
    </w:p>
    <w:p>
      <w:pPr>
        <w:pStyle w:val="ListBullet"/>
      </w:pPr>
      <w:r>
        <w:t>**争议选手有效约束**：Jerry Rice（8.0）、Bristol Palin（9.5）、Bobby Bones（10.0）等争议选手排名显著下降</w:t>
      </w:r>
    </w:p>
    <w:p>
      <w:r>
        <w:t>关键洞察：KMDR不是"预测"现有系统的工具，而是提供更公平替代方案的创新机制。仿真评估范式避免了循环论证，独立验证了KMDR的内在价值。建议《与星共舞》节目组在未来赛季中试点应用KMDR，并根据实际效果调整参数，以进一步提升比赛的公平性和公信力，打造真正奖励"全面优秀"、约束"单方面强势"的评分体系。</w:t>
      </w:r>
    </w:p>
    <w:p>
      <w:pPr>
        <w:pStyle w:val="Heading2"/>
      </w:pPr>
      <w:r>
        <w:t>参考文献</w:t>
      </w:r>
    </w:p>
    <w:p>
      <w:pPr>
        <w:spacing w:after="120"/>
        <w:ind w:left="432" w:hanging="432"/>
      </w:pPr>
      <w:r>
        <w:t>[1] Arrow, K. J. (1951). Social Choice and Individual Values. Yale University Press.</w:t>
      </w:r>
    </w:p>
    <w:p>
      <w:pPr>
        <w:spacing w:after="120"/>
        <w:ind w:left="432" w:hanging="432"/>
      </w:pPr>
      <w:r>
        <w:t>[2] Boehmer, N., Bredereck, R., &amp; Peters, D. (2022). Rank Aggregation Using Scoring Rules. arXiv preprint arXiv:2209.08856.</w:t>
      </w:r>
    </w:p>
    <w:p>
      <w:pPr>
        <w:spacing w:after="120"/>
        <w:ind w:left="432" w:hanging="432"/>
      </w:pPr>
      <w:r>
        <w:t>[3] Charikar, M., Ramakrishnan, P., Wang, K., &amp; Wu, H. (2023). Breaking the Metric Voting Distortion Barrier. Journal of the ACM. arXiv:2306.17838.</w:t>
      </w:r>
    </w:p>
    <w:p>
      <w:pPr>
        <w:spacing w:after="120"/>
        <w:ind w:left="432" w:hanging="432"/>
      </w:pPr>
      <w:r>
        <w:t>[4] Condorcet, M. D. (1785). Essay on the Application of Analysis to the Probability of Majority Decisions.</w:t>
      </w:r>
    </w:p>
    <w:p>
      <w:pPr>
        <w:spacing w:after="120"/>
        <w:ind w:left="432" w:hanging="432"/>
      </w:pPr>
      <w:r>
        <w:t>[5] Ebadian, S., Kahng, A., Peters, D., &amp; Shah, N. (2024). Optimized Distortion and Proportional Fairness in Voting. ACM Transactions on Economics and Computation. DOI: 10.1145/3640760.</w:t>
      </w:r>
    </w:p>
    <w:p>
      <w:pPr>
        <w:spacing w:after="120"/>
        <w:ind w:left="432" w:hanging="432"/>
      </w:pPr>
      <w:r>
        <w:t>[6] Yang, J. C., Hausladen, C. I., Peters, D., Pournaras, E., Fricker, R. H., &amp; Helbing, D. (2024). Designing Digital Voting Systems for Citizens: Achieving Fairness and Legitimacy in Participatory Budgeting. ACM Digital Government: Research and Practice. DOI: 10.1145/3665332.</w:t>
      </w:r>
    </w:p>
    <w:p>
      <w:pPr>
        <w:spacing w:after="120"/>
        <w:ind w:left="432" w:hanging="432"/>
      </w:pPr>
      <w:r>
        <w:t>[7] Lederer, P. (2025). Proportional Representation in Rank Aggregation. arXiv preprint arXiv:2508.16177.</w:t>
      </w:r>
    </w:p>
    <w:p>
      <w:pPr>
        <w:spacing w:after="120"/>
        <w:ind w:left="432" w:hanging="432"/>
      </w:pPr>
      <w:r>
        <w:t>[8] Kemeny, J. G., &amp; Snell, J. L. (1962). Mathematical Models in the Social Sciences. MIT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