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F00E" w14:textId="77777777" w:rsidR="00457485" w:rsidRDefault="00457485">
      <w:pPr>
        <w:spacing w:before="1400"/>
      </w:pPr>
    </w:p>
    <w:p w14:paraId="2ADE23D3" w14:textId="77777777" w:rsidR="00457485" w:rsidRDefault="00FD6807">
      <w:pPr>
        <w:spacing w:after="160"/>
        <w:jc w:val="center"/>
      </w:pPr>
      <w:r>
        <w:rPr>
          <w:b/>
          <w:bCs/>
          <w:color w:val="595959"/>
          <w:sz w:val="22"/>
          <w:szCs w:val="22"/>
        </w:rPr>
        <w:t>SMART INDIA HACKATHON 2026 — SIH26102</w:t>
      </w:r>
    </w:p>
    <w:p w14:paraId="27112E38" w14:textId="77777777" w:rsidR="00457485" w:rsidRDefault="00FD6807">
      <w:pPr>
        <w:spacing w:after="360"/>
        <w:jc w:val="center"/>
      </w:pPr>
      <w:r>
        <w:rPr>
          <w:b/>
          <w:bCs/>
          <w:color w:val="1F3864"/>
          <w:sz w:val="40"/>
          <w:szCs w:val="40"/>
        </w:rPr>
        <w:t>Backend Data Pipeline — Progress Report</w:t>
      </w:r>
    </w:p>
    <w:p w14:paraId="5926E8A5" w14:textId="77777777" w:rsidR="00457485" w:rsidRDefault="00FD6807">
      <w:pPr>
        <w:spacing w:after="500"/>
        <w:jc w:val="center"/>
      </w:pPr>
      <w:r>
        <w:rPr>
          <w:i/>
          <w:iCs/>
          <w:color w:val="2E5C8A"/>
          <w:sz w:val="26"/>
          <w:szCs w:val="26"/>
        </w:rPr>
        <w:t>Data Ingestion &amp; Structuring Workstream</w:t>
      </w:r>
    </w:p>
    <w:tbl>
      <w:tblPr>
        <w:tblW w:w="7200" w:type="dxa"/>
        <w:jc w:val="center"/>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4600"/>
      </w:tblGrid>
      <w:tr w:rsidR="00457485" w14:paraId="7D89794A"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44B7D4AA" w14:textId="77777777" w:rsidR="00457485" w:rsidRDefault="00FD6807">
            <w:pPr>
              <w:spacing w:after="40"/>
            </w:pPr>
            <w:r>
              <w:rPr>
                <w:b/>
                <w:bCs/>
                <w:color w:val="1F3864"/>
                <w:sz w:val="19"/>
                <w:szCs w:val="19"/>
              </w:rPr>
              <w:t>Team</w:t>
            </w:r>
          </w:p>
        </w:tc>
        <w:tc>
          <w:tcPr>
            <w:tcW w:w="4600" w:type="dxa"/>
            <w:tcMar>
              <w:top w:w="80" w:type="dxa"/>
              <w:left w:w="100" w:type="dxa"/>
              <w:bottom w:w="80" w:type="dxa"/>
              <w:right w:w="100" w:type="dxa"/>
            </w:tcMar>
            <w:vAlign w:val="center"/>
          </w:tcPr>
          <w:p w14:paraId="5B66459D" w14:textId="77777777" w:rsidR="00457485" w:rsidRDefault="00FD6807">
            <w:pPr>
              <w:spacing w:after="40"/>
            </w:pPr>
            <w:r>
              <w:rPr>
                <w:sz w:val="19"/>
                <w:szCs w:val="19"/>
              </w:rPr>
              <w:t>The Experimentalists</w:t>
            </w:r>
          </w:p>
        </w:tc>
      </w:tr>
      <w:tr w:rsidR="00457485" w14:paraId="4CF958EB"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1DFF033F" w14:textId="77777777" w:rsidR="00457485" w:rsidRDefault="00FD6807">
            <w:pPr>
              <w:spacing w:after="40"/>
            </w:pPr>
            <w:r>
              <w:rPr>
                <w:b/>
                <w:bCs/>
                <w:color w:val="1F3864"/>
                <w:sz w:val="19"/>
                <w:szCs w:val="19"/>
              </w:rPr>
              <w:t>Problem Statement</w:t>
            </w:r>
          </w:p>
        </w:tc>
        <w:tc>
          <w:tcPr>
            <w:tcW w:w="4600" w:type="dxa"/>
            <w:tcMar>
              <w:top w:w="80" w:type="dxa"/>
              <w:left w:w="100" w:type="dxa"/>
              <w:bottom w:w="80" w:type="dxa"/>
              <w:right w:w="100" w:type="dxa"/>
            </w:tcMar>
            <w:vAlign w:val="center"/>
          </w:tcPr>
          <w:p w14:paraId="5B2C4900" w14:textId="77777777" w:rsidR="00457485" w:rsidRDefault="00FD6807">
            <w:pPr>
              <w:spacing w:after="40"/>
            </w:pPr>
            <w:r>
              <w:rPr>
                <w:sz w:val="19"/>
                <w:szCs w:val="19"/>
              </w:rPr>
              <w:t>SIH26102 — MPLADS Fraud &amp; Anomaly Detection</w:t>
            </w:r>
          </w:p>
        </w:tc>
      </w:tr>
      <w:tr w:rsidR="00457485" w14:paraId="63CC4DC7"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14D519FF" w14:textId="77777777" w:rsidR="00457485" w:rsidRDefault="00FD6807">
            <w:pPr>
              <w:spacing w:after="40"/>
            </w:pPr>
            <w:r>
              <w:rPr>
                <w:b/>
                <w:bCs/>
                <w:color w:val="1F3864"/>
                <w:sz w:val="19"/>
                <w:szCs w:val="19"/>
              </w:rPr>
              <w:t>Workstream Owner</w:t>
            </w:r>
          </w:p>
        </w:tc>
        <w:tc>
          <w:tcPr>
            <w:tcW w:w="4600" w:type="dxa"/>
            <w:tcMar>
              <w:top w:w="80" w:type="dxa"/>
              <w:left w:w="100" w:type="dxa"/>
              <w:bottom w:w="80" w:type="dxa"/>
              <w:right w:w="100" w:type="dxa"/>
            </w:tcMar>
            <w:vAlign w:val="center"/>
          </w:tcPr>
          <w:p w14:paraId="4E531152" w14:textId="77777777" w:rsidR="00457485" w:rsidRDefault="00FD6807">
            <w:pPr>
              <w:spacing w:after="40"/>
            </w:pPr>
            <w:r>
              <w:rPr>
                <w:sz w:val="19"/>
                <w:szCs w:val="19"/>
              </w:rPr>
              <w:t>Backend — Data Ingestion &amp; Structuring</w:t>
            </w:r>
          </w:p>
        </w:tc>
      </w:tr>
      <w:tr w:rsidR="00457485" w14:paraId="6B87AF0A"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2FD0C713" w14:textId="77777777" w:rsidR="00457485" w:rsidRDefault="00FD6807">
            <w:pPr>
              <w:spacing w:after="40"/>
            </w:pPr>
            <w:r>
              <w:rPr>
                <w:b/>
                <w:bCs/>
                <w:color w:val="1F3864"/>
                <w:sz w:val="19"/>
                <w:szCs w:val="19"/>
              </w:rPr>
              <w:t>Report Covers</w:t>
            </w:r>
          </w:p>
        </w:tc>
        <w:tc>
          <w:tcPr>
            <w:tcW w:w="4600" w:type="dxa"/>
            <w:tcMar>
              <w:top w:w="80" w:type="dxa"/>
              <w:left w:w="100" w:type="dxa"/>
              <w:bottom w:w="80" w:type="dxa"/>
              <w:right w:w="100" w:type="dxa"/>
            </w:tcMar>
            <w:vAlign w:val="center"/>
          </w:tcPr>
          <w:p w14:paraId="77720070" w14:textId="77777777" w:rsidR="00457485" w:rsidRDefault="00FD6807">
            <w:pPr>
              <w:spacing w:after="40"/>
            </w:pPr>
            <w:r>
              <w:rPr>
                <w:sz w:val="19"/>
                <w:szCs w:val="19"/>
              </w:rPr>
              <w:t>Schema design, ingestion pipeline, automation, data quality, and open items</w:t>
            </w:r>
          </w:p>
        </w:tc>
      </w:tr>
      <w:tr w:rsidR="00457485" w14:paraId="56DD11F8" w14:textId="77777777">
        <w:tblPrEx>
          <w:tblCellMar>
            <w:top w:w="0" w:type="dxa"/>
            <w:bottom w:w="0" w:type="dxa"/>
          </w:tblCellMar>
        </w:tblPrEx>
        <w:trPr>
          <w:jc w:val="center"/>
        </w:trPr>
        <w:tc>
          <w:tcPr>
            <w:tcW w:w="2600" w:type="dxa"/>
            <w:tcMar>
              <w:top w:w="80" w:type="dxa"/>
              <w:left w:w="100" w:type="dxa"/>
              <w:bottom w:w="80" w:type="dxa"/>
              <w:right w:w="100" w:type="dxa"/>
            </w:tcMar>
            <w:vAlign w:val="center"/>
          </w:tcPr>
          <w:p w14:paraId="4F52F11E" w14:textId="77777777" w:rsidR="00457485" w:rsidRDefault="00FD6807">
            <w:pPr>
              <w:spacing w:after="40"/>
            </w:pPr>
            <w:r>
              <w:rPr>
                <w:b/>
                <w:bCs/>
                <w:color w:val="1F3864"/>
                <w:sz w:val="19"/>
                <w:szCs w:val="19"/>
              </w:rPr>
              <w:t>Current Data Volume</w:t>
            </w:r>
          </w:p>
        </w:tc>
        <w:tc>
          <w:tcPr>
            <w:tcW w:w="4600" w:type="dxa"/>
            <w:tcMar>
              <w:top w:w="80" w:type="dxa"/>
              <w:left w:w="100" w:type="dxa"/>
              <w:bottom w:w="80" w:type="dxa"/>
              <w:right w:w="100" w:type="dxa"/>
            </w:tcMar>
            <w:vAlign w:val="center"/>
          </w:tcPr>
          <w:p w14:paraId="3BF8E7B0" w14:textId="77777777" w:rsidR="00457485" w:rsidRDefault="00FD6807">
            <w:pPr>
              <w:spacing w:after="40"/>
            </w:pPr>
            <w:r>
              <w:rPr>
                <w:sz w:val="19"/>
                <w:szCs w:val="19"/>
              </w:rPr>
              <w:t>527 MPs · ~105,600 unique works · 778 districts · 17,400+ vendors</w:t>
            </w:r>
          </w:p>
        </w:tc>
      </w:tr>
    </w:tbl>
    <w:p w14:paraId="7A07386C" w14:textId="77777777" w:rsidR="00457485" w:rsidRDefault="00FD6807">
      <w:r>
        <w:br w:type="page"/>
      </w:r>
    </w:p>
    <w:p w14:paraId="020C8591" w14:textId="77777777" w:rsidR="00457485" w:rsidRDefault="00FD6807">
      <w:pPr>
        <w:pStyle w:val="Heading1"/>
        <w:pBdr>
          <w:bottom w:val="single" w:sz="8" w:space="4" w:color="1F3864"/>
        </w:pBdr>
        <w:spacing w:before="320" w:after="160"/>
      </w:pPr>
      <w:r>
        <w:rPr>
          <w:b/>
          <w:bCs/>
          <w:color w:val="1F3864"/>
          <w:sz w:val="28"/>
          <w:szCs w:val="28"/>
        </w:rPr>
        <w:t>1. Executive Summary</w:t>
      </w:r>
    </w:p>
    <w:p w14:paraId="356CC898" w14:textId="77777777" w:rsidR="00457485" w:rsidRDefault="00FD6807">
      <w:pPr>
        <w:spacing w:after="150" w:line="270" w:lineRule="auto"/>
        <w:jc w:val="both"/>
      </w:pPr>
      <w:r>
        <w:t>This report covers the backend data pipeline built for the MPLADS Fraud &amp; Anomaly Detection System, from initial schema design through to an automated, near-nationwide data collection system. The pipeline now ingests MPLADS work-recommendation data directly from the live eSAKSHI government portal, structures it into a relational PostgreSQL schema, and has been verified for data quality at scale.</w:t>
      </w:r>
    </w:p>
    <w:p w14:paraId="29583C8C" w14:textId="77777777" w:rsidR="00457485" w:rsidRDefault="00FD6807">
      <w:pPr>
        <w:spacing w:after="150" w:line="270" w:lineRule="auto"/>
        <w:jc w:val="both"/>
      </w:pPr>
      <w:r>
        <w:t>Starting from a single manually-downloaded MP's data, the pipeline was progressively automated and scaled to cover 527 Members of Parliament across nearly all Indian states, yielding approximately 105,600 unique, structured project records — each traceable through its full lifecycle from recommendation to sanction, completion, and payment.</w:t>
      </w:r>
    </w:p>
    <w:p w14:paraId="3917A2B9" w14:textId="77777777" w:rsidR="00457485" w:rsidRDefault="00FD6807">
      <w:pPr>
        <w:spacing w:after="150" w:line="270" w:lineRule="auto"/>
        <w:jc w:val="both"/>
      </w:pPr>
      <w:r>
        <w:t>Along the way, a number of real bugs were identified and fixed — both in this pipeline's own code and in the team's shared schema design — which are documented in Section 4. The report closes with a clear list of what remains before this workstream is fully handed off (Section 5).</w:t>
      </w:r>
    </w:p>
    <w:p w14:paraId="5ACA6135" w14:textId="77777777" w:rsidR="00457485" w:rsidRDefault="00FD6807">
      <w:pPr>
        <w:pStyle w:val="Heading1"/>
        <w:pBdr>
          <w:bottom w:val="single" w:sz="8" w:space="4" w:color="1F3864"/>
        </w:pBdr>
        <w:spacing w:before="320" w:after="160"/>
      </w:pPr>
      <w:r>
        <w:rPr>
          <w:b/>
          <w:bCs/>
          <w:color w:val="1F3864"/>
          <w:sz w:val="28"/>
          <w:szCs w:val="28"/>
        </w:rPr>
        <w:t>2. Architecture Overview</w:t>
      </w:r>
    </w:p>
    <w:p w14:paraId="21000B78" w14:textId="77777777" w:rsidR="00457485" w:rsidRDefault="00FD6807">
      <w:pPr>
        <w:spacing w:after="150" w:line="270" w:lineRule="auto"/>
        <w:jc w:val="both"/>
      </w:pPr>
      <w:r>
        <w:t>The pipeline follows the three-layer design agreed with the team: a Staging layer for raw, untouched data; a Core Master layer of cleaned, normalized relational tables; and an AI &amp; Security layer (owned by the AI sub-team) for model outputs.</w:t>
      </w:r>
    </w:p>
    <w:p w14:paraId="19C4AC93" w14:textId="77777777" w:rsidR="00457485" w:rsidRDefault="00FD6807">
      <w:pPr>
        <w:pStyle w:val="Heading2"/>
        <w:spacing w:before="260" w:after="120"/>
      </w:pPr>
      <w:r>
        <w:rPr>
          <w:b/>
          <w:bCs/>
          <w:color w:val="2E5C8A"/>
          <w:sz w:val="23"/>
          <w:szCs w:val="23"/>
        </w:rPr>
        <w:t>2.1 Staging Layer — raw_landing</w:t>
      </w:r>
    </w:p>
    <w:p w14:paraId="291D3CCD" w14:textId="77777777" w:rsidR="00457485" w:rsidRDefault="00FD6807">
      <w:pPr>
        <w:spacing w:after="150" w:line="270" w:lineRule="auto"/>
        <w:jc w:val="both"/>
      </w:pPr>
      <w:r>
        <w:t>Rather than a separate MongoDB data lake, raw data is staged inside PostgreSQL itself using a single JSONB-typed table, raw_landing. Every record — whether from a manually downloaded CSV or the automated API — is stored exactly as received, tagged with its source and a content hash to prevent duplicate inserts. This was a deliberate architectural choice: it gives the same 'store first, clean later' flexibility as a NoSQL lake without running two separate database systems.</w:t>
      </w:r>
    </w:p>
    <w:p w14:paraId="61B23D31" w14:textId="77777777" w:rsidR="00457485" w:rsidRDefault="00FD6807">
      <w:pPr>
        <w:pStyle w:val="Heading2"/>
        <w:spacing w:before="260" w:after="120"/>
      </w:pPr>
      <w:r>
        <w:rPr>
          <w:b/>
          <w:bCs/>
          <w:color w:val="2E5C8A"/>
          <w:sz w:val="23"/>
          <w:szCs w:val="23"/>
        </w:rPr>
        <w:t>2.2 Core Master Layer</w:t>
      </w:r>
    </w:p>
    <w:p w14:paraId="0DE26DE6" w14:textId="77777777" w:rsidR="00457485" w:rsidRDefault="00FD6807">
      <w:pPr>
        <w:spacing w:after="150" w:line="270" w:lineRule="auto"/>
        <w:jc w:val="both"/>
      </w:pPr>
      <w:r>
        <w:t>Cleaned, structured data lives in five relational tables, aligned to the team's naming convention:</w:t>
      </w:r>
    </w:p>
    <w:p w14:paraId="429ED603" w14:textId="77777777" w:rsidR="00457485" w:rsidRDefault="00FD6807">
      <w:pPr>
        <w:pStyle w:val="ListParagraph"/>
        <w:numPr>
          <w:ilvl w:val="0"/>
          <w:numId w:val="2"/>
        </w:numPr>
        <w:spacing w:after="80"/>
      </w:pPr>
      <w:r>
        <w:t>dim_mp — one row per Member of Parliament (name, state, constituency, house, allocated budget limit)</w:t>
      </w:r>
    </w:p>
    <w:p w14:paraId="6285198A" w14:textId="77777777" w:rsidR="00457485" w:rsidRDefault="00FD6807">
      <w:pPr>
        <w:pStyle w:val="ListParagraph"/>
        <w:numPr>
          <w:ilvl w:val="0"/>
          <w:numId w:val="2"/>
        </w:numPr>
        <w:spacing w:after="80"/>
      </w:pPr>
      <w:r>
        <w:t>dim_ida — Implementing District Authorities, storing both the raw authority string and a parsed district name</w:t>
      </w:r>
    </w:p>
    <w:p w14:paraId="2731A4EB" w14:textId="77777777" w:rsidR="00457485" w:rsidRDefault="00FD6807">
      <w:pPr>
        <w:pStyle w:val="ListParagraph"/>
        <w:numPr>
          <w:ilvl w:val="0"/>
          <w:numId w:val="2"/>
        </w:numPr>
        <w:spacing w:after="80"/>
      </w:pPr>
      <w:r>
        <w:t>dim_vendor — contractors and implementing agencies</w:t>
      </w:r>
    </w:p>
    <w:p w14:paraId="3690806C" w14:textId="77777777" w:rsidR="00457485" w:rsidRDefault="00FD6807">
      <w:pPr>
        <w:pStyle w:val="ListParagraph"/>
        <w:numPr>
          <w:ilvl w:val="0"/>
          <w:numId w:val="2"/>
        </w:numPr>
        <w:spacing w:after="80"/>
      </w:pPr>
      <w:r>
        <w:t>fact_projects — one row per real-world work, carrying it through Recommended → Sanctioned → Completed status</w:t>
      </w:r>
    </w:p>
    <w:p w14:paraId="609B79C9" w14:textId="77777777" w:rsidR="00457485" w:rsidRDefault="00FD6807">
      <w:pPr>
        <w:pStyle w:val="ListParagraph"/>
        <w:numPr>
          <w:ilvl w:val="0"/>
          <w:numId w:val="2"/>
        </w:numPr>
        <w:spacing w:after="80"/>
      </w:pPr>
      <w:r>
        <w:t>fact_expenditures — one row per payment transaction, linked back to its parent work</w:t>
      </w:r>
    </w:p>
    <w:p w14:paraId="479C09F5" w14:textId="77777777" w:rsidR="00457485" w:rsidRDefault="00FD6807">
      <w:pPr>
        <w:pStyle w:val="Heading2"/>
        <w:spacing w:before="260" w:after="120"/>
      </w:pPr>
      <w:r>
        <w:rPr>
          <w:b/>
          <w:bCs/>
          <w:color w:val="2E5C8A"/>
          <w:sz w:val="23"/>
          <w:szCs w:val="23"/>
        </w:rPr>
        <w:t>2.3 AI &amp; Security Layer</w:t>
      </w:r>
    </w:p>
    <w:p w14:paraId="4836D219" w14:textId="77777777" w:rsidR="00457485" w:rsidRDefault="00FD6807">
      <w:pPr>
        <w:spacing w:after="150" w:line="270" w:lineRule="auto"/>
        <w:jc w:val="both"/>
      </w:pPr>
      <w:r>
        <w:t>ai_risk_scores and audit_logs are owned by the AI sub-team and intentionally left out of scope for this workstream, beyond ensuring their foreign keys correctly reference the Core Master tables above (see Section 4.1 on the BIGINT issue affecting these tables).</w:t>
      </w:r>
    </w:p>
    <w:p w14:paraId="7A26D79B" w14:textId="77777777" w:rsidR="00457485" w:rsidRDefault="00FD6807">
      <w:pPr>
        <w:pStyle w:val="Heading1"/>
        <w:pBdr>
          <w:bottom w:val="single" w:sz="8" w:space="4" w:color="1F3864"/>
        </w:pBdr>
        <w:spacing w:before="320" w:after="160"/>
      </w:pPr>
      <w:r>
        <w:rPr>
          <w:b/>
          <w:bCs/>
          <w:color w:val="1F3864"/>
          <w:sz w:val="28"/>
          <w:szCs w:val="28"/>
        </w:rPr>
        <w:t>3. What Has Been Built</w:t>
      </w:r>
    </w:p>
    <w:p w14:paraId="3F2A3CEF" w14:textId="77777777" w:rsidR="00457485" w:rsidRDefault="00FD6807">
      <w:pPr>
        <w:pStyle w:val="Heading2"/>
        <w:spacing w:before="260" w:after="120"/>
      </w:pPr>
      <w:r>
        <w:rPr>
          <w:b/>
          <w:bCs/>
          <w:color w:val="2E5C8A"/>
          <w:sz w:val="23"/>
          <w:szCs w:val="23"/>
        </w:rPr>
        <w:t>3.1 Manual ingestion pipeline (proof of concept)</w:t>
      </w:r>
    </w:p>
    <w:p w14:paraId="52707EC1" w14:textId="77777777" w:rsidR="00457485" w:rsidRDefault="00FD6807">
      <w:pPr>
        <w:spacing w:after="150" w:line="270" w:lineRule="auto"/>
        <w:jc w:val="both"/>
      </w:pPr>
      <w:r>
        <w:t xml:space="preserve">The pipeline began with a manual proof of concept: CSV exports downloaded by hand from the eSAKSHI dashboard for a single MP (Sayani Ghosh, Jadavpur) across all four work-lifecycle stages — Recommended, Sanctioned, Completed, and Expenditure. A Python script (load_raw_csvs.py) loaded these into raw_landing, and a merge script joined them into structured project records using a shared work-identifier extracted from the data. This validated the overall schema and join logic on real data before any automation </w:t>
      </w:r>
      <w:r>
        <w:t>was attempted.</w:t>
      </w:r>
    </w:p>
    <w:p w14:paraId="40BB9B76" w14:textId="77777777" w:rsidR="00457485" w:rsidRDefault="00FD6807">
      <w:pPr>
        <w:pStyle w:val="Heading2"/>
        <w:spacing w:before="260" w:after="120"/>
      </w:pPr>
      <w:r>
        <w:rPr>
          <w:b/>
          <w:bCs/>
          <w:color w:val="2E5C8A"/>
          <w:sz w:val="23"/>
          <w:szCs w:val="23"/>
        </w:rPr>
        <w:t>3.2 Reverse-engineering the live eSAKSHI API</w:t>
      </w:r>
    </w:p>
    <w:p w14:paraId="7847E68A" w14:textId="77777777" w:rsidR="00457485" w:rsidRDefault="00FD6807">
      <w:pPr>
        <w:spacing w:after="150" w:line="270" w:lineRule="auto"/>
        <w:jc w:val="both"/>
      </w:pPr>
      <w:r>
        <w:t>To move beyond manual downloads, the eSAKSHI dashboard's browser network traffic was inspected directly (via DevTools) to discover the backend API it calls internally. This revealed a consistent, undocumented but fully public REST API requiring no login, with the following discovered structure:</w:t>
      </w:r>
    </w:p>
    <w:p w14:paraId="796432D1" w14:textId="77777777" w:rsidR="00457485" w:rsidRDefault="00FD6807">
      <w:pPr>
        <w:pStyle w:val="ListParagraph"/>
        <w:numPr>
          <w:ilvl w:val="0"/>
          <w:numId w:val="2"/>
        </w:numPr>
        <w:spacing w:after="80"/>
      </w:pPr>
      <w:r>
        <w:t>getStateData — returns every state/UT and its internal numeric ID</w:t>
      </w:r>
    </w:p>
    <w:p w14:paraId="13FE7157" w14:textId="77777777" w:rsidR="00457485" w:rsidRDefault="00FD6807">
      <w:pPr>
        <w:pStyle w:val="ListParagraph"/>
        <w:numPr>
          <w:ilvl w:val="0"/>
          <w:numId w:val="2"/>
        </w:numPr>
        <w:spacing w:after="80"/>
      </w:pPr>
      <w:r>
        <w:t>getConstituencyData — given a state ID, returns every constituency and its ID</w:t>
      </w:r>
    </w:p>
    <w:p w14:paraId="234EE25C" w14:textId="77777777" w:rsidR="00457485" w:rsidRDefault="00FD6807">
      <w:pPr>
        <w:pStyle w:val="ListParagraph"/>
        <w:numPr>
          <w:ilvl w:val="0"/>
          <w:numId w:val="2"/>
        </w:numPr>
        <w:spacing w:after="80"/>
      </w:pPr>
      <w:r>
        <w:t>getMpAndConstCombo — given a constituency ID, returns the MP representing it</w:t>
      </w:r>
    </w:p>
    <w:p w14:paraId="244EAF67" w14:textId="77777777" w:rsidR="00457485" w:rsidRDefault="00FD6807">
      <w:pPr>
        <w:pStyle w:val="ListParagraph"/>
        <w:numPr>
          <w:ilvl w:val="0"/>
          <w:numId w:val="2"/>
        </w:numPr>
        <w:spacing w:after="80"/>
      </w:pPr>
      <w:r>
        <w:t>getTilesReportData — given a state/constituency/MP combination and a report name, returns the actual work records for that stage</w:t>
      </w:r>
    </w:p>
    <w:p w14:paraId="79ABBCEF" w14:textId="77777777" w:rsidR="00457485" w:rsidRDefault="00FD6807">
      <w:pPr>
        <w:spacing w:after="150" w:line="270" w:lineRule="auto"/>
        <w:jc w:val="both"/>
      </w:pPr>
      <w:r>
        <w:t>Critically, all four work-stage reports (Recommended, Sanctioned, Completed, Expenditure) for a given MP share the same request parameters and differ only in one field name — and every record across all four stages carries a shared field, WORK_RECOMMENDATION_DTL_ID, which was adopted as the authoritative cross-stage join key.</w:t>
      </w:r>
    </w:p>
    <w:p w14:paraId="4C7C17B5" w14:textId="77777777" w:rsidR="00457485" w:rsidRDefault="00FD6807">
      <w:pPr>
        <w:pStyle w:val="Heading2"/>
        <w:spacing w:before="260" w:after="120"/>
      </w:pPr>
      <w:r>
        <w:rPr>
          <w:b/>
          <w:bCs/>
          <w:color w:val="2E5C8A"/>
          <w:sz w:val="23"/>
          <w:szCs w:val="23"/>
        </w:rPr>
        <w:t>3.3 Automated, multi-state ingestion</w:t>
      </w:r>
    </w:p>
    <w:p w14:paraId="4FA65065" w14:textId="77777777" w:rsidR="00457485" w:rsidRDefault="00FD6807">
      <w:pPr>
        <w:spacing w:after="150" w:line="270" w:lineRule="auto"/>
        <w:jc w:val="both"/>
      </w:pPr>
      <w:r>
        <w:t>Using the discovered API, an automated ingestion script (automated_ingestion_all_states.py) was built to walk every state, every constituency within it, and every MP within that, pulling all four work-stage reports directly — with a politeness delay between requests and full resume-safety via a progress checkpoint file, so an interrupted run can be restarted without repeating already-completed states.</w:t>
      </w:r>
    </w:p>
    <w:p w14:paraId="3A672422" w14:textId="77777777" w:rsidR="00457485" w:rsidRDefault="00FD6807">
      <w:pPr>
        <w:spacing w:after="150" w:line="270" w:lineRule="auto"/>
        <w:jc w:val="both"/>
      </w:pPr>
      <w:r>
        <w:t>This was run successfully across nearly all of India, yielding raw data for 527 MPs — effectively complete Lok Sabha coverage — without a single manual download.</w:t>
      </w:r>
    </w:p>
    <w:p w14:paraId="21E20658" w14:textId="77777777" w:rsidR="00457485" w:rsidRDefault="00FD6807">
      <w:pPr>
        <w:pStyle w:val="Heading2"/>
        <w:spacing w:before="260" w:after="120"/>
      </w:pPr>
      <w:r>
        <w:rPr>
          <w:b/>
          <w:bCs/>
          <w:color w:val="2E5C8A"/>
          <w:sz w:val="23"/>
          <w:szCs w:val="23"/>
        </w:rPr>
        <w:t>3.4 The merge / ETL pipeline</w:t>
      </w:r>
    </w:p>
    <w:p w14:paraId="771A1736" w14:textId="77777777" w:rsidR="00457485" w:rsidRDefault="00FD6807">
      <w:pPr>
        <w:spacing w:after="150" w:line="270" w:lineRule="auto"/>
        <w:jc w:val="both"/>
      </w:pPr>
      <w:r>
        <w:t>A corresponding merge script reads the raw JSON records back out of raw_landing, resolves each work's stable identifier, joins its four lifecycle stages together, resolves or creates the relevant MP / district / vendor reference rows, and writes one structured row per work into fact_projects (and, where payment has occurred, a matching row in fact_expenditures).</w:t>
      </w:r>
    </w:p>
    <w:p w14:paraId="3EF96A21" w14:textId="77777777" w:rsidR="00457485" w:rsidRDefault="00FD6807">
      <w:pPr>
        <w:pStyle w:val="Heading2"/>
        <w:spacing w:before="260" w:after="120"/>
      </w:pPr>
      <w:r>
        <w:rPr>
          <w:b/>
          <w:bCs/>
          <w:color w:val="2E5C8A"/>
          <w:sz w:val="23"/>
          <w:szCs w:val="23"/>
        </w:rPr>
        <w:t>3.5 Data quality verification</w:t>
      </w:r>
    </w:p>
    <w:p w14:paraId="0169430B" w14:textId="77777777" w:rsidR="00457485" w:rsidRDefault="00FD6807">
      <w:pPr>
        <w:spacing w:after="150" w:line="270" w:lineRule="auto"/>
        <w:jc w:val="both"/>
      </w:pPr>
      <w:r>
        <w:t>Before handoff, the resulting dataset was spot-checked directly in the database:</w:t>
      </w:r>
    </w:p>
    <w:p w14:paraId="3E3DA250" w14:textId="77777777" w:rsidR="00457485" w:rsidRDefault="00FD6807">
      <w:pPr>
        <w:pStyle w:val="ListParagraph"/>
        <w:numPr>
          <w:ilvl w:val="0"/>
          <w:numId w:val="2"/>
        </w:numPr>
        <w:spacing w:after="80"/>
      </w:pPr>
      <w:r>
        <w:t>Every project row has a valid MP and district link (100% referential integrity — no orphaned foreign keys)</w:t>
      </w:r>
    </w:p>
    <w:p w14:paraId="5D889C12" w14:textId="77777777" w:rsidR="00457485" w:rsidRDefault="00FD6807">
      <w:pPr>
        <w:pStyle w:val="ListParagraph"/>
        <w:numPr>
          <w:ilvl w:val="0"/>
          <w:numId w:val="2"/>
        </w:numPr>
        <w:spacing w:after="80"/>
      </w:pPr>
      <w:r>
        <w:t>Field population correctly decreases at later lifecycle stages (105,605 recommended → 78,750 sanctioned → 55,879 reached payment), matching the real-world funnel rather than indicating missing data</w:t>
      </w:r>
    </w:p>
    <w:p w14:paraId="5CD84F01" w14:textId="77777777" w:rsidR="00457485" w:rsidRDefault="00FD6807">
      <w:pPr>
        <w:pStyle w:val="ListParagraph"/>
        <w:numPr>
          <w:ilvl w:val="0"/>
          <w:numId w:val="2"/>
        </w:numPr>
        <w:spacing w:after="80"/>
      </w:pPr>
      <w:r>
        <w:t>A random sample of project descriptions and amounts reads as genuine, realistic government works</w:t>
      </w:r>
    </w:p>
    <w:p w14:paraId="715BCBDA" w14:textId="77777777" w:rsidR="00457485" w:rsidRDefault="00FD6807">
      <w:pPr>
        <w:pStyle w:val="ListParagraph"/>
        <w:numPr>
          <w:ilvl w:val="0"/>
          <w:numId w:val="2"/>
        </w:numPr>
        <w:spacing w:after="80"/>
      </w:pPr>
      <w:r>
        <w:t>The ten largest sanctioned amounts are all plausible for MPLADS-scale infrastructure (₹25 lakh–₹10 crore range), with no signs of a units or parsing error</w:t>
      </w:r>
    </w:p>
    <w:p w14:paraId="69A85903" w14:textId="77777777" w:rsidR="00457485" w:rsidRDefault="00FD6807">
      <w:pPr>
        <w:pStyle w:val="ListParagraph"/>
        <w:numPr>
          <w:ilvl w:val="0"/>
          <w:numId w:val="2"/>
        </w:numPr>
        <w:spacing w:after="80"/>
      </w:pPr>
      <w:r>
        <w:t>All recorded dates fall within the actual term of the 18th Lok Sabha (July 2024 onward), with no garbage or out-of-range values</w:t>
      </w:r>
    </w:p>
    <w:p w14:paraId="7A6BBACD" w14:textId="77777777" w:rsidR="00457485" w:rsidRDefault="00FD6807">
      <w:pPr>
        <w:pStyle w:val="Heading1"/>
        <w:pBdr>
          <w:bottom w:val="single" w:sz="8" w:space="4" w:color="1F3864"/>
        </w:pBdr>
        <w:spacing w:before="320" w:after="160"/>
      </w:pPr>
      <w:r>
        <w:rPr>
          <w:b/>
          <w:bCs/>
          <w:color w:val="1F3864"/>
          <w:sz w:val="28"/>
          <w:szCs w:val="28"/>
        </w:rPr>
        <w:t>4. Bugs Identified and Fixed</w:t>
      </w:r>
    </w:p>
    <w:p w14:paraId="11EA4E33" w14:textId="77777777" w:rsidR="00457485" w:rsidRDefault="00FD6807">
      <w:pPr>
        <w:spacing w:after="150" w:line="270" w:lineRule="auto"/>
        <w:jc w:val="both"/>
      </w:pPr>
      <w:r>
        <w:t>A number of real defects surfaced during development and scale-testing — both in this workstream's own scripts and in the team's shared schema design. Each is documented here for the record.</w:t>
      </w:r>
    </w:p>
    <w:p w14:paraId="64C6BA70" w14:textId="77777777" w:rsidR="00457485" w:rsidRDefault="00FD6807">
      <w:pPr>
        <w:pStyle w:val="Heading2"/>
        <w:spacing w:before="260" w:after="120"/>
      </w:pPr>
      <w:r>
        <w:rPr>
          <w:b/>
          <w:bCs/>
          <w:color w:val="2E5C8A"/>
          <w:sz w:val="23"/>
          <w:szCs w:val="23"/>
        </w:rPr>
        <w:t>4.1 Team schema issues (raised with the wider team)</w:t>
      </w:r>
    </w:p>
    <w:tbl>
      <w:tblPr>
        <w:tblW w:w="7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9"/>
        <w:gridCol w:w="2319"/>
        <w:gridCol w:w="3072"/>
      </w:tblGrid>
      <w:tr w:rsidR="00457485" w14:paraId="7B766BC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6EB5891" w14:textId="77777777" w:rsidR="00457485" w:rsidRDefault="00FD6807">
            <w:pPr>
              <w:spacing w:after="40"/>
            </w:pPr>
            <w:r>
              <w:rPr>
                <w:b/>
                <w:bCs/>
                <w:color w:val="FFFFFF"/>
                <w:sz w:val="19"/>
                <w:szCs w:val="19"/>
              </w:rPr>
              <w:t>Issue</w:t>
            </w:r>
          </w:p>
        </w:tc>
        <w:tc>
          <w:tcPr>
            <w:tcW w:w="3400" w:type="dxa"/>
            <w:shd w:val="clear" w:color="auto" w:fill="1F3864"/>
            <w:tcMar>
              <w:top w:w="80" w:type="dxa"/>
              <w:left w:w="100" w:type="dxa"/>
              <w:bottom w:w="80" w:type="dxa"/>
              <w:right w:w="100" w:type="dxa"/>
            </w:tcMar>
            <w:vAlign w:val="center"/>
          </w:tcPr>
          <w:p w14:paraId="7DB19281" w14:textId="77777777" w:rsidR="00457485" w:rsidRDefault="00FD6807">
            <w:pPr>
              <w:spacing w:after="40"/>
            </w:pPr>
            <w:r>
              <w:rPr>
                <w:b/>
                <w:bCs/>
                <w:color w:val="FFFFFF"/>
                <w:sz w:val="19"/>
                <w:szCs w:val="19"/>
              </w:rPr>
              <w:t>Root Cause</w:t>
            </w:r>
          </w:p>
        </w:tc>
        <w:tc>
          <w:tcPr>
            <w:tcW w:w="1800" w:type="dxa"/>
            <w:shd w:val="clear" w:color="auto" w:fill="1F3864"/>
            <w:tcMar>
              <w:top w:w="80" w:type="dxa"/>
              <w:left w:w="100" w:type="dxa"/>
              <w:bottom w:w="80" w:type="dxa"/>
              <w:right w:w="100" w:type="dxa"/>
            </w:tcMar>
            <w:vAlign w:val="center"/>
          </w:tcPr>
          <w:p w14:paraId="204E6B48" w14:textId="77777777" w:rsidR="00457485" w:rsidRDefault="00FD6807">
            <w:pPr>
              <w:spacing w:after="40"/>
            </w:pPr>
            <w:r>
              <w:rPr>
                <w:b/>
                <w:bCs/>
                <w:color w:val="FFFFFF"/>
                <w:sz w:val="19"/>
                <w:szCs w:val="19"/>
              </w:rPr>
              <w:t>Status</w:t>
            </w:r>
          </w:p>
        </w:tc>
      </w:tr>
      <w:tr w:rsidR="00457485" w14:paraId="5B650D7E" w14:textId="77777777">
        <w:tblPrEx>
          <w:tblCellMar>
            <w:top w:w="0" w:type="dxa"/>
            <w:bottom w:w="0" w:type="dxa"/>
          </w:tblCellMar>
        </w:tblPrEx>
        <w:tc>
          <w:tcPr>
            <w:tcW w:w="2600" w:type="dxa"/>
            <w:tcMar>
              <w:top w:w="80" w:type="dxa"/>
              <w:left w:w="100" w:type="dxa"/>
              <w:bottom w:w="80" w:type="dxa"/>
              <w:right w:w="100" w:type="dxa"/>
            </w:tcMar>
            <w:vAlign w:val="center"/>
          </w:tcPr>
          <w:p w14:paraId="09112A67" w14:textId="77777777" w:rsidR="00457485" w:rsidRDefault="00FD6807">
            <w:pPr>
              <w:spacing w:after="40"/>
            </w:pPr>
            <w:r>
              <w:rPr>
                <w:b/>
                <w:bCs/>
                <w:sz w:val="19"/>
                <w:szCs w:val="19"/>
              </w:rPr>
              <w:t>work_id typed as BIGINT</w:t>
            </w:r>
          </w:p>
        </w:tc>
        <w:tc>
          <w:tcPr>
            <w:tcW w:w="3400" w:type="dxa"/>
            <w:tcMar>
              <w:top w:w="80" w:type="dxa"/>
              <w:left w:w="100" w:type="dxa"/>
              <w:bottom w:w="80" w:type="dxa"/>
              <w:right w:w="100" w:type="dxa"/>
            </w:tcMar>
            <w:vAlign w:val="center"/>
          </w:tcPr>
          <w:p w14:paraId="72946FFB" w14:textId="77777777" w:rsidR="00457485" w:rsidRDefault="00FD6807">
            <w:pPr>
              <w:spacing w:after="40"/>
            </w:pPr>
            <w:r>
              <w:rPr>
                <w:sz w:val="19"/>
                <w:szCs w:val="19"/>
              </w:rPr>
              <w:t>Real eSAKSHI work identifiers contain letters and slashes (e.g. "WS/MP18251/2024-2025/155461") or our own "DTL-158704" scheme — never a plain integer. A BIGINT column rejects every real insert.</w:t>
            </w:r>
          </w:p>
        </w:tc>
        <w:tc>
          <w:tcPr>
            <w:tcW w:w="1800" w:type="dxa"/>
            <w:shd w:val="clear" w:color="auto" w:fill="FCE4E4"/>
            <w:tcMar>
              <w:top w:w="80" w:type="dxa"/>
              <w:left w:w="100" w:type="dxa"/>
              <w:bottom w:w="80" w:type="dxa"/>
              <w:right w:w="100" w:type="dxa"/>
            </w:tcMar>
            <w:vAlign w:val="center"/>
          </w:tcPr>
          <w:p w14:paraId="4398E3B9" w14:textId="77777777" w:rsidR="00457485" w:rsidRDefault="00FD6807">
            <w:pPr>
              <w:spacing w:after="40"/>
            </w:pPr>
            <w:r>
              <w:rPr>
                <w:b/>
                <w:bCs/>
                <w:sz w:val="19"/>
                <w:szCs w:val="19"/>
              </w:rPr>
              <w:t>Fixed in our schema (TEXT). Still needs propagating to ai_risk_scores and audit_logs, which also reference work_id as BIGINT.</w:t>
            </w:r>
          </w:p>
        </w:tc>
      </w:tr>
      <w:tr w:rsidR="00457485" w14:paraId="7D430977" w14:textId="77777777">
        <w:tblPrEx>
          <w:tblCellMar>
            <w:top w:w="0" w:type="dxa"/>
            <w:bottom w:w="0" w:type="dxa"/>
          </w:tblCellMar>
        </w:tblPrEx>
        <w:tc>
          <w:tcPr>
            <w:tcW w:w="2600" w:type="dxa"/>
            <w:tcMar>
              <w:top w:w="80" w:type="dxa"/>
              <w:left w:w="100" w:type="dxa"/>
              <w:bottom w:w="80" w:type="dxa"/>
              <w:right w:w="100" w:type="dxa"/>
            </w:tcMar>
            <w:vAlign w:val="center"/>
          </w:tcPr>
          <w:p w14:paraId="4EC37A15" w14:textId="77777777" w:rsidR="00457485" w:rsidRDefault="00FD6807">
            <w:pPr>
              <w:spacing w:after="40"/>
            </w:pPr>
            <w:r>
              <w:rPr>
                <w:b/>
                <w:bCs/>
                <w:sz w:val="19"/>
                <w:szCs w:val="19"/>
              </w:rPr>
              <w:t>"Fuzzy match" assumption for fact_expenditures.work_id</w:t>
            </w:r>
          </w:p>
        </w:tc>
        <w:tc>
          <w:tcPr>
            <w:tcW w:w="3400" w:type="dxa"/>
            <w:tcMar>
              <w:top w:w="80" w:type="dxa"/>
              <w:left w:w="100" w:type="dxa"/>
              <w:bottom w:w="80" w:type="dxa"/>
              <w:right w:w="100" w:type="dxa"/>
            </w:tcMar>
            <w:vAlign w:val="center"/>
          </w:tcPr>
          <w:p w14:paraId="3C2F5344" w14:textId="77777777" w:rsidR="00457485" w:rsidRDefault="00FD6807">
            <w:pPr>
              <w:spacing w:after="40"/>
            </w:pPr>
            <w:r>
              <w:rPr>
                <w:sz w:val="19"/>
                <w:szCs w:val="19"/>
              </w:rPr>
              <w:t>The original design assumed no exact key existed between Expenditure records and their parent work, requiring approximate string matching.</w:t>
            </w:r>
          </w:p>
        </w:tc>
        <w:tc>
          <w:tcPr>
            <w:tcW w:w="1800" w:type="dxa"/>
            <w:shd w:val="clear" w:color="auto" w:fill="E2F0D9"/>
            <w:tcMar>
              <w:top w:w="80" w:type="dxa"/>
              <w:left w:w="100" w:type="dxa"/>
              <w:bottom w:w="80" w:type="dxa"/>
              <w:right w:w="100" w:type="dxa"/>
            </w:tcMar>
            <w:vAlign w:val="center"/>
          </w:tcPr>
          <w:p w14:paraId="7E9A3729" w14:textId="77777777" w:rsidR="00457485" w:rsidRDefault="00FD6807">
            <w:pPr>
              <w:spacing w:after="40"/>
            </w:pPr>
            <w:r>
              <w:rPr>
                <w:b/>
                <w:bCs/>
                <w:sz w:val="19"/>
                <w:szCs w:val="19"/>
              </w:rPr>
              <w:t>Disproven with real data — WORK_RECOMMENDATION_DTL_ID gives an exact match across all four stages. No fuzzy logic needed.</w:t>
            </w:r>
          </w:p>
        </w:tc>
      </w:tr>
      <w:tr w:rsidR="00457485" w14:paraId="6D803AC3" w14:textId="77777777">
        <w:tblPrEx>
          <w:tblCellMar>
            <w:top w:w="0" w:type="dxa"/>
            <w:bottom w:w="0" w:type="dxa"/>
          </w:tblCellMar>
        </w:tblPrEx>
        <w:tc>
          <w:tcPr>
            <w:tcW w:w="2600" w:type="dxa"/>
            <w:tcMar>
              <w:top w:w="80" w:type="dxa"/>
              <w:left w:w="100" w:type="dxa"/>
              <w:bottom w:w="80" w:type="dxa"/>
              <w:right w:w="100" w:type="dxa"/>
            </w:tcMar>
            <w:vAlign w:val="center"/>
          </w:tcPr>
          <w:p w14:paraId="0FCF17E3" w14:textId="77777777" w:rsidR="00457485" w:rsidRDefault="00FD6807">
            <w:pPr>
              <w:spacing w:after="40"/>
            </w:pPr>
            <w:r>
              <w:rPr>
                <w:b/>
                <w:bCs/>
                <w:sz w:val="19"/>
                <w:szCs w:val="19"/>
              </w:rPr>
              <w:t>Missing "Sanctioned Works" staging table</w:t>
            </w:r>
          </w:p>
        </w:tc>
        <w:tc>
          <w:tcPr>
            <w:tcW w:w="3400" w:type="dxa"/>
            <w:tcMar>
              <w:top w:w="80" w:type="dxa"/>
              <w:left w:w="100" w:type="dxa"/>
              <w:bottom w:w="80" w:type="dxa"/>
              <w:right w:w="100" w:type="dxa"/>
            </w:tcMar>
            <w:vAlign w:val="center"/>
          </w:tcPr>
          <w:p w14:paraId="16D42A79" w14:textId="77777777" w:rsidR="00457485" w:rsidRDefault="00FD6807">
            <w:pPr>
              <w:spacing w:after="40"/>
            </w:pPr>
            <w:r>
              <w:rPr>
                <w:sz w:val="19"/>
                <w:szCs w:val="19"/>
              </w:rPr>
              <w:t>The original staging layer covered Recommended, Completed, and Expenditure, but had no table for the Sanctioned stage — losing Sanction Amount and Work Status, both required by the AI team's cost/delay model.</w:t>
            </w:r>
          </w:p>
        </w:tc>
        <w:tc>
          <w:tcPr>
            <w:tcW w:w="1800" w:type="dxa"/>
            <w:shd w:val="clear" w:color="auto" w:fill="E2F0D9"/>
            <w:tcMar>
              <w:top w:w="80" w:type="dxa"/>
              <w:left w:w="100" w:type="dxa"/>
              <w:bottom w:w="80" w:type="dxa"/>
              <w:right w:w="100" w:type="dxa"/>
            </w:tcMar>
            <w:vAlign w:val="center"/>
          </w:tcPr>
          <w:p w14:paraId="646E109D" w14:textId="77777777" w:rsidR="00457485" w:rsidRDefault="00FD6807">
            <w:pPr>
              <w:spacing w:after="40"/>
            </w:pPr>
            <w:r>
              <w:rPr>
                <w:b/>
                <w:bCs/>
                <w:sz w:val="19"/>
                <w:szCs w:val="19"/>
              </w:rPr>
              <w:t>Proposed schema for raw_ei_sanctioned_works shared with the team, backed by a working, tested example.</w:t>
            </w:r>
          </w:p>
        </w:tc>
      </w:tr>
      <w:tr w:rsidR="00457485" w14:paraId="10984227" w14:textId="77777777">
        <w:tblPrEx>
          <w:tblCellMar>
            <w:top w:w="0" w:type="dxa"/>
            <w:bottom w:w="0" w:type="dxa"/>
          </w:tblCellMar>
        </w:tblPrEx>
        <w:tc>
          <w:tcPr>
            <w:tcW w:w="2600" w:type="dxa"/>
            <w:tcMar>
              <w:top w:w="80" w:type="dxa"/>
              <w:left w:w="100" w:type="dxa"/>
              <w:bottom w:w="80" w:type="dxa"/>
              <w:right w:w="100" w:type="dxa"/>
            </w:tcMar>
            <w:vAlign w:val="center"/>
          </w:tcPr>
          <w:p w14:paraId="6B5B41F9" w14:textId="77777777" w:rsidR="00457485" w:rsidRDefault="00FD6807">
            <w:pPr>
              <w:spacing w:after="40"/>
            </w:pPr>
            <w:r>
              <w:rPr>
                <w:b/>
                <w:bCs/>
                <w:sz w:val="19"/>
                <w:szCs w:val="19"/>
              </w:rPr>
              <w:t>dim_ida edge cases</w:t>
            </w:r>
          </w:p>
        </w:tc>
        <w:tc>
          <w:tcPr>
            <w:tcW w:w="3400" w:type="dxa"/>
            <w:tcMar>
              <w:top w:w="80" w:type="dxa"/>
              <w:left w:w="100" w:type="dxa"/>
              <w:bottom w:w="80" w:type="dxa"/>
              <w:right w:w="100" w:type="dxa"/>
            </w:tcMar>
            <w:vAlign w:val="center"/>
          </w:tcPr>
          <w:p w14:paraId="26FEE651" w14:textId="77777777" w:rsidR="00457485" w:rsidRDefault="00FD6807">
            <w:pPr>
              <w:spacing w:after="40"/>
            </w:pPr>
            <w:r>
              <w:rPr>
                <w:sz w:val="19"/>
                <w:szCs w:val="19"/>
              </w:rPr>
              <w:t>Real IDA data includes blank values, and a single MP can legitimately span more than one implementing district authority (confirmed with real data).</w:t>
            </w:r>
          </w:p>
        </w:tc>
        <w:tc>
          <w:tcPr>
            <w:tcW w:w="1800" w:type="dxa"/>
            <w:shd w:val="clear" w:color="auto" w:fill="E2F0D9"/>
            <w:tcMar>
              <w:top w:w="80" w:type="dxa"/>
              <w:left w:w="100" w:type="dxa"/>
              <w:bottom w:w="80" w:type="dxa"/>
              <w:right w:w="100" w:type="dxa"/>
            </w:tcMar>
            <w:vAlign w:val="center"/>
          </w:tcPr>
          <w:p w14:paraId="1BD68AD1" w14:textId="77777777" w:rsidR="00457485" w:rsidRDefault="00FD6807">
            <w:pPr>
              <w:spacing w:after="40"/>
            </w:pPr>
            <w:r>
              <w:rPr>
                <w:b/>
                <w:bCs/>
                <w:sz w:val="19"/>
                <w:szCs w:val="19"/>
              </w:rPr>
              <w:t>Flagged to the team; dim_ida design now correctly allows this.</w:t>
            </w:r>
          </w:p>
        </w:tc>
      </w:tr>
    </w:tbl>
    <w:p w14:paraId="3C2E9DEC" w14:textId="77777777" w:rsidR="00457485" w:rsidRDefault="00FD6807">
      <w:pPr>
        <w:pStyle w:val="Heading2"/>
        <w:spacing w:before="260" w:after="120"/>
      </w:pPr>
      <w:r>
        <w:rPr>
          <w:b/>
          <w:bCs/>
          <w:color w:val="2E5C8A"/>
          <w:sz w:val="23"/>
          <w:szCs w:val="23"/>
        </w:rPr>
        <w:t>4.2 Bugs found and fixed in this pipeline's own code</w:t>
      </w:r>
    </w:p>
    <w:tbl>
      <w:tblPr>
        <w:tblW w:w="7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3400"/>
        <w:gridCol w:w="1800"/>
      </w:tblGrid>
      <w:tr w:rsidR="00457485" w14:paraId="5CC560F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36D32B6" w14:textId="77777777" w:rsidR="00457485" w:rsidRDefault="00FD6807">
            <w:pPr>
              <w:spacing w:after="40"/>
            </w:pPr>
            <w:r>
              <w:rPr>
                <w:b/>
                <w:bCs/>
                <w:color w:val="FFFFFF"/>
                <w:sz w:val="19"/>
                <w:szCs w:val="19"/>
              </w:rPr>
              <w:t>Issue</w:t>
            </w:r>
          </w:p>
        </w:tc>
        <w:tc>
          <w:tcPr>
            <w:tcW w:w="3400" w:type="dxa"/>
            <w:shd w:val="clear" w:color="auto" w:fill="1F3864"/>
            <w:tcMar>
              <w:top w:w="80" w:type="dxa"/>
              <w:left w:w="100" w:type="dxa"/>
              <w:bottom w:w="80" w:type="dxa"/>
              <w:right w:w="100" w:type="dxa"/>
            </w:tcMar>
            <w:vAlign w:val="center"/>
          </w:tcPr>
          <w:p w14:paraId="6F3F50FF" w14:textId="77777777" w:rsidR="00457485" w:rsidRDefault="00FD6807">
            <w:pPr>
              <w:spacing w:after="40"/>
            </w:pPr>
            <w:r>
              <w:rPr>
                <w:b/>
                <w:bCs/>
                <w:color w:val="FFFFFF"/>
                <w:sz w:val="19"/>
                <w:szCs w:val="19"/>
              </w:rPr>
              <w:t>Root Cause</w:t>
            </w:r>
          </w:p>
        </w:tc>
        <w:tc>
          <w:tcPr>
            <w:tcW w:w="1800" w:type="dxa"/>
            <w:shd w:val="clear" w:color="auto" w:fill="1F3864"/>
            <w:tcMar>
              <w:top w:w="80" w:type="dxa"/>
              <w:left w:w="100" w:type="dxa"/>
              <w:bottom w:w="80" w:type="dxa"/>
              <w:right w:w="100" w:type="dxa"/>
            </w:tcMar>
            <w:vAlign w:val="center"/>
          </w:tcPr>
          <w:p w14:paraId="6B134184" w14:textId="77777777" w:rsidR="00457485" w:rsidRDefault="00FD6807">
            <w:pPr>
              <w:spacing w:after="40"/>
            </w:pPr>
            <w:r>
              <w:rPr>
                <w:b/>
                <w:bCs/>
                <w:color w:val="FFFFFF"/>
                <w:sz w:val="19"/>
                <w:szCs w:val="19"/>
              </w:rPr>
              <w:t>Status</w:t>
            </w:r>
          </w:p>
        </w:tc>
      </w:tr>
      <w:tr w:rsidR="00457485" w14:paraId="524C2FE4" w14:textId="77777777">
        <w:tblPrEx>
          <w:tblCellMar>
            <w:top w:w="0" w:type="dxa"/>
            <w:bottom w:w="0" w:type="dxa"/>
          </w:tblCellMar>
        </w:tblPrEx>
        <w:tc>
          <w:tcPr>
            <w:tcW w:w="2600" w:type="dxa"/>
            <w:tcMar>
              <w:top w:w="80" w:type="dxa"/>
              <w:left w:w="100" w:type="dxa"/>
              <w:bottom w:w="80" w:type="dxa"/>
              <w:right w:w="100" w:type="dxa"/>
            </w:tcMar>
            <w:vAlign w:val="center"/>
          </w:tcPr>
          <w:p w14:paraId="1B258886" w14:textId="77777777" w:rsidR="00457485" w:rsidRDefault="00FD6807">
            <w:pPr>
              <w:spacing w:after="40"/>
            </w:pPr>
            <w:r>
              <w:rPr>
                <w:b/>
                <w:bCs/>
                <w:sz w:val="19"/>
                <w:szCs w:val="19"/>
              </w:rPr>
              <w:t>MP name / field-name mismatch</w:t>
            </w:r>
          </w:p>
        </w:tc>
        <w:tc>
          <w:tcPr>
            <w:tcW w:w="3400" w:type="dxa"/>
            <w:tcMar>
              <w:top w:w="80" w:type="dxa"/>
              <w:left w:w="100" w:type="dxa"/>
              <w:bottom w:w="80" w:type="dxa"/>
              <w:right w:w="100" w:type="dxa"/>
            </w:tcMar>
            <w:vAlign w:val="center"/>
          </w:tcPr>
          <w:p w14:paraId="09F33747" w14:textId="77777777" w:rsidR="00457485" w:rsidRDefault="00FD6807">
            <w:pPr>
              <w:spacing w:after="40"/>
            </w:pPr>
            <w:r>
              <w:rPr>
                <w:sz w:val="19"/>
                <w:szCs w:val="19"/>
              </w:rPr>
              <w:t>CSV exports and the live API use entirely different field names for the same data (e.g. "Hon'ble Members of Parliament" vs. MP_NAME), which silently broke MP/district linking after the first automated run ("MPs touched: 1" instead of 41).</w:t>
            </w:r>
          </w:p>
        </w:tc>
        <w:tc>
          <w:tcPr>
            <w:tcW w:w="1800" w:type="dxa"/>
            <w:shd w:val="clear" w:color="auto" w:fill="E2F0D9"/>
            <w:tcMar>
              <w:top w:w="80" w:type="dxa"/>
              <w:left w:w="100" w:type="dxa"/>
              <w:bottom w:w="80" w:type="dxa"/>
              <w:right w:w="100" w:type="dxa"/>
            </w:tcMar>
            <w:vAlign w:val="center"/>
          </w:tcPr>
          <w:p w14:paraId="529C53EB" w14:textId="77777777" w:rsidR="00457485" w:rsidRDefault="00FD6807">
            <w:pPr>
              <w:spacing w:after="40"/>
            </w:pPr>
            <w:r>
              <w:rPr>
                <w:b/>
                <w:bCs/>
                <w:sz w:val="19"/>
                <w:szCs w:val="19"/>
              </w:rPr>
              <w:t>Fixed — field lookup now tries multiple known aliases per concept.</w:t>
            </w:r>
          </w:p>
        </w:tc>
      </w:tr>
      <w:tr w:rsidR="00457485" w14:paraId="4D2E8AD3" w14:textId="77777777">
        <w:tblPrEx>
          <w:tblCellMar>
            <w:top w:w="0" w:type="dxa"/>
            <w:bottom w:w="0" w:type="dxa"/>
          </w:tblCellMar>
        </w:tblPrEx>
        <w:tc>
          <w:tcPr>
            <w:tcW w:w="2600" w:type="dxa"/>
            <w:tcMar>
              <w:top w:w="80" w:type="dxa"/>
              <w:left w:w="100" w:type="dxa"/>
              <w:bottom w:w="80" w:type="dxa"/>
              <w:right w:w="100" w:type="dxa"/>
            </w:tcMar>
            <w:vAlign w:val="center"/>
          </w:tcPr>
          <w:p w14:paraId="4FD62FA5" w14:textId="77777777" w:rsidR="00457485" w:rsidRDefault="00FD6807">
            <w:pPr>
              <w:spacing w:after="40"/>
            </w:pPr>
            <w:r>
              <w:rPr>
                <w:b/>
                <w:bCs/>
                <w:sz w:val="19"/>
                <w:szCs w:val="19"/>
              </w:rPr>
              <w:t>Apostrophe breaking field matching</w:t>
            </w:r>
          </w:p>
        </w:tc>
        <w:tc>
          <w:tcPr>
            <w:tcW w:w="3400" w:type="dxa"/>
            <w:tcMar>
              <w:top w:w="80" w:type="dxa"/>
              <w:left w:w="100" w:type="dxa"/>
              <w:bottom w:w="80" w:type="dxa"/>
              <w:right w:w="100" w:type="dxa"/>
            </w:tcMar>
            <w:vAlign w:val="center"/>
          </w:tcPr>
          <w:p w14:paraId="66EEA368" w14:textId="77777777" w:rsidR="00457485" w:rsidRDefault="00FD6807">
            <w:pPr>
              <w:spacing w:after="40"/>
            </w:pPr>
            <w:r>
              <w:rPr>
                <w:sz w:val="19"/>
                <w:szCs w:val="19"/>
              </w:rPr>
              <w:t>The apostrophe in "Hon'ble" was converted to a space rather than removed, producing "hon ble" instead of "honble" and preventing any match.</w:t>
            </w:r>
          </w:p>
        </w:tc>
        <w:tc>
          <w:tcPr>
            <w:tcW w:w="1800" w:type="dxa"/>
            <w:shd w:val="clear" w:color="auto" w:fill="E2F0D9"/>
            <w:tcMar>
              <w:top w:w="80" w:type="dxa"/>
              <w:left w:w="100" w:type="dxa"/>
              <w:bottom w:w="80" w:type="dxa"/>
              <w:right w:w="100" w:type="dxa"/>
            </w:tcMar>
            <w:vAlign w:val="center"/>
          </w:tcPr>
          <w:p w14:paraId="6BFFBE25" w14:textId="77777777" w:rsidR="00457485" w:rsidRDefault="00FD6807">
            <w:pPr>
              <w:spacing w:after="40"/>
            </w:pPr>
            <w:r>
              <w:rPr>
                <w:b/>
                <w:bCs/>
                <w:sz w:val="19"/>
                <w:szCs w:val="19"/>
              </w:rPr>
              <w:t>Fixed in the field-name normalizer.</w:t>
            </w:r>
          </w:p>
        </w:tc>
      </w:tr>
      <w:tr w:rsidR="00457485" w14:paraId="03E60AD5" w14:textId="77777777">
        <w:tblPrEx>
          <w:tblCellMar>
            <w:top w:w="0" w:type="dxa"/>
            <w:bottom w:w="0" w:type="dxa"/>
          </w:tblCellMar>
        </w:tblPrEx>
        <w:tc>
          <w:tcPr>
            <w:tcW w:w="2600" w:type="dxa"/>
            <w:tcMar>
              <w:top w:w="80" w:type="dxa"/>
              <w:left w:w="100" w:type="dxa"/>
              <w:bottom w:w="80" w:type="dxa"/>
              <w:right w:w="100" w:type="dxa"/>
            </w:tcMar>
            <w:vAlign w:val="center"/>
          </w:tcPr>
          <w:p w14:paraId="0D90A463" w14:textId="77777777" w:rsidR="00457485" w:rsidRDefault="00FD6807">
            <w:pPr>
              <w:spacing w:after="40"/>
            </w:pPr>
            <w:r>
              <w:rPr>
                <w:b/>
                <w:bCs/>
                <w:sz w:val="19"/>
                <w:szCs w:val="19"/>
              </w:rPr>
              <w:t>KeyError during large-scale merge</w:t>
            </w:r>
          </w:p>
        </w:tc>
        <w:tc>
          <w:tcPr>
            <w:tcW w:w="3400" w:type="dxa"/>
            <w:tcMar>
              <w:top w:w="80" w:type="dxa"/>
              <w:left w:w="100" w:type="dxa"/>
              <w:bottom w:w="80" w:type="dxa"/>
              <w:right w:w="100" w:type="dxa"/>
            </w:tcMar>
            <w:vAlign w:val="center"/>
          </w:tcPr>
          <w:p w14:paraId="00FF1461" w14:textId="77777777" w:rsidR="00457485" w:rsidRDefault="00FD6807">
            <w:pPr>
              <w:spacing w:after="40"/>
            </w:pPr>
            <w:r>
              <w:rPr>
                <w:sz w:val="19"/>
                <w:szCs w:val="19"/>
              </w:rPr>
              <w:t>A two-phase grouping design could skip creating a group slot when raw IDs collided across sources, crashing the merge at 500-MP scale (worked fine at 41 MPs).</w:t>
            </w:r>
          </w:p>
        </w:tc>
        <w:tc>
          <w:tcPr>
            <w:tcW w:w="1800" w:type="dxa"/>
            <w:shd w:val="clear" w:color="auto" w:fill="E2F0D9"/>
            <w:tcMar>
              <w:top w:w="80" w:type="dxa"/>
              <w:left w:w="100" w:type="dxa"/>
              <w:bottom w:w="80" w:type="dxa"/>
              <w:right w:w="100" w:type="dxa"/>
            </w:tcMar>
            <w:vAlign w:val="center"/>
          </w:tcPr>
          <w:p w14:paraId="54BD795F" w14:textId="77777777" w:rsidR="00457485" w:rsidRDefault="00FD6807">
            <w:pPr>
              <w:spacing w:after="40"/>
            </w:pPr>
            <w:r>
              <w:rPr>
                <w:b/>
                <w:bCs/>
                <w:sz w:val="19"/>
                <w:szCs w:val="19"/>
              </w:rPr>
              <w:t>Rewritten to create each group slot on demand — structurally eliminates the failure mode.</w:t>
            </w:r>
          </w:p>
        </w:tc>
      </w:tr>
      <w:tr w:rsidR="00457485" w14:paraId="302AD49E" w14:textId="77777777">
        <w:tblPrEx>
          <w:tblCellMar>
            <w:top w:w="0" w:type="dxa"/>
            <w:bottom w:w="0" w:type="dxa"/>
          </w:tblCellMar>
        </w:tblPrEx>
        <w:tc>
          <w:tcPr>
            <w:tcW w:w="2600" w:type="dxa"/>
            <w:tcMar>
              <w:top w:w="80" w:type="dxa"/>
              <w:left w:w="100" w:type="dxa"/>
              <w:bottom w:w="80" w:type="dxa"/>
              <w:right w:w="100" w:type="dxa"/>
            </w:tcMar>
            <w:vAlign w:val="center"/>
          </w:tcPr>
          <w:p w14:paraId="2B3A39BD" w14:textId="77777777" w:rsidR="00457485" w:rsidRDefault="00FD6807">
            <w:pPr>
              <w:spacing w:after="40"/>
            </w:pPr>
            <w:r>
              <w:rPr>
                <w:b/>
                <w:bCs/>
                <w:sz w:val="19"/>
                <w:szCs w:val="19"/>
              </w:rPr>
              <w:t>FUND_DISBURSED_AMT not extracted</w:t>
            </w:r>
          </w:p>
        </w:tc>
        <w:tc>
          <w:tcPr>
            <w:tcW w:w="3400" w:type="dxa"/>
            <w:tcMar>
              <w:top w:w="80" w:type="dxa"/>
              <w:left w:w="100" w:type="dxa"/>
              <w:bottom w:w="80" w:type="dxa"/>
              <w:right w:w="100" w:type="dxa"/>
            </w:tcMar>
            <w:vAlign w:val="center"/>
          </w:tcPr>
          <w:p w14:paraId="73C5CF83" w14:textId="77777777" w:rsidR="00457485" w:rsidRDefault="00FD6807">
            <w:pPr>
              <w:spacing w:after="40"/>
            </w:pPr>
            <w:r>
              <w:rPr>
                <w:sz w:val="19"/>
                <w:szCs w:val="19"/>
              </w:rPr>
              <w:t>The actual per-payment amount field uses an abbreviated name (AMT, not AMOUNT) that the field matcher didn't recognise, so fact_expenditures would have been created with no amount data at all.</w:t>
            </w:r>
          </w:p>
        </w:tc>
        <w:tc>
          <w:tcPr>
            <w:tcW w:w="1800" w:type="dxa"/>
            <w:shd w:val="clear" w:color="auto" w:fill="E2F0D9"/>
            <w:tcMar>
              <w:top w:w="80" w:type="dxa"/>
              <w:left w:w="100" w:type="dxa"/>
              <w:bottom w:w="80" w:type="dxa"/>
              <w:right w:w="100" w:type="dxa"/>
            </w:tcMar>
            <w:vAlign w:val="center"/>
          </w:tcPr>
          <w:p w14:paraId="06B6DC37" w14:textId="77777777" w:rsidR="00457485" w:rsidRDefault="00FD6807">
            <w:pPr>
              <w:spacing w:after="40"/>
            </w:pPr>
            <w:r>
              <w:rPr>
                <w:b/>
                <w:bCs/>
                <w:sz w:val="19"/>
                <w:szCs w:val="19"/>
              </w:rPr>
              <w:t>Fixed and verified against real payload data before running at scale.</w:t>
            </w:r>
          </w:p>
        </w:tc>
      </w:tr>
      <w:tr w:rsidR="00457485" w14:paraId="056CC8A0" w14:textId="77777777">
        <w:tblPrEx>
          <w:tblCellMar>
            <w:top w:w="0" w:type="dxa"/>
            <w:bottom w:w="0" w:type="dxa"/>
          </w:tblCellMar>
        </w:tblPrEx>
        <w:tc>
          <w:tcPr>
            <w:tcW w:w="2600" w:type="dxa"/>
            <w:tcMar>
              <w:top w:w="80" w:type="dxa"/>
              <w:left w:w="100" w:type="dxa"/>
              <w:bottom w:w="80" w:type="dxa"/>
              <w:right w:w="100" w:type="dxa"/>
            </w:tcMar>
            <w:vAlign w:val="center"/>
          </w:tcPr>
          <w:p w14:paraId="762B726F" w14:textId="77777777" w:rsidR="00457485" w:rsidRDefault="00FD6807">
            <w:pPr>
              <w:spacing w:after="40"/>
            </w:pPr>
            <w:r>
              <w:rPr>
                <w:b/>
                <w:bCs/>
                <w:sz w:val="19"/>
                <w:szCs w:val="19"/>
              </w:rPr>
              <w:t>Windows double file extension</w:t>
            </w:r>
          </w:p>
        </w:tc>
        <w:tc>
          <w:tcPr>
            <w:tcW w:w="3400" w:type="dxa"/>
            <w:tcMar>
              <w:top w:w="80" w:type="dxa"/>
              <w:left w:w="100" w:type="dxa"/>
              <w:bottom w:w="80" w:type="dxa"/>
              <w:right w:w="100" w:type="dxa"/>
            </w:tcMar>
            <w:vAlign w:val="center"/>
          </w:tcPr>
          <w:p w14:paraId="7BD1FFA3" w14:textId="77777777" w:rsidR="00457485" w:rsidRDefault="00FD6807">
            <w:pPr>
              <w:spacing w:after="40"/>
            </w:pPr>
            <w:r>
              <w:rPr>
                <w:sz w:val="19"/>
                <w:szCs w:val="19"/>
              </w:rPr>
              <w:t>Renaming a CSV to "expenditure.csv" with file extensions hidden silently produced "expenditure.csv.csv", causing a persistent file-not-found error.</w:t>
            </w:r>
          </w:p>
        </w:tc>
        <w:tc>
          <w:tcPr>
            <w:tcW w:w="1800" w:type="dxa"/>
            <w:shd w:val="clear" w:color="auto" w:fill="E2F0D9"/>
            <w:tcMar>
              <w:top w:w="80" w:type="dxa"/>
              <w:left w:w="100" w:type="dxa"/>
              <w:bottom w:w="80" w:type="dxa"/>
              <w:right w:w="100" w:type="dxa"/>
            </w:tcMar>
            <w:vAlign w:val="center"/>
          </w:tcPr>
          <w:p w14:paraId="4248FF09" w14:textId="77777777" w:rsidR="00457485" w:rsidRDefault="00FD6807">
            <w:pPr>
              <w:spacing w:after="40"/>
            </w:pPr>
            <w:r>
              <w:rPr>
                <w:b/>
                <w:bCs/>
                <w:sz w:val="19"/>
                <w:szCs w:val="19"/>
              </w:rPr>
              <w:t>Diagnosed and resolved by re-enabling file extensions in Windows Explorer.</w:t>
            </w:r>
          </w:p>
        </w:tc>
      </w:tr>
    </w:tbl>
    <w:p w14:paraId="39595920" w14:textId="77777777" w:rsidR="00457485" w:rsidRDefault="00FD6807">
      <w:pPr>
        <w:pStyle w:val="Heading1"/>
        <w:pBdr>
          <w:bottom w:val="single" w:sz="8" w:space="4" w:color="1F3864"/>
        </w:pBdr>
        <w:spacing w:before="320" w:after="160"/>
      </w:pPr>
      <w:r>
        <w:rPr>
          <w:b/>
          <w:bCs/>
          <w:color w:val="1F3864"/>
          <w:sz w:val="28"/>
          <w:szCs w:val="28"/>
        </w:rPr>
        <w:t>5. Current Data Snapshot</w:t>
      </w:r>
    </w:p>
    <w:tbl>
      <w:tblPr>
        <w:tblW w:w="7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900"/>
        <w:gridCol w:w="3900"/>
      </w:tblGrid>
      <w:tr w:rsidR="00457485" w14:paraId="20BCF124" w14:textId="77777777">
        <w:tblPrEx>
          <w:tblCellMar>
            <w:top w:w="0" w:type="dxa"/>
            <w:bottom w:w="0" w:type="dxa"/>
          </w:tblCellMar>
        </w:tblPrEx>
        <w:tc>
          <w:tcPr>
            <w:tcW w:w="3900" w:type="dxa"/>
            <w:tcMar>
              <w:top w:w="80" w:type="dxa"/>
              <w:left w:w="100" w:type="dxa"/>
              <w:bottom w:w="80" w:type="dxa"/>
              <w:right w:w="100" w:type="dxa"/>
            </w:tcMar>
            <w:vAlign w:val="center"/>
          </w:tcPr>
          <w:p w14:paraId="33BCE08A" w14:textId="77777777" w:rsidR="00457485" w:rsidRDefault="00FD6807">
            <w:pPr>
              <w:spacing w:after="40"/>
            </w:pPr>
            <w:r>
              <w:rPr>
                <w:b/>
                <w:bCs/>
                <w:color w:val="1F3864"/>
                <w:sz w:val="19"/>
                <w:szCs w:val="19"/>
              </w:rPr>
              <w:t>Members of Parliament covered</w:t>
            </w:r>
          </w:p>
        </w:tc>
        <w:tc>
          <w:tcPr>
            <w:tcW w:w="3900" w:type="dxa"/>
            <w:tcMar>
              <w:top w:w="80" w:type="dxa"/>
              <w:left w:w="100" w:type="dxa"/>
              <w:bottom w:w="80" w:type="dxa"/>
              <w:right w:w="100" w:type="dxa"/>
            </w:tcMar>
            <w:vAlign w:val="center"/>
          </w:tcPr>
          <w:p w14:paraId="6FFEE5A5" w14:textId="77777777" w:rsidR="00457485" w:rsidRDefault="00FD6807">
            <w:pPr>
              <w:spacing w:after="40"/>
            </w:pPr>
            <w:r>
              <w:rPr>
                <w:sz w:val="19"/>
                <w:szCs w:val="19"/>
              </w:rPr>
              <w:t>527 (Lok Sabha)</w:t>
            </w:r>
          </w:p>
        </w:tc>
      </w:tr>
      <w:tr w:rsidR="00457485" w14:paraId="13313570" w14:textId="77777777">
        <w:tblPrEx>
          <w:tblCellMar>
            <w:top w:w="0" w:type="dxa"/>
            <w:bottom w:w="0" w:type="dxa"/>
          </w:tblCellMar>
        </w:tblPrEx>
        <w:tc>
          <w:tcPr>
            <w:tcW w:w="3900" w:type="dxa"/>
            <w:tcMar>
              <w:top w:w="80" w:type="dxa"/>
              <w:left w:w="100" w:type="dxa"/>
              <w:bottom w:w="80" w:type="dxa"/>
              <w:right w:w="100" w:type="dxa"/>
            </w:tcMar>
            <w:vAlign w:val="center"/>
          </w:tcPr>
          <w:p w14:paraId="0B7BB1D8" w14:textId="77777777" w:rsidR="00457485" w:rsidRDefault="00FD6807">
            <w:pPr>
              <w:spacing w:after="40"/>
            </w:pPr>
            <w:r>
              <w:rPr>
                <w:b/>
                <w:bCs/>
                <w:color w:val="1F3864"/>
                <w:sz w:val="19"/>
                <w:szCs w:val="19"/>
              </w:rPr>
              <w:t>Unique works (fact_projects)</w:t>
            </w:r>
          </w:p>
        </w:tc>
        <w:tc>
          <w:tcPr>
            <w:tcW w:w="3900" w:type="dxa"/>
            <w:tcMar>
              <w:top w:w="80" w:type="dxa"/>
              <w:left w:w="100" w:type="dxa"/>
              <w:bottom w:w="80" w:type="dxa"/>
              <w:right w:w="100" w:type="dxa"/>
            </w:tcMar>
            <w:vAlign w:val="center"/>
          </w:tcPr>
          <w:p w14:paraId="2362750D" w14:textId="77777777" w:rsidR="00457485" w:rsidRDefault="00FD6807">
            <w:pPr>
              <w:spacing w:after="40"/>
            </w:pPr>
            <w:r>
              <w:rPr>
                <w:sz w:val="19"/>
                <w:szCs w:val="19"/>
              </w:rPr>
              <w:t>~105,605</w:t>
            </w:r>
          </w:p>
        </w:tc>
      </w:tr>
      <w:tr w:rsidR="00457485" w14:paraId="426F5E1F" w14:textId="77777777">
        <w:tblPrEx>
          <w:tblCellMar>
            <w:top w:w="0" w:type="dxa"/>
            <w:bottom w:w="0" w:type="dxa"/>
          </w:tblCellMar>
        </w:tblPrEx>
        <w:tc>
          <w:tcPr>
            <w:tcW w:w="3900" w:type="dxa"/>
            <w:tcMar>
              <w:top w:w="80" w:type="dxa"/>
              <w:left w:w="100" w:type="dxa"/>
              <w:bottom w:w="80" w:type="dxa"/>
              <w:right w:w="100" w:type="dxa"/>
            </w:tcMar>
            <w:vAlign w:val="center"/>
          </w:tcPr>
          <w:p w14:paraId="61DBC8A0" w14:textId="77777777" w:rsidR="00457485" w:rsidRDefault="00FD6807">
            <w:pPr>
              <w:spacing w:after="40"/>
            </w:pPr>
            <w:r>
              <w:rPr>
                <w:b/>
                <w:bCs/>
                <w:color w:val="1F3864"/>
                <w:sz w:val="19"/>
                <w:szCs w:val="19"/>
              </w:rPr>
              <w:t>Districts / Implementing Authorities</w:t>
            </w:r>
          </w:p>
        </w:tc>
        <w:tc>
          <w:tcPr>
            <w:tcW w:w="3900" w:type="dxa"/>
            <w:tcMar>
              <w:top w:w="80" w:type="dxa"/>
              <w:left w:w="100" w:type="dxa"/>
              <w:bottom w:w="80" w:type="dxa"/>
              <w:right w:w="100" w:type="dxa"/>
            </w:tcMar>
            <w:vAlign w:val="center"/>
          </w:tcPr>
          <w:p w14:paraId="47AC9225" w14:textId="77777777" w:rsidR="00457485" w:rsidRDefault="00FD6807">
            <w:pPr>
              <w:spacing w:after="40"/>
            </w:pPr>
            <w:r>
              <w:rPr>
                <w:sz w:val="19"/>
                <w:szCs w:val="19"/>
              </w:rPr>
              <w:t>778</w:t>
            </w:r>
          </w:p>
        </w:tc>
      </w:tr>
      <w:tr w:rsidR="00457485" w14:paraId="565EE992" w14:textId="77777777">
        <w:tblPrEx>
          <w:tblCellMar>
            <w:top w:w="0" w:type="dxa"/>
            <w:bottom w:w="0" w:type="dxa"/>
          </w:tblCellMar>
        </w:tblPrEx>
        <w:tc>
          <w:tcPr>
            <w:tcW w:w="3900" w:type="dxa"/>
            <w:tcMar>
              <w:top w:w="80" w:type="dxa"/>
              <w:left w:w="100" w:type="dxa"/>
              <w:bottom w:w="80" w:type="dxa"/>
              <w:right w:w="100" w:type="dxa"/>
            </w:tcMar>
            <w:vAlign w:val="center"/>
          </w:tcPr>
          <w:p w14:paraId="457AAC72" w14:textId="77777777" w:rsidR="00457485" w:rsidRDefault="00FD6807">
            <w:pPr>
              <w:spacing w:after="40"/>
            </w:pPr>
            <w:r>
              <w:rPr>
                <w:b/>
                <w:bCs/>
                <w:color w:val="1F3864"/>
                <w:sz w:val="19"/>
                <w:szCs w:val="19"/>
              </w:rPr>
              <w:t>Vendors identified</w:t>
            </w:r>
          </w:p>
        </w:tc>
        <w:tc>
          <w:tcPr>
            <w:tcW w:w="3900" w:type="dxa"/>
            <w:tcMar>
              <w:top w:w="80" w:type="dxa"/>
              <w:left w:w="100" w:type="dxa"/>
              <w:bottom w:w="80" w:type="dxa"/>
              <w:right w:w="100" w:type="dxa"/>
            </w:tcMar>
            <w:vAlign w:val="center"/>
          </w:tcPr>
          <w:p w14:paraId="0E365B72" w14:textId="77777777" w:rsidR="00457485" w:rsidRDefault="00FD6807">
            <w:pPr>
              <w:spacing w:after="40"/>
            </w:pPr>
            <w:r>
              <w:rPr>
                <w:sz w:val="19"/>
                <w:szCs w:val="19"/>
              </w:rPr>
              <w:t>17,427</w:t>
            </w:r>
          </w:p>
        </w:tc>
      </w:tr>
      <w:tr w:rsidR="00457485" w14:paraId="49F782E8" w14:textId="77777777">
        <w:tblPrEx>
          <w:tblCellMar>
            <w:top w:w="0" w:type="dxa"/>
            <w:bottom w:w="0" w:type="dxa"/>
          </w:tblCellMar>
        </w:tblPrEx>
        <w:tc>
          <w:tcPr>
            <w:tcW w:w="3900" w:type="dxa"/>
            <w:tcMar>
              <w:top w:w="80" w:type="dxa"/>
              <w:left w:w="100" w:type="dxa"/>
              <w:bottom w:w="80" w:type="dxa"/>
              <w:right w:w="100" w:type="dxa"/>
            </w:tcMar>
            <w:vAlign w:val="center"/>
          </w:tcPr>
          <w:p w14:paraId="123378FB" w14:textId="77777777" w:rsidR="00457485" w:rsidRDefault="00FD6807">
            <w:pPr>
              <w:spacing w:after="40"/>
            </w:pPr>
            <w:r>
              <w:rPr>
                <w:b/>
                <w:bCs/>
                <w:color w:val="1F3864"/>
                <w:sz w:val="19"/>
                <w:szCs w:val="19"/>
              </w:rPr>
              <w:t>Raw staged records (raw_landing)</w:t>
            </w:r>
          </w:p>
        </w:tc>
        <w:tc>
          <w:tcPr>
            <w:tcW w:w="3900" w:type="dxa"/>
            <w:tcMar>
              <w:top w:w="80" w:type="dxa"/>
              <w:left w:w="100" w:type="dxa"/>
              <w:bottom w:w="80" w:type="dxa"/>
              <w:right w:w="100" w:type="dxa"/>
            </w:tcMar>
            <w:vAlign w:val="center"/>
          </w:tcPr>
          <w:p w14:paraId="5BB50116" w14:textId="77777777" w:rsidR="00457485" w:rsidRDefault="00FD6807">
            <w:pPr>
              <w:spacing w:after="40"/>
            </w:pPr>
            <w:r>
              <w:rPr>
                <w:sz w:val="19"/>
                <w:szCs w:val="19"/>
              </w:rPr>
              <w:t>~105,750</w:t>
            </w:r>
          </w:p>
        </w:tc>
      </w:tr>
      <w:tr w:rsidR="00457485" w14:paraId="7B1481F6" w14:textId="77777777">
        <w:tblPrEx>
          <w:tblCellMar>
            <w:top w:w="0" w:type="dxa"/>
            <w:bottom w:w="0" w:type="dxa"/>
          </w:tblCellMar>
        </w:tblPrEx>
        <w:tc>
          <w:tcPr>
            <w:tcW w:w="3900" w:type="dxa"/>
            <w:tcMar>
              <w:top w:w="80" w:type="dxa"/>
              <w:left w:w="100" w:type="dxa"/>
              <w:bottom w:w="80" w:type="dxa"/>
              <w:right w:w="100" w:type="dxa"/>
            </w:tcMar>
            <w:vAlign w:val="center"/>
          </w:tcPr>
          <w:p w14:paraId="3765D6EC" w14:textId="77777777" w:rsidR="00457485" w:rsidRDefault="00FD6807">
            <w:pPr>
              <w:spacing w:after="40"/>
            </w:pPr>
            <w:r>
              <w:rPr>
                <w:b/>
                <w:bCs/>
                <w:color w:val="1F3864"/>
                <w:sz w:val="19"/>
                <w:szCs w:val="19"/>
              </w:rPr>
              <w:t>Geographic coverage</w:t>
            </w:r>
          </w:p>
        </w:tc>
        <w:tc>
          <w:tcPr>
            <w:tcW w:w="3900" w:type="dxa"/>
            <w:tcMar>
              <w:top w:w="80" w:type="dxa"/>
              <w:left w:w="100" w:type="dxa"/>
              <w:bottom w:w="80" w:type="dxa"/>
              <w:right w:w="100" w:type="dxa"/>
            </w:tcMar>
            <w:vAlign w:val="center"/>
          </w:tcPr>
          <w:p w14:paraId="58F2F100" w14:textId="77777777" w:rsidR="00457485" w:rsidRDefault="00FD6807">
            <w:pPr>
              <w:spacing w:after="40"/>
            </w:pPr>
            <w:r>
              <w:rPr>
                <w:sz w:val="19"/>
                <w:szCs w:val="19"/>
              </w:rPr>
              <w:t>Nearly all Indian states/UTs (Lok Sabha)</w:t>
            </w:r>
          </w:p>
        </w:tc>
      </w:tr>
      <w:tr w:rsidR="00457485" w14:paraId="2F099F34" w14:textId="77777777">
        <w:tblPrEx>
          <w:tblCellMar>
            <w:top w:w="0" w:type="dxa"/>
            <w:bottom w:w="0" w:type="dxa"/>
          </w:tblCellMar>
        </w:tblPrEx>
        <w:tc>
          <w:tcPr>
            <w:tcW w:w="3900" w:type="dxa"/>
            <w:tcMar>
              <w:top w:w="80" w:type="dxa"/>
              <w:left w:w="100" w:type="dxa"/>
              <w:bottom w:w="80" w:type="dxa"/>
              <w:right w:w="100" w:type="dxa"/>
            </w:tcMar>
            <w:vAlign w:val="center"/>
          </w:tcPr>
          <w:p w14:paraId="5CCAA8F6" w14:textId="77777777" w:rsidR="00457485" w:rsidRDefault="00FD6807">
            <w:pPr>
              <w:spacing w:after="40"/>
            </w:pPr>
            <w:r>
              <w:rPr>
                <w:b/>
                <w:bCs/>
                <w:color w:val="1F3864"/>
                <w:sz w:val="19"/>
                <w:szCs w:val="19"/>
              </w:rPr>
              <w:t>Rajya Sabha coverage</w:t>
            </w:r>
          </w:p>
        </w:tc>
        <w:tc>
          <w:tcPr>
            <w:tcW w:w="3900" w:type="dxa"/>
            <w:tcMar>
              <w:top w:w="80" w:type="dxa"/>
              <w:left w:w="100" w:type="dxa"/>
              <w:bottom w:w="80" w:type="dxa"/>
              <w:right w:w="100" w:type="dxa"/>
            </w:tcMar>
            <w:vAlign w:val="center"/>
          </w:tcPr>
          <w:p w14:paraId="65C0C31A" w14:textId="77777777" w:rsidR="00457485" w:rsidRDefault="00FD6807">
            <w:pPr>
              <w:spacing w:after="40"/>
            </w:pPr>
            <w:r>
              <w:rPr>
                <w:sz w:val="19"/>
                <w:szCs w:val="19"/>
              </w:rPr>
              <w:t>Not yet started</w:t>
            </w:r>
          </w:p>
        </w:tc>
      </w:tr>
    </w:tbl>
    <w:p w14:paraId="1F2D50CE" w14:textId="77777777" w:rsidR="00457485" w:rsidRDefault="00FD6807">
      <w:r>
        <w:br w:type="page"/>
      </w:r>
    </w:p>
    <w:p w14:paraId="2881AA2E" w14:textId="77777777" w:rsidR="00457485" w:rsidRDefault="00FD6807">
      <w:pPr>
        <w:pStyle w:val="Heading1"/>
        <w:pBdr>
          <w:bottom w:val="single" w:sz="8" w:space="4" w:color="1F3864"/>
        </w:pBdr>
        <w:spacing w:before="320" w:after="160"/>
      </w:pPr>
      <w:r>
        <w:rPr>
          <w:b/>
          <w:bCs/>
          <w:color w:val="1F3864"/>
          <w:sz w:val="28"/>
          <w:szCs w:val="28"/>
        </w:rPr>
        <w:t>6. What Remains To Be Done</w:t>
      </w:r>
    </w:p>
    <w:p w14:paraId="116A7B29" w14:textId="77777777" w:rsidR="00457485" w:rsidRDefault="00FD6807">
      <w:pPr>
        <w:pStyle w:val="Heading2"/>
        <w:spacing w:before="260" w:after="120"/>
      </w:pPr>
      <w:r>
        <w:rPr>
          <w:b/>
          <w:bCs/>
          <w:color w:val="2E5C8A"/>
          <w:sz w:val="23"/>
          <w:szCs w:val="23"/>
        </w:rPr>
        <w:t>6.1 Immediate next steps (this workstream)</w:t>
      </w:r>
    </w:p>
    <w:p w14:paraId="3D037C35" w14:textId="77777777" w:rsidR="00457485" w:rsidRDefault="00FD6807">
      <w:pPr>
        <w:pStyle w:val="ListParagraph"/>
        <w:numPr>
          <w:ilvl w:val="0"/>
          <w:numId w:val="2"/>
        </w:numPr>
        <w:spacing w:after="80"/>
      </w:pPr>
      <w:r>
        <w:rPr>
          <w:b/>
          <w:bCs/>
          <w:color w:val="1F3864"/>
        </w:rPr>
        <w:t xml:space="preserve">Run the v4 schema migration — </w:t>
      </w:r>
      <w:r>
        <w:t>apply schema_v4_renamed.sql and re-run merge_into_projects_v4.py so the full dataset is rebuilt under the team's agreed table names (dim_mp, dim_ida, dim_vendor, fact_projects, fact_expenditures), including the new fact_expenditures split.</w:t>
      </w:r>
    </w:p>
    <w:p w14:paraId="49C0CC74" w14:textId="77777777" w:rsidR="00457485" w:rsidRDefault="00FD6807">
      <w:pPr>
        <w:pStyle w:val="ListParagraph"/>
        <w:numPr>
          <w:ilvl w:val="0"/>
          <w:numId w:val="2"/>
        </w:numPr>
        <w:spacing w:after="80"/>
      </w:pPr>
      <w:r>
        <w:rPr>
          <w:b/>
          <w:bCs/>
          <w:color w:val="1F3864"/>
        </w:rPr>
        <w:t xml:space="preserve">Load MP allocated budget limits — </w:t>
      </w:r>
      <w:r>
        <w:t>Allocated_Limit_for_Honble_MPs.csv has already been sourced but not yet loaded into dim_mp.allocated_limit.</w:t>
      </w:r>
    </w:p>
    <w:p w14:paraId="047057C2" w14:textId="77777777" w:rsidR="00457485" w:rsidRDefault="00FD6807">
      <w:pPr>
        <w:pStyle w:val="ListParagraph"/>
        <w:numPr>
          <w:ilvl w:val="0"/>
          <w:numId w:val="2"/>
        </w:numPr>
        <w:spacing w:after="80"/>
      </w:pPr>
      <w:r>
        <w:rPr>
          <w:b/>
          <w:bCs/>
          <w:color w:val="1F3864"/>
        </w:rPr>
        <w:t xml:space="preserve">Confirm the final_amount definition — </w:t>
      </w:r>
      <w:r>
        <w:t>fact_projects.final_amount is currently populated as sanctioned amount (falling back to recommended amount pre-sanction) — this interpretation needs sign-off from whoever specified the field.</w:t>
      </w:r>
    </w:p>
    <w:p w14:paraId="64E36A3E" w14:textId="77777777" w:rsidR="00457485" w:rsidRDefault="00FD6807">
      <w:pPr>
        <w:pStyle w:val="ListParagraph"/>
        <w:numPr>
          <w:ilvl w:val="0"/>
          <w:numId w:val="2"/>
        </w:numPr>
        <w:spacing w:after="80"/>
      </w:pPr>
      <w:r>
        <w:rPr>
          <w:b/>
          <w:bCs/>
          <w:color w:val="1F3864"/>
        </w:rPr>
        <w:t xml:space="preserve">Decide on Rajya Sabha coverage — </w:t>
      </w:r>
      <w:r>
        <w:t>only Lok Sabha (house code "2") has been confirmed and collected; extending to Rajya Sabha requires repeating the API discovery process for its house code.</w:t>
      </w:r>
    </w:p>
    <w:p w14:paraId="036FB248" w14:textId="77777777" w:rsidR="00457485" w:rsidRDefault="00FD6807">
      <w:pPr>
        <w:pStyle w:val="Heading2"/>
        <w:spacing w:before="260" w:after="120"/>
      </w:pPr>
      <w:r>
        <w:rPr>
          <w:b/>
          <w:bCs/>
          <w:color w:val="2E5C8A"/>
          <w:sz w:val="23"/>
          <w:szCs w:val="23"/>
        </w:rPr>
        <w:t>6.2 Gaps with no current data source</w:t>
      </w:r>
    </w:p>
    <w:p w14:paraId="6F171AE4" w14:textId="77777777" w:rsidR="00457485" w:rsidRDefault="00FD6807">
      <w:pPr>
        <w:spacing w:after="150" w:line="270" w:lineRule="auto"/>
        <w:jc w:val="both"/>
      </w:pPr>
      <w:r>
        <w:t>The following fields exist in the team's dim_mp / fact_projects schema but have no source in any data currently collected. Populating them would require a new data source (e.g. the Sitting Members list) and is out of scope until one is identified:</w:t>
      </w:r>
    </w:p>
    <w:p w14:paraId="646F9982" w14:textId="77777777" w:rsidR="00457485" w:rsidRDefault="00FD6807">
      <w:pPr>
        <w:pStyle w:val="ListParagraph"/>
        <w:numPr>
          <w:ilvl w:val="0"/>
          <w:numId w:val="2"/>
        </w:numPr>
        <w:spacing w:after="80"/>
      </w:pPr>
      <w:r>
        <w:t>dim_mp: party_name, membership_status, terms_served</w:t>
      </w:r>
    </w:p>
    <w:p w14:paraId="2860F3A8" w14:textId="77777777" w:rsidR="00457485" w:rsidRDefault="00FD6807">
      <w:pPr>
        <w:pStyle w:val="ListParagraph"/>
        <w:numPr>
          <w:ilvl w:val="0"/>
          <w:numId w:val="2"/>
        </w:numPr>
        <w:spacing w:after="80"/>
      </w:pPr>
      <w:r>
        <w:t>fact_projects: has_images, average_rating</w:t>
      </w:r>
    </w:p>
    <w:p w14:paraId="2A704F4C" w14:textId="77777777" w:rsidR="00457485" w:rsidRDefault="00FD6807">
      <w:pPr>
        <w:pStyle w:val="Heading2"/>
        <w:spacing w:before="260" w:after="120"/>
      </w:pPr>
      <w:r>
        <w:rPr>
          <w:b/>
          <w:bCs/>
          <w:color w:val="2E5C8A"/>
          <w:sz w:val="23"/>
          <w:szCs w:val="23"/>
        </w:rPr>
        <w:t>6.3 Outstanding team coordination</w:t>
      </w:r>
    </w:p>
    <w:p w14:paraId="319ED33A" w14:textId="77777777" w:rsidR="00457485" w:rsidRDefault="00FD6807">
      <w:pPr>
        <w:pStyle w:val="ListParagraph"/>
        <w:numPr>
          <w:ilvl w:val="0"/>
          <w:numId w:val="2"/>
        </w:numPr>
        <w:spacing w:after="80"/>
      </w:pPr>
      <w:r>
        <w:rPr>
          <w:b/>
          <w:bCs/>
          <w:color w:val="1F3864"/>
        </w:rPr>
        <w:t xml:space="preserve">BIGINT fix propagation — </w:t>
      </w:r>
      <w:r>
        <w:t>ai_risk_scores.work_id and audit_logs.work_id still need correcting from BIGINT to TEXT before the AI team builds against them.</w:t>
      </w:r>
    </w:p>
    <w:p w14:paraId="351A2FE3" w14:textId="77777777" w:rsidR="00457485" w:rsidRDefault="00FD6807">
      <w:pPr>
        <w:pStyle w:val="ListParagraph"/>
        <w:numPr>
          <w:ilvl w:val="0"/>
          <w:numId w:val="2"/>
        </w:numPr>
        <w:spacing w:after="80"/>
      </w:pPr>
      <w:r>
        <w:rPr>
          <w:b/>
          <w:bCs/>
          <w:color w:val="1F3864"/>
        </w:rPr>
        <w:t xml:space="preserve">Data handoff — </w:t>
      </w:r>
      <w:r>
        <w:t>the AI team now has ~105,600 real project records (far beyond the original ~200-row single-MP sample) to develop and test the duplicate-detection and fraud-scoring models against.</w:t>
      </w:r>
    </w:p>
    <w:p w14:paraId="48ABECCF" w14:textId="77777777" w:rsidR="00457485" w:rsidRDefault="00FD6807">
      <w:pPr>
        <w:pStyle w:val="Heading2"/>
        <w:spacing w:before="260" w:after="120"/>
      </w:pPr>
      <w:r>
        <w:rPr>
          <w:b/>
          <w:bCs/>
          <w:color w:val="2E5C8A"/>
          <w:sz w:val="23"/>
          <w:szCs w:val="23"/>
        </w:rPr>
        <w:t>6.4 Deferred, not currently necessary</w:t>
      </w:r>
    </w:p>
    <w:p w14:paraId="06A896C5" w14:textId="77777777" w:rsidR="00457485" w:rsidRDefault="00FD6807">
      <w:pPr>
        <w:spacing w:after="150" w:line="270" w:lineRule="auto"/>
        <w:jc w:val="both"/>
      </w:pPr>
      <w:r>
        <w:t>The merge script currently processes one work at a time rather than in batches. At the current data volume this completes in a reasonable time and has not needed optimization. If future runs (e.g. adding many more states, or Rajya Sabha) start taking impractically long, batching inserts and using a vectorized (pandas-based) merge instead of a row-by-row Python loop is the identified next lever — not required today.</w:t>
      </w:r>
    </w:p>
    <w:sectPr w:rsidR="0045748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0BE1"/>
    <w:multiLevelType w:val="hybridMultilevel"/>
    <w:tmpl w:val="FFFFFFFF"/>
    <w:lvl w:ilvl="0" w:tplc="CD2C9182">
      <w:start w:val="1"/>
      <w:numFmt w:val="bullet"/>
      <w:lvlText w:val="●"/>
      <w:lvlJc w:val="left"/>
      <w:pPr>
        <w:ind w:left="720" w:hanging="360"/>
      </w:pPr>
    </w:lvl>
    <w:lvl w:ilvl="1" w:tplc="BD6C4932">
      <w:start w:val="1"/>
      <w:numFmt w:val="bullet"/>
      <w:lvlText w:val="○"/>
      <w:lvlJc w:val="left"/>
      <w:pPr>
        <w:ind w:left="1440" w:hanging="360"/>
      </w:pPr>
    </w:lvl>
    <w:lvl w:ilvl="2" w:tplc="70CA58C0">
      <w:start w:val="1"/>
      <w:numFmt w:val="bullet"/>
      <w:lvlText w:val="■"/>
      <w:lvlJc w:val="left"/>
      <w:pPr>
        <w:ind w:left="2160" w:hanging="360"/>
      </w:pPr>
    </w:lvl>
    <w:lvl w:ilvl="3" w:tplc="3C68F314">
      <w:start w:val="1"/>
      <w:numFmt w:val="bullet"/>
      <w:lvlText w:val="●"/>
      <w:lvlJc w:val="left"/>
      <w:pPr>
        <w:ind w:left="2880" w:hanging="360"/>
      </w:pPr>
    </w:lvl>
    <w:lvl w:ilvl="4" w:tplc="C8867798">
      <w:start w:val="1"/>
      <w:numFmt w:val="bullet"/>
      <w:lvlText w:val="○"/>
      <w:lvlJc w:val="left"/>
      <w:pPr>
        <w:ind w:left="3600" w:hanging="360"/>
      </w:pPr>
    </w:lvl>
    <w:lvl w:ilvl="5" w:tplc="8E7A4E4A">
      <w:start w:val="1"/>
      <w:numFmt w:val="bullet"/>
      <w:lvlText w:val="■"/>
      <w:lvlJc w:val="left"/>
      <w:pPr>
        <w:ind w:left="4320" w:hanging="360"/>
      </w:pPr>
    </w:lvl>
    <w:lvl w:ilvl="6" w:tplc="D59699EE">
      <w:start w:val="1"/>
      <w:numFmt w:val="bullet"/>
      <w:lvlText w:val="●"/>
      <w:lvlJc w:val="left"/>
      <w:pPr>
        <w:ind w:left="5040" w:hanging="360"/>
      </w:pPr>
    </w:lvl>
    <w:lvl w:ilvl="7" w:tplc="A75C2900">
      <w:start w:val="1"/>
      <w:numFmt w:val="bullet"/>
      <w:lvlText w:val="●"/>
      <w:lvlJc w:val="left"/>
      <w:pPr>
        <w:ind w:left="5760" w:hanging="360"/>
      </w:pPr>
    </w:lvl>
    <w:lvl w:ilvl="8" w:tplc="3016223E">
      <w:start w:val="1"/>
      <w:numFmt w:val="bullet"/>
      <w:lvlText w:val="●"/>
      <w:lvlJc w:val="left"/>
      <w:pPr>
        <w:ind w:left="6480" w:hanging="360"/>
      </w:pPr>
    </w:lvl>
  </w:abstractNum>
  <w:abstractNum w:abstractNumId="1" w15:restartNumberingAfterBreak="0">
    <w:nsid w:val="195F1512"/>
    <w:multiLevelType w:val="hybridMultilevel"/>
    <w:tmpl w:val="FFFFFFFF"/>
    <w:lvl w:ilvl="0" w:tplc="31D6627A">
      <w:start w:val="1"/>
      <w:numFmt w:val="bullet"/>
      <w:lvlText w:val="•"/>
      <w:lvlJc w:val="left"/>
      <w:pPr>
        <w:ind w:left="460" w:hanging="260"/>
      </w:pPr>
    </w:lvl>
    <w:lvl w:ilvl="1" w:tplc="63B0F300">
      <w:numFmt w:val="decimal"/>
      <w:lvlText w:val=""/>
      <w:lvlJc w:val="left"/>
    </w:lvl>
    <w:lvl w:ilvl="2" w:tplc="098238A4">
      <w:numFmt w:val="decimal"/>
      <w:lvlText w:val=""/>
      <w:lvlJc w:val="left"/>
    </w:lvl>
    <w:lvl w:ilvl="3" w:tplc="70F83CC2">
      <w:numFmt w:val="decimal"/>
      <w:lvlText w:val=""/>
      <w:lvlJc w:val="left"/>
    </w:lvl>
    <w:lvl w:ilvl="4" w:tplc="69A457EE">
      <w:numFmt w:val="decimal"/>
      <w:lvlText w:val=""/>
      <w:lvlJc w:val="left"/>
    </w:lvl>
    <w:lvl w:ilvl="5" w:tplc="C6FC2594">
      <w:numFmt w:val="decimal"/>
      <w:lvlText w:val=""/>
      <w:lvlJc w:val="left"/>
    </w:lvl>
    <w:lvl w:ilvl="6" w:tplc="01D002B4">
      <w:numFmt w:val="decimal"/>
      <w:lvlText w:val=""/>
      <w:lvlJc w:val="left"/>
    </w:lvl>
    <w:lvl w:ilvl="7" w:tplc="00FC17A8">
      <w:numFmt w:val="decimal"/>
      <w:lvlText w:val=""/>
      <w:lvlJc w:val="left"/>
    </w:lvl>
    <w:lvl w:ilvl="8" w:tplc="E78A2414">
      <w:numFmt w:val="decimal"/>
      <w:lvlText w:val=""/>
      <w:lvlJc w:val="left"/>
    </w:lvl>
  </w:abstractNum>
  <w:num w:numId="1" w16cid:durableId="849443693">
    <w:abstractNumId w:val="0"/>
    <w:lvlOverride w:ilvl="0">
      <w:startOverride w:val="1"/>
    </w:lvlOverride>
  </w:num>
  <w:num w:numId="2" w16cid:durableId="940837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485"/>
    <w:rsid w:val="00457485"/>
    <w:rsid w:val="005E6E09"/>
    <w:rsid w:val="00FD6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954EEB"/>
  <w15:docId w15:val="{106263F6-9E1A-9046-8486-B358D7CE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1789</Words>
  <Characters>10202</Characters>
  <Application>Microsoft Office Word</Application>
  <DocSecurity>0</DocSecurity>
  <Lines>85</Lines>
  <Paragraphs>23</Paragraphs>
  <ScaleCrop>false</ScaleCrop>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MPLADS Backend Pipeline — Progress Report</dc:title>
  <dc:creator>The Experimentalists</dc:creator>
  <cp:lastModifiedBy>Debanjan  Chakraborty</cp:lastModifiedBy>
  <cp:revision>2</cp:revision>
  <dcterms:created xsi:type="dcterms:W3CDTF">2026-09-16T18:29:00Z</dcterms:created>
  <dcterms:modified xsi:type="dcterms:W3CDTF">2026-09-16T18:29:00Z</dcterms:modified>
</cp:coreProperties>
</file>