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  <w:jc w:val="left"/>
      </w:pPr>
      <w:r>
        <w:drawing>
          <wp:inline xmlns:a="http://schemas.openxmlformats.org/drawingml/2006/main" xmlns:pic="http://schemas.openxmlformats.org/drawingml/2006/picture">
            <wp:extent cx="1298448" cy="718204"/>
            <wp:docPr id="1" name="Picture 1" title="Logo CEIBA Analytics" descr="Identité visuelle CEIBA Analytic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iba-analytics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8448" cy="718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ptos" w:hAnsi="Aptos"/>
          <w:b/>
          <w:color w:val="2855A5"/>
          <w:sz w:val="18"/>
        </w:rPr>
        <w:t>GEOARCHIVES MULCV</w:t>
      </w:r>
    </w:p>
    <w:p>
      <w:pPr>
        <w:pStyle w:val="Title"/>
      </w:pPr>
      <w:r>
        <w:t>Guide utilisateur de l'archivage Alfresco</w:t>
      </w:r>
    </w:p>
    <w:p>
      <w:pPr>
        <w:spacing w:after="560"/>
      </w:pPr>
      <w:r>
        <w:rPr>
          <w:rFonts w:ascii="Aptos" w:hAnsi="Aptos"/>
          <w:color w:val="667085"/>
          <w:sz w:val="30"/>
        </w:rPr>
        <w:t>Ajouter, pré-indexer, valider et contrôler le versement des documents</w:t>
      </w:r>
    </w:p>
    <w:p>
      <w:pPr>
        <w:spacing w:after="440"/>
      </w:pPr>
      <w:r>
        <w:rPr>
          <w:rFonts w:ascii="Aptos" w:hAnsi="Aptos"/>
          <w:sz w:val="23"/>
        </w:rPr>
        <w:t>Ce guide accompagne les agents dans le traitement d'un document depuis l'onglet Documents jusqu'à sa conservation définitive dans Alfresco.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2494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EAF1FA"/>
          </w:tcPr>
          <w:p>
            <w:r>
              <w:rPr>
                <w:rFonts w:ascii="Aptos" w:hAnsi="Aptos"/>
                <w:b/>
                <w:color w:val="17375E"/>
                <w:sz w:val="19"/>
              </w:rPr>
              <w:t>Application</w:t>
            </w:r>
          </w:p>
        </w:tc>
        <w:tc>
          <w:tcPr>
            <w:tcW w:type="dxa" w:w="7143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000000"/>
                <w:sz w:val="19"/>
              </w:rPr>
              <w:t>GeoArchives MULCV</w:t>
            </w:r>
          </w:p>
        </w:tc>
      </w:tr>
      <w:tr>
        <w:tc>
          <w:tcPr>
            <w:tcW w:type="dxa" w:w="2494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EAF1FA"/>
          </w:tcPr>
          <w:p>
            <w:r>
              <w:rPr>
                <w:rFonts w:ascii="Aptos" w:hAnsi="Aptos"/>
                <w:b/>
                <w:color w:val="17375E"/>
                <w:sz w:val="19"/>
              </w:rPr>
              <w:t>Adresse</w:t>
            </w:r>
          </w:p>
        </w:tc>
        <w:tc>
          <w:tcPr>
            <w:tcW w:type="dxa" w:w="7143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000000"/>
                <w:sz w:val="19"/>
              </w:rPr>
              <w:t>https://geoarchives.ceiba-analytics.com</w:t>
            </w:r>
          </w:p>
        </w:tc>
      </w:tr>
      <w:tr>
        <w:tc>
          <w:tcPr>
            <w:tcW w:type="dxa" w:w="2494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EAF1FA"/>
          </w:tcPr>
          <w:p>
            <w:r>
              <w:rPr>
                <w:rFonts w:ascii="Aptos" w:hAnsi="Aptos"/>
                <w:b/>
                <w:color w:val="17375E"/>
                <w:sz w:val="19"/>
              </w:rPr>
              <w:t>Public concerné</w:t>
            </w:r>
          </w:p>
        </w:tc>
        <w:tc>
          <w:tcPr>
            <w:tcW w:type="dxa" w:w="7143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000000"/>
                <w:sz w:val="19"/>
              </w:rPr>
              <w:t>Opérateurs, superviseurs et agents habilités</w:t>
            </w:r>
          </w:p>
        </w:tc>
      </w:tr>
      <w:tr>
        <w:tc>
          <w:tcPr>
            <w:tcW w:type="dxa" w:w="2494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EAF1FA"/>
          </w:tcPr>
          <w:p>
            <w:r>
              <w:rPr>
                <w:rFonts w:ascii="Aptos" w:hAnsi="Aptos"/>
                <w:b/>
                <w:color w:val="17375E"/>
                <w:sz w:val="19"/>
              </w:rPr>
              <w:t>Version du guide</w:t>
            </w:r>
          </w:p>
        </w:tc>
        <w:tc>
          <w:tcPr>
            <w:tcW w:type="dxa" w:w="7143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000000"/>
                <w:sz w:val="19"/>
              </w:rPr>
              <w:t>21 octobre 2026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Comprendre le parcours</w:t>
      </w:r>
    </w:p>
    <w:p>
      <w:r>
        <w:t>Le dossier métier reste géré dans GeoArchives. Alfresco reçoit les fichiers définitifs et leurs métadonnées lorsque le dossier atteint l'étape Archivage et que cette étape est validée.</w:t>
      </w:r>
    </w:p>
    <w:p>
      <w:pPr>
        <w:pStyle w:val="Heading2"/>
        <w:keepNext/>
      </w:pPr>
      <w:r>
        <w:t>Les six étapes</w:t>
      </w:r>
    </w:p>
    <w:p>
      <w:pPr>
        <w:ind w:left="312" w:hanging="312"/>
        <w:keepLines/>
      </w:pPr>
      <w:r>
        <w:rPr>
          <w:b/>
          <w:color w:val="2855A5"/>
        </w:rPr>
        <w:t xml:space="preserve">1. </w:t>
      </w:r>
      <w:r>
        <w:rPr>
          <w:b/>
        </w:rPr>
        <w:t xml:space="preserve">Ouvrir le dossier. </w:t>
      </w:r>
      <w:r>
        <w:t>Rechercher le dossier concerné puis ouvrir sa fiche.</w:t>
      </w:r>
    </w:p>
    <w:p>
      <w:pPr>
        <w:ind w:left="312" w:hanging="312"/>
        <w:keepLines/>
      </w:pPr>
      <w:r>
        <w:rPr>
          <w:b/>
          <w:color w:val="2855A5"/>
        </w:rPr>
        <w:t xml:space="preserve">2. </w:t>
      </w:r>
      <w:r>
        <w:rPr>
          <w:b/>
        </w:rPr>
        <w:t xml:space="preserve">Ajouter les scans. </w:t>
      </w:r>
      <w:r>
        <w:t>Charger les fichiers depuis l'onglet Documents.</w:t>
      </w:r>
    </w:p>
    <w:p>
      <w:pPr>
        <w:ind w:left="312" w:hanging="312"/>
        <w:keepLines/>
      </w:pPr>
      <w:r>
        <w:rPr>
          <w:b/>
          <w:color w:val="2855A5"/>
        </w:rPr>
        <w:t xml:space="preserve">3. </w:t>
      </w:r>
      <w:r>
        <w:rPr>
          <w:b/>
        </w:rPr>
        <w:t xml:space="preserve">Pré-indexer. </w:t>
      </w:r>
      <w:r>
        <w:t>Renseigner les métadonnées documentaires et déclarer chaque fichier prêt.</w:t>
      </w:r>
    </w:p>
    <w:p>
      <w:pPr>
        <w:ind w:left="312" w:hanging="312"/>
        <w:keepLines/>
      </w:pPr>
      <w:r>
        <w:rPr>
          <w:b/>
          <w:color w:val="2855A5"/>
        </w:rPr>
        <w:t xml:space="preserve">4. </w:t>
      </w:r>
      <w:r>
        <w:rPr>
          <w:b/>
        </w:rPr>
        <w:t xml:space="preserve">Poursuivre le workflow. </w:t>
      </w:r>
      <w:r>
        <w:t>Finaliser les contrôles, l'indexation et les étapes métier requises.</w:t>
      </w:r>
    </w:p>
    <w:p>
      <w:pPr>
        <w:ind w:left="312" w:hanging="312"/>
        <w:keepLines/>
      </w:pPr>
      <w:r>
        <w:rPr>
          <w:b/>
          <w:color w:val="2855A5"/>
        </w:rPr>
        <w:t xml:space="preserve">5. </w:t>
      </w:r>
      <w:r>
        <w:rPr>
          <w:b/>
        </w:rPr>
        <w:t xml:space="preserve">Valider l'archivage. </w:t>
      </w:r>
      <w:r>
        <w:t>Un utilisateur habilité termine l'étape Archivage.</w:t>
      </w:r>
    </w:p>
    <w:p>
      <w:pPr>
        <w:ind w:left="312" w:hanging="312"/>
        <w:keepLines/>
      </w:pPr>
      <w:r>
        <w:rPr>
          <w:b/>
          <w:color w:val="2855A5"/>
        </w:rPr>
        <w:t xml:space="preserve">6. </w:t>
      </w:r>
      <w:r>
        <w:rPr>
          <w:b/>
        </w:rPr>
        <w:t xml:space="preserve">Contrôler Alfresco. </w:t>
      </w:r>
      <w:r>
        <w:t>Vérifier que chaque fichier porte le statut Conservé dans Alfresco.</w:t>
      </w:r>
    </w:p>
    <w:p>
      <w:pPr>
        <w:pStyle w:val="Heading2"/>
        <w:keepNext/>
      </w:pPr>
      <w:r>
        <w:t>Ce qui est conservé dans chaque système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3572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75E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Élément</w:t>
            </w:r>
          </w:p>
        </w:tc>
        <w:tc>
          <w:tcPr>
            <w:tcW w:type="dxa" w:w="2948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75E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GeoArchives</w:t>
            </w:r>
          </w:p>
        </w:tc>
        <w:tc>
          <w:tcPr>
            <w:tcW w:type="dxa" w:w="3118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75E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Alfresco</w:t>
            </w:r>
          </w:p>
        </w:tc>
      </w:tr>
      <w:tr>
        <w:tc>
          <w:tcPr>
            <w:tcW w:type="dxa" w:w="3572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color w:val="000000"/>
                <w:sz w:val="18"/>
              </w:rPr>
              <w:t>Données du formulaire</w:t>
            </w:r>
          </w:p>
        </w:tc>
        <w:tc>
          <w:tcPr>
            <w:tcW w:type="dxa" w:w="2948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color w:val="000000"/>
                <w:sz w:val="18"/>
              </w:rPr>
              <w:t>Oui</w:t>
            </w:r>
          </w:p>
        </w:tc>
        <w:tc>
          <w:tcPr>
            <w:tcW w:type="dxa" w:w="3118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color w:val="000000"/>
                <w:sz w:val="18"/>
              </w:rPr>
              <w:t>Non</w:t>
            </w:r>
          </w:p>
        </w:tc>
      </w:tr>
      <w:tr>
        <w:tc>
          <w:tcPr>
            <w:tcW w:type="dxa" w:w="3572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A"/>
          </w:tcPr>
          <w:p>
            <w:r>
              <w:rPr>
                <w:rFonts w:ascii="Aptos" w:hAnsi="Aptos"/>
                <w:color w:val="000000"/>
                <w:sz w:val="18"/>
              </w:rPr>
              <w:t>Historique du workflow</w:t>
            </w:r>
          </w:p>
        </w:tc>
        <w:tc>
          <w:tcPr>
            <w:tcW w:type="dxa" w:w="2948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A"/>
          </w:tcPr>
          <w:p>
            <w:r>
              <w:rPr>
                <w:rFonts w:ascii="Aptos" w:hAnsi="Aptos"/>
                <w:color w:val="000000"/>
                <w:sz w:val="18"/>
              </w:rPr>
              <w:t>Oui</w:t>
            </w:r>
          </w:p>
        </w:tc>
        <w:tc>
          <w:tcPr>
            <w:tcW w:type="dxa" w:w="3118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A"/>
          </w:tcPr>
          <w:p>
            <w:r>
              <w:rPr>
                <w:rFonts w:ascii="Aptos" w:hAnsi="Aptos"/>
                <w:color w:val="000000"/>
                <w:sz w:val="18"/>
              </w:rPr>
              <w:t>Non</w:t>
            </w:r>
          </w:p>
        </w:tc>
      </w:tr>
      <w:tr>
        <w:tc>
          <w:tcPr>
            <w:tcW w:type="dxa" w:w="3572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color w:val="000000"/>
                <w:sz w:val="18"/>
              </w:rPr>
              <w:t>Fichiers numérisés définitifs</w:t>
            </w:r>
          </w:p>
        </w:tc>
        <w:tc>
          <w:tcPr>
            <w:tcW w:type="dxa" w:w="2948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color w:val="000000"/>
                <w:sz w:val="18"/>
              </w:rPr>
              <w:t>Référence et statut</w:t>
            </w:r>
          </w:p>
        </w:tc>
        <w:tc>
          <w:tcPr>
            <w:tcW w:type="dxa" w:w="3118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color w:val="000000"/>
                <w:sz w:val="18"/>
              </w:rPr>
              <w:t>Oui</w:t>
            </w:r>
          </w:p>
        </w:tc>
      </w:tr>
      <w:tr>
        <w:tc>
          <w:tcPr>
            <w:tcW w:type="dxa" w:w="3572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A"/>
          </w:tcPr>
          <w:p>
            <w:r>
              <w:rPr>
                <w:rFonts w:ascii="Aptos" w:hAnsi="Aptos"/>
                <w:color w:val="000000"/>
                <w:sz w:val="18"/>
              </w:rPr>
              <w:t>Métadonnées documentaires</w:t>
            </w:r>
          </w:p>
        </w:tc>
        <w:tc>
          <w:tcPr>
            <w:tcW w:type="dxa" w:w="2948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A"/>
          </w:tcPr>
          <w:p>
            <w:r>
              <w:rPr>
                <w:rFonts w:ascii="Aptos" w:hAnsi="Aptos"/>
                <w:color w:val="000000"/>
                <w:sz w:val="18"/>
              </w:rPr>
              <w:t>Oui</w:t>
            </w:r>
          </w:p>
        </w:tc>
        <w:tc>
          <w:tcPr>
            <w:tcW w:type="dxa" w:w="3118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A"/>
          </w:tcPr>
          <w:p>
            <w:r>
              <w:rPr>
                <w:rFonts w:ascii="Aptos" w:hAnsi="Aptos"/>
                <w:color w:val="000000"/>
                <w:sz w:val="18"/>
              </w:rPr>
              <w:t>Oui</w:t>
            </w:r>
          </w:p>
        </w:tc>
      </w:tr>
      <w:tr>
        <w:tc>
          <w:tcPr>
            <w:tcW w:type="dxa" w:w="3572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color w:val="000000"/>
                <w:sz w:val="18"/>
              </w:rPr>
              <w:t>Empreinte d'intégrité SHA-256</w:t>
            </w:r>
          </w:p>
        </w:tc>
        <w:tc>
          <w:tcPr>
            <w:tcW w:type="dxa" w:w="2948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color w:val="000000"/>
                <w:sz w:val="18"/>
              </w:rPr>
              <w:t>Oui</w:t>
            </w:r>
          </w:p>
        </w:tc>
        <w:tc>
          <w:tcPr>
            <w:tcW w:type="dxa" w:w="3118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color w:val="000000"/>
                <w:sz w:val="18"/>
              </w:rPr>
              <w:t>Contrôlée avant versement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Ajouter les documents</w:t>
      </w:r>
    </w:p>
    <w:p>
      <w:r>
        <w:t>Dans la fiche du dossier, sélectionnez l'onglet Documents.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44768" cy="1736804"/>
            <wp:docPr id="2" name="Picture 2" title="Onglet Documents de GeoArchives" descr="Capture montrant le compteur de pré-indexation, le bouton Ajouter un document et l'état vide du dossier DOS-2026-0000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1145eaf1-fbd0-4a85-ba3d-d23d1314339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1736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Aptos" w:hAnsi="Aptos"/>
          <w:i/>
          <w:color w:val="667085"/>
          <w:sz w:val="17"/>
        </w:rPr>
        <w:t>Capture 1. Onglet Documents avant le premier chargement</w:t>
      </w:r>
    </w:p>
    <w:p>
      <w:pPr>
        <w:ind w:left="312" w:hanging="312"/>
        <w:keepLines/>
      </w:pPr>
      <w:r>
        <w:rPr>
          <w:b/>
          <w:color w:val="2855A5"/>
        </w:rPr>
        <w:t xml:space="preserve">1. </w:t>
      </w:r>
      <w:r>
        <w:rPr>
          <w:b/>
        </w:rPr>
        <w:t xml:space="preserve">Cliquez sur Ajouter un document. </w:t>
      </w:r>
      <w:r>
        <w:t>Le bouton se trouve en haut à droite de la zone Archives numériques.</w:t>
      </w:r>
    </w:p>
    <w:p>
      <w:pPr>
        <w:ind w:left="312" w:hanging="312"/>
        <w:keepLines/>
      </w:pPr>
      <w:r>
        <w:rPr>
          <w:b/>
          <w:color w:val="2855A5"/>
        </w:rPr>
        <w:t xml:space="preserve">2. </w:t>
      </w:r>
      <w:r>
        <w:rPr>
          <w:b/>
        </w:rPr>
        <w:t xml:space="preserve">Sélectionnez un ou plusieurs fichiers. </w:t>
      </w:r>
      <w:r>
        <w:t>Les formats acceptés sont PDF, JPEG, PNG et TIFF.</w:t>
      </w:r>
    </w:p>
    <w:p>
      <w:pPr>
        <w:ind w:left="312" w:hanging="312"/>
        <w:keepLines/>
      </w:pPr>
      <w:r>
        <w:rPr>
          <w:b/>
          <w:color w:val="2855A5"/>
        </w:rPr>
        <w:t xml:space="preserve">3. </w:t>
      </w:r>
      <w:r>
        <w:rPr>
          <w:b/>
        </w:rPr>
        <w:t xml:space="preserve">Respectez la taille maximale. </w:t>
      </w:r>
      <w:r>
        <w:t>Chaque fichier doit peser 20 Mo ou moins.</w:t>
      </w:r>
    </w:p>
    <w:p>
      <w:pPr>
        <w:ind w:left="312" w:hanging="312"/>
        <w:keepLines/>
      </w:pPr>
      <w:r>
        <w:rPr>
          <w:b/>
          <w:color w:val="2855A5"/>
        </w:rPr>
        <w:t xml:space="preserve">4. </w:t>
      </w:r>
      <w:r>
        <w:rPr>
          <w:b/>
        </w:rPr>
        <w:t xml:space="preserve">Attendez la confirmation. </w:t>
      </w:r>
      <w:r>
        <w:t>Le fichier apparaît dans la liste avec le statut À qualifier.</w:t>
      </w:r>
    </w:p>
    <w:p>
      <w:r>
        <w:rPr>
          <w:b/>
        </w:rPr>
        <w:t xml:space="preserve">Important. </w:t>
      </w:r>
      <w:r>
        <w:t>Sur la capture, le compteur affiche 0/0 pré-indexés. Aucun fichier ne peut donc encore être envoyé dans Alfresco.</w:t>
      </w:r>
    </w:p>
    <w:p>
      <w:pPr>
        <w:pStyle w:val="Heading2"/>
        <w:keepNext/>
      </w:pPr>
      <w:r>
        <w:t>Avant le chargement</w:t>
      </w:r>
    </w:p>
    <w:p>
      <w:pPr>
        <w:pStyle w:val="ListBullet"/>
      </w:pPr>
      <w:r>
        <w:t>Vérifiez que le document est complet, lisible et correctement orienté.</w:t>
      </w:r>
    </w:p>
    <w:p>
      <w:pPr>
        <w:pStyle w:val="ListBullet"/>
      </w:pPr>
      <w:r>
        <w:t>Utilisez un nom de fichier explicite afin de limiter les erreurs de sélection.</w:t>
      </w:r>
    </w:p>
    <w:p>
      <w:pPr>
        <w:pStyle w:val="ListBullet"/>
      </w:pPr>
      <w:r>
        <w:t>Évitez les doublons et ne chargez qu'une seule version définitive de chaque pièce.</w:t>
      </w:r>
    </w:p>
    <w:p>
      <w:pPr>
        <w:pStyle w:val="ListBullet"/>
      </w:pPr>
      <w:r>
        <w:t>Découpez les lots volumineux en fichiers logiques sans dépasser 20 Mo par fichier.</w:t>
      </w:r>
    </w:p>
    <w:p>
      <w:r>
        <w:br w:type="page"/>
      </w:r>
    </w:p>
    <w:p>
      <w:pPr>
        <w:pStyle w:val="Heading1"/>
        <w:keepNext/>
      </w:pPr>
      <w:r>
        <w:t>Pré-indexer chaque document</w:t>
      </w:r>
    </w:p>
    <w:p>
      <w:r>
        <w:t>La pré-indexation décrit le fichier avant son contrôle. Dans la ligne du document, cliquez sur Pré-indexer.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381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75E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Champ</w:t>
            </w:r>
          </w:p>
        </w:tc>
        <w:tc>
          <w:tcPr>
            <w:tcW w:type="dxa" w:w="4309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75E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Règle</w:t>
            </w:r>
          </w:p>
        </w:tc>
        <w:tc>
          <w:tcPr>
            <w:tcW w:type="dxa" w:w="2948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75E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Exemple</w:t>
            </w:r>
          </w:p>
        </w:tc>
      </w:tr>
      <w:tr>
        <w:tc>
          <w:tcPr>
            <w:tcW w:type="dxa" w:w="2381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color w:val="000000"/>
                <w:sz w:val="18"/>
              </w:rPr>
              <w:t>Titre documentaire</w:t>
            </w:r>
          </w:p>
        </w:tc>
        <w:tc>
          <w:tcPr>
            <w:tcW w:type="dxa" w:w="4309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color w:val="000000"/>
                <w:sz w:val="18"/>
              </w:rPr>
              <w:t>Obligatoire pour déclarer le document prêt</w:t>
            </w:r>
          </w:p>
        </w:tc>
        <w:tc>
          <w:tcPr>
            <w:tcW w:type="dxa" w:w="2948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color w:val="000000"/>
                <w:sz w:val="18"/>
              </w:rPr>
              <w:t>Titre foncier 10245</w:t>
            </w:r>
          </w:p>
        </w:tc>
      </w:tr>
      <w:tr>
        <w:tc>
          <w:tcPr>
            <w:tcW w:type="dxa" w:w="2381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A"/>
          </w:tcPr>
          <w:p>
            <w:r>
              <w:rPr>
                <w:rFonts w:ascii="Aptos" w:hAnsi="Aptos"/>
                <w:color w:val="000000"/>
                <w:sz w:val="18"/>
              </w:rPr>
              <w:t>Type de pièce</w:t>
            </w:r>
          </w:p>
        </w:tc>
        <w:tc>
          <w:tcPr>
            <w:tcW w:type="dxa" w:w="4309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A"/>
          </w:tcPr>
          <w:p>
            <w:r>
              <w:rPr>
                <w:rFonts w:ascii="Aptos" w:hAnsi="Aptos"/>
                <w:color w:val="000000"/>
                <w:sz w:val="18"/>
              </w:rPr>
              <w:t>Obligatoire</w:t>
            </w:r>
          </w:p>
        </w:tc>
        <w:tc>
          <w:tcPr>
            <w:tcW w:type="dxa" w:w="2948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A"/>
          </w:tcPr>
          <w:p>
            <w:r>
              <w:rPr>
                <w:rFonts w:ascii="Aptos" w:hAnsi="Aptos"/>
                <w:color w:val="000000"/>
                <w:sz w:val="18"/>
              </w:rPr>
              <w:t>Titre foncier</w:t>
            </w:r>
          </w:p>
        </w:tc>
      </w:tr>
      <w:tr>
        <w:tc>
          <w:tcPr>
            <w:tcW w:type="dxa" w:w="2381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color w:val="000000"/>
                <w:sz w:val="18"/>
              </w:rPr>
              <w:t>Référence métier</w:t>
            </w:r>
          </w:p>
        </w:tc>
        <w:tc>
          <w:tcPr>
            <w:tcW w:type="dxa" w:w="4309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color w:val="000000"/>
                <w:sz w:val="18"/>
              </w:rPr>
              <w:t>Recommandée pour faciliter la recherche</w:t>
            </w:r>
          </w:p>
        </w:tc>
        <w:tc>
          <w:tcPr>
            <w:tcW w:type="dxa" w:w="2948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color w:val="000000"/>
                <w:sz w:val="18"/>
              </w:rPr>
              <w:t>TF 10245 / Bordereau 018</w:t>
            </w:r>
          </w:p>
        </w:tc>
      </w:tr>
      <w:tr>
        <w:tc>
          <w:tcPr>
            <w:tcW w:type="dxa" w:w="2381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A"/>
          </w:tcPr>
          <w:p>
            <w:r>
              <w:rPr>
                <w:rFonts w:ascii="Aptos" w:hAnsi="Aptos"/>
                <w:color w:val="000000"/>
                <w:sz w:val="18"/>
              </w:rPr>
              <w:t>Date du document</w:t>
            </w:r>
          </w:p>
        </w:tc>
        <w:tc>
          <w:tcPr>
            <w:tcW w:type="dxa" w:w="4309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A"/>
          </w:tcPr>
          <w:p>
            <w:r>
              <w:rPr>
                <w:rFonts w:ascii="Aptos" w:hAnsi="Aptos"/>
                <w:color w:val="000000"/>
                <w:sz w:val="18"/>
              </w:rPr>
              <w:t>Facultative si elle n'est pas connue</w:t>
            </w:r>
          </w:p>
        </w:tc>
        <w:tc>
          <w:tcPr>
            <w:tcW w:type="dxa" w:w="2948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A"/>
          </w:tcPr>
          <w:p>
            <w:r>
              <w:rPr>
                <w:rFonts w:ascii="Aptos" w:hAnsi="Aptos"/>
                <w:color w:val="000000"/>
                <w:sz w:val="18"/>
              </w:rPr>
              <w:t>14/10/2026</w:t>
            </w:r>
          </w:p>
        </w:tc>
      </w:tr>
      <w:tr>
        <w:tc>
          <w:tcPr>
            <w:tcW w:type="dxa" w:w="2381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color w:val="000000"/>
                <w:sz w:val="18"/>
              </w:rPr>
              <w:t>Nombre de pages</w:t>
            </w:r>
          </w:p>
        </w:tc>
        <w:tc>
          <w:tcPr>
            <w:tcW w:type="dxa" w:w="4309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color w:val="000000"/>
                <w:sz w:val="18"/>
              </w:rPr>
              <w:t>Obligatoire et supérieur à zéro</w:t>
            </w:r>
          </w:p>
        </w:tc>
        <w:tc>
          <w:tcPr>
            <w:tcW w:type="dxa" w:w="2948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color w:val="000000"/>
                <w:sz w:val="18"/>
              </w:rPr>
              <w:t>12</w:t>
            </w:r>
          </w:p>
        </w:tc>
      </w:tr>
      <w:tr>
        <w:tc>
          <w:tcPr>
            <w:tcW w:type="dxa" w:w="2381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A"/>
          </w:tcPr>
          <w:p>
            <w:r>
              <w:rPr>
                <w:rFonts w:ascii="Aptos" w:hAnsi="Aptos"/>
                <w:color w:val="000000"/>
                <w:sz w:val="18"/>
              </w:rPr>
              <w:t>Notes de traitement</w:t>
            </w:r>
          </w:p>
        </w:tc>
        <w:tc>
          <w:tcPr>
            <w:tcW w:type="dxa" w:w="4309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A"/>
          </w:tcPr>
          <w:p>
            <w:r>
              <w:rPr>
                <w:rFonts w:ascii="Aptos" w:hAnsi="Aptos"/>
                <w:color w:val="000000"/>
                <w:sz w:val="18"/>
              </w:rPr>
              <w:t>Facultatives</w:t>
            </w:r>
          </w:p>
        </w:tc>
        <w:tc>
          <w:tcPr>
            <w:tcW w:type="dxa" w:w="2948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A"/>
          </w:tcPr>
          <w:p>
            <w:r>
              <w:rPr>
                <w:rFonts w:ascii="Aptos" w:hAnsi="Aptos"/>
                <w:color w:val="000000"/>
                <w:sz w:val="18"/>
              </w:rPr>
              <w:t>Page 4 légèrement pâle</w:t>
            </w:r>
          </w:p>
        </w:tc>
      </w:tr>
    </w:tbl>
    <w:p>
      <w:pPr>
        <w:pStyle w:val="Heading2"/>
        <w:keepNext/>
      </w:pPr>
      <w:r>
        <w:t>Enregistrer correctement</w:t>
      </w:r>
    </w:p>
    <w:p>
      <w:pPr>
        <w:ind w:left="312" w:hanging="312"/>
        <w:keepLines/>
      </w:pPr>
      <w:r>
        <w:rPr>
          <w:b/>
          <w:color w:val="2855A5"/>
        </w:rPr>
        <w:t xml:space="preserve">1. </w:t>
      </w:r>
      <w:r>
        <w:rPr>
          <w:b/>
        </w:rPr>
        <w:t xml:space="preserve">Renseignez les informations. </w:t>
      </w:r>
      <w:r>
        <w:t>Vérifiez que le titre correspond au contenu réel du scan.</w:t>
      </w:r>
    </w:p>
    <w:p>
      <w:pPr>
        <w:ind w:left="312" w:hanging="312"/>
        <w:keepLines/>
      </w:pPr>
      <w:r>
        <w:rPr>
          <w:b/>
          <w:color w:val="2855A5"/>
        </w:rPr>
        <w:t xml:space="preserve">2. </w:t>
      </w:r>
      <w:r>
        <w:rPr>
          <w:b/>
        </w:rPr>
        <w:t xml:space="preserve">Cochez Prêt pour l'indexation. </w:t>
      </w:r>
      <w:r>
        <w:t>Le titre, le type de pièce et le nombre de pages deviennent obligatoires.</w:t>
      </w:r>
    </w:p>
    <w:p>
      <w:pPr>
        <w:ind w:left="312" w:hanging="312"/>
        <w:keepLines/>
      </w:pPr>
      <w:r>
        <w:rPr>
          <w:b/>
          <w:color w:val="2855A5"/>
        </w:rPr>
        <w:t xml:space="preserve">3. </w:t>
      </w:r>
      <w:r>
        <w:rPr>
          <w:b/>
        </w:rPr>
        <w:t xml:space="preserve">Cliquez sur Enregistrer. </w:t>
      </w:r>
      <w:r>
        <w:t>Le statut du fichier devient Prêt et le compteur de pré-indexation augmente.</w:t>
      </w:r>
    </w:p>
    <w:p>
      <w:r>
        <w:rPr>
          <w:b/>
        </w:rPr>
        <w:t>Un document enregistré en Brouillon</w:t>
      </w:r>
      <w:r>
        <w:t xml:space="preserve"> reste modifiable, mais il ne sera pas versé dans Alfresco tant qu'il n'est pas déclaré Prêt.</w:t>
      </w:r>
    </w:p>
    <w:p>
      <w:r>
        <w:br w:type="page"/>
      </w:r>
    </w:p>
    <w:p>
      <w:pPr>
        <w:pStyle w:val="Heading1"/>
        <w:keepNext/>
      </w:pPr>
      <w:r>
        <w:t>Valider l'archivage et déclencher Alfresco</w:t>
      </w:r>
    </w:p>
    <w:p>
      <w:r>
        <w:t>Le versement n'est pas déclenché au moment du chargement. Il démarre uniquement après la validation finale de l'étape Archivage.</w:t>
      </w:r>
    </w:p>
    <w:p>
      <w:pPr>
        <w:pStyle w:val="Heading2"/>
        <w:keepNext/>
      </w:pPr>
      <w:r>
        <w:t>Conditions nécessaires</w:t>
      </w:r>
    </w:p>
    <w:p>
      <w:pPr>
        <w:pStyle w:val="ListBullet"/>
      </w:pPr>
      <w:r>
        <w:t>Le dossier a terminé les étapes métier précédentes.</w:t>
      </w:r>
    </w:p>
    <w:p>
      <w:pPr>
        <w:pStyle w:val="ListBullet"/>
      </w:pPr>
      <w:r>
        <w:t>Les documents à conserver portent le statut Prêt.</w:t>
      </w:r>
    </w:p>
    <w:p>
      <w:pPr>
        <w:pStyle w:val="ListBullet"/>
      </w:pPr>
      <w:r>
        <w:t>L'étape Archivage est validée par un utilisateur disposant de l'autorisation requise.</w:t>
      </w:r>
    </w:p>
    <w:p>
      <w:pPr>
        <w:pStyle w:val="ListBullet"/>
      </w:pPr>
      <w:r>
        <w:t>Le fichier source est toujours disponible et son empreinte SHA-256 est conforme.</w:t>
      </w:r>
    </w:p>
    <w:p>
      <w:pPr>
        <w:pStyle w:val="Heading2"/>
        <w:keepNext/>
      </w:pPr>
      <w:r>
        <w:t>Ce que fait GeoArchives automatiquement</w:t>
      </w:r>
    </w:p>
    <w:p>
      <w:pPr>
        <w:ind w:left="312" w:hanging="312"/>
        <w:keepLines/>
      </w:pPr>
      <w:r>
        <w:rPr>
          <w:b/>
          <w:color w:val="2855A5"/>
        </w:rPr>
        <w:t xml:space="preserve">1. </w:t>
      </w:r>
      <w:r>
        <w:rPr>
          <w:b/>
        </w:rPr>
        <w:t xml:space="preserve">Crée le dossier Alfresco. </w:t>
      </w:r>
      <w:r>
        <w:t>Un répertoire est créé sous l'espace GeoArchives MULCV à partir de la référence du dossier.</w:t>
      </w:r>
    </w:p>
    <w:p>
      <w:pPr>
        <w:ind w:left="312" w:hanging="312"/>
        <w:keepLines/>
      </w:pPr>
      <w:r>
        <w:rPr>
          <w:b/>
          <w:color w:val="2855A5"/>
        </w:rPr>
        <w:t xml:space="preserve">2. </w:t>
      </w:r>
      <w:r>
        <w:rPr>
          <w:b/>
        </w:rPr>
        <w:t xml:space="preserve">Vérifie l'intégrité. </w:t>
      </w:r>
      <w:r>
        <w:t>L'empreinte SHA-256 du fichier est recalculée avant le transfert.</w:t>
      </w:r>
    </w:p>
    <w:p>
      <w:pPr>
        <w:ind w:left="312" w:hanging="312"/>
        <w:keepLines/>
      </w:pPr>
      <w:r>
        <w:rPr>
          <w:b/>
          <w:color w:val="2855A5"/>
        </w:rPr>
        <w:t xml:space="preserve">3. </w:t>
      </w:r>
      <w:r>
        <w:rPr>
          <w:b/>
        </w:rPr>
        <w:t xml:space="preserve">Verse les fichiers prêts. </w:t>
      </w:r>
      <w:r>
        <w:t>Chaque fichier est envoyé avec son titre, sa référence métier et sa classification.</w:t>
      </w:r>
    </w:p>
    <w:p>
      <w:pPr>
        <w:ind w:left="312" w:hanging="312"/>
        <w:keepLines/>
      </w:pPr>
      <w:r>
        <w:rPr>
          <w:b/>
          <w:color w:val="2855A5"/>
        </w:rPr>
        <w:t xml:space="preserve">4. </w:t>
      </w:r>
      <w:r>
        <w:rPr>
          <w:b/>
        </w:rPr>
        <w:t xml:space="preserve">Enregistre la preuve. </w:t>
      </w:r>
      <w:r>
        <w:t>GeoArchives conserve l'identifiant Alfresco, la date de versement et une trace d'audit.</w:t>
      </w:r>
    </w:p>
    <w:p>
      <w:r>
        <w:rPr>
          <w:b/>
        </w:rPr>
        <w:t>Après la validation finale</w:t>
      </w:r>
      <w:r>
        <w:t>, les documents du dossier deviennent non modifiables dans GeoArchives. Cette protection évite qu'un fichier conservé définitivement soit remplacé ou supprimé.</w:t>
      </w:r>
    </w:p>
    <w:p>
      <w:pPr>
        <w:pStyle w:val="Heading2"/>
        <w:keepNext/>
      </w:pPr>
      <w:r>
        <w:t>Exemple pour DOS-2026-000041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891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75E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Élément</w:t>
            </w:r>
          </w:p>
        </w:tc>
        <w:tc>
          <w:tcPr>
            <w:tcW w:type="dxa" w:w="6746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75E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Valeur attendue</w:t>
            </w:r>
          </w:p>
        </w:tc>
      </w:tr>
      <w:tr>
        <w:tc>
          <w:tcPr>
            <w:tcW w:type="dxa" w:w="2891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color w:val="000000"/>
                <w:sz w:val="18"/>
              </w:rPr>
              <w:t>Dossier Alfresco</w:t>
            </w:r>
          </w:p>
        </w:tc>
        <w:tc>
          <w:tcPr>
            <w:tcW w:type="dxa" w:w="6746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color w:val="000000"/>
                <w:sz w:val="18"/>
              </w:rPr>
              <w:t>Dossier-DOS-2026-000041</w:t>
            </w:r>
          </w:p>
        </w:tc>
      </w:tr>
      <w:tr>
        <w:tc>
          <w:tcPr>
            <w:tcW w:type="dxa" w:w="2891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A"/>
          </w:tcPr>
          <w:p>
            <w:r>
              <w:rPr>
                <w:rFonts w:ascii="Aptos" w:hAnsi="Aptos"/>
                <w:color w:val="000000"/>
                <w:sz w:val="18"/>
              </w:rPr>
              <w:t>Fichier</w:t>
            </w:r>
          </w:p>
        </w:tc>
        <w:tc>
          <w:tcPr>
            <w:tcW w:type="dxa" w:w="6746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A"/>
          </w:tcPr>
          <w:p>
            <w:r>
              <w:rPr>
                <w:rFonts w:ascii="Aptos" w:hAnsi="Aptos"/>
                <w:color w:val="000000"/>
                <w:sz w:val="18"/>
              </w:rPr>
              <w:t>Identifiant du document + extrait de l'empreinte + nom d'origine</w:t>
            </w:r>
          </w:p>
        </w:tc>
      </w:tr>
      <w:tr>
        <w:tc>
          <w:tcPr>
            <w:tcW w:type="dxa" w:w="2891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color w:val="000000"/>
                <w:sz w:val="18"/>
              </w:rPr>
              <w:t>Classification</w:t>
            </w:r>
          </w:p>
        </w:tc>
        <w:tc>
          <w:tcPr>
            <w:tcW w:type="dxa" w:w="6746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color w:val="000000"/>
                <w:sz w:val="18"/>
              </w:rPr>
              <w:t>INTERNAL</w:t>
            </w:r>
          </w:p>
        </w:tc>
      </w:tr>
      <w:tr>
        <w:tc>
          <w:tcPr>
            <w:tcW w:type="dxa" w:w="2891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A"/>
          </w:tcPr>
          <w:p>
            <w:r>
              <w:rPr>
                <w:rFonts w:ascii="Aptos" w:hAnsi="Aptos"/>
                <w:color w:val="000000"/>
                <w:sz w:val="18"/>
              </w:rPr>
              <w:t>Référence métier</w:t>
            </w:r>
          </w:p>
        </w:tc>
        <w:tc>
          <w:tcPr>
            <w:tcW w:type="dxa" w:w="6746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A"/>
          </w:tcPr>
          <w:p>
            <w:r>
              <w:rPr>
                <w:rFonts w:ascii="Aptos" w:hAnsi="Aptos"/>
                <w:color w:val="000000"/>
                <w:sz w:val="18"/>
              </w:rPr>
              <w:t>Valeur saisie lors de la pré-indexation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Contrôler le résultat</w:t>
      </w:r>
    </w:p>
    <w:p>
      <w:r>
        <w:t>Revenez dans l'onglet Documents et actualisez la page. Les indicateurs suivants permettent de suivre le versement.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891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75E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Statut affiché</w:t>
            </w:r>
          </w:p>
        </w:tc>
        <w:tc>
          <w:tcPr>
            <w:tcW w:type="dxa" w:w="6746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75E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Action à effectuer</w:t>
            </w:r>
          </w:p>
        </w:tc>
      </w:tr>
      <w:tr>
        <w:tc>
          <w:tcPr>
            <w:tcW w:type="dxa" w:w="2891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color w:val="000000"/>
                <w:sz w:val="18"/>
              </w:rPr>
              <w:t>À qualifier</w:t>
            </w:r>
          </w:p>
        </w:tc>
        <w:tc>
          <w:tcPr>
            <w:tcW w:type="dxa" w:w="6746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color w:val="000000"/>
                <w:sz w:val="18"/>
              </w:rPr>
              <w:t>Ouvrir Pré-indexer et renseigner les métadonnées.</w:t>
            </w:r>
          </w:p>
        </w:tc>
      </w:tr>
      <w:tr>
        <w:tc>
          <w:tcPr>
            <w:tcW w:type="dxa" w:w="2891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A"/>
          </w:tcPr>
          <w:p>
            <w:r>
              <w:rPr>
                <w:rFonts w:ascii="Aptos" w:hAnsi="Aptos"/>
                <w:color w:val="000000"/>
                <w:sz w:val="18"/>
              </w:rPr>
              <w:t>Brouillon</w:t>
            </w:r>
          </w:p>
        </w:tc>
        <w:tc>
          <w:tcPr>
            <w:tcW w:type="dxa" w:w="6746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A"/>
          </w:tcPr>
          <w:p>
            <w:r>
              <w:rPr>
                <w:rFonts w:ascii="Aptos" w:hAnsi="Aptos"/>
                <w:color w:val="000000"/>
                <w:sz w:val="18"/>
              </w:rPr>
              <w:t>Compléter les champs obligatoires puis cocher Prêt pour l'indexation.</w:t>
            </w:r>
          </w:p>
        </w:tc>
      </w:tr>
      <w:tr>
        <w:tc>
          <w:tcPr>
            <w:tcW w:type="dxa" w:w="2891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color w:val="000000"/>
                <w:sz w:val="18"/>
              </w:rPr>
              <w:t>Prêt</w:t>
            </w:r>
          </w:p>
        </w:tc>
        <w:tc>
          <w:tcPr>
            <w:tcW w:type="dxa" w:w="6746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color w:val="000000"/>
                <w:sz w:val="18"/>
              </w:rPr>
              <w:t>Poursuivre le workflow et faire valider l'étape Archivage.</w:t>
            </w:r>
          </w:p>
        </w:tc>
      </w:tr>
      <w:tr>
        <w:tc>
          <w:tcPr>
            <w:tcW w:type="dxa" w:w="2891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A"/>
          </w:tcPr>
          <w:p>
            <w:r>
              <w:rPr>
                <w:rFonts w:ascii="Aptos" w:hAnsi="Aptos"/>
                <w:color w:val="000000"/>
                <w:sz w:val="18"/>
              </w:rPr>
              <w:t>Versement en attente</w:t>
            </w:r>
          </w:p>
        </w:tc>
        <w:tc>
          <w:tcPr>
            <w:tcW w:type="dxa" w:w="6746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A"/>
          </w:tcPr>
          <w:p>
            <w:r>
              <w:rPr>
                <w:rFonts w:ascii="Aptos" w:hAnsi="Aptos"/>
                <w:color w:val="000000"/>
                <w:sz w:val="18"/>
              </w:rPr>
              <w:t>Patienter quelques instants puis actualiser la page.</w:t>
            </w:r>
          </w:p>
        </w:tc>
      </w:tr>
      <w:tr>
        <w:tc>
          <w:tcPr>
            <w:tcW w:type="dxa" w:w="2891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color w:val="000000"/>
                <w:sz w:val="18"/>
              </w:rPr>
              <w:t>Versement en cours</w:t>
            </w:r>
          </w:p>
        </w:tc>
        <w:tc>
          <w:tcPr>
            <w:tcW w:type="dxa" w:w="6746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color w:val="000000"/>
                <w:sz w:val="18"/>
              </w:rPr>
              <w:t>Ne pas charger une seconde copie. Attendre la fin du traitement.</w:t>
            </w:r>
          </w:p>
        </w:tc>
      </w:tr>
      <w:tr>
        <w:tc>
          <w:tcPr>
            <w:tcW w:type="dxa" w:w="2891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A"/>
          </w:tcPr>
          <w:p>
            <w:r>
              <w:rPr>
                <w:rFonts w:ascii="Aptos" w:hAnsi="Aptos"/>
                <w:color w:val="000000"/>
                <w:sz w:val="18"/>
              </w:rPr>
              <w:t>Conservé dans Alfresco</w:t>
            </w:r>
          </w:p>
        </w:tc>
        <w:tc>
          <w:tcPr>
            <w:tcW w:type="dxa" w:w="6746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A"/>
          </w:tcPr>
          <w:p>
            <w:r>
              <w:rPr>
                <w:rFonts w:ascii="Aptos" w:hAnsi="Aptos"/>
                <w:color w:val="000000"/>
                <w:sz w:val="18"/>
              </w:rPr>
              <w:t>Aucune action. Le document est archivé définitivement.</w:t>
            </w:r>
          </w:p>
        </w:tc>
      </w:tr>
      <w:tr>
        <w:tc>
          <w:tcPr>
            <w:tcW w:type="dxa" w:w="2891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color w:val="000000"/>
                <w:sz w:val="18"/>
              </w:rPr>
              <w:t>Échec Alfresco</w:t>
            </w:r>
          </w:p>
        </w:tc>
        <w:tc>
          <w:tcPr>
            <w:tcW w:type="dxa" w:w="6746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r>
              <w:rPr>
                <w:rFonts w:ascii="Aptos" w:hAnsi="Aptos"/>
                <w:color w:val="000000"/>
                <w:sz w:val="18"/>
              </w:rPr>
              <w:t>Lire le message d'erreur puis utiliser Relancer Alfresco si vous êtes habilité.</w:t>
            </w:r>
          </w:p>
        </w:tc>
      </w:tr>
    </w:tbl>
    <w:p>
      <w:pPr>
        <w:pStyle w:val="Heading2"/>
        <w:keepNext/>
      </w:pPr>
      <w:r>
        <w:t>Test conseillé avec le dossier affiché</w:t>
      </w:r>
    </w:p>
    <w:p>
      <w:pPr>
        <w:ind w:left="312" w:hanging="312"/>
        <w:keepLines/>
      </w:pPr>
      <w:r>
        <w:rPr>
          <w:b/>
          <w:color w:val="2855A5"/>
        </w:rPr>
        <w:t xml:space="preserve">1. </w:t>
      </w:r>
      <w:r>
        <w:rPr>
          <w:b/>
        </w:rPr>
        <w:t xml:space="preserve">Ouvrez DOS-2026-000041. </w:t>
      </w:r>
      <w:r>
        <w:t>Restez dans l'onglet Documents.</w:t>
      </w:r>
    </w:p>
    <w:p>
      <w:pPr>
        <w:ind w:left="312" w:hanging="312"/>
        <w:keepLines/>
      </w:pPr>
      <w:r>
        <w:rPr>
          <w:b/>
          <w:color w:val="2855A5"/>
        </w:rPr>
        <w:t xml:space="preserve">2. </w:t>
      </w:r>
      <w:r>
        <w:rPr>
          <w:b/>
        </w:rPr>
        <w:t xml:space="preserve">Ajoutez un fichier de test. </w:t>
      </w:r>
      <w:r>
        <w:t>Utilisez un PDF lisible de moins de 20 Mo.</w:t>
      </w:r>
    </w:p>
    <w:p>
      <w:pPr>
        <w:ind w:left="312" w:hanging="312"/>
        <w:keepLines/>
      </w:pPr>
      <w:r>
        <w:rPr>
          <w:b/>
          <w:color w:val="2855A5"/>
        </w:rPr>
        <w:t xml:space="preserve">3. </w:t>
      </w:r>
      <w:r>
        <w:rPr>
          <w:b/>
        </w:rPr>
        <w:t xml:space="preserve">Pré-indexez le fichier. </w:t>
      </w:r>
      <w:r>
        <w:t>Renseignez le titre, le type de pièce et le nombre de pages, puis déclarez le fichier Prêt.</w:t>
      </w:r>
    </w:p>
    <w:p>
      <w:pPr>
        <w:ind w:left="312" w:hanging="312"/>
        <w:keepLines/>
      </w:pPr>
      <w:r>
        <w:rPr>
          <w:b/>
          <w:color w:val="2855A5"/>
        </w:rPr>
        <w:t xml:space="preserve">4. </w:t>
      </w:r>
      <w:r>
        <w:rPr>
          <w:b/>
        </w:rPr>
        <w:t xml:space="preserve">Terminez le workflow. </w:t>
      </w:r>
      <w:r>
        <w:t>Faites valider l'étape Archivage par l'utilisateur habilité.</w:t>
      </w:r>
    </w:p>
    <w:p>
      <w:pPr>
        <w:ind w:left="312" w:hanging="312"/>
        <w:keepLines/>
      </w:pPr>
      <w:r>
        <w:rPr>
          <w:b/>
          <w:color w:val="2855A5"/>
        </w:rPr>
        <w:t xml:space="preserve">5. </w:t>
      </w:r>
      <w:r>
        <w:rPr>
          <w:b/>
        </w:rPr>
        <w:t xml:space="preserve">Contrôlez le badge. </w:t>
      </w:r>
      <w:r>
        <w:t>Le résultat attendu est 1/1 dans Alfresco et le statut Conservé dans Alfresco.</w:t>
      </w:r>
    </w:p>
    <w:p>
      <w:pPr>
        <w:pStyle w:val="Heading2"/>
        <w:keepNext/>
      </w:pPr>
      <w:r>
        <w:t>En cas de problème</w:t>
      </w:r>
    </w:p>
    <w:p>
      <w:r>
        <w:t>Si le bouton Ajouter un document n'apparaît pas, vérifiez votre rôle et l'état du dossier. Si Relancer Alfresco n'apparaît pas, le dossier n'est peut-être pas encore archivé, aucun échec n'est enregistré ou votre rôle ne permet pas la relance.</w:t>
      </w:r>
    </w:p>
    <w:p>
      <w:pPr>
        <w:spacing w:before="200"/>
      </w:pPr>
      <w:r>
        <w:rPr>
          <w:rFonts w:ascii="Aptos" w:hAnsi="Aptos"/>
          <w:b/>
          <w:color w:val="008F83"/>
          <w:sz w:val="22"/>
        </w:rPr>
        <w:t>Résultat attendu</w:t>
      </w:r>
      <w:r>
        <w:t xml:space="preserve"> : les données du dossier restent dans GeoArchives et les documents définitifs sont conservés dans l'espace Alfresco GeoArchives MULCV.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92" w:bottom="879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7087"/>
      <w:gridCol w:w="2835"/>
    </w:tblGrid>
    <w:tr>
      <w:tc>
        <w:tcPr>
          <w:tcW w:type="dxa" w:w="4961"/>
        </w:tcPr>
        <w:p>
          <w:r>
            <w:rPr>
              <w:rFonts w:ascii="Aptos" w:hAnsi="Aptos"/>
              <w:color w:val="667085"/>
              <w:sz w:val="16"/>
            </w:rPr>
            <w:t>CEIBA Analytics  |  geoarchives.ceiba-analytics.com</w:t>
          </w:r>
        </w:p>
      </w:tc>
      <w:tc>
        <w:tcPr>
          <w:tcW w:type="dxa" w:w="4961"/>
        </w:tcPr>
        <w:p>
          <w:pPr>
            <w:jc w:val="right"/>
          </w:pPr>
          <w:r>
            <w:rPr>
              <w:rFonts w:ascii="Aptos" w:hAnsi="Aptos"/>
              <w:color w:val="667085"/>
              <w:sz w:val="16"/>
            </w:rPr>
            <w:t xml:space="preserve">Page </w:t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386"/>
      <w:gridCol w:w="4535"/>
    </w:tblGrid>
    <w:tr>
      <w:tc>
        <w:tcPr>
          <w:tcW w:type="dxa" w:w="4961"/>
          <w:tcBorders/>
        </w:tcPr>
        <w:p>
          <w:r>
            <w:rPr>
              <w:rFonts w:ascii="Aptos" w:hAnsi="Aptos"/>
              <w:b/>
              <w:color w:val="2855A5"/>
              <w:sz w:val="16"/>
            </w:rPr>
            <w:t>GEOARCHIVES</w:t>
          </w:r>
        </w:p>
      </w:tc>
      <w:tc>
        <w:tcPr>
          <w:tcW w:type="dxa" w:w="4961"/>
          <w:tcBorders/>
        </w:tcPr>
        <w:p>
          <w:pPr>
            <w:jc w:val="right"/>
          </w:pPr>
          <w:r>
            <w:rPr>
              <w:rFonts w:ascii="Aptos" w:hAnsi="Aptos"/>
              <w:color w:val="667085"/>
              <w:sz w:val="16"/>
            </w:rPr>
            <w:t>Guide utilisateur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utilisateur Archivage Alfresco dans GeoArchives</dc:title>
  <dc:subject>Parcours utilisateur pour verser les documents finalisés dans Alfresco</dc:subject>
  <dc:creator>CEIBA Analytics</dc:creator>
  <cp:keywords>GeoArchives, Alfresco, archivage, pré-indexation, guide utilisateur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