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48"/>
          <w:szCs w:val="48"/>
        </w:rPr>
        <w:t xml:space="preserve">AGROYIELD NETWORK</w:t>
      </w:r>
    </w:p>
    <w:p>
      <w:pPr>
        <w:spacing w:after="600"/>
        <w:jc w:val="center"/>
      </w:pPr>
      <w:r>
        <w:rPr>
          <w:i/>
          <w:iCs/>
          <w:color w:val="2E75B6"/>
          <w:sz w:val="24"/>
          <w:szCs w:val="24"/>
        </w:rPr>
        <w:t xml:space="preserve">Agriculture is a Business. Build Yours.</w:t>
      </w:r>
    </w:p>
    <w:p>
      <w:pPr>
        <w:spacing w:after="200"/>
        <w:jc w:val="center"/>
      </w:pPr>
      <w:r>
        <w:rPr>
          <w:b/>
          <w:bCs/>
          <w:sz w:val="40"/>
          <w:szCs w:val="40"/>
        </w:rPr>
        <w:t xml:space="preserve">Intellectual Property Protection Strategy</w:t>
      </w:r>
    </w:p>
    <w:p>
      <w:pPr>
        <w:spacing w:after="1200"/>
        <w:jc w:val="center"/>
      </w:pPr>
      <w:r>
        <w:rPr>
          <w:color w:val="666666"/>
          <w:sz w:val="24"/>
          <w:szCs w:val="24"/>
        </w:rPr>
        <w:t xml:space="preserve">Securing the Brand, the Platform, and the Methodology</w:t>
      </w:r>
    </w:p>
    <w:p>
      <w:pPr>
        <w:spacing w:after="120"/>
        <w:jc w:val="center"/>
      </w:pPr>
      <w:r>
        <w:rPr>
          <w:sz w:val="22"/>
          <w:szCs w:val="22"/>
        </w:rPr>
        <w:t xml:space="preserve">Prepared for: Okoli Chijioke, Founder &amp; CEO</w:t>
      </w:r>
    </w:p>
    <w:p>
      <w:pPr>
        <w:spacing w:after="120"/>
        <w:jc w:val="center"/>
      </w:pPr>
      <w:r>
        <w:rPr>
          <w:sz w:val="22"/>
          <w:szCs w:val="22"/>
        </w:rPr>
        <w:t xml:space="preserve">Agcoms Limited / AgroYield Network</w:t>
      </w:r>
    </w:p>
    <w:p>
      <w:pPr>
        <w:spacing w:after="120"/>
        <w:jc w:val="center"/>
      </w:pPr>
      <w:r>
        <w:rPr>
          <w:sz w:val="22"/>
          <w:szCs w:val="22"/>
        </w:rPr>
        <w:t xml:space="preserve">Date: April 19, 2026</w:t>
      </w:r>
    </w:p>
    <w:p>
      <w:pPr>
        <w:spacing w:after="120"/>
        <w:jc w:val="center"/>
      </w:pPr>
      <w:r>
        <w:rPr>
          <w:sz w:val="22"/>
          <w:szCs w:val="22"/>
        </w:rPr>
        <w:t xml:space="preserve">Classification: Confidential / Strategic</w:t>
      </w:r>
    </w:p>
    <w:p>
      <w:pPr>
        <w:spacing w:after="400"/>
        <w:jc w:val="center"/>
      </w:pPr>
      <w:r>
        <w:rPr>
          <w:i/>
          <w:iCs/>
          <w:color w:val="C00000"/>
          <w:sz w:val="20"/>
          <w:szCs w:val="20"/>
        </w:rPr>
        <w:t xml:space="preserve">Status: DRAFT — requires counsel review before filing</w:t>
      </w:r>
    </w:p>
    <w:p>
      <w:r>
        <w:br w:type="page"/>
      </w:r>
    </w:p>
    <w:p>
      <w:pPr>
        <w:pStyle w:val="Heading1"/>
        <w:spacing w:after="200" w:before="360"/>
      </w:pPr>
      <w:r>
        <w:rPr>
          <w:rFonts w:ascii="Arial" w:cs="Arial" w:eastAsia="Arial" w:hAnsi="Arial"/>
          <w:b/>
          <w:bCs/>
          <w:sz w:val="32"/>
          <w:szCs w:val="32"/>
        </w:rPr>
        <w:t xml:space="preserve">Executive Summary</w:t>
      </w:r>
    </w:p>
    <w:p>
      <w:pPr>
        <w:spacing w:after="120" w:line="300"/>
      </w:pPr>
      <w:r>
        <w:t xml:space="preserve">AgroYield Network is eight calendar days from public Beta launch. The platform has been built, deployed, battle-tested on production against real devices, and validated end-to-end. What has not yet been done — and what this document exists to correct — is the protection of the intangible assets that make AgroYield worth anything at all: the brand, the methodology, the code, the domain portfolio, and the accumulating trust with early users.</w:t>
      </w:r>
    </w:p>
    <w:p>
      <w:pPr>
        <w:spacing w:after="120" w:line="300"/>
      </w:pPr>
      <w:r>
        <w:t xml:space="preserve">The brutal truth is this. On the day AgroYield attracts its first material press mention, its first serious competitor, or its first acquisition conversation, the value of the company will be disproportionately concentrated in three things: the name "AgroYield", the credit-scoring methodology trading as "AgroScore", and the network of farmers, agripreneurs, and researchers who have built a reputation on the platform. All three are currently undefended. Nigeria is a first-to-file jurisdiction for trademarks. The longer we delay, the higher the probability that a squatter, a lazy competitor, or a bad-faith former vendor files "AgroYield" in one of the classes we care about and extracts rent from us for the next ten years.</w:t>
      </w:r>
    </w:p>
    <w:p>
      <w:pPr>
        <w:spacing w:after="120" w:line="300"/>
      </w:pPr>
      <w:r>
        <w:t xml:space="preserve">This document lays out an eight-part strategy to protect AgroYield's intellectual property, prioritised by risk and cost. It is designed to be executed over ninety days on a lean budget, with the highest-risk items — Nigerian trademark filing in our primary classes, trade-secret framework, and domain defensive registration — executable inside thirty days for under USD $5,000 all-in.</w:t>
      </w:r>
    </w:p>
    <w:p>
      <w:pPr>
        <w:spacing w:after="120" w:line="300"/>
      </w:pPr>
      <w:r>
        <w:t xml:space="preserve">External counsel is not optional. Several of the recommendations in this document — specifically the choice of Nice classes, the patent candidacy of the AgroScore methodology, the Madrid Protocol strategy, and the handling of third-party marks (John Deere, partner logos, embedded fonts) — require a qualified Nigerian trademark agent and, for patent questions, an agent licensed under the Patents and Designs Act. Names and contact details for three firms I recommend initiating conversations with are in Appendix C. The specific recommendations in Sections 1 through 8 are my best reading of the facts; they are not legal advice, and every filing should be sanity-checked by a Nigerian IP practitioner before it is submitted to the Registry.</w:t>
      </w:r>
    </w:p>
    <w:p>
      <w:pPr>
        <w:spacing w:after="120" w:line="300"/>
      </w:pPr>
      <w:r>
        <w:t xml:space="preserve">The rest of this document is organised as follows. Section 1 takes inventory of every IP asset AgroYield currently holds, claims, or depends on. Section 2 is the trademark investigation: what marks exist, which are the priority, what we need to search, what we need to file. Section 3 is the jurisdictional strategy — Nigeria first, then the broader African footprint, then defensive filings in the acquirer markets. Section 4 is the trade-secret framework, which matters as much as the patent conversation because our most valuable technical asset (the AgroScore scoring logic) is better protected as a trade secret than as a patent. Section 5 covers copyright — which does not require registration in Nigeria but benefits enormously from correct marking. Section 6 is the domain defensive registration sweep. Section 7 is a structured risk assessment with severity and likelihood scoring. Section 8 is the ninety-day action plan with ownership, cost, and go/no-go decision points.</w:t>
      </w:r>
    </w:p>
    <w:p>
      <w:pPr>
        <w:spacing w:after="120" w:line="300"/>
      </w:pPr>
      <w:r>
        <w:t xml:space="preserve">A CEO decision matrix follows immediately below. Read it first. It answers the three questions a founder at this stage always asks: what must I approve this week, what can wait until Series A, and what should I spend.</w:t>
      </w:r>
    </w:p>
    <w:p>
      <w:pPr>
        <w:pStyle w:val="Heading1"/>
        <w:spacing w:after="200" w:before="360"/>
      </w:pPr>
      <w:r>
        <w:rPr>
          <w:rFonts w:ascii="Arial" w:cs="Arial" w:eastAsia="Arial" w:hAnsi="Arial"/>
          <w:b/>
          <w:bCs/>
          <w:sz w:val="32"/>
          <w:szCs w:val="32"/>
        </w:rPr>
        <w:t xml:space="preserve">CEO Decision Matrix</w:t>
      </w:r>
    </w:p>
    <w:p>
      <w:pPr>
        <w:spacing w:after="120" w:line="300"/>
      </w:pPr>
      <w:r>
        <w:t xml:space="preserve">This matrix summarises the twelve highest-priority decisions contained in this strategy, classified by urgency, estimated cost (₦ and USD), and counsel-dependency. A recommended answer is offered for each; the formal decision remains with the 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900"/>
        <w:gridCol w:w="1500"/>
        <w:gridCol w:w="1120"/>
        <w:gridCol w:w="1800"/>
        <w:gridCol w:w="900"/>
      </w:tblGrid>
      <w:tr>
        <w:trPr>
          <w:tblHeader/>
        </w:trPr>
        <w:tc>
          <w:tcPr>
            <w:tcW w:type="dxa" w:w="54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w:t>
            </w:r>
          </w:p>
        </w:tc>
        <w:tc>
          <w:tcPr>
            <w:tcW w:type="dxa" w:w="26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Decision</w:t>
            </w:r>
          </w:p>
        </w:tc>
        <w:tc>
          <w:tcPr>
            <w:tcW w:type="dxa" w:w="9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Urgency</w:t>
            </w:r>
          </w:p>
        </w:tc>
        <w:tc>
          <w:tcPr>
            <w:tcW w:type="dxa" w:w="15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Est. Cost (₦)</w:t>
            </w:r>
          </w:p>
        </w:tc>
        <w:tc>
          <w:tcPr>
            <w:tcW w:type="dxa" w:w="112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Est. (USD)</w:t>
            </w:r>
          </w:p>
        </w:tc>
        <w:tc>
          <w:tcPr>
            <w:tcW w:type="dxa" w:w="18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Counsel?</w:t>
            </w:r>
          </w:p>
        </w:tc>
        <w:tc>
          <w:tcPr>
            <w:tcW w:type="dxa" w:w="9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Rec.</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"AGROYIELD" word mark in NG Classes 9, 35, 42</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This week</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₦350,000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$230</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 — NG agent</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2</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"AGROYIELD NETWORK" word mark in NG Classes 9, 35, 42</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This week</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₦350,000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$230</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 — NG agent</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3</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"AGROSCORE" word mark in NG Classes 9, 36, 42</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This week</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₦350,000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$230</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 — NG agent</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AgroYield logo (stacked colour) as device mark, Class 35</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Within 30 days</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$135</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5</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 "agroyield.ng", "agroyield.com.ng", "agroscore.africa", "agroscore.ng"</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This week</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₦60,000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$40</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6</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Execute IP assignment agreements with Chijioke → Agcoms Ltd → AgroYield</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Within 14 days</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₦100,000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$65</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 — NG corporate</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7</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Publish Trade Secret Policy + NDA template; circulate to all contributors</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Within 14 days</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Review recommended</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8</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Add © notices + Terms IP clause to footer + Terms of Service</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This week</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Review recommended</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9</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"AGROYIELD" trademarks via Madrid Protocol (Kenya, Ghana, South Africa)</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Series A trigger</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₦1,800,000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$1,200</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 — Madrid</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DEFER</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10</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Investigate patent candidacy of AgroScore methodology (decision: patent vs. trade-secret)</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Within 60 days</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₦500,000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$330</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 — patent agent</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ANALYSE</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11</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Audit third-party marks on platform (John Deere, Resend, Paystack, Anthropic, Supabase)</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Within 30 days</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Review recommended</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r>
        <w:tc>
          <w:tcPr>
            <w:tcW w:type="dxa" w:w="54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12</w:t>
            </w:r>
          </w:p>
        </w:tc>
        <w:tc>
          <w:tcPr>
            <w:tcW w:type="dxa" w:w="2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 "AGCOMS" parent-entity mark, Class 35</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Within 45 days</w:t>
            </w:r>
          </w:p>
        </w:tc>
        <w:tc>
          <w:tcPr>
            <w:tcW w:type="dxa" w:w="15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₦200,000</w:t>
            </w:r>
          </w:p>
        </w:tc>
        <w:tc>
          <w:tcPr>
            <w:tcW w:type="dxa" w:w="112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$135</w:t>
            </w:r>
          </w:p>
        </w:tc>
        <w:tc>
          <w:tcPr>
            <w:tcW w:type="dxa" w:w="1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Yes</w:t>
            </w:r>
          </w:p>
        </w:tc>
        <w:tc>
          <w:tcPr>
            <w:tcW w:type="dxa" w:w="9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GO</w:t>
            </w:r>
          </w:p>
        </w:tc>
      </w:tr>
    </w:tbl>
    <w:p>
      <w:pPr>
        <w:spacing w:after="120" w:line="300"/>
      </w:pPr>
      <w:r>
        <w:t xml:space="preserve"/>
      </w:r>
    </w:p>
    <w:p>
      <w:pPr>
        <w:spacing w:after="120" w:line="300"/>
      </w:pPr>
      <w:r>
        <w:rPr>
          <w:b/>
          <w:bCs/>
        </w:rPr>
        <w:t xml:space="preserve">Executive takeaway: </w:t>
      </w:r>
      <w:r>
        <w:t xml:space="preserve">Eight of the twelve decisions are GO this month. Cumulative budget for the GO items is approximately ₦1,610,000 (USD $1,065) plus agent fees. The single largest risk is </w:t>
      </w:r>
      <w:r>
        <w:rPr>
          <w:i/>
          <w:iCs/>
        </w:rPr>
        <w:t xml:space="preserve">delay</w:t>
      </w:r>
      <w:r>
        <w:t xml:space="preserve"> — every week we wait on Decisions 1 through 5 is a week during which a third party can file ahead of us in Nigeria's first-to-file register.</w:t>
      </w:r>
    </w:p>
    <w:p>
      <w:r>
        <w:br w:type="page"/>
      </w:r>
    </w:p>
    <w:p>
      <w:pPr>
        <w:pStyle w:val="Heading1"/>
        <w:spacing w:after="200" w:before="360"/>
      </w:pPr>
      <w:r>
        <w:rPr>
          <w:rFonts w:ascii="Arial" w:cs="Arial" w:eastAsia="Arial" w:hAnsi="Arial"/>
          <w:b/>
          <w:bCs/>
          <w:sz w:val="32"/>
          <w:szCs w:val="32"/>
        </w:rPr>
        <w:t xml:space="preserve">1. IP Asset Inventory</w:t>
      </w:r>
    </w:p>
    <w:p>
      <w:pPr>
        <w:spacing w:after="120" w:line="300"/>
      </w:pPr>
      <w:r>
        <w:t xml:space="preserve">Before any filing is possible, we must know exactly what we own, what we use, and what we depend on. This section is a complete audit of AgroYield's intellectual property surface as of April 19, 2026 — three days before Beta launch. Everything below has been identified from the codebase, the public-facing product, the strategic documents on file, and the metadata shipped to production.</w:t>
      </w:r>
    </w:p>
    <w:p>
      <w:pPr>
        <w:pStyle w:val="Heading2"/>
        <w:spacing w:after="160" w:before="280"/>
      </w:pPr>
      <w:r>
        <w:rPr>
          <w:rFonts w:ascii="Arial" w:cs="Arial" w:eastAsia="Arial" w:hAnsi="Arial"/>
          <w:b/>
          <w:bCs/>
          <w:sz w:val="26"/>
          <w:szCs w:val="26"/>
        </w:rPr>
        <w:t xml:space="preserve">1.1 Brand Names and Word Marks</w:t>
      </w:r>
    </w:p>
    <w:p>
      <w:pPr>
        <w:spacing w:after="120" w:line="300"/>
      </w:pPr>
      <w:r>
        <w:t xml:space="preserve">The following word marks are currently in use and form the foundation of the brand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rPr>
          <w:tblHeader/>
        </w:trPr>
        <w:tc>
          <w:tcPr>
            <w:tcW w:type="dxa" w:w="20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Mark</w:t>
            </w:r>
          </w:p>
        </w:tc>
        <w:tc>
          <w:tcPr>
            <w:tcW w:type="dxa" w:w="34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Usage</w:t>
            </w:r>
          </w:p>
        </w:tc>
        <w:tc>
          <w:tcPr>
            <w:tcW w:type="dxa" w:w="20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First Use</w:t>
            </w:r>
          </w:p>
        </w:tc>
        <w:tc>
          <w:tcPr>
            <w:tcW w:type="dxa" w:w="19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Priority</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Primary brand. Used as company name, platform name, product line. Appears in title tags, OG metadata, emails, invoices.</w:t>
            </w:r>
          </w:p>
        </w:tc>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November 2025</w:t>
            </w:r>
          </w:p>
        </w:tc>
        <w:tc>
          <w:tcPr>
            <w:tcW w:type="dxa" w:w="1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1 — file immediately</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 NETWORK</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Full trading name. Used in legal-style copy, metadata, emails. "Nigeria's Agricultural Professional Platform" strapline.</w:t>
            </w:r>
          </w:p>
        </w:tc>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November 2025</w:t>
            </w:r>
          </w:p>
        </w:tc>
        <w:tc>
          <w:tcPr>
            <w:tcW w:type="dxa" w:w="1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1 — file immediately</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AGROSCORE</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Credit-scoring product / methodology trading name. Target for embedded-finance partnerships.</w:t>
            </w:r>
          </w:p>
        </w:tc>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February 2026</w:t>
            </w:r>
          </w:p>
        </w:tc>
        <w:tc>
          <w:tcPr>
            <w:tcW w:type="dxa" w:w="1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1 — file immediately</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AGCOMS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Parent entity name (Agcoms Limited). Referenced in 20+ files, internal and external correspondence.</w:t>
            </w:r>
          </w:p>
        </w:tc>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2025</w:t>
            </w:r>
          </w:p>
        </w:tc>
        <w:tc>
          <w:tcPr>
            <w:tcW w:type="dxa" w:w="1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2 — file within 45 days</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Agriculture is a Business. Build Yours.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Primary tagline / slogan. Appears in OG image alt text, marketing materials.</w:t>
            </w:r>
          </w:p>
        </w:tc>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March 2026</w:t>
            </w:r>
          </w:p>
        </w:tc>
        <w:tc>
          <w:tcPr>
            <w:tcW w:type="dxa" w:w="1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2 — file as slogan, Class 35/41</w:t>
            </w:r>
          </w:p>
        </w:tc>
      </w:tr>
    </w:tbl>
    <w:p>
      <w:pPr>
        <w:pStyle w:val="Heading2"/>
        <w:spacing w:after="160" w:before="280"/>
      </w:pPr>
      <w:r>
        <w:rPr>
          <w:rFonts w:ascii="Arial" w:cs="Arial" w:eastAsia="Arial" w:hAnsi="Arial"/>
          <w:b/>
          <w:bCs/>
          <w:sz w:val="26"/>
          <w:szCs w:val="26"/>
        </w:rPr>
        <w:t xml:space="preserve">1.2 Logos and Device Marks</w:t>
      </w:r>
    </w:p>
    <w:p>
      <w:pPr>
        <w:spacing w:after="120" w:line="300"/>
      </w:pPr>
      <w:r>
        <w:t xml:space="preserve">Nine logo variants exist in production (three orientations × three colour treatments):</w:t>
      </w:r>
    </w:p>
    <w:p>
      <w:pPr>
        <w:pStyle w:val="ListParagraph"/>
        <w:numPr>
          <w:ilvl w:val="0"/>
          <w:numId w:val="2"/>
        </w:numPr>
        <w:spacing w:after="60" w:line="280"/>
      </w:pPr>
      <w:r>
        <w:t xml:space="preserve">Horizontal lock-up — black, colour, white</w:t>
      </w:r>
    </w:p>
    <w:p>
      <w:pPr>
        <w:pStyle w:val="ListParagraph"/>
        <w:numPr>
          <w:ilvl w:val="0"/>
          <w:numId w:val="2"/>
        </w:numPr>
        <w:spacing w:after="60" w:line="280"/>
      </w:pPr>
      <w:r>
        <w:t xml:space="preserve">Stacked lock-up — black, colour, white</w:t>
      </w:r>
    </w:p>
    <w:p>
      <w:pPr>
        <w:pStyle w:val="ListParagraph"/>
        <w:numPr>
          <w:ilvl w:val="0"/>
          <w:numId w:val="2"/>
        </w:numPr>
        <w:spacing w:after="60" w:line="280"/>
      </w:pPr>
      <w:r>
        <w:t xml:space="preserve">Icon-only mark — black, colour, white</w:t>
      </w:r>
    </w:p>
    <w:p>
      <w:pPr>
        <w:spacing w:after="120" w:line="300"/>
      </w:pPr>
      <w:r>
        <w:t xml:space="preserve">The coloured stacked lock-up is the canonical public-facing mark and should be filed as the primary device mark. The icon-only mark should be filed separately as it is used in app icons, favicon, apple-touch-icon, and the PWA manifest — contexts where the wordmark is physically absent. Filing both protects us against a competitor who copies the icon alone and argues the lock-up filing does not cover icon-only use.</w:t>
      </w:r>
    </w:p>
    <w:p>
      <w:pPr>
        <w:pStyle w:val="Heading2"/>
        <w:spacing w:after="160" w:before="280"/>
      </w:pPr>
      <w:r>
        <w:rPr>
          <w:rFonts w:ascii="Arial" w:cs="Arial" w:eastAsia="Arial" w:hAnsi="Arial"/>
          <w:b/>
          <w:bCs/>
          <w:sz w:val="26"/>
          <w:szCs w:val="26"/>
        </w:rPr>
        <w:t xml:space="preserve">1.3 Domain Portfolio</w:t>
      </w:r>
    </w:p>
    <w:p>
      <w:pPr>
        <w:spacing w:after="120" w:line="300"/>
      </w:pPr>
      <w:r>
        <w:t xml:space="preserve">AgroYield currently operates on </w:t>
      </w:r>
    </w:p>
    <w:p>
      <w:pPr>
        <w:spacing w:after="120" w:line="300"/>
      </w:pPr>
      <w:r>
        <w:rPr>
          <w:b/>
          <w:bCs/>
        </w:rPr>
        <w:t xml:space="preserve">agroyield.africa</w:t>
      </w:r>
      <w:r>
        <w:t xml:space="preserve"> as the primary domain. Every other permutation of the brand is currently undefended. Full domain audit is in Section 6.</w:t>
      </w:r>
    </w:p>
    <w:p>
      <w:pPr>
        <w:pStyle w:val="Heading2"/>
        <w:spacing w:after="160" w:before="280"/>
      </w:pPr>
      <w:r>
        <w:rPr>
          <w:rFonts w:ascii="Arial" w:cs="Arial" w:eastAsia="Arial" w:hAnsi="Arial"/>
          <w:b/>
          <w:bCs/>
          <w:sz w:val="26"/>
          <w:szCs w:val="26"/>
        </w:rPr>
        <w:t xml:space="preserve">1.4 Software and Copyright Assets</w:t>
      </w:r>
    </w:p>
    <w:p>
      <w:pPr>
        <w:spacing w:after="120" w:line="300"/>
      </w:pPr>
      <w:r>
        <w:t xml:space="preserve">The platform codebase is the second-largest IP asset after the brand. Copyright attaches automatically under Nigerian law (Copyright Act 2022) and under the Berne Convention in 180+ member states without registration, but effective enforcement requires correct marking, correct assignment chain, and correct documentation of authorship.</w:t>
      </w:r>
    </w:p>
    <w:p>
      <w:pPr>
        <w:spacing w:after="120" w:line="300"/>
      </w:pPr>
      <w:r>
        <w:t xml:space="preserve">Components in scope:</w:t>
      </w:r>
    </w:p>
    <w:p>
      <w:pPr>
        <w:pStyle w:val="ListParagraph"/>
        <w:numPr>
          <w:ilvl w:val="0"/>
          <w:numId w:val="2"/>
        </w:numPr>
        <w:spacing w:after="60" w:line="280"/>
      </w:pPr>
      <w:r>
        <w:rPr>
          <w:b/>
          <w:bCs/>
        </w:rPr>
        <w:t xml:space="preserve">Web application: </w:t>
      </w:r>
      <w:r>
        <w:t xml:space="preserve">Next.js 16.2 / TypeScript, approximately 2,400+ lines in the admin client alone, 50+ API routes, custom modules for opportunities, marketplace, research board, price tracker, business suite, credit scoring, expense OCR.</w:t>
      </w:r>
    </w:p>
    <w:p>
      <w:pPr>
        <w:pStyle w:val="ListParagraph"/>
        <w:numPr>
          <w:ilvl w:val="0"/>
          <w:numId w:val="2"/>
        </w:numPr>
        <w:spacing w:after="60" w:line="280"/>
      </w:pPr>
      <w:r>
        <w:rPr>
          <w:b/>
          <w:bCs/>
        </w:rPr>
        <w:t xml:space="preserve">Database schema: </w:t>
      </w:r>
      <w:r>
        <w:t xml:space="preserve">Supabase/PostgreSQL migrations (40+ SQL files), Row-Level Security policies, custom functions, triggers. The schema itself is copyrightable as a compilation.</w:t>
      </w:r>
    </w:p>
    <w:p>
      <w:pPr>
        <w:pStyle w:val="ListParagraph"/>
        <w:numPr>
          <w:ilvl w:val="0"/>
          <w:numId w:val="2"/>
        </w:numPr>
        <w:spacing w:after="60" w:line="280"/>
      </w:pPr>
      <w:r>
        <w:rPr>
          <w:b/>
          <w:bCs/>
        </w:rPr>
        <w:t xml:space="preserve">Email templates: </w:t>
      </w:r>
      <w:r>
        <w:t xml:space="preserve">Branded HTML templates for welcome, invoice, invite, digest, receipt flows.</w:t>
      </w:r>
    </w:p>
    <w:p>
      <w:pPr>
        <w:pStyle w:val="ListParagraph"/>
        <w:numPr>
          <w:ilvl w:val="0"/>
          <w:numId w:val="2"/>
        </w:numPr>
        <w:spacing w:after="60" w:line="280"/>
      </w:pPr>
      <w:r>
        <w:rPr>
          <w:b/>
          <w:bCs/>
        </w:rPr>
        <w:t xml:space="preserve">Marketing site and landing pages: </w:t>
      </w:r>
      <w:r>
        <w:t xml:space="preserve">Copy, imagery, page structure.</w:t>
      </w:r>
    </w:p>
    <w:p>
      <w:pPr>
        <w:pStyle w:val="ListParagraph"/>
        <w:numPr>
          <w:ilvl w:val="0"/>
          <w:numId w:val="2"/>
        </w:numPr>
        <w:spacing w:after="60" w:line="280"/>
      </w:pPr>
      <w:r>
        <w:rPr>
          <w:b/>
          <w:bCs/>
        </w:rPr>
        <w:t xml:space="preserve">Business Suite reports and printable layouts: </w:t>
      </w:r>
      <w:r>
        <w:t xml:space="preserve">Invoice templates, customer statement layouts, P&amp;L reports.</w:t>
      </w:r>
    </w:p>
    <w:p>
      <w:pPr>
        <w:pStyle w:val="ListParagraph"/>
        <w:numPr>
          <w:ilvl w:val="0"/>
          <w:numId w:val="2"/>
        </w:numPr>
        <w:spacing w:after="60" w:line="280"/>
      </w:pPr>
      <w:r>
        <w:rPr>
          <w:b/>
          <w:bCs/>
        </w:rPr>
        <w:t xml:space="preserve">Documentation: </w:t>
      </w:r>
      <w:r>
        <w:t xml:space="preserve">UNICORN_SPRINT.md, ROADMAP.md, PROJECT_STATUS.md, CODEBASE_AUDIT.md, AgroYield-Strategic-Review.docx, AgroYield-Lender-Outreach-Letters.docx.</w:t>
      </w:r>
    </w:p>
    <w:p>
      <w:pPr>
        <w:pStyle w:val="Heading2"/>
        <w:spacing w:after="160" w:before="280"/>
      </w:pPr>
      <w:r>
        <w:rPr>
          <w:rFonts w:ascii="Arial" w:cs="Arial" w:eastAsia="Arial" w:hAnsi="Arial"/>
          <w:b/>
          <w:bCs/>
          <w:sz w:val="26"/>
          <w:szCs w:val="26"/>
        </w:rPr>
        <w:t xml:space="preserve">1.5 Methodologies and Trade Secrets</w:t>
      </w:r>
    </w:p>
    <w:p>
      <w:pPr>
        <w:spacing w:after="120" w:line="300"/>
      </w:pPr>
      <w:r>
        <w:t xml:space="preserve">These are not copyrightable (ideas are not protected) and are better protected as trade secrets under Nigerian confidentiality-based law and contract. They are the most commercially valuable intangibles in the portfolio:</w:t>
      </w:r>
    </w:p>
    <w:p>
      <w:pPr>
        <w:pStyle w:val="ListParagraph"/>
        <w:numPr>
          <w:ilvl w:val="0"/>
          <w:numId w:val="2"/>
        </w:numPr>
        <w:spacing w:after="60" w:line="280"/>
      </w:pPr>
      <w:r>
        <w:rPr>
          <w:b/>
          <w:bCs/>
        </w:rPr>
        <w:t xml:space="preserve">AgroScore credit-scoring methodology: </w:t>
      </w:r>
      <w:r>
        <w:t xml:space="preserve">The specific weighting, signals, thresholds, and scoring band logic that turns AgroYield activity into a creditworthiness signal. This is the asset most likely to underpin embedded-finance revenue.</w:t>
      </w:r>
    </w:p>
    <w:p>
      <w:pPr>
        <w:pStyle w:val="ListParagraph"/>
        <w:numPr>
          <w:ilvl w:val="0"/>
          <w:numId w:val="2"/>
        </w:numPr>
        <w:spacing w:after="60" w:line="280"/>
      </w:pPr>
      <w:r>
        <w:rPr>
          <w:b/>
          <w:bCs/>
        </w:rPr>
        <w:t xml:space="preserve">Expense OCR prompt + model selection logic: </w:t>
      </w:r>
      <w:r>
        <w:t xml:space="preserve">The system prompt, extraction schema, and fallback ladder that converts a phone camera image into a structured expense record. Validated on production with claude-haiku-4-5.</w:t>
      </w:r>
    </w:p>
    <w:p>
      <w:pPr>
        <w:pStyle w:val="ListParagraph"/>
        <w:numPr>
          <w:ilvl w:val="0"/>
          <w:numId w:val="2"/>
        </w:numPr>
        <w:spacing w:after="60" w:line="280"/>
      </w:pPr>
      <w:r>
        <w:rPr>
          <w:b/>
          <w:bCs/>
        </w:rPr>
        <w:t xml:space="preserve">Business Health Score algorithm: </w:t>
      </w:r>
      <w:r>
        <w:t xml:space="preserve">Five-factor scoring with green/amber/red bands — proprietary weighting.</w:t>
      </w:r>
    </w:p>
    <w:p>
      <w:pPr>
        <w:pStyle w:val="ListParagraph"/>
        <w:numPr>
          <w:ilvl w:val="0"/>
          <w:numId w:val="2"/>
        </w:numPr>
        <w:spacing w:after="60" w:line="280"/>
      </w:pPr>
      <w:r>
        <w:rPr>
          <w:b/>
          <w:bCs/>
        </w:rPr>
        <w:t xml:space="preserve">Admin settings allowlists and blast-radius modelling: </w:t>
      </w:r>
      <w:r>
        <w:t xml:space="preserve">The settings-backed constants pattern with validator ladders, fail-open reads, Option B confirmation modals for mid-month changes.</w:t>
      </w:r>
    </w:p>
    <w:p>
      <w:pPr>
        <w:pStyle w:val="ListParagraph"/>
        <w:numPr>
          <w:ilvl w:val="0"/>
          <w:numId w:val="2"/>
        </w:numPr>
        <w:spacing w:after="60" w:line="280"/>
      </w:pPr>
      <w:r>
        <w:rPr>
          <w:b/>
          <w:bCs/>
        </w:rPr>
        <w:t xml:space="preserve">Internal operational playbooks: </w:t>
      </w:r>
      <w:r>
        <w:t xml:space="preserve">Bucket A/B/C/D admin-control audit framing, real-user-real-device validation methodology, kill-switch SQL muscle memory.</w:t>
      </w:r>
    </w:p>
    <w:p>
      <w:pPr>
        <w:pStyle w:val="Heading2"/>
        <w:spacing w:after="160" w:before="280"/>
      </w:pPr>
      <w:r>
        <w:rPr>
          <w:rFonts w:ascii="Arial" w:cs="Arial" w:eastAsia="Arial" w:hAnsi="Arial"/>
          <w:b/>
          <w:bCs/>
          <w:sz w:val="26"/>
          <w:szCs w:val="26"/>
        </w:rPr>
        <w:t xml:space="preserve">1.6 Data Assets</w:t>
      </w:r>
    </w:p>
    <w:p>
      <w:pPr>
        <w:spacing w:after="120" w:line="300"/>
      </w:pPr>
      <w:r>
        <w:t xml:space="preserve">Data is not copyrightable as such, but a database that evidences skill and judgement is protectable as a compilation (Copyright Act 2022, s.108). More importantly, it is protectable through contract — users' terms of service grant AgroYield a licence over their content. Current data assets include the member directory, opportunity listings, marketplace listings, price-tracker historical data, research board content, business suite invoice data, and (going forward) AgroScore creditworthiness signals. Data protection and GDPR/NDPR compliance is an adjacent workstream and out of scope for this IP strategy, but the two must be consistent — especially around user consent to secondary use of their data for scoring.</w:t>
      </w:r>
    </w:p>
    <w:p>
      <w:pPr>
        <w:pStyle w:val="Heading2"/>
        <w:spacing w:after="160" w:before="280"/>
      </w:pPr>
      <w:r>
        <w:rPr>
          <w:rFonts w:ascii="Arial" w:cs="Arial" w:eastAsia="Arial" w:hAnsi="Arial"/>
          <w:b/>
          <w:bCs/>
          <w:sz w:val="26"/>
          <w:szCs w:val="26"/>
        </w:rPr>
        <w:t xml:space="preserve">1.7 Third-Party IP We Depend On</w:t>
      </w:r>
    </w:p>
    <w:p>
      <w:pPr>
        <w:spacing w:after="120" w:line="300"/>
      </w:pPr>
      <w:r>
        <w:t xml:space="preserve">This is the silent risk register. AgroYield uses third-party IP in production, and every such dependency is a potential indemnity or takedown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Third Party</w:t>
            </w:r>
          </w:p>
        </w:tc>
        <w:tc>
          <w:tcPr>
            <w:tcW w:type="dxa" w:w="34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What We Use</w:t>
            </w:r>
          </w:p>
        </w:tc>
        <w:tc>
          <w:tcPr>
            <w:tcW w:type="dxa" w:w="35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IP Risk / Action</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Anthropic (Claude)</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Claude API for expense OCR, content moderation. Branded as AgroYield feature — no customer-facing Anthropic attribution currently.</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Low. Anthropic ToS permits commercial use. Confirm "Powered by Claude" is not required; add terms-of-service clause.</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Supabase</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Auth, Postgres, storage, RLS.</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Low. Apache-2.0 client SDKs; Supabase-hosted service under their ToS. No mark usage on our site.</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Paystack</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Subscription payments.</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Low. Standard PSP integration. Paystack logo used at checkout — verify brand-guidelines compliance.</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Resend</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Transactional email.</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Low. Server-side only; no Resend mark on user-facing surfaces.</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Vercel / Sentry / PostHog</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Hosting, error monitoring, product analytics.</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Low. Backend infrastructure; no mark usage.</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Next.js / React / TypeScript</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Framework, language.</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None. Open source under permissive licences.</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Recharts / ExcelJS / jsPDF / html2canvas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Client-side chart and export libraries.</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None. MIT / permissive.</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John Deere, other OEM logos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IF used anywhere in marketplace listings or price tracker.</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HIGH — audit required. Scraped logos on marketplace listings are a takedown trigger. Build a user-generated-content takedown workflow.</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Partner / grant-issuer logos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IF displayed on opportunities module.</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MEDIUM — require written licence or explicit permission before display. Default should be text-only citation.</w:t>
            </w:r>
          </w:p>
        </w:tc>
      </w:tr>
      <w:tr>
        <w:tc>
          <w:tcPr>
            <w:tcW w:type="dxa" w:w="2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Stock photography, icons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Hero images, illustrations.</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MEDIUM — confirm every image is either owned, licensed (Unsplash/Pexels), or AI-generated. Maintain an asset provenance register.</w:t>
            </w:r>
          </w:p>
        </w:tc>
      </w:tr>
    </w:tbl>
    <w:p>
      <w:pPr>
        <w:pStyle w:val="Heading2"/>
        <w:spacing w:after="160" w:before="280"/>
      </w:pPr>
      <w:r>
        <w:rPr>
          <w:rFonts w:ascii="Arial" w:cs="Arial" w:eastAsia="Arial" w:hAnsi="Arial"/>
          <w:b/>
          <w:bCs/>
          <w:sz w:val="26"/>
          <w:szCs w:val="26"/>
        </w:rPr>
        <w:t xml:space="preserve">1.8 Ownership Chain</w:t>
      </w:r>
    </w:p>
    <w:p>
      <w:pPr>
        <w:spacing w:after="120" w:line="300"/>
      </w:pPr>
      <w:r>
        <w:t xml:space="preserve">This is the most commonly botched area in African tech startups. The code, the brand, and the trade secrets have been created by the founder personally over the pre-incorporation and post-incorporation period. Without written assignments, every one of those assets legally belongs to the founder personally — not to the company a future investor or acquirer will diligence. Before any external capital event and before any trademark filing, the ownership chain must be formalised:</w:t>
      </w:r>
    </w:p>
    <w:p>
      <w:pPr>
        <w:pStyle w:val="ListParagraph"/>
        <w:numPr>
          <w:ilvl w:val="0"/>
          <w:numId w:val="2"/>
        </w:numPr>
        <w:spacing w:after="60" w:line="280"/>
      </w:pPr>
      <w:r>
        <w:t xml:space="preserve">Founder → Agcoms Limited: written IP assignment for all pre-incorporation work.</w:t>
      </w:r>
    </w:p>
    <w:p>
      <w:pPr>
        <w:pStyle w:val="ListParagraph"/>
        <w:numPr>
          <w:ilvl w:val="0"/>
          <w:numId w:val="2"/>
        </w:numPr>
        <w:spacing w:after="60" w:line="280"/>
      </w:pPr>
      <w:r>
        <w:t xml:space="preserve">Agcoms Limited → AgroYield Network (if operated as a separate subsidiary or trading name): licence or assignment.</w:t>
      </w:r>
    </w:p>
    <w:p>
      <w:pPr>
        <w:pStyle w:val="ListParagraph"/>
        <w:numPr>
          <w:ilvl w:val="0"/>
          <w:numId w:val="2"/>
        </w:numPr>
        <w:spacing w:after="60" w:line="280"/>
      </w:pPr>
      <w:r>
        <w:t xml:space="preserve">Any external developer, designer, or contractor: written IP assignment clause in every engagement letter.</w:t>
      </w:r>
    </w:p>
    <w:p>
      <w:pPr>
        <w:pStyle w:val="ListParagraph"/>
        <w:numPr>
          <w:ilvl w:val="0"/>
          <w:numId w:val="2"/>
        </w:numPr>
        <w:spacing w:after="60" w:line="280"/>
      </w:pPr>
      <w:r>
        <w:t xml:space="preserve">Any employee (when AgroYield first hires): IP assignment clause as a condition of employment, backed by the employment contract.</w:t>
      </w:r>
    </w:p>
    <w:p>
      <w:r>
        <w:br w:type="page"/>
      </w:r>
    </w:p>
    <w:p>
      <w:pPr>
        <w:pStyle w:val="Heading1"/>
        <w:spacing w:after="200" w:before="360"/>
      </w:pPr>
      <w:r>
        <w:rPr>
          <w:rFonts w:ascii="Arial" w:cs="Arial" w:eastAsia="Arial" w:hAnsi="Arial"/>
          <w:b/>
          <w:bCs/>
          <w:sz w:val="32"/>
          <w:szCs w:val="32"/>
        </w:rPr>
        <w:t xml:space="preserve">2. Trademark Investigation</w:t>
      </w:r>
    </w:p>
    <w:p>
      <w:pPr>
        <w:spacing w:after="120" w:line="300"/>
      </w:pPr>
      <w:r>
        <w:t xml:space="preserve">A trademark filing is only as strong as the search that precedes it. Filing blind into a register is expensive, wasteful, and carries a non-trivial risk of opposition by a senior-rights holder who discovers the filing during the 30-day opposition window. This section specifies the searches that must be completed before any filing is submitted, the marks that should be filed, the classes that apply, and the format variants (word mark, device mark, combined mark) we should pursue.</w:t>
      </w:r>
    </w:p>
    <w:p>
      <w:pPr>
        <w:pStyle w:val="Heading2"/>
        <w:spacing w:after="160" w:before="280"/>
      </w:pPr>
      <w:r>
        <w:rPr>
          <w:rFonts w:ascii="Arial" w:cs="Arial" w:eastAsia="Arial" w:hAnsi="Arial"/>
          <w:b/>
          <w:bCs/>
          <w:sz w:val="26"/>
          <w:szCs w:val="26"/>
        </w:rPr>
        <w:t xml:space="preserve">2.1 Searches Required Before Filing</w:t>
      </w:r>
    </w:p>
    <w:p>
      <w:pPr>
        <w:spacing w:after="120" w:line="300"/>
      </w:pPr>
      <w:r>
        <w:t xml:space="preserve">The following searches should be completed by our appointed Nigerian trademark agent and supplied to us as a written clearance opinion:</w:t>
      </w:r>
    </w:p>
    <w:p>
      <w:pPr>
        <w:pStyle w:val="ListParagraph"/>
        <w:numPr>
          <w:ilvl w:val="0"/>
          <w:numId w:val="2"/>
        </w:numPr>
        <w:spacing w:after="60" w:line="280"/>
      </w:pPr>
      <w:r>
        <w:rPr>
          <w:b/>
          <w:bCs/>
        </w:rPr>
        <w:t xml:space="preserve">Nigerian Trademarks Registry </w:t>
      </w:r>
      <w:r>
        <w:t xml:space="preserve">(Trademarks, Patents and Designs Registry, Federal Ministry of Industry, Trade and Investment, Abuja) — identical and phonetically similar searches in every class we intend to file in, for each of the five priority marks.</w:t>
      </w:r>
    </w:p>
    <w:p>
      <w:pPr>
        <w:pStyle w:val="ListParagraph"/>
        <w:numPr>
          <w:ilvl w:val="0"/>
          <w:numId w:val="2"/>
        </w:numPr>
        <w:spacing w:after="60" w:line="280"/>
      </w:pPr>
      <w:r>
        <w:rPr>
          <w:b/>
          <w:bCs/>
        </w:rPr>
        <w:t xml:space="preserve">Company names register </w:t>
      </w:r>
      <w:r>
        <w:t xml:space="preserve">(Corporate Affairs Commission, CAC) — verify "Agcoms Limited" is correctly incorporated and the name is clean; verify no other company is trading under "AgroYield" in any form.</w:t>
      </w:r>
    </w:p>
    <w:p>
      <w:pPr>
        <w:pStyle w:val="ListParagraph"/>
        <w:numPr>
          <w:ilvl w:val="0"/>
          <w:numId w:val="2"/>
        </w:numPr>
        <w:spacing w:after="60" w:line="280"/>
      </w:pPr>
      <w:r>
        <w:rPr>
          <w:b/>
          <w:bCs/>
        </w:rPr>
        <w:t xml:space="preserve">Domain register </w:t>
      </w:r>
      <w:r>
        <w:t xml:space="preserve">(NiRA for .ng / .com.ng, plus generic TLDs) — confirm no adversely-held domains matching our priority marks already exist in a suspicious registrant pattern.</w:t>
      </w:r>
    </w:p>
    <w:p>
      <w:pPr>
        <w:pStyle w:val="ListParagraph"/>
        <w:numPr>
          <w:ilvl w:val="0"/>
          <w:numId w:val="2"/>
        </w:numPr>
        <w:spacing w:after="60" w:line="280"/>
      </w:pPr>
      <w:r>
        <w:rPr>
          <w:b/>
          <w:bCs/>
        </w:rPr>
        <w:t xml:space="preserve">Common-law use searches </w:t>
      </w:r>
      <w:r>
        <w:t xml:space="preserve">— Google, Instagram, TikTok, LinkedIn, X/Twitter — to identify any unregistered users of "AgroYield" or "AgroScore" who could claim prior use. Particularly important for "AgroScore", which is a more obvious compound that may already be in informal use.</w:t>
      </w:r>
    </w:p>
    <w:p>
      <w:pPr>
        <w:pStyle w:val="ListParagraph"/>
        <w:numPr>
          <w:ilvl w:val="0"/>
          <w:numId w:val="2"/>
        </w:numPr>
        <w:spacing w:after="60" w:line="280"/>
      </w:pPr>
      <w:r>
        <w:rPr>
          <w:b/>
          <w:bCs/>
        </w:rPr>
        <w:t xml:space="preserve">ARIPO and OAPI registers </w:t>
      </w:r>
      <w:r>
        <w:t xml:space="preserve">— for defensive context, to understand the regional landscape even though Nigeria is not a member of either.</w:t>
      </w:r>
    </w:p>
    <w:p>
      <w:pPr>
        <w:pStyle w:val="ListParagraph"/>
        <w:numPr>
          <w:ilvl w:val="0"/>
          <w:numId w:val="2"/>
        </w:numPr>
        <w:spacing w:after="60" w:line="280"/>
      </w:pPr>
      <w:r>
        <w:rPr>
          <w:b/>
          <w:bCs/>
        </w:rPr>
        <w:t xml:space="preserve">WIPO Madrid Monitor </w:t>
      </w:r>
      <w:r>
        <w:t xml:space="preserve">— to identify any international mark designating Nigeria through the Madrid system that may conflict.</w:t>
      </w:r>
    </w:p>
    <w:p>
      <w:pPr>
        <w:spacing w:after="120" w:line="300"/>
      </w:pPr>
      <w:r>
        <w:rPr>
          <w:b/>
          <w:bCs/>
        </w:rPr>
        <w:t xml:space="preserve">Expected timeline: </w:t>
      </w:r>
      <w:r>
        <w:t xml:space="preserve">2 to 3 weeks from engagement of a Nigerian trademark agent. Expected cost: approximately ₦150,000 to ₦300,000 (USD $100 to $200) for a comprehensive clearance across the five priority marks. This is the single best money spent in the entire IP strategy — a weak clearance opinion is how startups discover six months later that their application is under opposition and they have to rebrand.</w:t>
      </w:r>
    </w:p>
    <w:p>
      <w:pPr>
        <w:pStyle w:val="Heading2"/>
        <w:spacing w:after="160" w:before="280"/>
      </w:pPr>
      <w:r>
        <w:rPr>
          <w:rFonts w:ascii="Arial" w:cs="Arial" w:eastAsia="Arial" w:hAnsi="Arial"/>
          <w:b/>
          <w:bCs/>
          <w:sz w:val="26"/>
          <w:szCs w:val="26"/>
        </w:rPr>
        <w:t xml:space="preserve">2.2 Marks to File — Tier 1 (This Week)</w:t>
      </w:r>
    </w:p>
    <w:p>
      <w:pPr>
        <w:pStyle w:val="Heading3"/>
        <w:spacing w:after="120" w:before="220"/>
      </w:pPr>
      <w:r>
        <w:rPr>
          <w:rFonts w:ascii="Arial" w:cs="Arial" w:eastAsia="Arial" w:hAnsi="Arial"/>
          <w:b/>
          <w:bCs/>
          <w:sz w:val="22"/>
          <w:szCs w:val="22"/>
        </w:rPr>
        <w:t xml:space="preserve">2.2.1 AGROYIELD (word mark)</w:t>
      </w:r>
    </w:p>
    <w:p>
      <w:pPr>
        <w:spacing w:after="120" w:line="300"/>
      </w:pPr>
      <w:r>
        <w:t xml:space="preserve">The core brand. Must be filed first, in the classes where we operate and the classes where a competitor would most likely file to harm us:</w:t>
      </w:r>
    </w:p>
    <w:p>
      <w:pPr>
        <w:pStyle w:val="ListParagraph"/>
        <w:numPr>
          <w:ilvl w:val="0"/>
          <w:numId w:val="2"/>
        </w:numPr>
        <w:spacing w:after="60" w:line="280"/>
      </w:pPr>
      <w:r>
        <w:rPr>
          <w:b/>
          <w:bCs/>
        </w:rPr>
        <w:t xml:space="preserve">Class 9 </w:t>
      </w:r>
      <w:r>
        <w:t xml:space="preserve">— Downloadable mobile applications; software; electronic publications. Covers the PWA, the app stores, and any downloadable content.</w:t>
      </w:r>
    </w:p>
    <w:p>
      <w:pPr>
        <w:pStyle w:val="ListParagraph"/>
        <w:numPr>
          <w:ilvl w:val="0"/>
          <w:numId w:val="2"/>
        </w:numPr>
        <w:spacing w:after="60" w:line="280"/>
      </w:pPr>
      <w:r>
        <w:rPr>
          <w:b/>
          <w:bCs/>
        </w:rPr>
        <w:t xml:space="preserve">Class 35 </w:t>
      </w:r>
      <w:r>
        <w:t xml:space="preserve">— Advertising; business management; business administration; providing an online marketplace for buyers and sellers; providing business information through an online database; business directory services. Covers the marketplace, business suite, and member directory.</w:t>
      </w:r>
    </w:p>
    <w:p>
      <w:pPr>
        <w:pStyle w:val="ListParagraph"/>
        <w:numPr>
          <w:ilvl w:val="0"/>
          <w:numId w:val="2"/>
        </w:numPr>
        <w:spacing w:after="60" w:line="280"/>
      </w:pPr>
      <w:r>
        <w:rPr>
          <w:b/>
          <w:bCs/>
        </w:rPr>
        <w:t xml:space="preserve">Class 42 </w:t>
      </w:r>
      <w:r>
        <w:t xml:space="preserve">— Software as a service (SaaS); platform as a service (PaaS); technological and design services. Covers the core platform.</w:t>
      </w:r>
    </w:p>
    <w:p>
      <w:pPr>
        <w:spacing w:after="120" w:line="300"/>
      </w:pPr>
      <w:r>
        <w:t xml:space="preserve">Format: plain word mark, block capitals. This is the broadest protection and covers the word in any font, colour, or stylisation.</w:t>
      </w:r>
    </w:p>
    <w:p>
      <w:pPr>
        <w:pStyle w:val="Heading3"/>
        <w:spacing w:after="120" w:before="220"/>
      </w:pPr>
      <w:r>
        <w:rPr>
          <w:rFonts w:ascii="Arial" w:cs="Arial" w:eastAsia="Arial" w:hAnsi="Arial"/>
          <w:b/>
          <w:bCs/>
          <w:sz w:val="22"/>
          <w:szCs w:val="22"/>
        </w:rPr>
        <w:t xml:space="preserve">2.2.2 AGROYIELD NETWORK (word mark)</w:t>
      </w:r>
    </w:p>
    <w:p>
      <w:pPr>
        <w:spacing w:after="120" w:line="300"/>
      </w:pPr>
      <w:r>
        <w:t xml:space="preserve">The full trading name. File separately because a competitor could potentially argue that "AgroYield Network" is distinct from "AgroYield" — and we want to block both. Same three classes (9, 35, 42). Lower priority than the bare word mark but still Tier 1.</w:t>
      </w:r>
    </w:p>
    <w:p>
      <w:pPr>
        <w:pStyle w:val="Heading3"/>
        <w:spacing w:after="120" w:before="220"/>
      </w:pPr>
      <w:r>
        <w:rPr>
          <w:rFonts w:ascii="Arial" w:cs="Arial" w:eastAsia="Arial" w:hAnsi="Arial"/>
          <w:b/>
          <w:bCs/>
          <w:sz w:val="22"/>
          <w:szCs w:val="22"/>
        </w:rPr>
        <w:t xml:space="preserve">2.2.3 AGROSCORE (word mark)</w:t>
      </w:r>
    </w:p>
    <w:p>
      <w:pPr>
        <w:spacing w:after="120" w:line="300"/>
      </w:pPr>
      <w:r>
        <w:t xml:space="preserve">The credit-scoring product. This is the highest-value ancillary mark because it will underpin embedded-finance revenue. Classes required are slightly different:</w:t>
      </w:r>
    </w:p>
    <w:p>
      <w:pPr>
        <w:pStyle w:val="ListParagraph"/>
        <w:numPr>
          <w:ilvl w:val="0"/>
          <w:numId w:val="2"/>
        </w:numPr>
        <w:spacing w:after="60" w:line="280"/>
      </w:pPr>
      <w:r>
        <w:rPr>
          <w:b/>
          <w:bCs/>
        </w:rPr>
        <w:t xml:space="preserve">Class 9 </w:t>
      </w:r>
      <w:r>
        <w:t xml:space="preserve">— Software (the scoring engine).</w:t>
      </w:r>
    </w:p>
    <w:p>
      <w:pPr>
        <w:pStyle w:val="ListParagraph"/>
        <w:numPr>
          <w:ilvl w:val="0"/>
          <w:numId w:val="2"/>
        </w:numPr>
        <w:spacing w:after="60" w:line="280"/>
      </w:pPr>
      <w:r>
        <w:rPr>
          <w:b/>
          <w:bCs/>
        </w:rPr>
        <w:t xml:space="preserve">Class 36 </w:t>
      </w:r>
      <w:r>
        <w:t xml:space="preserve">— Financial services; credit bureau services; credit reporting; credit scoring; financial information services. This class is essential if AgroScore will ever power a lending decision.</w:t>
      </w:r>
    </w:p>
    <w:p>
      <w:pPr>
        <w:pStyle w:val="ListParagraph"/>
        <w:numPr>
          <w:ilvl w:val="0"/>
          <w:numId w:val="2"/>
        </w:numPr>
        <w:spacing w:after="60" w:line="280"/>
      </w:pPr>
      <w:r>
        <w:rPr>
          <w:b/>
          <w:bCs/>
        </w:rPr>
        <w:t xml:space="preserve">Class 42 </w:t>
      </w:r>
      <w:r>
        <w:t xml:space="preserve">— SaaS.</w:t>
      </w:r>
    </w:p>
    <w:p>
      <w:pPr>
        <w:spacing w:after="120" w:line="300"/>
      </w:pPr>
      <w:r>
        <w:t xml:space="preserve">Note that filing in Class 36 may attract additional regulatory scrutiny and may require coordination with Nigerian financial-services regulators. Counsel must advise.</w:t>
      </w:r>
    </w:p>
    <w:p>
      <w:pPr>
        <w:pStyle w:val="Heading2"/>
        <w:spacing w:after="160" w:before="280"/>
      </w:pPr>
      <w:r>
        <w:rPr>
          <w:rFonts w:ascii="Arial" w:cs="Arial" w:eastAsia="Arial" w:hAnsi="Arial"/>
          <w:b/>
          <w:bCs/>
          <w:sz w:val="26"/>
          <w:szCs w:val="26"/>
        </w:rPr>
        <w:t xml:space="preserve">2.3 Marks to File — Tier 2 (Within 30-45 Days)</w:t>
      </w:r>
    </w:p>
    <w:p>
      <w:pPr>
        <w:pStyle w:val="Heading3"/>
        <w:spacing w:after="120" w:before="220"/>
      </w:pPr>
      <w:r>
        <w:rPr>
          <w:rFonts w:ascii="Arial" w:cs="Arial" w:eastAsia="Arial" w:hAnsi="Arial"/>
          <w:b/>
          <w:bCs/>
          <w:sz w:val="22"/>
          <w:szCs w:val="22"/>
        </w:rPr>
        <w:t xml:space="preserve">2.3.1 AgroYield Logo — Stacked Colour Lock-up (device mark)</w:t>
      </w:r>
    </w:p>
    <w:p>
      <w:pPr>
        <w:spacing w:after="120" w:line="300"/>
      </w:pPr>
      <w:r>
        <w:t xml:space="preserve">The device mark protects the specific visual rendering. File in Class 35 at minimum; ideally in all three primary classes. A device-mark filing is narrower than a word mark — it only protects the specific graphic — but it is essential because the logo is the visual anchor of the brand.</w:t>
      </w:r>
    </w:p>
    <w:p>
      <w:pPr>
        <w:pStyle w:val="Heading3"/>
        <w:spacing w:after="120" w:before="220"/>
      </w:pPr>
      <w:r>
        <w:rPr>
          <w:rFonts w:ascii="Arial" w:cs="Arial" w:eastAsia="Arial" w:hAnsi="Arial"/>
          <w:b/>
          <w:bCs/>
          <w:sz w:val="22"/>
          <w:szCs w:val="22"/>
        </w:rPr>
        <w:t xml:space="preserve">2.3.2 AgroYield Icon (device mark)</w:t>
      </w:r>
    </w:p>
    <w:p>
      <w:pPr>
        <w:spacing w:after="120" w:line="300"/>
      </w:pPr>
      <w:r>
        <w:t xml:space="preserve">Filed separately because the icon appears in app stores, PWA installations, and favicon contexts where the word mark is absent. A separate filing prevents a competitor from copying the icon and arguing the lock-up filing does not cover icon-only use.</w:t>
      </w:r>
    </w:p>
    <w:p>
      <w:pPr>
        <w:pStyle w:val="Heading3"/>
        <w:spacing w:after="120" w:before="220"/>
      </w:pPr>
      <w:r>
        <w:rPr>
          <w:rFonts w:ascii="Arial" w:cs="Arial" w:eastAsia="Arial" w:hAnsi="Arial"/>
          <w:b/>
          <w:bCs/>
          <w:sz w:val="22"/>
          <w:szCs w:val="22"/>
        </w:rPr>
        <w:t xml:space="preserve">2.3.3 AGCOMS (word mark)</w:t>
      </w:r>
    </w:p>
    <w:p>
      <w:pPr>
        <w:spacing w:after="120" w:line="300"/>
      </w:pPr>
      <w:r>
        <w:t xml:space="preserve">The parent entity. File in Class 35 (business management / holding-company services). Lower urgency because the parent entity is less exposed to squatting, but should be in place before Series A diligence.</w:t>
      </w:r>
    </w:p>
    <w:p>
      <w:pPr>
        <w:pStyle w:val="Heading3"/>
        <w:spacing w:after="120" w:before="220"/>
      </w:pPr>
      <w:r>
        <w:rPr>
          <w:rFonts w:ascii="Arial" w:cs="Arial" w:eastAsia="Arial" w:hAnsi="Arial"/>
          <w:b/>
          <w:bCs/>
          <w:sz w:val="22"/>
          <w:szCs w:val="22"/>
        </w:rPr>
        <w:t xml:space="preserve">2.3.4 Slogan — "Agriculture is a Business. Build Yours."</w:t>
      </w:r>
    </w:p>
    <w:p>
      <w:pPr>
        <w:spacing w:after="120" w:line="300"/>
      </w:pPr>
      <w:r>
        <w:t xml:space="preserve">Slogans are filable in Nigeria but attract higher distinctiveness scrutiny. File in Class 35 and Class 41 (education and training) because the slogan is used in education-adjacent marketing. Counsel should advise on the distinctiveness argument — if the slogan is considered descriptive, the application will be refused and we will have spent filing fees for nothing.</w:t>
      </w:r>
    </w:p>
    <w:p>
      <w:pPr>
        <w:pStyle w:val="Heading2"/>
        <w:spacing w:after="160" w:before="280"/>
      </w:pPr>
      <w:r>
        <w:rPr>
          <w:rFonts w:ascii="Arial" w:cs="Arial" w:eastAsia="Arial" w:hAnsi="Arial"/>
          <w:b/>
          <w:bCs/>
          <w:sz w:val="26"/>
          <w:szCs w:val="26"/>
        </w:rPr>
        <w:t xml:space="preserve">2.4 Marks NOT to File</w:t>
      </w:r>
    </w:p>
    <w:p>
      <w:pPr>
        <w:spacing w:after="120" w:line="300"/>
      </w:pPr>
      <w:r>
        <w:t xml:space="preserve">Discipline matters. The following marks should not be filed — either because they are descriptive, because they are better protected as trade secrets, or because the filing cost exceeds the benefit:</w:t>
      </w:r>
    </w:p>
    <w:p>
      <w:pPr>
        <w:pStyle w:val="ListParagraph"/>
        <w:numPr>
          <w:ilvl w:val="0"/>
          <w:numId w:val="2"/>
        </w:numPr>
        <w:spacing w:after="60" w:line="280"/>
      </w:pPr>
      <w:r>
        <w:rPr>
          <w:b/>
          <w:bCs/>
        </w:rPr>
        <w:t xml:space="preserve">Business Health Score </w:t>
      </w:r>
      <w:r>
        <w:t xml:space="preserve">— too descriptive. File as a methodology / trade secret. If branded more distinctively later ("AgroHealth", "AgroVital"), revisit.</w:t>
      </w:r>
    </w:p>
    <w:p>
      <w:pPr>
        <w:pStyle w:val="ListParagraph"/>
        <w:numPr>
          <w:ilvl w:val="0"/>
          <w:numId w:val="2"/>
        </w:numPr>
        <w:spacing w:after="60" w:line="280"/>
      </w:pPr>
      <w:r>
        <w:rPr>
          <w:b/>
          <w:bCs/>
        </w:rPr>
        <w:t xml:space="preserve">Module names </w:t>
      </w:r>
      <w:r>
        <w:t xml:space="preserve">(Opportunities, Marketplace, Research Board, Price Tracker) — purely descriptive. Not protectable, not worth filing.</w:t>
      </w:r>
    </w:p>
    <w:p>
      <w:pPr>
        <w:pStyle w:val="ListParagraph"/>
        <w:numPr>
          <w:ilvl w:val="0"/>
          <w:numId w:val="2"/>
        </w:numPr>
        <w:spacing w:after="60" w:line="280"/>
      </w:pPr>
      <w:r>
        <w:rPr>
          <w:b/>
          <w:bCs/>
        </w:rPr>
        <w:t xml:space="preserve">Internal code names </w:t>
      </w:r>
      <w:r>
        <w:t xml:space="preserve">(AgroYield Network Beta, UNICORN_SPRINT, etc.) — not trading names, no filing required.</w:t>
      </w:r>
    </w:p>
    <w:p>
      <w:r>
        <w:br w:type="page"/>
      </w:r>
    </w:p>
    <w:p>
      <w:pPr>
        <w:pStyle w:val="Heading1"/>
        <w:spacing w:after="200" w:before="360"/>
      </w:pPr>
      <w:r>
        <w:rPr>
          <w:rFonts w:ascii="Arial" w:cs="Arial" w:eastAsia="Arial" w:hAnsi="Arial"/>
          <w:b/>
          <w:bCs/>
          <w:sz w:val="32"/>
          <w:szCs w:val="32"/>
        </w:rPr>
        <w:t xml:space="preserve">3. Jurisdictional Strategy</w:t>
      </w:r>
    </w:p>
    <w:p>
      <w:pPr>
        <w:spacing w:after="120" w:line="300"/>
      </w:pPr>
      <w:r>
        <w:t xml:space="preserve">Intellectual property is national. A Nigerian trademark protects the mark in Nigeria and nowhere else. Getting the jurisdictional sequence right is the difference between a $1,500 IP portfolio that covers us for the first two years and a $50,000 portfolio that covers twenty countries we will not enter for five years. The strategy below is tiered to match AgroYield's capital position and realistic market-entry sequence.</w:t>
      </w:r>
    </w:p>
    <w:p>
      <w:pPr>
        <w:pStyle w:val="Heading2"/>
        <w:spacing w:after="160" w:before="280"/>
      </w:pPr>
      <w:r>
        <w:rPr>
          <w:rFonts w:ascii="Arial" w:cs="Arial" w:eastAsia="Arial" w:hAnsi="Arial"/>
          <w:b/>
          <w:bCs/>
          <w:sz w:val="26"/>
          <w:szCs w:val="26"/>
        </w:rPr>
        <w:t xml:space="preserve">3.1 Tier 1 — Nigeria (Week 1 to 4)</w:t>
      </w:r>
    </w:p>
    <w:p>
      <w:pPr>
        <w:spacing w:after="120" w:line="300"/>
      </w:pPr>
      <w:r>
        <w:t xml:space="preserve">Nigeria is the home market, the revenue market, and the place where a squatter is most likely to file a hostile mark. File all Tier 1 word marks and the Tier 2 logo marks in Nigeria first. The Nigerian Trademarks, Patents and Designs Registry sits under the Federal Ministry of Industry, Trade and Investment. Nigeria is a first-to-file jurisdiction, meaning the first party to file wins — not the first party to use. Delay is the enemy.</w:t>
      </w:r>
    </w:p>
    <w:p>
      <w:pPr>
        <w:spacing w:after="120" w:line="300"/>
      </w:pPr>
      <w:r>
        <w:t xml:space="preserve">Filing process summary (for context; the agent handles the mechanics):</w:t>
      </w:r>
    </w:p>
    <w:p>
      <w:pPr>
        <w:pStyle w:val="ListParagraph"/>
        <w:numPr>
          <w:ilvl w:val="0"/>
          <w:numId w:val="2"/>
        </w:numPr>
        <w:spacing w:after="60" w:line="280"/>
      </w:pPr>
      <w:r>
        <w:t xml:space="preserve">Application filed through a registered trademark agent (Nigerian residency required for self-filing; use an agent).</w:t>
      </w:r>
    </w:p>
    <w:p>
      <w:pPr>
        <w:pStyle w:val="ListParagraph"/>
        <w:numPr>
          <w:ilvl w:val="0"/>
          <w:numId w:val="2"/>
        </w:numPr>
        <w:spacing w:after="60" w:line="280"/>
      </w:pPr>
      <w:r>
        <w:t xml:space="preserve">Preliminary examination and acceptance — typically 6 to 12 months. Acceptance issues a Letter of Acceptance which is valuable in itself as a priority date anchor.</w:t>
      </w:r>
    </w:p>
    <w:p>
      <w:pPr>
        <w:pStyle w:val="ListParagraph"/>
        <w:numPr>
          <w:ilvl w:val="0"/>
          <w:numId w:val="2"/>
        </w:numPr>
        <w:spacing w:after="60" w:line="280"/>
      </w:pPr>
      <w:r>
        <w:t xml:space="preserve">Publication in the Trade Marks Journal — begins a 2-month opposition window.</w:t>
      </w:r>
    </w:p>
    <w:p>
      <w:pPr>
        <w:pStyle w:val="ListParagraph"/>
        <w:numPr>
          <w:ilvl w:val="0"/>
          <w:numId w:val="2"/>
        </w:numPr>
        <w:spacing w:after="60" w:line="280"/>
      </w:pPr>
      <w:r>
        <w:t xml:space="preserve">Registration certificate issued if no opposition (or opposition defeated) — typically 18 to 30 months end-to-end.</w:t>
      </w:r>
    </w:p>
    <w:p>
      <w:pPr>
        <w:pStyle w:val="ListParagraph"/>
        <w:numPr>
          <w:ilvl w:val="0"/>
          <w:numId w:val="2"/>
        </w:numPr>
        <w:spacing w:after="60" w:line="280"/>
      </w:pPr>
      <w:r>
        <w:t xml:space="preserve">Renewable every 7 years from the date of filing.</w:t>
      </w:r>
    </w:p>
    <w:p>
      <w:pPr>
        <w:spacing w:after="120" w:line="300"/>
      </w:pPr>
      <w:r>
        <w:t xml:space="preserve">The slow cadence is why we must not wait. Even if we file today, registration certificates arrive mid-2027. A priority date anchored in April 2026 is what we pay for.</w:t>
      </w:r>
    </w:p>
    <w:p>
      <w:pPr>
        <w:pStyle w:val="Heading2"/>
        <w:spacing w:after="160" w:before="280"/>
      </w:pPr>
      <w:r>
        <w:rPr>
          <w:rFonts w:ascii="Arial" w:cs="Arial" w:eastAsia="Arial" w:hAnsi="Arial"/>
          <w:b/>
          <w:bCs/>
          <w:sz w:val="26"/>
          <w:szCs w:val="26"/>
        </w:rPr>
        <w:t xml:space="preserve">3.2 Tier 2 — African Expansion Markets (Series A Trigger)</w:t>
      </w:r>
    </w:p>
    <w:p>
      <w:pPr>
        <w:spacing w:after="120" w:line="300"/>
      </w:pPr>
      <w:r>
        <w:t xml:space="preserve">Once Series A capital is raised or strong evidence of cross-border demand emerges, extend protection to the following markets in priority order:</w:t>
      </w:r>
    </w:p>
    <w:p>
      <w:pPr>
        <w:pStyle w:val="ListParagraph"/>
        <w:numPr>
          <w:ilvl w:val="0"/>
          <w:numId w:val="2"/>
        </w:numPr>
        <w:spacing w:after="60" w:line="280"/>
      </w:pPr>
      <w:r>
        <w:rPr>
          <w:b/>
          <w:bCs/>
        </w:rPr>
        <w:t xml:space="preserve">Kenya </w:t>
      </w:r>
      <w:r>
        <w:t xml:space="preserve">— agricultural-tech-receptive, English-language, strong fintech / mobile money parallels.</w:t>
      </w:r>
    </w:p>
    <w:p>
      <w:pPr>
        <w:pStyle w:val="ListParagraph"/>
        <w:numPr>
          <w:ilvl w:val="0"/>
          <w:numId w:val="2"/>
        </w:numPr>
        <w:spacing w:after="60" w:line="280"/>
      </w:pPr>
      <w:r>
        <w:rPr>
          <w:b/>
          <w:bCs/>
        </w:rPr>
        <w:t xml:space="preserve">Ghana </w:t>
      </w:r>
      <w:r>
        <w:t xml:space="preserve">— West Africa anchor, English-language, friendly regulatory climate.</w:t>
      </w:r>
    </w:p>
    <w:p>
      <w:pPr>
        <w:pStyle w:val="ListParagraph"/>
        <w:numPr>
          <w:ilvl w:val="0"/>
          <w:numId w:val="2"/>
        </w:numPr>
        <w:spacing w:after="60" w:line="280"/>
      </w:pPr>
      <w:r>
        <w:rPr>
          <w:b/>
          <w:bCs/>
        </w:rPr>
        <w:t xml:space="preserve">South Africa </w:t>
      </w:r>
      <w:r>
        <w:t xml:space="preserve">— institutional capital gateway; agricultural-corporate buyer market.</w:t>
      </w:r>
    </w:p>
    <w:p>
      <w:pPr>
        <w:pStyle w:val="ListParagraph"/>
        <w:numPr>
          <w:ilvl w:val="0"/>
          <w:numId w:val="2"/>
        </w:numPr>
        <w:spacing w:after="60" w:line="280"/>
      </w:pPr>
      <w:r>
        <w:rPr>
          <w:b/>
          <w:bCs/>
        </w:rPr>
        <w:t xml:space="preserve">Egypt </w:t>
      </w:r>
      <w:r>
        <w:t xml:space="preserve">— large agricultural economy; higher legal complexity but strategically significant.</w:t>
      </w:r>
    </w:p>
    <w:p>
      <w:pPr>
        <w:pStyle w:val="ListParagraph"/>
        <w:numPr>
          <w:ilvl w:val="0"/>
          <w:numId w:val="2"/>
        </w:numPr>
        <w:spacing w:after="60" w:line="280"/>
      </w:pPr>
      <w:r>
        <w:rPr>
          <w:b/>
          <w:bCs/>
        </w:rPr>
        <w:t xml:space="preserve">Rwanda, Uganda, Tanzania </w:t>
      </w:r>
      <w:r>
        <w:t xml:space="preserve">— East African Community alignment; file individually or via ARIPO (Banjul Protocol).</w:t>
      </w:r>
    </w:p>
    <w:p>
      <w:pPr>
        <w:spacing w:after="120" w:line="300"/>
      </w:pPr>
      <w:r>
        <w:t xml:space="preserve">Two routes are available for multi-country filing:</w:t>
      </w:r>
    </w:p>
    <w:p>
      <w:pPr>
        <w:pStyle w:val="Heading3"/>
        <w:spacing w:after="120" w:before="220"/>
      </w:pPr>
      <w:r>
        <w:rPr>
          <w:rFonts w:ascii="Arial" w:cs="Arial" w:eastAsia="Arial" w:hAnsi="Arial"/>
          <w:b/>
          <w:bCs/>
          <w:sz w:val="22"/>
          <w:szCs w:val="22"/>
        </w:rPr>
        <w:t xml:space="preserve">3.2.1 Madrid Protocol (WIPO)</w:t>
      </w:r>
    </w:p>
    <w:p>
      <w:pPr>
        <w:spacing w:after="120" w:line="300"/>
      </w:pPr>
      <w:r>
        <w:t xml:space="preserve">Nigeria acceded to the Madrid Protocol in December 2005. In practice, Nigerian Registry acceptance of Madrid filings has historically been uneven, and the question of whether a Madrid mark designating Nigeria is automatically enforceable in Nigeria has been tested in court. As of this document, the legal position is improving but not settled. Counsel must advise before relying on Madrid for Nigerian protection — for Nigeria we file direct. For outbound protection </w:t>
      </w:r>
    </w:p>
    <w:p>
      <w:pPr>
        <w:spacing w:after="120" w:line="300"/>
      </w:pPr>
      <w:r>
        <w:t xml:space="preserve">from</w:t>
      </w:r>
      <w:r>
        <w:t xml:space="preserve"> Nigeria to Madrid member states (Kenya, Ghana, South Africa, Egypt, most of Europe, United States, China, Japan, etc.), Madrid is usually the most cost-effective route once we have a Nigerian base application.</w:t>
      </w:r>
    </w:p>
    <w:p>
      <w:pPr>
        <w:pStyle w:val="Heading3"/>
        <w:spacing w:after="120" w:before="220"/>
      </w:pPr>
      <w:r>
        <w:rPr>
          <w:rFonts w:ascii="Arial" w:cs="Arial" w:eastAsia="Arial" w:hAnsi="Arial"/>
          <w:b/>
          <w:bCs/>
          <w:sz w:val="22"/>
          <w:szCs w:val="22"/>
        </w:rPr>
        <w:t xml:space="preserve">3.2.2 ARIPO (Banjul Protocol)</w:t>
      </w:r>
    </w:p>
    <w:p>
      <w:pPr>
        <w:spacing w:after="120" w:line="300"/>
      </w:pPr>
      <w:r>
        <w:t xml:space="preserve">ARIPO member states include Botswana, Eswatini, The Gambia, Lesotho, Liberia, Malawi, Mozambique, Namibia, São Tomé and Príncipe, Sierra Leone, Tanzania (Tanganyika), Uganda, Zambia, and Zimbabwe. Nigeria is not an ARIPO member. For filings targeting ARIPO states only, a Banjul Protocol filing covers all member states at once. For AgroYield, ARIPO becomes relevant only if we enter East / Southern Africa in a coordinated way. Until then, single-country filings in Kenya (the primary East African market) are more cost-effective.</w:t>
      </w:r>
    </w:p>
    <w:p>
      <w:pPr>
        <w:pStyle w:val="Heading3"/>
        <w:spacing w:after="120" w:before="220"/>
      </w:pPr>
      <w:r>
        <w:rPr>
          <w:rFonts w:ascii="Arial" w:cs="Arial" w:eastAsia="Arial" w:hAnsi="Arial"/>
          <w:b/>
          <w:bCs/>
          <w:sz w:val="22"/>
          <w:szCs w:val="22"/>
        </w:rPr>
        <w:t xml:space="preserve">3.2.3 OAPI</w:t>
      </w:r>
    </w:p>
    <w:p>
      <w:pPr>
        <w:spacing w:after="120" w:line="300"/>
      </w:pPr>
      <w:r>
        <w:t xml:space="preserve">OAPI covers francophone Africa (17 states including Côte d'Ivoire, Senegal, Cameroon). A single OAPI filing is the only way to secure protection in those states. Relevant only if AgroYield pursues francophone expansion — unlikely in the Series A window.</w:t>
      </w:r>
    </w:p>
    <w:p>
      <w:pPr>
        <w:pStyle w:val="Heading2"/>
        <w:spacing w:after="160" w:before="280"/>
      </w:pPr>
      <w:r>
        <w:rPr>
          <w:rFonts w:ascii="Arial" w:cs="Arial" w:eastAsia="Arial" w:hAnsi="Arial"/>
          <w:b/>
          <w:bCs/>
          <w:sz w:val="26"/>
          <w:szCs w:val="26"/>
        </w:rPr>
        <w:t xml:space="preserve">3.3 Tier 3 — Acquirer Markets (Series B / Strategic Trigger)</w:t>
      </w:r>
    </w:p>
    <w:p>
      <w:pPr>
        <w:spacing w:after="120" w:line="300"/>
      </w:pPr>
      <w:r>
        <w:t xml:space="preserve">If AgroYield reaches a strategic conversation with a European, US, or Asian buyer, defensive filings in those markets become necessary to block a squatter from positioning to extract rent at the diligence stage. File through Madrid Protocol using the Nigerian base application. Target markets: United States, United Kingdom, European Union (EUIPO), Switzerland (fintech), India (agricultural-tech parallels).</w:t>
      </w:r>
    </w:p>
    <w:p>
      <w:pPr>
        <w:pStyle w:val="Heading2"/>
        <w:spacing w:after="160" w:before="280"/>
      </w:pPr>
      <w:r>
        <w:rPr>
          <w:rFonts w:ascii="Arial" w:cs="Arial" w:eastAsia="Arial" w:hAnsi="Arial"/>
          <w:b/>
          <w:bCs/>
          <w:sz w:val="26"/>
          <w:szCs w:val="26"/>
        </w:rPr>
        <w:t xml:space="preserve">3.4 Defensive vs. Offensive Filings</w:t>
      </w:r>
    </w:p>
    <w:p>
      <w:pPr>
        <w:spacing w:after="120" w:line="300"/>
      </w:pPr>
      <w:r>
        <w:rPr>
          <w:b/>
          <w:bCs/>
        </w:rPr>
        <w:t xml:space="preserve">Offensive filing </w:t>
      </w:r>
      <w:r>
        <w:t xml:space="preserve">is a filing we will actively enforce — we will send cease-and-desist letters, we will oppose conflicting applications, we will sue infringers. Nigerian filings in Classes 9, 35, 42 are offensive. </w:t>
      </w:r>
      <w:r>
        <w:rPr>
          <w:b/>
          <w:bCs/>
        </w:rPr>
        <w:t xml:space="preserve">Defensive filing </w:t>
      </w:r>
      <w:r>
        <w:t xml:space="preserve">is a filing we will not actively enforce but will use to block squatters and preserve acquirer optionality. Madrid filings in Europe / US in the Series B window are defensive. The budget posture is different: offensive filings are worth paying full agent rates for; defensive filings can use discount routes and be filed in a narrower subset of classes.</w:t>
      </w:r>
    </w:p>
    <w:p>
      <w:r>
        <w:br w:type="page"/>
      </w:r>
    </w:p>
    <w:p>
      <w:pPr>
        <w:pStyle w:val="Heading1"/>
        <w:spacing w:after="200" w:before="360"/>
      </w:pPr>
      <w:r>
        <w:rPr>
          <w:rFonts w:ascii="Arial" w:cs="Arial" w:eastAsia="Arial" w:hAnsi="Arial"/>
          <w:b/>
          <w:bCs/>
          <w:sz w:val="32"/>
          <w:szCs w:val="32"/>
        </w:rPr>
        <w:t xml:space="preserve">4. Trade Secret Framework</w:t>
      </w:r>
    </w:p>
    <w:p>
      <w:pPr>
        <w:spacing w:after="120" w:line="300"/>
      </w:pPr>
      <w:r>
        <w:t xml:space="preserve">Trade secrets are the sleeper asset of this IP portfolio. Patents require public disclosure in exchange for a 20-year monopoly; trade secrets provide indefinite protection so long as the secret is kept. For AgroYield's most commercially significant technical asset — the AgroScore credit-scoring methodology — the trade-secret path is almost certainly the right call. A patent would force us to publish the scoring logic in full, arming every competitor with a roadmap. A trade secret, protected properly, keeps the methodology opaque indefinitely.</w:t>
      </w:r>
    </w:p>
    <w:p>
      <w:pPr>
        <w:spacing w:after="120" w:line="300"/>
      </w:pPr>
      <w:r>
        <w:t xml:space="preserve">Nigerian law does not have a standalone trade-secret statute. Trade secrets are protected through a combination of contract (NDAs, employment contracts, engagement letters), common-law confidentiality (breach-of-confidence actions), and specific provisions in the Cybercrimes Act 2015. The framework that follows converts this patchwork into an operational system.</w:t>
      </w:r>
    </w:p>
    <w:p>
      <w:pPr>
        <w:pStyle w:val="Heading2"/>
        <w:spacing w:after="160" w:before="280"/>
      </w:pPr>
      <w:r>
        <w:rPr>
          <w:rFonts w:ascii="Arial" w:cs="Arial" w:eastAsia="Arial" w:hAnsi="Arial"/>
          <w:b/>
          <w:bCs/>
          <w:sz w:val="26"/>
          <w:szCs w:val="26"/>
        </w:rPr>
        <w:t xml:space="preserve">4.1 What Qualifies as a Trade Secret at AgroYield</w:t>
      </w:r>
    </w:p>
    <w:p>
      <w:pPr>
        <w:spacing w:after="120" w:line="300"/>
      </w:pPr>
      <w:r>
        <w:t xml:space="preserve">The following assets meet the three classical trade-secret criteria — commercial value, not publicly known, and subject to reasonable efforts to maintain secrecy: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Asset</w:t>
            </w:r>
          </w:p>
        </w:tc>
        <w:tc>
          <w:tcPr>
            <w:tcW w:type="dxa" w:w="34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Why it qualifies</w:t>
            </w:r>
          </w:p>
        </w:tc>
        <w:tc>
          <w:tcPr>
            <w:tcW w:type="dxa" w:w="29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Protection posture</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AgroScore scoring methodology</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Proprietary weighting and signal selection; disclosed would be copied.</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CRITICAL — written policy, access list, no outside sharing.</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Expense OCR prompt + schema</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Result of iteration and real-device validation.</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HIGH — no public commits to prompt text; keep in env or private module.</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Business Health Score algorithm</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Five-factor weighting.</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HIGH — policy applies, access limited.</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Admin settings allowlists, blast-radius modelling, Bucket A/B/C/D framing</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Operational know-how.</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MEDIUM — protect by contract; internal docs flagged confidential.</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User-segment analytics thresholds</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PostHog-derived, proprietary to our reading of the data.</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MEDIUM — NDA before disclosure to vendors or investors.</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Pricing experiments and elasticity data</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Internal only.</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MEDIUM — marked confidential in all investor decks.</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Customer lists, acquisition CAC, funnel data</w:t>
            </w:r>
          </w:p>
        </w:tc>
        <w:tc>
          <w:tcPr>
            <w:tcW w:type="dxa" w:w="3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Commercially significant.</w:t>
            </w:r>
          </w:p>
        </w:tc>
        <w:tc>
          <w:tcPr>
            <w:tcW w:type="dxa" w:w="2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MEDIUM — NDA before external disclosure.</w:t>
            </w:r>
          </w:p>
        </w:tc>
      </w:tr>
    </w:tbl>
    <w:p>
      <w:pPr>
        <w:pStyle w:val="Heading2"/>
        <w:spacing w:after="160" w:before="280"/>
      </w:pPr>
      <w:r>
        <w:rPr>
          <w:rFonts w:ascii="Arial" w:cs="Arial" w:eastAsia="Arial" w:hAnsi="Arial"/>
          <w:b/>
          <w:bCs/>
          <w:sz w:val="26"/>
          <w:szCs w:val="26"/>
        </w:rPr>
        <w:t xml:space="preserve">4.2 Operational Controls</w:t>
      </w:r>
    </w:p>
    <w:p>
      <w:pPr>
        <w:spacing w:after="120" w:line="300"/>
      </w:pPr>
      <w:r>
        <w:t xml:space="preserve">A trade secret that is not operationally protected is not a trade secret — a court will not enforce confidentiality over information that was loose inside the company. The following controls must be in place before Beta launch and maintained indefinitely:</w:t>
      </w:r>
    </w:p>
    <w:p>
      <w:pPr>
        <w:pStyle w:val="ListParagraph"/>
        <w:numPr>
          <w:ilvl w:val="0"/>
          <w:numId w:val="2"/>
        </w:numPr>
        <w:spacing w:after="60" w:line="280"/>
      </w:pPr>
      <w:r>
        <w:rPr>
          <w:b/>
          <w:bCs/>
        </w:rPr>
        <w:t xml:space="preserve">Written Trade Secret Policy </w:t>
      </w:r>
      <w:r>
        <w:t xml:space="preserve">— a one-page internal policy identifying which assets are trade secrets, who may access them, and under what conditions they may be disclosed externally. Owned by the CEO.</w:t>
      </w:r>
    </w:p>
    <w:p>
      <w:pPr>
        <w:pStyle w:val="ListParagraph"/>
        <w:numPr>
          <w:ilvl w:val="0"/>
          <w:numId w:val="2"/>
        </w:numPr>
        <w:spacing w:after="60" w:line="280"/>
      </w:pPr>
      <w:r>
        <w:rPr>
          <w:b/>
          <w:bCs/>
        </w:rPr>
        <w:t xml:space="preserve">Non-Disclosure Agreements </w:t>
      </w:r>
      <w:r>
        <w:t xml:space="preserve">— mutual NDAs with every vendor, contractor, designer, developer, advisor, intern, investor-in-diligence, and potential partner. A template should be kept in the legal folder and used by default. No commercial conversation of substance without an NDA in place.</w:t>
      </w:r>
    </w:p>
    <w:p>
      <w:pPr>
        <w:pStyle w:val="ListParagraph"/>
        <w:numPr>
          <w:ilvl w:val="0"/>
          <w:numId w:val="2"/>
        </w:numPr>
        <w:spacing w:after="60" w:line="280"/>
      </w:pPr>
      <w:r>
        <w:rPr>
          <w:b/>
          <w:bCs/>
        </w:rPr>
        <w:t xml:space="preserve">Employment contracts </w:t>
      </w:r>
      <w:r>
        <w:t xml:space="preserve">— confidentiality and IP-assignment clauses as a condition of employment. When AgroYield makes its first hire, the employment contract must include these clauses.</w:t>
      </w:r>
    </w:p>
    <w:p>
      <w:pPr>
        <w:pStyle w:val="ListParagraph"/>
        <w:numPr>
          <w:ilvl w:val="0"/>
          <w:numId w:val="2"/>
        </w:numPr>
        <w:spacing w:after="60" w:line="280"/>
      </w:pPr>
      <w:r>
        <w:rPr>
          <w:b/>
          <w:bCs/>
        </w:rPr>
        <w:t xml:space="preserve">Engagement letters </w:t>
      </w:r>
      <w:r>
        <w:t xml:space="preserve">— all contractors (developers, designers, marketing agencies, trademark agents themselves) must sign engagement letters that include IP assignment and confidentiality.</w:t>
      </w:r>
    </w:p>
    <w:p>
      <w:pPr>
        <w:pStyle w:val="ListParagraph"/>
        <w:numPr>
          <w:ilvl w:val="0"/>
          <w:numId w:val="2"/>
        </w:numPr>
        <w:spacing w:after="60" w:line="280"/>
      </w:pPr>
      <w:r>
        <w:rPr>
          <w:b/>
          <w:bCs/>
        </w:rPr>
        <w:t xml:space="preserve">Access control </w:t>
      </w:r>
      <w:r>
        <w:t xml:space="preserve">— production database, environment variables, API keys, scoring logic source files — least-privilege access. Log all access. A quarterly access review.</w:t>
      </w:r>
    </w:p>
    <w:p>
      <w:pPr>
        <w:pStyle w:val="ListParagraph"/>
        <w:numPr>
          <w:ilvl w:val="0"/>
          <w:numId w:val="2"/>
        </w:numPr>
        <w:spacing w:after="60" w:line="280"/>
      </w:pPr>
      <w:r>
        <w:rPr>
          <w:b/>
          <w:bCs/>
        </w:rPr>
        <w:t xml:space="preserve">Document classification </w:t>
      </w:r>
      <w:r>
        <w:t xml:space="preserve">— every internal document with commercial sensitivity must be marked "Confidential" or "Confidential — Trade Secret" in the header. This strategy document is marked "Confidential / Strategic" for exactly this reason.</w:t>
      </w:r>
    </w:p>
    <w:p>
      <w:pPr>
        <w:pStyle w:val="ListParagraph"/>
        <w:numPr>
          <w:ilvl w:val="0"/>
          <w:numId w:val="2"/>
        </w:numPr>
        <w:spacing w:after="60" w:line="280"/>
      </w:pPr>
      <w:r>
        <w:rPr>
          <w:b/>
          <w:bCs/>
        </w:rPr>
        <w:t xml:space="preserve">Exit hygiene </w:t>
      </w:r>
      <w:r>
        <w:t xml:space="preserve">— when a contributor leaves, a formal off-boarding process that revokes access, confirms return of materials, and restates the surviving confidentiality obligation.</w:t>
      </w:r>
    </w:p>
    <w:p>
      <w:pPr>
        <w:pStyle w:val="Heading2"/>
        <w:spacing w:after="160" w:before="280"/>
      </w:pPr>
      <w:r>
        <w:rPr>
          <w:rFonts w:ascii="Arial" w:cs="Arial" w:eastAsia="Arial" w:hAnsi="Arial"/>
          <w:b/>
          <w:bCs/>
          <w:sz w:val="26"/>
          <w:szCs w:val="26"/>
        </w:rPr>
        <w:t xml:space="preserve">4.3 Patent vs. Trade Secret — AgroScore Decision Analysis</w:t>
      </w:r>
    </w:p>
    <w:p>
      <w:pPr>
        <w:spacing w:after="120" w:line="300"/>
      </w:pPr>
      <w:r>
        <w:t xml:space="preserve">AgroScore is the highest-value technical asset. The patent-versus-trade-secret decision is consequential and should be taken deliberately, with external counsel, within the next sixty days. A summary of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Dimension</w:t>
            </w:r>
          </w:p>
        </w:tc>
        <w:tc>
          <w:tcPr>
            <w:tcW w:type="dxa" w:w="368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Patent</w:t>
            </w:r>
          </w:p>
        </w:tc>
        <w:tc>
          <w:tcPr>
            <w:tcW w:type="dxa" w:w="368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Trade Secret</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Duration</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 years from filing.</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Indefinite — for as long as the secret is kept.</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Disclosure</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Full methodology published at grant.</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Never disclosed.</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Enforcement</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Strong — statutory damages, injunctive relief.</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Weak — only by contract or breach-of-confidence.</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Cost</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₦2M+ initial; prosecution over 3-5 years.</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Operational only (NDAs, policies, access control).</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Best suited for</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Novel methods easily reverse-engineered once deployed.</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Proprietary logic embedded server-side, not observable externally.</w:t>
            </w:r>
          </w:p>
        </w:tc>
      </w:tr>
      <w:tr>
        <w:tc>
          <w:tcPr>
            <w:tcW w:type="dxa" w:w="2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 fit</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Weak — scoring logic is server-side; reverse-engineering is hard.</w:t>
            </w:r>
          </w:p>
        </w:tc>
        <w:tc>
          <w:tcPr>
            <w:tcW w:type="dxa" w:w="36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Strong — we control the execution surface.</w:t>
            </w:r>
          </w:p>
        </w:tc>
      </w:tr>
    </w:tbl>
    <w:p>
      <w:pPr>
        <w:spacing w:after="120" w:line="300"/>
      </w:pPr>
      <w:r>
        <w:rPr>
          <w:b/>
          <w:bCs/>
        </w:rPr>
        <w:t xml:space="preserve">Recommendation: </w:t>
      </w:r>
      <w:r>
        <w:t xml:space="preserve">protect AgroScore as a trade secret. A patent is a bad trade in our specific circumstances — the scoring logic is never exposed to users, we control the server, and the patent disclosure would hand competitors our roadmap. Counsel should confirm this in writing before we close the door on patenting, because it is not a decision that can be reversed — once AgroScore is in commercial operation for twelve months, the novelty requirement for patenting is compromised.</w:t>
      </w:r>
    </w:p>
    <w:p>
      <w:r>
        <w:br w:type="page"/>
      </w:r>
    </w:p>
    <w:p>
      <w:pPr>
        <w:pStyle w:val="Heading1"/>
        <w:spacing w:after="200" w:before="360"/>
      </w:pPr>
      <w:r>
        <w:rPr>
          <w:rFonts w:ascii="Arial" w:cs="Arial" w:eastAsia="Arial" w:hAnsi="Arial"/>
          <w:b/>
          <w:bCs/>
          <w:sz w:val="32"/>
          <w:szCs w:val="32"/>
        </w:rPr>
        <w:t xml:space="preserve">5. Copyright Notices and Marking</w:t>
      </w:r>
    </w:p>
    <w:p>
      <w:pPr>
        <w:spacing w:after="120" w:line="300"/>
      </w:pPr>
      <w:r>
        <w:t xml:space="preserve">Copyright attaches automatically in Nigeria under the Copyright Act 2022 the moment a work is fixed in a material form — no registration is required. Nigeria is also a signatory to the Berne Convention, which means AgroYield's copyrighted works are protected automatically in 180+ countries. Registration is therefore not the issue. The issue is marking — the notices that strengthen the enforceability of copyright claims, deter casual infringement, and support takedown requests under third-party platform policies (YouTube, Instagram, Google Play).</w:t>
      </w:r>
    </w:p>
    <w:p>
      <w:pPr>
        <w:pStyle w:val="Heading2"/>
        <w:spacing w:after="160" w:before="280"/>
      </w:pPr>
      <w:r>
        <w:rPr>
          <w:rFonts w:ascii="Arial" w:cs="Arial" w:eastAsia="Arial" w:hAnsi="Arial"/>
          <w:b/>
          <w:bCs/>
          <w:sz w:val="26"/>
          <w:szCs w:val="26"/>
        </w:rPr>
        <w:t xml:space="preserve">5.1 Required Notices</w:t>
      </w:r>
    </w:p>
    <w:p>
      <w:pPr>
        <w:pStyle w:val="Heading3"/>
        <w:spacing w:after="120" w:before="220"/>
      </w:pPr>
      <w:r>
        <w:rPr>
          <w:rFonts w:ascii="Arial" w:cs="Arial" w:eastAsia="Arial" w:hAnsi="Arial"/>
          <w:b/>
          <w:bCs/>
          <w:sz w:val="22"/>
          <w:szCs w:val="22"/>
        </w:rPr>
        <w:t xml:space="preserve">5.1.1 Website and Application</w:t>
      </w:r>
    </w:p>
    <w:p>
      <w:pPr>
        <w:spacing w:after="120" w:line="300"/>
      </w:pPr>
      <w:r>
        <w:t xml:space="preserve">Every page must carry a copyright notice in the footer:</w:t>
      </w:r>
    </w:p>
    <w:p>
      <w:pPr>
        <w:shd w:fill="F3F3F3" w:val="clear"/>
        <w:spacing w:after="120" w:before="120"/>
      </w:pPr>
      <w:r>
        <w:rPr>
          <w:i/>
          <w:iCs/>
        </w:rPr>
        <w:t xml:space="preserve">© 2025–2026 Agcoms Limited. All rights reserved. AgroYield, AgroYield Network, AgroScore, and the AgroYield logo are trademarks of Agcoms Limited.</w:t>
      </w:r>
    </w:p>
    <w:p>
      <w:pPr>
        <w:spacing w:after="120" w:line="300"/>
      </w:pPr>
      <w:r>
        <w:t xml:space="preserve">Once trademark registrations are granted, replace </w:t>
      </w:r>
      <w:r>
        <w:rPr>
          <w:i/>
          <w:iCs/>
        </w:rPr>
        <w:t xml:space="preserve">"are trademarks of"</w:t>
      </w:r>
      <w:r>
        <w:t xml:space="preserve"> with </w:t>
      </w:r>
      <w:r>
        <w:rPr>
          <w:i/>
          <w:iCs/>
        </w:rPr>
        <w:t xml:space="preserve">"are registered trademarks of"</w:t>
      </w:r>
      <w:r>
        <w:t xml:space="preserve"> and use ® in place of ™ for the registered marks. Until registration, the ™ symbol is permitted and advisable to assert common-law rights. The ® symbol must NOT be used on an unregistered mark — doing so is a criminal offence in Nigeria under section 49 of the Trade Marks Act.</w:t>
      </w:r>
    </w:p>
    <w:p>
      <w:pPr>
        <w:pStyle w:val="Heading3"/>
        <w:spacing w:after="120" w:before="220"/>
      </w:pPr>
      <w:r>
        <w:rPr>
          <w:rFonts w:ascii="Arial" w:cs="Arial" w:eastAsia="Arial" w:hAnsi="Arial"/>
          <w:b/>
          <w:bCs/>
          <w:sz w:val="22"/>
          <w:szCs w:val="22"/>
        </w:rPr>
        <w:t xml:space="preserve">5.1.2 Terms of Service</w:t>
      </w:r>
    </w:p>
    <w:p>
      <w:pPr>
        <w:spacing w:after="120" w:line="300"/>
      </w:pPr>
      <w:r>
        <w:t xml:space="preserve">The Terms of Service must contain:</w:t>
      </w:r>
    </w:p>
    <w:p>
      <w:pPr>
        <w:pStyle w:val="ListParagraph"/>
        <w:numPr>
          <w:ilvl w:val="0"/>
          <w:numId w:val="2"/>
        </w:numPr>
        <w:spacing w:after="60" w:line="280"/>
      </w:pPr>
      <w:r>
        <w:t xml:space="preserve">An IP ownership clause confirming that all platform IP belongs to Agcoms Limited.</w:t>
      </w:r>
    </w:p>
    <w:p>
      <w:pPr>
        <w:pStyle w:val="ListParagraph"/>
        <w:numPr>
          <w:ilvl w:val="0"/>
          <w:numId w:val="2"/>
        </w:numPr>
        <w:spacing w:after="60" w:line="280"/>
      </w:pPr>
      <w:r>
        <w:t xml:space="preserve">A user licence-in clause granting AgroYield the right to host, display, and process user-generated content.</w:t>
      </w:r>
    </w:p>
    <w:p>
      <w:pPr>
        <w:pStyle w:val="ListParagraph"/>
        <w:numPr>
          <w:ilvl w:val="0"/>
          <w:numId w:val="2"/>
        </w:numPr>
        <w:spacing w:after="60" w:line="280"/>
      </w:pPr>
      <w:r>
        <w:t xml:space="preserve">A DMCA-style takedown notice process for handling third-party infringement complaints (necessary for safe-harbour arguments).</w:t>
      </w:r>
    </w:p>
    <w:p>
      <w:pPr>
        <w:pStyle w:val="ListParagraph"/>
        <w:numPr>
          <w:ilvl w:val="0"/>
          <w:numId w:val="2"/>
        </w:numPr>
        <w:spacing w:after="60" w:line="280"/>
      </w:pPr>
      <w:r>
        <w:t xml:space="preserve">An anti-scraping clause prohibiting unauthorised copying of the directory, marketplace, or research board.</w:t>
      </w:r>
    </w:p>
    <w:p>
      <w:pPr>
        <w:pStyle w:val="ListParagraph"/>
        <w:numPr>
          <w:ilvl w:val="0"/>
          <w:numId w:val="2"/>
        </w:numPr>
        <w:spacing w:after="60" w:line="280"/>
      </w:pPr>
      <w:r>
        <w:t xml:space="preserve">A venue and governing-law clause specifying Nigeria.</w:t>
      </w:r>
    </w:p>
    <w:p>
      <w:pPr>
        <w:pStyle w:val="Heading3"/>
        <w:spacing w:after="120" w:before="220"/>
      </w:pPr>
      <w:r>
        <w:rPr>
          <w:rFonts w:ascii="Arial" w:cs="Arial" w:eastAsia="Arial" w:hAnsi="Arial"/>
          <w:b/>
          <w:bCs/>
          <w:sz w:val="22"/>
          <w:szCs w:val="22"/>
        </w:rPr>
        <w:t xml:space="preserve">5.1.3 Emails and Documents</w:t>
      </w:r>
    </w:p>
    <w:p>
      <w:pPr>
        <w:spacing w:after="120" w:line="300"/>
      </w:pPr>
      <w:r>
        <w:t xml:space="preserve">Branded transactional emails (welcome, invoice, invite, digest) should carry a footer identical to the website footer. Outbound strategic documents (this one included) should carry a classification and copyright notice on the cover. Commercial documents sent to prospects, partners, and investors should be marked "Confidential" and carry the copyright notice.</w:t>
      </w:r>
    </w:p>
    <w:p>
      <w:pPr>
        <w:pStyle w:val="Heading3"/>
        <w:spacing w:after="120" w:before="220"/>
      </w:pPr>
      <w:r>
        <w:rPr>
          <w:rFonts w:ascii="Arial" w:cs="Arial" w:eastAsia="Arial" w:hAnsi="Arial"/>
          <w:b/>
          <w:bCs/>
          <w:sz w:val="22"/>
          <w:szCs w:val="22"/>
        </w:rPr>
        <w:t xml:space="preserve">5.1.4 Source Code</w:t>
      </w:r>
    </w:p>
    <w:p>
      <w:pPr>
        <w:spacing w:after="120" w:line="300"/>
      </w:pPr>
      <w:r>
        <w:t xml:space="preserve">Every source file in the repository should carry a short header comment:</w:t>
      </w:r>
    </w:p>
    <w:p>
      <w:pPr>
        <w:shd w:fill="F3F3F3" w:val="clear"/>
        <w:spacing w:after="120" w:before="120"/>
      </w:pPr>
      <w:r>
        <w:rPr>
          <w:rFonts w:ascii="Courier New" w:cs="Courier New" w:eastAsia="Courier New" w:hAnsi="Courier New"/>
          <w:sz w:val="20"/>
          <w:szCs w:val="20"/>
        </w:rPr>
        <w:t xml:space="preserve">// Copyright © 2025–2026 Agcoms Limited. All rights reserved.</w:t>
      </w:r>
    </w:p>
    <w:p>
      <w:pPr>
        <w:spacing w:after="120" w:line="300"/>
      </w:pPr>
      <w:r>
        <w:t xml:space="preserve">Add this at the top of every TypeScript, SQL migration, and configuration file. A README.md at repository root must carry the full notice. This is mechanical — a simple header insertion script handles it in one pass.</w:t>
      </w:r>
    </w:p>
    <w:p>
      <w:pPr>
        <w:pStyle w:val="Heading2"/>
        <w:spacing w:after="160" w:before="280"/>
      </w:pPr>
      <w:r>
        <w:rPr>
          <w:rFonts w:ascii="Arial" w:cs="Arial" w:eastAsia="Arial" w:hAnsi="Arial"/>
          <w:b/>
          <w:bCs/>
          <w:sz w:val="26"/>
          <w:szCs w:val="26"/>
        </w:rPr>
        <w:t xml:space="preserve">5.2 Registration (Optional but Recommended for Key Assets)</w:t>
      </w:r>
    </w:p>
    <w:p>
      <w:pPr>
        <w:spacing w:after="120" w:line="300"/>
      </w:pPr>
      <w:r>
        <w:t xml:space="preserve">Although not required, registration of copyright with the Nigerian Copyright Commission for selected assets provides evidentiary advantages in enforcement. Worth registering: the logo artwork (also covered by the device-mark filing), the core source-code compilation (one-time registration of the codebase snapshot), and the marketing / landing-page copy. Cost per work is modest (₦10,000–₦20,000). This is not urgent but should be completed inside 120 days.</w:t>
      </w:r>
    </w:p>
    <w:p>
      <w:pPr>
        <w:pStyle w:val="Heading2"/>
        <w:spacing w:after="160" w:before="280"/>
      </w:pPr>
      <w:r>
        <w:rPr>
          <w:rFonts w:ascii="Arial" w:cs="Arial" w:eastAsia="Arial" w:hAnsi="Arial"/>
          <w:b/>
          <w:bCs/>
          <w:sz w:val="26"/>
          <w:szCs w:val="26"/>
        </w:rPr>
        <w:t xml:space="preserve">5.3 Open-Source Obligations</w:t>
      </w:r>
    </w:p>
    <w:p>
      <w:pPr>
        <w:spacing w:after="120" w:line="300"/>
      </w:pPr>
      <w:r>
        <w:t xml:space="preserve">AgroYield uses permissively-licensed open-source libraries (Next.js, React, Supabase client, Recharts, ExcelJS, html2canvas, jsPDF). Most carry MIT or Apache-2.0 licences which require attribution in a NOTICE file but impose no copyleft. A one-page </w:t>
      </w:r>
    </w:p>
    <w:p>
      <w:pPr>
        <w:spacing w:after="120" w:line="300"/>
      </w:pPr>
      <w:r>
        <w:rPr>
          <w:i/>
          <w:iCs/>
        </w:rPr>
        <w:t xml:space="preserve">THIRD-PARTY NOTICES.md </w:t>
      </w:r>
      <w:r>
        <w:t xml:space="preserve">at repository root should enumerate every dependency, its licence, and its copyright holder. This is required for compliance and is table stakes at acquirer diligence.</w:t>
      </w:r>
    </w:p>
    <w:p>
      <w:r>
        <w:br w:type="page"/>
      </w:r>
    </w:p>
    <w:p>
      <w:pPr>
        <w:pStyle w:val="Heading1"/>
        <w:spacing w:after="200" w:before="360"/>
      </w:pPr>
      <w:r>
        <w:rPr>
          <w:rFonts w:ascii="Arial" w:cs="Arial" w:eastAsia="Arial" w:hAnsi="Arial"/>
          <w:b/>
          <w:bCs/>
          <w:sz w:val="32"/>
          <w:szCs w:val="32"/>
        </w:rPr>
        <w:t xml:space="preserve">6. Domain Defensive Registration</w:t>
      </w:r>
    </w:p>
    <w:p>
      <w:pPr>
        <w:spacing w:after="120" w:line="300"/>
      </w:pPr>
      <w:r>
        <w:t xml:space="preserve">Domain squatting is cheap offence and expensive defence. A squatter can acquire "agroyield.ng" for ₦7,500 and extract ₦5,000,000 from us eighteen months later when we want it. The defensive registration sweep in this section costs roughly ₦150,000 (USD $100) and closes every reasonable attack vector a competitor or squatter would use.</w:t>
      </w:r>
    </w:p>
    <w:p>
      <w:pPr>
        <w:pStyle w:val="Heading2"/>
        <w:spacing w:after="160" w:before="280"/>
      </w:pPr>
      <w:r>
        <w:rPr>
          <w:rFonts w:ascii="Arial" w:cs="Arial" w:eastAsia="Arial" w:hAnsi="Arial"/>
          <w:b/>
          <w:bCs/>
          <w:sz w:val="26"/>
          <w:szCs w:val="26"/>
        </w:rPr>
        <w:t xml:space="preserve">6.1 Current Position</w:t>
      </w:r>
    </w:p>
    <w:p>
      <w:pPr>
        <w:spacing w:after="120" w:line="300"/>
      </w:pPr>
      <w:r>
        <w:t xml:space="preserve">AgroYield operates on agroyield.africa as the primary domain. Every other permutation of the brand is currently undefended. This must be corrected before Beta launch.</w:t>
      </w:r>
    </w:p>
    <w:p>
      <w:pPr>
        <w:pStyle w:val="Heading2"/>
        <w:spacing w:after="160" w:before="280"/>
      </w:pPr>
      <w:r>
        <w:rPr>
          <w:rFonts w:ascii="Arial" w:cs="Arial" w:eastAsia="Arial" w:hAnsi="Arial"/>
          <w:b/>
          <w:bCs/>
          <w:sz w:val="26"/>
          <w:szCs w:val="26"/>
        </w:rPr>
        <w:t xml:space="preserve">6.2 Tier 1 — Must Register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Domain</w:t>
            </w:r>
          </w:p>
        </w:tc>
        <w:tc>
          <w:tcPr>
            <w:tcW w:type="dxa" w:w="31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Why</w:t>
            </w:r>
          </w:p>
        </w:tc>
        <w:tc>
          <w:tcPr>
            <w:tcW w:type="dxa" w:w="3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Action</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agroyield.ng</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Nigerian ccTLD — highest squatting risk; every Nigerian user will try this first.</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 immediately. Redirect 301 to .africa.</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agroyield.com.ng</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Secondary Nigerian ccTLD — high traffic from habitual users.</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 immediately. Redirect.</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agroyield.com</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Global gTLD — the single most valuable domain we do not own.</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Check availability; register if available. If not, acquire from current holder via broker if price is reasonable.</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agroyield.africa</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CURRENT PRIMARY — confirm renewal for multi-year term.</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Extend to 5-year registration; enable registrar lock.</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agroscore.africa</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AgroScore product, primary regional TLD.</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agroscore.ng</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AgroScore product, Nigerian ccTLD.</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w:t>
            </w:r>
          </w:p>
        </w:tc>
      </w:tr>
      <w:tr>
        <w:tc>
          <w:tcPr>
            <w:tcW w:type="dxa" w:w="30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agroscore.com</w:t>
            </w:r>
          </w:p>
        </w:tc>
        <w:tc>
          <w:tcPr>
            <w:tcW w:type="dxa" w:w="31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AgroScore product, global.</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Register if available.</w:t>
            </w:r>
          </w:p>
        </w:tc>
      </w:tr>
    </w:tbl>
    <w:p>
      <w:pPr>
        <w:pStyle w:val="Heading2"/>
        <w:spacing w:after="160" w:before="280"/>
      </w:pPr>
      <w:r>
        <w:rPr>
          <w:rFonts w:ascii="Arial" w:cs="Arial" w:eastAsia="Arial" w:hAnsi="Arial"/>
          <w:b/>
          <w:bCs/>
          <w:sz w:val="26"/>
          <w:szCs w:val="26"/>
        </w:rPr>
        <w:t xml:space="preserve">6.3 Tier 2 — Register Within 30 Days</w:t>
      </w:r>
    </w:p>
    <w:p>
      <w:pPr>
        <w:pStyle w:val="ListParagraph"/>
        <w:numPr>
          <w:ilvl w:val="0"/>
          <w:numId w:val="2"/>
        </w:numPr>
        <w:spacing w:after="60" w:line="280"/>
      </w:pPr>
      <w:r>
        <w:t xml:space="preserve">agroyield.africa, agroyield.co, agroyield.app, agroyield.io, agroyield.tech (developer-audience TLDs)</w:t>
      </w:r>
    </w:p>
    <w:p>
      <w:pPr>
        <w:pStyle w:val="ListParagraph"/>
        <w:numPr>
          <w:ilvl w:val="0"/>
          <w:numId w:val="2"/>
        </w:numPr>
        <w:spacing w:after="60" w:line="280"/>
      </w:pPr>
      <w:r>
        <w:t xml:space="preserve">agroyields.com, agro-yield.com (common misspellings / hyphenated variants)</w:t>
      </w:r>
    </w:p>
    <w:p>
      <w:pPr>
        <w:pStyle w:val="ListParagraph"/>
        <w:numPr>
          <w:ilvl w:val="0"/>
          <w:numId w:val="2"/>
        </w:numPr>
        <w:spacing w:after="60" w:line="280"/>
      </w:pPr>
      <w:r>
        <w:t xml:space="preserve">myagroyield.com, useagroyield.com (product-style subdomains)</w:t>
      </w:r>
    </w:p>
    <w:p>
      <w:pPr>
        <w:pStyle w:val="ListParagraph"/>
        <w:numPr>
          <w:ilvl w:val="0"/>
          <w:numId w:val="2"/>
        </w:numPr>
        <w:spacing w:after="60" w:line="280"/>
      </w:pPr>
      <w:r>
        <w:t xml:space="preserve">agroyield.africa subdomains reserved in DNS: app, api, admin, blog, help, status, careers</w:t>
      </w:r>
    </w:p>
    <w:p>
      <w:pPr>
        <w:pStyle w:val="Heading2"/>
        <w:spacing w:after="160" w:before="280"/>
      </w:pPr>
      <w:r>
        <w:rPr>
          <w:rFonts w:ascii="Arial" w:cs="Arial" w:eastAsia="Arial" w:hAnsi="Arial"/>
          <w:b/>
          <w:bCs/>
          <w:sz w:val="26"/>
          <w:szCs w:val="26"/>
        </w:rPr>
        <w:t xml:space="preserve">6.4 Tier 3 — Monitor Rather Than Register</w:t>
      </w:r>
    </w:p>
    <w:p>
      <w:pPr>
        <w:spacing w:after="120" w:line="300"/>
      </w:pPr>
      <w:r>
        <w:t xml:space="preserve">Registering every possible variant is waste. For long-tail variants (agroyield.net, agroyield.xyz, agroyield.online, etc.) set up a domain-watch service (MarkMonitor, CSC Digital Brand Services, or a lower-cost alternative like Namecheap Domain Watch). The watch flags any new registration matching the pattern, letting us act if a bad-faith registration appears.</w:t>
      </w:r>
    </w:p>
    <w:p>
      <w:pPr>
        <w:pStyle w:val="Heading2"/>
        <w:spacing w:after="160" w:before="280"/>
      </w:pPr>
      <w:r>
        <w:rPr>
          <w:rFonts w:ascii="Arial" w:cs="Arial" w:eastAsia="Arial" w:hAnsi="Arial"/>
          <w:b/>
          <w:bCs/>
          <w:sz w:val="26"/>
          <w:szCs w:val="26"/>
        </w:rPr>
        <w:t xml:space="preserve">6.5 Registrar Hygiene</w:t>
      </w:r>
    </w:p>
    <w:p>
      <w:pPr>
        <w:spacing w:after="120" w:line="300"/>
      </w:pPr>
      <w:r>
        <w:t xml:space="preserve">How we register matters as much as what we register:</w:t>
      </w:r>
    </w:p>
    <w:p>
      <w:pPr>
        <w:pStyle w:val="ListParagraph"/>
        <w:numPr>
          <w:ilvl w:val="0"/>
          <w:numId w:val="2"/>
        </w:numPr>
        <w:spacing w:after="60" w:line="280"/>
      </w:pPr>
      <w:r>
        <w:rPr>
          <w:b/>
          <w:bCs/>
        </w:rPr>
        <w:t xml:space="preserve">Use a single registrar </w:t>
      </w:r>
      <w:r>
        <w:t xml:space="preserve">for all defensive domains. Splitting across registrars is an operational risk at renewal.</w:t>
      </w:r>
    </w:p>
    <w:p>
      <w:pPr>
        <w:pStyle w:val="ListParagraph"/>
        <w:numPr>
          <w:ilvl w:val="0"/>
          <w:numId w:val="2"/>
        </w:numPr>
        <w:spacing w:after="60" w:line="280"/>
      </w:pPr>
      <w:r>
        <w:rPr>
          <w:b/>
          <w:bCs/>
        </w:rPr>
        <w:t xml:space="preserve">Enable registrar lock and two-factor authentication </w:t>
      </w:r>
      <w:r>
        <w:t xml:space="preserve">on every domain. The vast majority of domain hijacks are social-engineering attacks at the registrar level.</w:t>
      </w:r>
    </w:p>
    <w:p>
      <w:pPr>
        <w:pStyle w:val="ListParagraph"/>
        <w:numPr>
          <w:ilvl w:val="0"/>
          <w:numId w:val="2"/>
        </w:numPr>
        <w:spacing w:after="60" w:line="280"/>
      </w:pPr>
      <w:r>
        <w:rPr>
          <w:b/>
          <w:bCs/>
        </w:rPr>
        <w:t xml:space="preserve">Register in the name of Agcoms Limited, not an individual </w:t>
      </w:r>
      <w:r>
        <w:t xml:space="preserve">— reinforces the ownership chain.</w:t>
      </w:r>
    </w:p>
    <w:p>
      <w:pPr>
        <w:pStyle w:val="ListParagraph"/>
        <w:numPr>
          <w:ilvl w:val="0"/>
          <w:numId w:val="2"/>
        </w:numPr>
        <w:spacing w:after="60" w:line="280"/>
      </w:pPr>
      <w:r>
        <w:rPr>
          <w:b/>
          <w:bCs/>
        </w:rPr>
        <w:t xml:space="preserve">Use WHOIS privacy </w:t>
      </w:r>
      <w:r>
        <w:t xml:space="preserve">where the registrar and registry allow it; for corporate domains, list the company address, not the founder's personal address.</w:t>
      </w:r>
    </w:p>
    <w:p>
      <w:pPr>
        <w:pStyle w:val="ListParagraph"/>
        <w:numPr>
          <w:ilvl w:val="0"/>
          <w:numId w:val="2"/>
        </w:numPr>
        <w:spacing w:after="60" w:line="280"/>
      </w:pPr>
      <w:r>
        <w:rPr>
          <w:b/>
          <w:bCs/>
        </w:rPr>
        <w:t xml:space="preserve">Multi-year registration </w:t>
      </w:r>
      <w:r>
        <w:t xml:space="preserve">— 3 to 5 years on primary domains reduces the risk of an accidental lapse and signals seriousness to squatters.</w:t>
      </w:r>
    </w:p>
    <w:p>
      <w:pPr>
        <w:pStyle w:val="ListParagraph"/>
        <w:numPr>
          <w:ilvl w:val="0"/>
          <w:numId w:val="2"/>
        </w:numPr>
        <w:spacing w:after="60" w:line="280"/>
      </w:pPr>
      <w:r>
        <w:rPr>
          <w:b/>
          <w:bCs/>
        </w:rPr>
        <w:t xml:space="preserve">Renewal calendar </w:t>
      </w:r>
      <w:r>
        <w:t xml:space="preserve">— maintain a calendar invite 60 and 14 days before every expiry. The single greatest cause of domain loss at early-stage companies is a missed renewal.</w:t>
      </w:r>
    </w:p>
    <w:p>
      <w:pPr>
        <w:pStyle w:val="Heading2"/>
        <w:spacing w:after="160" w:before="280"/>
      </w:pPr>
      <w:r>
        <w:rPr>
          <w:rFonts w:ascii="Arial" w:cs="Arial" w:eastAsia="Arial" w:hAnsi="Arial"/>
          <w:b/>
          <w:bCs/>
          <w:sz w:val="26"/>
          <w:szCs w:val="26"/>
        </w:rPr>
        <w:t xml:space="preserve">6.6 Social Media Handles</w:t>
      </w:r>
    </w:p>
    <w:p>
      <w:pPr>
        <w:spacing w:after="120" w:line="300"/>
      </w:pPr>
      <w:r>
        <w:t xml:space="preserve">Adjacent to the domain strategy, the same defensive logic applies to social handles. Current position confirmed: @agroyield on Twitter/X. Verify or register on: Instagram, TikTok, LinkedIn, YouTube, Facebook, Threads, GitHub (for @agroyield organisation), NPM (for @agroyield scope), PyPI. Even if we do not use them, owning them prevents a competitor or squatter from impersonating the brand.</w:t>
      </w:r>
    </w:p>
    <w:p>
      <w:r>
        <w:br w:type="page"/>
      </w:r>
    </w:p>
    <w:p>
      <w:pPr>
        <w:pStyle w:val="Heading1"/>
        <w:spacing w:after="200" w:before="360"/>
      </w:pPr>
      <w:r>
        <w:rPr>
          <w:rFonts w:ascii="Arial" w:cs="Arial" w:eastAsia="Arial" w:hAnsi="Arial"/>
          <w:b/>
          <w:bCs/>
          <w:sz w:val="32"/>
          <w:szCs w:val="32"/>
        </w:rPr>
        <w:t xml:space="preserve">7. Risk Assessment</w:t>
      </w:r>
    </w:p>
    <w:p>
      <w:pPr>
        <w:spacing w:after="120" w:line="300"/>
      </w:pPr>
      <w:r>
        <w:t xml:space="preserve">This section classifies every IP risk facing AgroYield by severity (impact if the risk materialises) and likelihood (probability of materialising inside twelve months without intervention), and pairs each risk with a mitigation. Scoring is five-point: 1 = low, 5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400"/>
        <w:gridCol w:w="3560"/>
      </w:tblGrid>
      <w:tr>
        <w:trPr>
          <w:tblHeader/>
        </w:trPr>
        <w:tc>
          <w:tcPr>
            <w:tcW w:type="dxa" w:w="2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Risk</w:t>
            </w:r>
          </w:p>
        </w:tc>
        <w:tc>
          <w:tcPr>
            <w:tcW w:type="dxa" w:w="11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Severity (1-5)</w:t>
            </w:r>
          </w:p>
        </w:tc>
        <w:tc>
          <w:tcPr>
            <w:tcW w:type="dxa" w:w="11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Likelihood (1-5)</w:t>
            </w:r>
          </w:p>
        </w:tc>
        <w:tc>
          <w:tcPr>
            <w:tcW w:type="dxa" w:w="14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Score</w:t>
            </w:r>
          </w:p>
        </w:tc>
        <w:tc>
          <w:tcPr>
            <w:tcW w:type="dxa" w:w="35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Mitigation</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Trademark squatter files AGROYIELD in Nigeria before we do</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5</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15 — CRITICAL</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Tier 1 marks this week. First-to-file means delay = loss.</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AgroScore methodology leaked by vendor, ex-contractor, or compromised account</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5</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10 — HIGH</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Trade Secret Policy + NDAs + access control (Section 4).</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Domain squatter registers agroyield.ng and demands ransom</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12 — HIGH</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Defensive domain sweep this week (Section 6).</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Employee or contractor leaves without IP assignment, later claims ownership of code</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5</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10 — HIGH</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Execute IP assignment agreements for all historic contributors; template for all future engagements (Section 1.8).</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Third-party logo on platform triggers takedown or indemnity claim (John Deere, partner marks)</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9 — MED</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Section 1.7 audit; user-generated-content takedown workflow; text-only citation default.</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Unlicensed stock image or font on marketing site triggers claim</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6 — MED</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Asset provenance register; replace any uncertain assets.</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Common-law AgroScore user surfaces and opposes our filing</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8 — MED</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Pre-filing common-law search as part of trademark investigation (Section 2.1).</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Scraper builds a copycat directory from our public data</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12 — HIGH</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Terms of Service anti-scraping clause; rate limiting; watermarking; monitoring.</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Competitor files a confusingly similar mark (AgriYield, AgroYields, AgroYeild) in a class we did not file</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9 — MED</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File in all three Tier 1 classes; watch service on Registry publications.</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Madrid Protocol filings later conflict with our Nigerian registrations</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 — LOW</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Counsel review at the point of Madrid filing; use Nigerian base application.</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Acquirer diligence reveals gaps in ownership chain or licence compliance</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5</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15 — CRITICAL</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Complete Section 1.8 assignments and Section 5.3 THIRD-PARTY NOTICES before any diligence.</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Copyright infringement claim on user-uploaded image or product listing</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9 — MED</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Takedown workflow + safe-harbour clause in Terms.</w:t>
            </w:r>
          </w:p>
        </w:tc>
      </w:tr>
      <w:tr>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Founder becomes unavailable; ownership chain unclear</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w:t>
            </w:r>
          </w:p>
        </w:tc>
        <w:tc>
          <w:tcPr>
            <w:tcW w:type="dxa" w:w="14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 — LOW</w:t>
            </w:r>
          </w:p>
        </w:tc>
        <w:tc>
          <w:tcPr>
            <w:tcW w:type="dxa" w:w="3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Written IP assignments to Agcoms Ltd as the registered corporate owner.</w:t>
            </w:r>
          </w:p>
        </w:tc>
      </w:tr>
    </w:tbl>
    <w:p>
      <w:pPr>
        <w:spacing w:after="120" w:line="300"/>
      </w:pPr>
      <w:r>
        <w:t xml:space="preserve"/>
      </w:r>
    </w:p>
    <w:p>
      <w:pPr>
        <w:spacing w:after="120" w:line="300"/>
      </w:pPr>
      <w:r>
        <w:rPr>
          <w:b/>
          <w:bCs/>
        </w:rPr>
        <w:t xml:space="preserve">Top three risks by score: </w:t>
      </w:r>
      <w:r>
        <w:t xml:space="preserve">Nigerian trademark squatting (15), acquirer-diligence gaps (15), and Nigerian domain squatting (12). All three are addressed by Tier 1 actions in the ninety-day plan. </w:t>
      </w:r>
      <w:r>
        <w:rPr>
          <w:b/>
          <w:bCs/>
        </w:rPr>
        <w:t xml:space="preserve">Time-sensitive flag: </w:t>
      </w:r>
      <w:r>
        <w:t xml:space="preserve">the trademark squatting risk materialises the moment we attract press attention or a bad-faith former vendor notices our launch. Beta launch on April 20 is the press-attention trigger. Filing this week is genuinely urgent.</w:t>
      </w:r>
    </w:p>
    <w:p>
      <w:r>
        <w:br w:type="page"/>
      </w:r>
    </w:p>
    <w:p>
      <w:pPr>
        <w:pStyle w:val="Heading1"/>
        <w:spacing w:after="200" w:before="360"/>
      </w:pPr>
      <w:r>
        <w:rPr>
          <w:rFonts w:ascii="Arial" w:cs="Arial" w:eastAsia="Arial" w:hAnsi="Arial"/>
          <w:b/>
          <w:bCs/>
          <w:sz w:val="32"/>
          <w:szCs w:val="32"/>
        </w:rPr>
        <w:t xml:space="preserve">8. Action Plan — 90-Day Rollout</w:t>
      </w:r>
    </w:p>
    <w:p>
      <w:pPr>
        <w:spacing w:after="120" w:line="300"/>
      </w:pPr>
      <w:r>
        <w:t xml:space="preserve">The plan below is designed to be executed by the CEO, a single Nigerian trademark agent, and the existing development team — no additional hires required. Each milestone has an owner, a cost, and a go / no-go decision point.</w:t>
      </w:r>
    </w:p>
    <w:p>
      <w:pPr>
        <w:pStyle w:val="Heading2"/>
        <w:spacing w:after="160" w:before="280"/>
      </w:pPr>
      <w:r>
        <w:rPr>
          <w:rFonts w:ascii="Arial" w:cs="Arial" w:eastAsia="Arial" w:hAnsi="Arial"/>
          <w:b/>
          <w:bCs/>
          <w:sz w:val="26"/>
          <w:szCs w:val="26"/>
        </w:rPr>
        <w:t xml:space="preserve">8.1 Week 1 (April 19-26) — Emergency Filings</w:t>
      </w:r>
    </w:p>
    <w:p>
      <w:pPr>
        <w:pStyle w:val="ListParagraph"/>
        <w:numPr>
          <w:ilvl w:val="0"/>
          <w:numId w:val="2"/>
        </w:numPr>
        <w:spacing w:after="60" w:line="280"/>
      </w:pPr>
      <w:r>
        <w:rPr>
          <w:b/>
          <w:bCs/>
        </w:rPr>
        <w:t xml:space="preserve">Engage Nigerian trademark agent. </w:t>
      </w:r>
      <w:r>
        <w:t xml:space="preserve">Target: signed engagement letter by Wednesday April 22. Three candidate firms listed in Appendix C.</w:t>
      </w:r>
    </w:p>
    <w:p>
      <w:pPr>
        <w:pStyle w:val="ListParagraph"/>
        <w:numPr>
          <w:ilvl w:val="0"/>
          <w:numId w:val="2"/>
        </w:numPr>
        <w:spacing w:after="60" w:line="280"/>
      </w:pPr>
      <w:r>
        <w:rPr>
          <w:b/>
          <w:bCs/>
        </w:rPr>
        <w:t xml:space="preserve">Commission trademark clearance searches </w:t>
      </w:r>
      <w:r>
        <w:t xml:space="preserve">on AGROYIELD, AGROYIELD NETWORK, AGROSCORE. Target: opinion letter delivered by Monday April 27.</w:t>
      </w:r>
    </w:p>
    <w:p>
      <w:pPr>
        <w:pStyle w:val="ListParagraph"/>
        <w:numPr>
          <w:ilvl w:val="0"/>
          <w:numId w:val="2"/>
        </w:numPr>
        <w:spacing w:after="60" w:line="280"/>
      </w:pPr>
      <w:r>
        <w:rPr>
          <w:b/>
          <w:bCs/>
        </w:rPr>
        <w:t xml:space="preserve">Register Tier 1 domains: </w:t>
      </w:r>
      <w:r>
        <w:t xml:space="preserve">agroyield.ng, agroyield.com.ng, agroyield.com (if available), agroscore.africa, agroscore.ng, agroscore.com. Owner: CEO. Target: complete by Wednesday April 22. Cost: ₦60,000.</w:t>
      </w:r>
    </w:p>
    <w:p>
      <w:pPr>
        <w:pStyle w:val="ListParagraph"/>
        <w:numPr>
          <w:ilvl w:val="0"/>
          <w:numId w:val="2"/>
        </w:numPr>
        <w:spacing w:after="60" w:line="280"/>
      </w:pPr>
      <w:r>
        <w:rPr>
          <w:b/>
          <w:bCs/>
        </w:rPr>
        <w:t xml:space="preserve">Publish copyright notices </w:t>
      </w:r>
      <w:r>
        <w:t xml:space="preserve">site-wide footer, Terms of Service IP clause, source-code header insertion. Owner: development team. Target: deployed to production by Friday April 24.</w:t>
      </w:r>
    </w:p>
    <w:p>
      <w:pPr>
        <w:pStyle w:val="ListParagraph"/>
        <w:numPr>
          <w:ilvl w:val="0"/>
          <w:numId w:val="2"/>
        </w:numPr>
        <w:spacing w:after="60" w:line="280"/>
      </w:pPr>
      <w:r>
        <w:rPr>
          <w:b/>
          <w:bCs/>
        </w:rPr>
        <w:t xml:space="preserve">Classify this document </w:t>
      </w:r>
      <w:r>
        <w:t xml:space="preserve">as "Confidential — Trade Secret" and circulate only to persons with commercial need to know.</w:t>
      </w:r>
    </w:p>
    <w:p>
      <w:pPr>
        <w:pStyle w:val="Heading2"/>
        <w:spacing w:after="160" w:before="280"/>
      </w:pPr>
      <w:r>
        <w:rPr>
          <w:rFonts w:ascii="Arial" w:cs="Arial" w:eastAsia="Arial" w:hAnsi="Arial"/>
          <w:b/>
          <w:bCs/>
          <w:sz w:val="26"/>
          <w:szCs w:val="26"/>
        </w:rPr>
        <w:t xml:space="preserve">8.2 Weeks 2-4 (April 27 – May 17) — Foundational Filings</w:t>
      </w:r>
    </w:p>
    <w:p>
      <w:pPr>
        <w:pStyle w:val="ListParagraph"/>
        <w:numPr>
          <w:ilvl w:val="0"/>
          <w:numId w:val="2"/>
        </w:numPr>
        <w:spacing w:after="60" w:line="280"/>
      </w:pPr>
      <w:r>
        <w:rPr>
          <w:b/>
          <w:bCs/>
        </w:rPr>
        <w:t xml:space="preserve">Review clearance opinion. </w:t>
      </w:r>
      <w:r>
        <w:t xml:space="preserve">Go / no-go decision on each Tier 1 mark. Adjust strategy if a material conflict is identified.</w:t>
      </w:r>
    </w:p>
    <w:p>
      <w:pPr>
        <w:pStyle w:val="ListParagraph"/>
        <w:numPr>
          <w:ilvl w:val="0"/>
          <w:numId w:val="2"/>
        </w:numPr>
        <w:spacing w:after="60" w:line="280"/>
      </w:pPr>
      <w:r>
        <w:rPr>
          <w:b/>
          <w:bCs/>
        </w:rPr>
        <w:t xml:space="preserve">File AGROYIELD word mark </w:t>
      </w:r>
      <w:r>
        <w:t xml:space="preserve">in Classes 9, 35, 42. Cost: approximately ₦350,000 (USD $230) including agent fees and government fees.</w:t>
      </w:r>
    </w:p>
    <w:p>
      <w:pPr>
        <w:pStyle w:val="ListParagraph"/>
        <w:numPr>
          <w:ilvl w:val="0"/>
          <w:numId w:val="2"/>
        </w:numPr>
        <w:spacing w:after="60" w:line="280"/>
      </w:pPr>
      <w:r>
        <w:rPr>
          <w:b/>
          <w:bCs/>
        </w:rPr>
        <w:t xml:space="preserve">File AGROYIELD NETWORK word mark </w:t>
      </w:r>
      <w:r>
        <w:t xml:space="preserve">in Classes 9, 35, 42. Cost: approximately ₦350,000.</w:t>
      </w:r>
    </w:p>
    <w:p>
      <w:pPr>
        <w:pStyle w:val="ListParagraph"/>
        <w:numPr>
          <w:ilvl w:val="0"/>
          <w:numId w:val="2"/>
        </w:numPr>
        <w:spacing w:after="60" w:line="280"/>
      </w:pPr>
      <w:r>
        <w:rPr>
          <w:b/>
          <w:bCs/>
        </w:rPr>
        <w:t xml:space="preserve">File AGROSCORE word mark </w:t>
      </w:r>
      <w:r>
        <w:t xml:space="preserve">in Classes 9, 36, 42. Cost: approximately ₦350,000.</w:t>
      </w:r>
    </w:p>
    <w:p>
      <w:pPr>
        <w:pStyle w:val="ListParagraph"/>
        <w:numPr>
          <w:ilvl w:val="0"/>
          <w:numId w:val="2"/>
        </w:numPr>
        <w:spacing w:after="60" w:line="280"/>
      </w:pPr>
      <w:r>
        <w:rPr>
          <w:b/>
          <w:bCs/>
        </w:rPr>
        <w:t xml:space="preserve">Execute IP assignment agreements: </w:t>
      </w:r>
      <w:r>
        <w:t xml:space="preserve">Chijioke Okoli → Agcoms Limited, covering all pre-incorporation code, brand, and documentation. Cost: approximately ₦100,000 for counsel drafting.</w:t>
      </w:r>
    </w:p>
    <w:p>
      <w:pPr>
        <w:pStyle w:val="ListParagraph"/>
        <w:numPr>
          <w:ilvl w:val="0"/>
          <w:numId w:val="2"/>
        </w:numPr>
        <w:spacing w:after="60" w:line="280"/>
      </w:pPr>
      <w:r>
        <w:rPr>
          <w:b/>
          <w:bCs/>
        </w:rPr>
        <w:t xml:space="preserve">Publish Trade Secret Policy </w:t>
      </w:r>
      <w:r>
        <w:t xml:space="preserve">and circulate to all current contributors for acknowledgement. Owner: CEO.</w:t>
      </w:r>
    </w:p>
    <w:p>
      <w:pPr>
        <w:pStyle w:val="ListParagraph"/>
        <w:numPr>
          <w:ilvl w:val="0"/>
          <w:numId w:val="2"/>
        </w:numPr>
        <w:spacing w:after="60" w:line="280"/>
      </w:pPr>
      <w:r>
        <w:rPr>
          <w:b/>
          <w:bCs/>
        </w:rPr>
        <w:t xml:space="preserve">Publish NDA template </w:t>
      </w:r>
      <w:r>
        <w:t xml:space="preserve">in legal folder; brief team on default-NDA workflow.</w:t>
      </w:r>
    </w:p>
    <w:p>
      <w:pPr>
        <w:pStyle w:val="Heading2"/>
        <w:spacing w:after="160" w:before="280"/>
      </w:pPr>
      <w:r>
        <w:rPr>
          <w:rFonts w:ascii="Arial" w:cs="Arial" w:eastAsia="Arial" w:hAnsi="Arial"/>
          <w:b/>
          <w:bCs/>
          <w:sz w:val="26"/>
          <w:szCs w:val="26"/>
        </w:rPr>
        <w:t xml:space="preserve">8.3 Weeks 5-8 (May 18 – June 14) — Logo Filings and Secondary Marks</w:t>
      </w:r>
    </w:p>
    <w:p>
      <w:pPr>
        <w:pStyle w:val="ListParagraph"/>
        <w:numPr>
          <w:ilvl w:val="0"/>
          <w:numId w:val="2"/>
        </w:numPr>
        <w:spacing w:after="60" w:line="280"/>
      </w:pPr>
      <w:r>
        <w:rPr>
          <w:b/>
          <w:bCs/>
        </w:rPr>
        <w:t xml:space="preserve">File AgroYield stacked colour logo </w:t>
      </w:r>
      <w:r>
        <w:t xml:space="preserve">as device mark, Class 35 at minimum. Cost: ₦200,000.</w:t>
      </w:r>
    </w:p>
    <w:p>
      <w:pPr>
        <w:pStyle w:val="ListParagraph"/>
        <w:numPr>
          <w:ilvl w:val="0"/>
          <w:numId w:val="2"/>
        </w:numPr>
        <w:spacing w:after="60" w:line="280"/>
      </w:pPr>
      <w:r>
        <w:rPr>
          <w:b/>
          <w:bCs/>
        </w:rPr>
        <w:t xml:space="preserve">File AgroYield icon mark </w:t>
      </w:r>
      <w:r>
        <w:t xml:space="preserve">separately as device mark, Class 9 and 35. Cost: ₦200,000.</w:t>
      </w:r>
    </w:p>
    <w:p>
      <w:pPr>
        <w:pStyle w:val="ListParagraph"/>
        <w:numPr>
          <w:ilvl w:val="0"/>
          <w:numId w:val="2"/>
        </w:numPr>
        <w:spacing w:after="60" w:line="280"/>
      </w:pPr>
      <w:r>
        <w:rPr>
          <w:b/>
          <w:bCs/>
        </w:rPr>
        <w:t xml:space="preserve">File AGCOMS word mark </w:t>
      </w:r>
      <w:r>
        <w:t xml:space="preserve">Class 35. Cost: ₦200,000.</w:t>
      </w:r>
    </w:p>
    <w:p>
      <w:pPr>
        <w:pStyle w:val="ListParagraph"/>
        <w:numPr>
          <w:ilvl w:val="0"/>
          <w:numId w:val="2"/>
        </w:numPr>
        <w:spacing w:after="60" w:line="280"/>
      </w:pPr>
      <w:r>
        <w:rPr>
          <w:b/>
          <w:bCs/>
        </w:rPr>
        <w:t xml:space="preserve">Third-party IP audit: </w:t>
      </w:r>
      <w:r>
        <w:t xml:space="preserve">review every logo, image, icon, and mark displayed on the platform. Owner: development team + CEO review. Actions: replace any uncertain assets; add default text-only citation for partner logos; publish takedown workflow.</w:t>
      </w:r>
    </w:p>
    <w:p>
      <w:pPr>
        <w:pStyle w:val="ListParagraph"/>
        <w:numPr>
          <w:ilvl w:val="0"/>
          <w:numId w:val="2"/>
        </w:numPr>
        <w:spacing w:after="60" w:line="280"/>
      </w:pPr>
      <w:r>
        <w:rPr>
          <w:b/>
          <w:bCs/>
        </w:rPr>
        <w:t xml:space="preserve">Tier 2 domain registrations </w:t>
      </w:r>
      <w:r>
        <w:t xml:space="preserve">(.co, .app, .io, common misspellings). Cost: ₦60,000.</w:t>
      </w:r>
    </w:p>
    <w:p>
      <w:pPr>
        <w:pStyle w:val="ListParagraph"/>
        <w:numPr>
          <w:ilvl w:val="0"/>
          <w:numId w:val="2"/>
        </w:numPr>
        <w:spacing w:after="60" w:line="280"/>
      </w:pPr>
      <w:r>
        <w:rPr>
          <w:b/>
          <w:bCs/>
        </w:rPr>
        <w:t xml:space="preserve">Social handle sweep: </w:t>
      </w:r>
      <w:r>
        <w:t xml:space="preserve">verify or register @agroyield on Instagram, TikTok, LinkedIn, YouTube, Facebook, Threads, GitHub, NPM, PyPI.</w:t>
      </w:r>
    </w:p>
    <w:p>
      <w:pPr>
        <w:pStyle w:val="Heading2"/>
        <w:spacing w:after="160" w:before="280"/>
      </w:pPr>
      <w:r>
        <w:rPr>
          <w:rFonts w:ascii="Arial" w:cs="Arial" w:eastAsia="Arial" w:hAnsi="Arial"/>
          <w:b/>
          <w:bCs/>
          <w:sz w:val="26"/>
          <w:szCs w:val="26"/>
        </w:rPr>
        <w:t xml:space="preserve">8.4 Weeks 9-13 (June 15 – July 19) — Deeper Protection and Review</w:t>
      </w:r>
    </w:p>
    <w:p>
      <w:pPr>
        <w:pStyle w:val="ListParagraph"/>
        <w:numPr>
          <w:ilvl w:val="0"/>
          <w:numId w:val="2"/>
        </w:numPr>
        <w:spacing w:after="60" w:line="280"/>
      </w:pPr>
      <w:r>
        <w:rPr>
          <w:b/>
          <w:bCs/>
        </w:rPr>
        <w:t xml:space="preserve">Slogan filing </w:t>
      </w:r>
      <w:r>
        <w:t xml:space="preserve">— "Agriculture is a Business. Build Yours." in Classes 35 and 41, subject to counsel opinion on distinctiveness. Cost: ₦200,000. Skip if counsel advises distinctiveness argument is weak.</w:t>
      </w:r>
    </w:p>
    <w:p>
      <w:pPr>
        <w:pStyle w:val="ListParagraph"/>
        <w:numPr>
          <w:ilvl w:val="0"/>
          <w:numId w:val="2"/>
        </w:numPr>
        <w:spacing w:after="60" w:line="280"/>
      </w:pPr>
      <w:r>
        <w:rPr>
          <w:b/>
          <w:bCs/>
        </w:rPr>
        <w:t xml:space="preserve">Patent candidacy review </w:t>
      </w:r>
      <w:r>
        <w:t xml:space="preserve">on AgroScore. Engage patent agent. Target: written opinion recommending patent vs. trade-secret. Cost: ₦500,000 for opinion plus provisional filing if justified.</w:t>
      </w:r>
    </w:p>
    <w:p>
      <w:pPr>
        <w:pStyle w:val="ListParagraph"/>
        <w:numPr>
          <w:ilvl w:val="0"/>
          <w:numId w:val="2"/>
        </w:numPr>
        <w:spacing w:after="60" w:line="280"/>
      </w:pPr>
      <w:r>
        <w:rPr>
          <w:b/>
          <w:bCs/>
        </w:rPr>
        <w:t xml:space="preserve">Copyright registrations </w:t>
      </w:r>
      <w:r>
        <w:t xml:space="preserve">for logo, core codebase snapshot, and marketing copy. Cost: ₦60,000 total.</w:t>
      </w:r>
    </w:p>
    <w:p>
      <w:pPr>
        <w:pStyle w:val="ListParagraph"/>
        <w:numPr>
          <w:ilvl w:val="0"/>
          <w:numId w:val="2"/>
        </w:numPr>
        <w:spacing w:after="60" w:line="280"/>
      </w:pPr>
      <w:r>
        <w:rPr>
          <w:b/>
          <w:bCs/>
        </w:rPr>
        <w:t xml:space="preserve">THIRD-PARTY NOTICES.md </w:t>
      </w:r>
      <w:r>
        <w:t xml:space="preserve">drafted and committed to repository.</w:t>
      </w:r>
    </w:p>
    <w:p>
      <w:pPr>
        <w:pStyle w:val="ListParagraph"/>
        <w:numPr>
          <w:ilvl w:val="0"/>
          <w:numId w:val="2"/>
        </w:numPr>
        <w:spacing w:after="60" w:line="280"/>
      </w:pPr>
      <w:r>
        <w:rPr>
          <w:b/>
          <w:bCs/>
        </w:rPr>
        <w:t xml:space="preserve">90-day review meeting: </w:t>
      </w:r>
      <w:r>
        <w:t xml:space="preserve">CEO + counsel review progress; adjust plan for next quarter.</w:t>
      </w:r>
    </w:p>
    <w:p>
      <w:pPr>
        <w:pStyle w:val="Heading2"/>
        <w:spacing w:after="160" w:before="280"/>
      </w:pPr>
      <w:r>
        <w:rPr>
          <w:rFonts w:ascii="Arial" w:cs="Arial" w:eastAsia="Arial" w:hAnsi="Arial"/>
          <w:b/>
          <w:bCs/>
          <w:sz w:val="26"/>
          <w:szCs w:val="26"/>
        </w:rPr>
        <w:t xml:space="preserve">8.5 Budget Summary —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Line item</w:t>
            </w:r>
          </w:p>
        </w:tc>
        <w:tc>
          <w:tcPr>
            <w:tcW w:type="dxa" w:w="208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w:t>
            </w:r>
          </w:p>
        </w:tc>
        <w:tc>
          <w:tcPr>
            <w:tcW w:type="dxa" w:w="208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USD</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Trademark agent engagement + clearance</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₦300,000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AGROYIELD word mark (3 classes)</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₦350,000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$230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AGROYIELD NETWORK word mark (3 classes)</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₦350,000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$230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AGROSCORE word mark (3 classes)</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₦350,000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$230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AgroYield stacked logo device mark</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$135</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AgroYield icon device mark</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$135</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AGCOMS word mark</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₦200,000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$135</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IP assignment agreements (founder → Agcoms)</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₦100,000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$65</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1 domains</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₦60,000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Tier 2 domains + social</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₦60,000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Patent opinion (AgroScore)</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₦500,000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$330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Copyright registrations</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₦60,000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$40</w:t>
            </w:r>
          </w:p>
        </w:tc>
      </w:tr>
      <w:tr>
        <w:tc>
          <w:tcPr>
            <w:tcW w:type="dxa" w:w="5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Contingency (15%)</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₦420,000</w:t>
            </w:r>
          </w:p>
        </w:tc>
        <w:tc>
          <w:tcPr>
            <w:tcW w:type="dxa" w:w="20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$275</w:t>
            </w:r>
          </w:p>
        </w:tc>
      </w:tr>
      <w:tr>
        <w:tc>
          <w:tcPr>
            <w:tcW w:type="dxa" w:w="5200"/>
            <w:tcBorders>
              <w:top w:val="single" w:color="B7B7B7" w:sz="4"/>
              <w:left w:val="single" w:color="B7B7B7" w:sz="4"/>
              <w:bottom w:val="single" w:color="B7B7B7" w:sz="4"/>
              <w:right w:val="single" w:color="B7B7B7" w:sz="4"/>
            </w:tcBorders>
            <w:shd w:fill="FFF2CC" w:val="clear"/>
            <w:tcMar>
              <w:top w:type="dxa" w:w="100"/>
              <w:left w:type="dxa" w:w="140"/>
              <w:bottom w:type="dxa" w:w="100"/>
              <w:right w:type="dxa" w:w="140"/>
            </w:tcMar>
          </w:tcPr>
          <w:p>
            <w:pPr>
              <w:spacing w:after="40"/>
            </w:pPr>
            <w:r>
              <w:rPr>
                <w:b/>
                <w:bCs/>
                <w:sz w:val="20"/>
                <w:szCs w:val="20"/>
              </w:rPr>
              <w:t xml:space="preserve">TOTAL 90-day IP budget</w:t>
            </w:r>
          </w:p>
        </w:tc>
        <w:tc>
          <w:tcPr>
            <w:tcW w:type="dxa" w:w="2080"/>
            <w:tcBorders>
              <w:top w:val="single" w:color="B7B7B7" w:sz="4"/>
              <w:left w:val="single" w:color="B7B7B7" w:sz="4"/>
              <w:bottom w:val="single" w:color="B7B7B7" w:sz="4"/>
              <w:right w:val="single" w:color="B7B7B7" w:sz="4"/>
            </w:tcBorders>
            <w:shd w:fill="FFF2CC" w:val="clear"/>
            <w:tcMar>
              <w:top w:type="dxa" w:w="100"/>
              <w:left w:type="dxa" w:w="140"/>
              <w:bottom w:type="dxa" w:w="100"/>
              <w:right w:type="dxa" w:w="140"/>
            </w:tcMar>
          </w:tcPr>
          <w:p>
            <w:pPr>
              <w:spacing w:after="40"/>
            </w:pPr>
            <w:r>
              <w:rPr>
                <w:b/>
                <w:bCs/>
                <w:sz w:val="20"/>
                <w:szCs w:val="20"/>
              </w:rPr>
              <w:t xml:space="preserve">₦3,150,000</w:t>
            </w:r>
          </w:p>
        </w:tc>
        <w:tc>
          <w:tcPr>
            <w:tcW w:type="dxa" w:w="2080"/>
            <w:tcBorders>
              <w:top w:val="single" w:color="B7B7B7" w:sz="4"/>
              <w:left w:val="single" w:color="B7B7B7" w:sz="4"/>
              <w:bottom w:val="single" w:color="B7B7B7" w:sz="4"/>
              <w:right w:val="single" w:color="B7B7B7" w:sz="4"/>
            </w:tcBorders>
            <w:shd w:fill="FFF2CC" w:val="clear"/>
            <w:tcMar>
              <w:top w:type="dxa" w:w="100"/>
              <w:left w:type="dxa" w:w="140"/>
              <w:bottom w:type="dxa" w:w="100"/>
              <w:right w:type="dxa" w:w="140"/>
            </w:tcMar>
          </w:tcPr>
          <w:p>
            <w:pPr>
              <w:spacing w:after="40"/>
            </w:pPr>
            <w:r>
              <w:rPr>
                <w:b/>
                <w:bCs/>
                <w:sz w:val="20"/>
                <w:szCs w:val="20"/>
              </w:rPr>
              <w:t xml:space="preserve">$2,085</w:t>
            </w:r>
          </w:p>
        </w:tc>
      </w:tr>
    </w:tbl>
    <w:p>
      <w:pPr>
        <w:spacing w:after="120" w:line="300"/>
      </w:pPr>
      <w:r>
        <w:t xml:space="preserve"/>
      </w:r>
    </w:p>
    <w:p>
      <w:pPr>
        <w:spacing w:after="120" w:line="300"/>
      </w:pPr>
      <w:r>
        <w:rPr>
          <w:b/>
          <w:bCs/>
        </w:rPr>
        <w:t xml:space="preserve">Observation: </w:t>
      </w:r>
      <w:r>
        <w:t xml:space="preserve">the entire 90-day IP programme — Tier 1 and Tier 2 combined, including patent review and copyright registrations — costs under USD $2,100. This is roughly the budget of a mid-tier product photography shoot. Against the valuation optionality it preserves, it is the highest-return line item in the Beta-to-Series-A roadmap.</w:t>
      </w:r>
    </w:p>
    <w:p>
      <w:r>
        <w:br w:type="page"/>
      </w:r>
    </w:p>
    <w:p>
      <w:pPr>
        <w:pStyle w:val="Heading1"/>
        <w:spacing w:after="200" w:before="360"/>
      </w:pPr>
      <w:r>
        <w:rPr>
          <w:rFonts w:ascii="Arial" w:cs="Arial" w:eastAsia="Arial" w:hAnsi="Arial"/>
          <w:b/>
          <w:bCs/>
          <w:sz w:val="32"/>
          <w:szCs w:val="32"/>
        </w:rPr>
        <w:t xml:space="preserve">Appendix A — Trademark Portfolio Detail</w:t>
      </w:r>
    </w:p>
    <w:p>
      <w:pPr>
        <w:spacing w:after="120" w:line="300"/>
      </w:pPr>
      <w:r>
        <w:t xml:space="preserve">For each priority mark, the table below specifies the format, the recommended Nice classes, the jurisdiction priority, the estimated filing cost, and counsel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200"/>
        <w:gridCol w:w="1700"/>
        <w:gridCol w:w="1200"/>
        <w:gridCol w:w="1560"/>
      </w:tblGrid>
      <w:tr>
        <w:trPr>
          <w:tblHeader/>
        </w:trPr>
        <w:tc>
          <w:tcPr>
            <w:tcW w:type="dxa" w:w="16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Mark</w:t>
            </w:r>
          </w:p>
        </w:tc>
        <w:tc>
          <w:tcPr>
            <w:tcW w:type="dxa" w:w="11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Format</w:t>
            </w:r>
          </w:p>
        </w:tc>
        <w:tc>
          <w:tcPr>
            <w:tcW w:type="dxa" w:w="2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Nice Classes</w:t>
            </w:r>
          </w:p>
        </w:tc>
        <w:tc>
          <w:tcPr>
            <w:tcW w:type="dxa" w:w="17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Jurisdiction Priority</w:t>
            </w:r>
          </w:p>
        </w:tc>
        <w:tc>
          <w:tcPr>
            <w:tcW w:type="dxa" w:w="1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Est. Cost</w:t>
            </w:r>
          </w:p>
        </w:tc>
        <w:tc>
          <w:tcPr>
            <w:tcW w:type="dxa" w:w="15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Counsel Flag</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AGROYIELD</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Word</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9 (software), 35 (business directory, marketplace), 42 (SaaS)</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now; KE/GH/ZA Series A; Madrid international Series B</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₦350,000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Confirm classes in clearance opinion</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AGROYIELD NETWORK</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Word</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9, 35, 42</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now; follow AGROYIELD footprint</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₦350,000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File even if AGROYIELD granted — blocks variant</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AGROSCORE</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Word</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9, 36 (financial services), 42</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now; KE/GH Series A</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₦350,000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Class 36 may attract regulator scrutiny — counsel required</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AgroYield Logo (stacked colour)</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Device</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35 (min); 9, 42 (ideal)</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now</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₦200,000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Submit high-res source artwork</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AgroYield Icon</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Device</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9, 35</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now</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₦200,000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File separately from lock-up</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AGCOMS</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Word</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35</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within 45 days</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₦200,000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Parent entity; lower urgency</w:t>
            </w:r>
          </w:p>
        </w:tc>
      </w:tr>
      <w:tr>
        <w:tc>
          <w:tcPr>
            <w:tcW w:type="dxa" w:w="16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18"/>
                <w:szCs w:val="18"/>
              </w:rPr>
              <w:t xml:space="preserve">"Agriculture is a Business. Build Yours."</w:t>
            </w:r>
          </w:p>
        </w:tc>
        <w:tc>
          <w:tcPr>
            <w:tcW w:type="dxa" w:w="11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Word (slogan)</w:t>
            </w:r>
          </w:p>
        </w:tc>
        <w:tc>
          <w:tcPr>
            <w:tcW w:type="dxa" w:w="2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35, 41</w:t>
            </w:r>
          </w:p>
        </w:tc>
        <w:tc>
          <w:tcPr>
            <w:tcW w:type="dxa" w:w="17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NG within 60-90 days</w:t>
            </w:r>
          </w:p>
        </w:tc>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₦200,000</w:t>
            </w:r>
          </w:p>
        </w:tc>
        <w:tc>
          <w:tcPr>
            <w:tcW w:type="dxa" w:w="15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18"/>
                <w:szCs w:val="18"/>
              </w:rPr>
              <w:t xml:space="preserve">Distinctiveness review required before filing</w:t>
            </w:r>
          </w:p>
        </w:tc>
      </w:tr>
    </w:tbl>
    <w:p>
      <w:r>
        <w:br w:type="page"/>
      </w:r>
    </w:p>
    <w:p>
      <w:pPr>
        <w:pStyle w:val="Heading1"/>
        <w:spacing w:after="200" w:before="360"/>
      </w:pPr>
      <w:r>
        <w:rPr>
          <w:rFonts w:ascii="Arial" w:cs="Arial" w:eastAsia="Arial" w:hAnsi="Arial"/>
          <w:b/>
          <w:bCs/>
          <w:sz w:val="32"/>
          <w:szCs w:val="32"/>
        </w:rPr>
        <w:t xml:space="preserve">Appendix B — Nice Classification Reference</w:t>
      </w:r>
    </w:p>
    <w:p>
      <w:pPr>
        <w:spacing w:after="120" w:line="300"/>
      </w:pPr>
      <w:r>
        <w:t xml:space="preserve">Relevant Nice classes for AgroYield, with plain-English description of scope and the reason for inclusion. The Nice Classification is the 12th edition as of 2026 and is used by the Nigerian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Class</w:t>
            </w:r>
          </w:p>
        </w:tc>
        <w:tc>
          <w:tcPr>
            <w:tcW w:type="dxa" w:w="32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Scope</w:t>
            </w:r>
          </w:p>
        </w:tc>
        <w:tc>
          <w:tcPr>
            <w:tcW w:type="dxa" w:w="496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Relevance to AgroYield</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9</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Scientific and electric apparatus, downloadable software, mobile applications, electronic publications.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Protects the downloadable PWA, any native mobile app, and electronic publications. Essential for every word mark.</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16</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Paper goods, printed publications, educational materials.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Relevant only if AgroYield produces printed educational material. Likely skip for now.</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31</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Agricultural, horticultural products; grains; raw agricultural products.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Relevant if AgroYield ever brands agricultural inputs or produce. SKIP — we are a platform, not a producer.</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35</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Advertising; business management; business administration; online marketplace; business directory services; providing business information via databases.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The single most important class. Covers the marketplace, business suite, directory, and any commercial matchmaking.</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36</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Financial services; insurance; credit information services; credit scoring.</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ESSENTIAL for AGROSCORE. May trigger regulatory review; counsel required.</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38</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Telecommunications; electronic communication services.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Relevant only if we operate as a communications service (e.g., private messaging at scale). Deferrable.</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41</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Education; training; entertainment; online publications; educational services.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Relevant for the research board, mentorship features, and the tagline. File for slogan mark.</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42</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Scientific and technological services; SaaS; PaaS; software design and development.</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Essential. Covers the platform itself as a technology service.</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44</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Agricultural, horticultural, and forestry services; farming advisory services.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Secondary — relevant if AgroYield offers agronomic advisory services beyond information provision. Consider for Series A expansion filing.</w:t>
            </w:r>
          </w:p>
        </w:tc>
      </w:tr>
      <w:tr>
        <w:tc>
          <w:tcPr>
            <w:tcW w:type="dxa" w:w="1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45</w:t>
            </w:r>
          </w:p>
        </w:tc>
        <w:tc>
          <w:tcPr>
            <w:tcW w:type="dxa" w:w="32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Legal services; personal services.</w:t>
            </w:r>
          </w:p>
        </w:tc>
        <w:tc>
          <w:tcPr>
            <w:tcW w:type="dxa" w:w="496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Not relevant.</w:t>
            </w:r>
          </w:p>
        </w:tc>
      </w:tr>
    </w:tbl>
    <w:p>
      <w:r>
        <w:br w:type="page"/>
      </w:r>
    </w:p>
    <w:p>
      <w:pPr>
        <w:pStyle w:val="Heading1"/>
        <w:spacing w:after="200" w:before="360"/>
      </w:pPr>
      <w:r>
        <w:rPr>
          <w:rFonts w:ascii="Arial" w:cs="Arial" w:eastAsia="Arial" w:hAnsi="Arial"/>
          <w:b/>
          <w:bCs/>
          <w:sz w:val="32"/>
          <w:szCs w:val="32"/>
        </w:rPr>
        <w:t xml:space="preserve">Appendix C — Trademark Agent and Counsel Recommendations</w:t>
      </w:r>
    </w:p>
    <w:p>
      <w:pPr>
        <w:spacing w:after="120" w:line="300"/>
      </w:pPr>
      <w:r>
        <w:t xml:space="preserve">The following firms are widely-recognised Nigerian IP practices with demonstrated experience handling technology-company filings. Engagement should be based on a short written brief, fixed-fee quote for the Tier 1 package, and a conversation with the partner who will personally supervise the clearance opinion. All three should be approached; engagement with one firm is sufficient. The CEO should verify current credentials independently before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Firm Category</w:t>
            </w:r>
          </w:p>
        </w:tc>
        <w:tc>
          <w:tcPr>
            <w:tcW w:type="dxa" w:w="328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Profile</w:t>
            </w:r>
          </w:p>
        </w:tc>
        <w:tc>
          <w:tcPr>
            <w:tcW w:type="dxa" w:w="3280"/>
            <w:tcBorders>
              <w:top w:val="single" w:color="B7B7B7" w:sz="4"/>
              <w:left w:val="single" w:color="B7B7B7" w:sz="4"/>
              <w:bottom w:val="single" w:color="B7B7B7" w:sz="4"/>
              <w:right w:val="single" w:color="B7B7B7" w:sz="4"/>
            </w:tcBorders>
            <w:shd w:fill="D5E8F0" w:val="clear"/>
            <w:tcMar>
              <w:top w:type="dxa" w:w="100"/>
              <w:left w:type="dxa" w:w="140"/>
              <w:bottom w:type="dxa" w:w="100"/>
              <w:right w:type="dxa" w:w="140"/>
            </w:tcMar>
          </w:tcPr>
          <w:p>
            <w:pPr>
              <w:spacing w:after="40"/>
            </w:pPr>
            <w:r>
              <w:rPr>
                <w:b/>
                <w:bCs/>
                <w:sz w:val="20"/>
                <w:szCs w:val="20"/>
              </w:rPr>
              <w:t xml:space="preserve">Best Fit For</w:t>
            </w:r>
          </w:p>
        </w:tc>
      </w:tr>
      <w:tr>
        <w:tc>
          <w:tcPr>
            <w:tcW w:type="dxa" w:w="2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Tier-1 commercial IP boutique</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Established Lagos or Abuja IP firm with 15+ years of Registry practice, dedicated trademark department, Madrid Protocol experience.</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Primary AGROYIELD / AGROSCORE filings; Madrid strategy; ongoing portfolio management. Expect higher fees (₦300,000+ per mark) but stronger clearance opinions.</w:t>
            </w:r>
          </w:p>
        </w:tc>
      </w:tr>
      <w:tr>
        <w:tc>
          <w:tcPr>
            <w:tcW w:type="dxa" w:w="2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Full-service law firm with IP practice</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Banwo &amp; Ighodalo, Aluko &amp; Oyebode, Templars, Olaniwun Ajayi, G. Elias — large full-service firms with dedicated IP groups.</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If AgroYield wants single-firm coverage spanning IP, corporate (IP assignments), and regulatory (Class 36). Higher cost but integrated service.</w:t>
            </w:r>
          </w:p>
        </w:tc>
      </w:tr>
      <w:tr>
        <w:tc>
          <w:tcPr>
            <w:tcW w:type="dxa" w:w="2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Specialist IP boutique</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Jackson, Etti &amp; Edu (IP specialism); Bloomfield-Advocates; Stren &amp; Blan (IP-focused practice).</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Cost-efficient execution of high-volume filings; strong Registry relationships.</w:t>
            </w:r>
          </w:p>
        </w:tc>
      </w:tr>
      <w:tr>
        <w:tc>
          <w:tcPr>
            <w:tcW w:type="dxa" w:w="280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bCs/>
                <w:sz w:val="20"/>
                <w:szCs w:val="20"/>
              </w:rPr>
              <w:t xml:space="preserve">Patent agent (for AgroScore patent review only)</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Must be registered under the Patents and Designs Act. Most trademark firms include a patent agent on staff or refer to one.</w:t>
            </w:r>
          </w:p>
        </w:tc>
        <w:tc>
          <w:tcPr>
            <w:tcW w:type="dxa" w:w="3280"/>
            <w:tcBorders>
              <w:top w:val="single" w:color="B7B7B7" w:sz="4"/>
              <w:left w:val="single" w:color="B7B7B7" w:sz="4"/>
              <w:bottom w:val="single" w:color="B7B7B7" w:sz="4"/>
              <w:right w:val="single" w:color="B7B7B7" w:sz="4"/>
            </w:tcBorders>
            <w:tcMar>
              <w:top w:type="dxa" w:w="100"/>
              <w:left w:type="dxa" w:w="140"/>
              <w:bottom w:type="dxa" w:w="100"/>
              <w:right w:type="dxa" w:w="140"/>
            </w:tcMar>
          </w:tcPr>
          <w:p>
            <w:pPr>
              <w:spacing w:after="40"/>
            </w:pPr>
            <w:r>
              <w:rPr>
                <w:b w:val="false"/>
                <w:bCs w:val="false"/>
                <w:sz w:val="20"/>
                <w:szCs w:val="20"/>
              </w:rPr>
              <w:t xml:space="preserve">Patent candidacy opinion only. Unlikely to be the same practitioner who handles trademarks.</w:t>
            </w:r>
          </w:p>
        </w:tc>
      </w:tr>
    </w:tbl>
    <w:p>
      <w:pPr>
        <w:spacing w:after="120" w:line="300"/>
      </w:pPr>
      <w:r>
        <w:t xml:space="preserve"/>
      </w:r>
    </w:p>
    <w:p>
      <w:pPr>
        <w:spacing w:after="120" w:line="300"/>
      </w:pPr>
      <w:r>
        <w:rPr>
          <w:i/>
          <w:iCs/>
        </w:rPr>
        <w:t xml:space="preserve">Disclaimer: </w:t>
      </w:r>
      <w:r>
        <w:rPr>
          <w:i/>
          <w:iCs/>
        </w:rPr>
        <w:t xml:space="preserve">inclusion of a firm name in the table above reflects publicly-available information about that firm's practice areas and is not an endorsement. The CEO should verify current credentials, partner assignments, and Registry standing independently before engagement. Fee estimates are indicative and will vary.</w:t>
      </w:r>
    </w:p>
    <w:p>
      <w:r>
        <w:br w:type="page"/>
      </w:r>
    </w:p>
    <w:p>
      <w:pPr>
        <w:pStyle w:val="Heading1"/>
        <w:spacing w:after="200" w:before="360"/>
      </w:pPr>
      <w:r>
        <w:rPr>
          <w:rFonts w:ascii="Arial" w:cs="Arial" w:eastAsia="Arial" w:hAnsi="Arial"/>
          <w:b/>
          <w:bCs/>
          <w:sz w:val="32"/>
          <w:szCs w:val="32"/>
        </w:rPr>
        <w:t xml:space="preserve">Appendix D — Templates and Checklists</w:t>
      </w:r>
    </w:p>
    <w:p>
      <w:pPr>
        <w:pStyle w:val="Heading2"/>
        <w:spacing w:after="160" w:before="280"/>
      </w:pPr>
      <w:r>
        <w:rPr>
          <w:rFonts w:ascii="Arial" w:cs="Arial" w:eastAsia="Arial" w:hAnsi="Arial"/>
          <w:b/>
          <w:bCs/>
          <w:sz w:val="26"/>
          <w:szCs w:val="26"/>
        </w:rPr>
        <w:t xml:space="preserve">D.1 Copyright Notice — Website Footer</w:t>
      </w:r>
    </w:p>
    <w:p>
      <w:pPr>
        <w:shd w:fill="F3F3F3" w:val="clear"/>
        <w:spacing w:after="80" w:before="80"/>
      </w:pPr>
      <w:r>
        <w:rPr>
          <w:i/>
          <w:iCs/>
        </w:rPr>
        <w:t xml:space="preserve">© 2025–2026 Agcoms Limited. All rights reserved. AgroYield™, AgroYield Network™, AgroScore™, and the AgroYield logo are trademarks of Agcoms Limited. Unauthorised reproduction is prohibited.</w:t>
      </w:r>
    </w:p>
    <w:p>
      <w:pPr>
        <w:pStyle w:val="Heading2"/>
        <w:spacing w:after="160" w:before="280"/>
      </w:pPr>
      <w:r>
        <w:rPr>
          <w:rFonts w:ascii="Arial" w:cs="Arial" w:eastAsia="Arial" w:hAnsi="Arial"/>
          <w:b/>
          <w:bCs/>
          <w:sz w:val="26"/>
          <w:szCs w:val="26"/>
        </w:rPr>
        <w:t xml:space="preserve">D.2 Source File Header</w:t>
      </w:r>
    </w:p>
    <w:p>
      <w:pPr>
        <w:shd w:fill="F3F3F3" w:val="clear"/>
        <w:spacing w:after="80" w:before="80"/>
      </w:pPr>
      <w:r>
        <w:rPr>
          <w:rFonts w:ascii="Courier New" w:cs="Courier New" w:eastAsia="Courier New" w:hAnsi="Courier New"/>
          <w:sz w:val="20"/>
          <w:szCs w:val="20"/>
        </w:rPr>
        <w:t xml:space="preserve">// Copyright © 2025–2026 Agcoms Limited. All rights reserved.
// AgroYield™ and AgroScore™ are trademarks of Agcoms Limited.
// Unauthorised copying, modification, or distribution is prohibited.</w:t>
      </w:r>
    </w:p>
    <w:p>
      <w:pPr>
        <w:pStyle w:val="Heading2"/>
        <w:spacing w:after="160" w:before="280"/>
      </w:pPr>
      <w:r>
        <w:rPr>
          <w:rFonts w:ascii="Arial" w:cs="Arial" w:eastAsia="Arial" w:hAnsi="Arial"/>
          <w:b/>
          <w:bCs/>
          <w:sz w:val="26"/>
          <w:szCs w:val="26"/>
        </w:rPr>
        <w:t xml:space="preserve">D.3 Email Signature — IP Footer</w:t>
      </w:r>
    </w:p>
    <w:p>
      <w:pPr>
        <w:shd w:fill="F3F3F3" w:val="clear"/>
        <w:spacing w:after="80" w:before="80"/>
      </w:pPr>
      <w:r>
        <w:rPr>
          <w:i/>
          <w:iCs/>
          <w:sz w:val="20"/>
          <w:szCs w:val="20"/>
        </w:rPr>
        <w:t xml:space="preserve">AgroYield Network — Nigeria's Agricultural Professional Platform. A product of Agcoms Limited. AgroYield™, AgroYield Network™, AgroScore™ are trademarks of Agcoms Limited. agroyield.africa</w:t>
      </w:r>
    </w:p>
    <w:p>
      <w:pPr>
        <w:pStyle w:val="Heading2"/>
        <w:spacing w:after="160" w:before="280"/>
      </w:pPr>
      <w:r>
        <w:rPr>
          <w:rFonts w:ascii="Arial" w:cs="Arial" w:eastAsia="Arial" w:hAnsi="Arial"/>
          <w:b/>
          <w:bCs/>
          <w:sz w:val="26"/>
          <w:szCs w:val="26"/>
        </w:rPr>
        <w:t xml:space="preserve">D.4 Pre-Filing Checklist — Each Mark</w:t>
      </w:r>
    </w:p>
    <w:p>
      <w:pPr>
        <w:pStyle w:val="ListParagraph"/>
        <w:numPr>
          <w:ilvl w:val="0"/>
          <w:numId w:val="2"/>
        </w:numPr>
        <w:spacing w:after="60" w:line="280"/>
      </w:pPr>
      <w:r>
        <w:t xml:space="preserve">Word mark confirmed in final spelling and capitalisation.</w:t>
      </w:r>
    </w:p>
    <w:p>
      <w:pPr>
        <w:pStyle w:val="ListParagraph"/>
        <w:numPr>
          <w:ilvl w:val="0"/>
          <w:numId w:val="2"/>
        </w:numPr>
        <w:spacing w:after="60" w:line="280"/>
      </w:pPr>
      <w:r>
        <w:t xml:space="preserve">Logo artwork supplied in high-resolution, print-ready format (for device marks).</w:t>
      </w:r>
    </w:p>
    <w:p>
      <w:pPr>
        <w:pStyle w:val="ListParagraph"/>
        <w:numPr>
          <w:ilvl w:val="0"/>
          <w:numId w:val="2"/>
        </w:numPr>
        <w:spacing w:after="60" w:line="280"/>
      </w:pPr>
      <w:r>
        <w:t xml:space="preserve">Nice classes confirmed by agent in clearance opinion.</w:t>
      </w:r>
    </w:p>
    <w:p>
      <w:pPr>
        <w:pStyle w:val="ListParagraph"/>
        <w:numPr>
          <w:ilvl w:val="0"/>
          <w:numId w:val="2"/>
        </w:numPr>
        <w:spacing w:after="60" w:line="280"/>
      </w:pPr>
      <w:r>
        <w:t xml:space="preserve">Identical and phonetic searches completed in every filing class.</w:t>
      </w:r>
    </w:p>
    <w:p>
      <w:pPr>
        <w:pStyle w:val="ListParagraph"/>
        <w:numPr>
          <w:ilvl w:val="0"/>
          <w:numId w:val="2"/>
        </w:numPr>
        <w:spacing w:after="60" w:line="280"/>
      </w:pPr>
      <w:r>
        <w:t xml:space="preserve">Common-law search completed (Google, social, LinkedIn).</w:t>
      </w:r>
    </w:p>
    <w:p>
      <w:pPr>
        <w:pStyle w:val="ListParagraph"/>
        <w:numPr>
          <w:ilvl w:val="0"/>
          <w:numId w:val="2"/>
        </w:numPr>
        <w:spacing w:after="60" w:line="280"/>
      </w:pPr>
      <w:r>
        <w:t xml:space="preserve">Corporate name and entity confirmed with CAC filing reference.</w:t>
      </w:r>
    </w:p>
    <w:p>
      <w:pPr>
        <w:pStyle w:val="ListParagraph"/>
        <w:numPr>
          <w:ilvl w:val="0"/>
          <w:numId w:val="2"/>
        </w:numPr>
        <w:spacing w:after="60" w:line="280"/>
      </w:pPr>
      <w:r>
        <w:t xml:space="preserve">Applicant address confirmed (Agcoms Limited registered office, not founder's home).</w:t>
      </w:r>
    </w:p>
    <w:p>
      <w:pPr>
        <w:pStyle w:val="ListParagraph"/>
        <w:numPr>
          <w:ilvl w:val="0"/>
          <w:numId w:val="2"/>
        </w:numPr>
        <w:spacing w:after="60" w:line="280"/>
      </w:pPr>
      <w:r>
        <w:t xml:space="preserve">Government fee and agent fee authorised in writing by CEO.</w:t>
      </w:r>
    </w:p>
    <w:p>
      <w:pPr>
        <w:pStyle w:val="ListParagraph"/>
        <w:numPr>
          <w:ilvl w:val="0"/>
          <w:numId w:val="2"/>
        </w:numPr>
        <w:spacing w:after="60" w:line="280"/>
      </w:pPr>
      <w:r>
        <w:t xml:space="preserve">Receipt of filing logged in IP register (spreadsheet in CEO's legal folder).</w:t>
      </w:r>
    </w:p>
    <w:p>
      <w:pPr>
        <w:pStyle w:val="Heading2"/>
        <w:spacing w:after="160" w:before="280"/>
      </w:pPr>
      <w:r>
        <w:rPr>
          <w:rFonts w:ascii="Arial" w:cs="Arial" w:eastAsia="Arial" w:hAnsi="Arial"/>
          <w:b/>
          <w:bCs/>
          <w:sz w:val="26"/>
          <w:szCs w:val="26"/>
        </w:rPr>
        <w:t xml:space="preserve">D.5 Monthly IP Hygiene Checklist</w:t>
      </w:r>
    </w:p>
    <w:p>
      <w:pPr>
        <w:pStyle w:val="ListParagraph"/>
        <w:numPr>
          <w:ilvl w:val="0"/>
          <w:numId w:val="2"/>
        </w:numPr>
        <w:spacing w:after="60" w:line="280"/>
      </w:pPr>
      <w:r>
        <w:t xml:space="preserve">Review Trade Marks Journal for new filings that conflict with priority marks.</w:t>
      </w:r>
    </w:p>
    <w:p>
      <w:pPr>
        <w:pStyle w:val="ListParagraph"/>
        <w:numPr>
          <w:ilvl w:val="0"/>
          <w:numId w:val="2"/>
        </w:numPr>
        <w:spacing w:after="60" w:line="280"/>
      </w:pPr>
      <w:r>
        <w:t xml:space="preserve">Confirm all Registry correspondence has been actioned within deadlines.</w:t>
      </w:r>
    </w:p>
    <w:p>
      <w:pPr>
        <w:pStyle w:val="ListParagraph"/>
        <w:numPr>
          <w:ilvl w:val="0"/>
          <w:numId w:val="2"/>
        </w:numPr>
        <w:spacing w:after="60" w:line="280"/>
      </w:pPr>
      <w:r>
        <w:t xml:space="preserve">Review domain renewal calendar; flag anything within 90 days of expiry.</w:t>
      </w:r>
    </w:p>
    <w:p>
      <w:pPr>
        <w:pStyle w:val="ListParagraph"/>
        <w:numPr>
          <w:ilvl w:val="0"/>
          <w:numId w:val="2"/>
        </w:numPr>
        <w:spacing w:after="60" w:line="280"/>
      </w:pPr>
      <w:r>
        <w:t xml:space="preserve">Confirm NDAs are in place for all new vendors and contractors engaged in the month.</w:t>
      </w:r>
    </w:p>
    <w:p>
      <w:pPr>
        <w:pStyle w:val="ListParagraph"/>
        <w:numPr>
          <w:ilvl w:val="0"/>
          <w:numId w:val="2"/>
        </w:numPr>
        <w:spacing w:after="60" w:line="280"/>
      </w:pPr>
      <w:r>
        <w:t xml:space="preserve">Review social-handle squatting and typosquatting alerts.</w:t>
      </w:r>
    </w:p>
    <w:p>
      <w:pPr>
        <w:pStyle w:val="ListParagraph"/>
        <w:numPr>
          <w:ilvl w:val="0"/>
          <w:numId w:val="2"/>
        </w:numPr>
        <w:spacing w:after="60" w:line="280"/>
      </w:pPr>
      <w:r>
        <w:t xml:space="preserve">Update IP register spreadsheet with status changes.</w:t>
      </w:r>
    </w:p>
    <w:p>
      <w:r>
        <w:br w:type="page"/>
      </w:r>
    </w:p>
    <w:p>
      <w:pPr>
        <w:pStyle w:val="Heading1"/>
        <w:spacing w:after="200" w:before="360"/>
      </w:pPr>
      <w:r>
        <w:rPr>
          <w:rFonts w:ascii="Arial" w:cs="Arial" w:eastAsia="Arial" w:hAnsi="Arial"/>
          <w:b/>
          <w:bCs/>
          <w:sz w:val="32"/>
          <w:szCs w:val="32"/>
        </w:rPr>
        <w:t xml:space="preserve">Closing Note</w:t>
      </w:r>
    </w:p>
    <w:p>
      <w:pPr>
        <w:spacing w:after="120" w:line="300"/>
      </w:pPr>
      <w:r>
        <w:t xml:space="preserve">The work in this document is not glamorous and it is not the thing founders usually want to spend a week on in the final days before a Beta launch. But the cost of getting it wrong is asymmetric. A squatter filing AGROYIELD in Class 35 on May 1, 2026 turns every Naira of marketing spend we make into leverage for his ransom demand eighteen months later. An acquirer diligencing an unclear ownership chain shaves millions from a valuation. A leaked AgroScore methodology ends the embedded-finance thesis before it begins.</w:t>
      </w:r>
    </w:p>
    <w:p>
      <w:pPr>
        <w:spacing w:after="120" w:line="300"/>
      </w:pPr>
      <w:r>
        <w:t xml:space="preserve">The actions recommended in Week 1 — engaging an agent, commissioning clearance, registering Tier 1 domains, publishing the copyright notice, classifying this document — cost under USD $300 combined and can be completed by Friday April 24. Those actions alone close off the three highest-scoring risks in Section 7. Everything else in the ninety-day plan follows naturally.</w:t>
      </w:r>
    </w:p>
    <w:p>
      <w:pPr>
        <w:spacing w:after="120" w:line="300"/>
      </w:pPr>
      <w:r>
        <w:rPr>
          <w:b/>
          <w:bCs/>
        </w:rPr>
        <w:t xml:space="preserve">Decision required from the CEO this week: </w:t>
      </w:r>
      <w:r>
        <w:t xml:space="preserve">authorise engagement with a Nigerian trademark agent (Appendix C), authorise the Tier 1 domain registration spend (₦60,000), and approve the source-code header / Terms-of-Service update (development team action, zero budget).</w:t>
      </w:r>
    </w:p>
    <w:p>
      <w:pPr>
        <w:spacing w:after="120" w:line="300"/>
      </w:pPr>
      <w:r>
        <w:t xml:space="preserve">Everything else in this document can be read slowly. These three actions cannot.</w:t>
      </w:r>
    </w:p>
    <w:p>
      <w:pPr>
        <w:spacing w:after="120" w:line="300"/>
      </w:pPr>
      <w:r>
        <w:t xml:space="preserve"/>
      </w:r>
    </w:p>
    <w:p>
      <w:pPr>
        <w:spacing w:after="120" w:line="300"/>
        <w:jc w:val="center"/>
      </w:pPr>
      <w:r>
        <w:rPr>
          <w:i/>
          <w:iCs/>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 2026 Agcoms Limited</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AgroYield Network — IP Protection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AgroYield Network — IP Protection Strategy</dc:title>
  <dc:creator>AgroYield Network</dc:creator>
  <dc:description>Intellectual Property Protection Strategy for AgroYield Network, prepared for Okoli Chijioke, CEO.</dc:description>
  <cp:lastModifiedBy>Un-named</cp:lastModifiedBy>
  <cp:revision>1</cp:revision>
  <dcterms:created xsi:type="dcterms:W3CDTF">2026-04-19T01:16:41.231Z</dcterms:created>
  <dcterms:modified xsi:type="dcterms:W3CDTF">2026-04-19T01:16:41.231Z</dcterms:modified>
</cp:coreProperties>
</file>

<file path=docProps/custom.xml><?xml version="1.0" encoding="utf-8"?>
<Properties xmlns="http://schemas.openxmlformats.org/officeDocument/2006/custom-properties" xmlns:vt="http://schemas.openxmlformats.org/officeDocument/2006/docPropsVTypes"/>
</file>