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color w:val="1F4E2C"/>
          <w:sz w:val="56"/>
          <w:szCs w:val="56"/>
        </w:rPr>
        <w:t xml:space="preserve">AGROYIELD NETWORK</w:t>
      </w:r>
    </w:p>
    <w:p>
      <w:pPr>
        <w:spacing w:after="200"/>
        <w:jc w:val="center"/>
      </w:pPr>
      <w:r>
        <w:rPr>
          <w:color w:val="555555"/>
          <w:sz w:val="24"/>
          <w:szCs w:val="24"/>
        </w:rPr>
        <w:t xml:space="preserve">Trademark Deliverable 1 of 3</w:t>
      </w:r>
    </w:p>
    <w:p>
      <w:pPr>
        <w:spacing w:after="800"/>
        <w:jc w:val="center"/>
      </w:pPr>
      <w:r>
        <w:rPr>
          <w:b/>
          <w:bCs/>
          <w:color w:val="2E7D46"/>
          <w:sz w:val="40"/>
          <w:szCs w:val="40"/>
        </w:rPr>
        <w:t xml:space="preserve">Availability Search &amp; Process Brief</w:t>
      </w:r>
    </w:p>
    <w:p>
      <w:pPr>
        <w:spacing w:after="120"/>
        <w:jc w:val="center"/>
      </w:pPr>
      <w:r>
        <w:rPr>
          <w:sz w:val="22"/>
          <w:szCs w:val="22"/>
        </w:rPr>
        <w:t xml:space="preserve">Prepared for: Okoli Chijioke — Founder</w:t>
      </w:r>
    </w:p>
    <w:p>
      <w:pPr>
        <w:spacing w:after="120"/>
        <w:jc w:val="center"/>
      </w:pPr>
      <w:r>
        <w:rPr>
          <w:sz w:val="22"/>
          <w:szCs w:val="22"/>
        </w:rPr>
        <w:t xml:space="preserve">Jurisdiction: Federal Republic of Nigeria</w:t>
      </w:r>
    </w:p>
    <w:p>
      <w:pPr>
        <w:spacing w:after="120"/>
        <w:jc w:val="center"/>
      </w:pPr>
      <w:r>
        <w:rPr>
          <w:sz w:val="22"/>
          <w:szCs w:val="22"/>
        </w:rPr>
        <w:t xml:space="preserve">Issue date: 21 April 2026</w:t>
      </w:r>
    </w:p>
    <w:p>
      <w:pPr>
        <w:spacing w:after="1200"/>
        <w:jc w:val="center"/>
      </w:pPr>
      <w:r>
        <w:rPr>
          <w:i/>
          <w:iCs/>
          <w:color w:val="2E7D46"/>
          <w:sz w:val="22"/>
          <w:szCs w:val="22"/>
        </w:rPr>
        <w:t xml:space="preserve">Target filing window: 22 – 26 April 2026 (pre-Beta)</w:t>
      </w:r>
    </w:p>
    <w:p>
      <w:pPr>
        <w:jc w:val="center"/>
      </w:pPr>
      <w:r>
        <w:rPr>
          <w:i/>
          <w:iCs/>
          <w:color w:val="666666"/>
          <w:sz w:val="18"/>
          <w:szCs w:val="18"/>
        </w:rPr>
        <w:t xml:space="preserve">This brief supports the decision to file — it does not substitute for accredited-agent advice. Deliverables 2 (agent shortlist) and 3 (application package) follow in sequence.</w:t>
      </w:r>
    </w:p>
    <w:p>
      <w:r>
        <w:br w:type="page"/>
      </w:r>
    </w:p>
    <w:p>
      <w:pPr>
        <w:pStyle w:val="Heading1"/>
        <w:spacing w:after="160" w:before="320"/>
      </w:pPr>
      <w:r>
        <w:rPr>
          <w:b/>
          <w:bCs/>
          <w:color w:val="1F4E2C"/>
          <w:sz w:val="32"/>
          <w:szCs w:val="32"/>
        </w:rPr>
        <w:t xml:space="preserve">1. Executive summary</w:t>
      </w:r>
    </w:p>
    <w:p>
      <w:pPr>
        <w:spacing w:after="120" w:before="0" w:line="300"/>
      </w:pPr>
      <w:r>
        <w:t xml:space="preserve">This brief consolidates the availability research on the "AGROYIELD NETWORK" word mark in Nigeria, summarises the Nigerian trademark registration process under the Trade Marks Act Cap T13 (2004), and sets out a risk-rated recommendation for filing before the Beta launch on 27 April 2026.</w:t>
      </w:r>
    </w:p>
    <w:p>
      <w:pPr>
        <w:spacing w:after="80"/>
      </w:pPr>
      <w:r>
        <w:t xml:space="preserve"/>
      </w:r>
    </w:p>
    <w:p>
      <w:pPr>
        <w:spacing w:after="120" w:before="0" w:line="300"/>
      </w:pPr>
      <w:r>
        <w:rPr>
          <w:b/>
          <w:bCs/>
        </w:rPr>
        <w:t xml:space="preserve">Headline recommendation: </w:t>
      </w:r>
      <w:r>
        <w:t xml:space="preserve">File "AGROYIELD NETWORK" as a Class-9 word mark this week, with parallel filings in Classes 35, 36, 42 and 44. The priority date conferred by filing is the single most valuable asset we can secure before Beta; delaying it trades a 12-to-24-month examination window for zero operational benefit.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4D6" w:val="clear"/>
            <w:tcMar>
              <w:top w:type="dxa" w:w="160"/>
              <w:left w:type="dxa" w:w="200"/>
              <w:bottom w:type="dxa" w:w="160"/>
              <w:right w:type="dxa" w:w="200"/>
            </w:tcMar>
          </w:tcPr>
          <w:p>
            <w:pPr>
              <w:spacing w:after="80"/>
            </w:pPr>
            <w:r>
              <w:rPr>
                <w:b/>
                <w:bCs/>
                <w:sz w:val="22"/>
                <w:szCs w:val="22"/>
              </w:rPr>
              <w:t xml:space="preserve">Risk rating: MODERATE — filing recommended</w:t>
            </w:r>
          </w:p>
          <w:p>
            <w:pPr>
              <w:spacing w:after="60" w:line="290"/>
            </w:pPr>
            <w:r>
              <w:rPr>
                <w:sz w:val="20"/>
                <w:szCs w:val="20"/>
              </w:rPr>
              <w:t xml:space="preserve">The collision entity of concern — Agro Yield Africa Limited — has no discoverable online footprint across the open web, no visible trademark filing, and no observable customer-facing product. This materially reduces our opposition risk.</w:t>
            </w:r>
          </w:p>
          <w:p>
            <w:pPr>
              <w:spacing w:after="60" w:line="290"/>
            </w:pPr>
            <w:r>
              <w:rPr>
                <w:sz w:val="20"/>
                <w:szCs w:val="20"/>
              </w:rPr>
              <w:t xml:space="preserve">Residual uncertainty remains because we cannot directly query the IPO Nigeria registry from this session. An accredited agent must perform the formal registry search as a precondition to filing; that step is costed and sequenced in Section 7.</w:t>
            </w:r>
          </w:p>
          <w:p>
            <w:pPr>
              <w:spacing w:after="60" w:line="290"/>
            </w:pPr>
            <w:r>
              <w:rPr>
                <w:sz w:val="20"/>
                <w:szCs w:val="20"/>
              </w:rPr>
              <w:t xml:space="preserve">CAC company registration (which "Agro Yield Africa Limited" presumably holds) does not confer trademark rights. A registered trademark in the relevant Nice classes grants superior, defensible rights — including against prior CAC-only holders.</w:t>
            </w:r>
          </w:p>
        </w:tc>
      </w:tr>
    </w:tbl>
    <w:p>
      <w:pPr>
        <w:spacing w:after="80"/>
      </w:pPr>
      <w:r>
        <w:t xml:space="preserve"/>
      </w:r>
    </w:p>
    <w:p>
      <w:pPr>
        <w:pStyle w:val="Heading3"/>
        <w:spacing w:after="100" w:before="200"/>
      </w:pPr>
      <w:r>
        <w:rPr>
          <w:b/>
          <w:bCs/>
          <w:color w:val="333333"/>
          <w:sz w:val="22"/>
          <w:szCs w:val="22"/>
        </w:rPr>
        <w:t xml:space="preserve">What this brief does</w:t>
      </w:r>
    </w:p>
    <w:p>
      <w:pPr>
        <w:pStyle w:val="ListParagraph"/>
        <w:numPr>
          <w:ilvl w:val="0"/>
          <w:numId w:val="2"/>
        </w:numPr>
        <w:spacing w:after="80" w:line="290"/>
      </w:pPr>
      <w:r>
        <w:t xml:space="preserve">Assesses the collision risk presented by "Agro Yield Africa Limited" based on open-web evidence.</w:t>
      </w:r>
    </w:p>
    <w:p>
      <w:pPr>
        <w:pStyle w:val="ListParagraph"/>
        <w:numPr>
          <w:ilvl w:val="0"/>
          <w:numId w:val="2"/>
        </w:numPr>
        <w:spacing w:after="80" w:line="290"/>
      </w:pPr>
      <w:r>
        <w:t xml:space="preserve">Sets out the CAC-vs-trademark rights hierarchy so we understand what we actually win by filing.</w:t>
      </w:r>
    </w:p>
    <w:p>
      <w:pPr>
        <w:pStyle w:val="ListParagraph"/>
        <w:numPr>
          <w:ilvl w:val="0"/>
          <w:numId w:val="2"/>
        </w:numPr>
        <w:spacing w:after="80" w:line="290"/>
      </w:pPr>
      <w:r>
        <w:t xml:space="preserve">Recommends the Nice classes to file in, with reasoning linked to our product surface.</w:t>
      </w:r>
    </w:p>
    <w:p>
      <w:pPr>
        <w:pStyle w:val="ListParagraph"/>
        <w:numPr>
          <w:ilvl w:val="0"/>
          <w:numId w:val="2"/>
        </w:numPr>
        <w:spacing w:after="80" w:line="290"/>
      </w:pPr>
      <w:r>
        <w:t xml:space="preserve">Explains the stage-by-stage filing process and realistic timeline.</w:t>
      </w:r>
    </w:p>
    <w:p>
      <w:pPr>
        <w:pStyle w:val="ListParagraph"/>
        <w:numPr>
          <w:ilvl w:val="0"/>
          <w:numId w:val="2"/>
        </w:numPr>
        <w:spacing w:after="80" w:line="290"/>
      </w:pPr>
      <w:r>
        <w:t xml:space="preserve">Estimates total fees — government and agent — across the class set.</w:t>
      </w:r>
    </w:p>
    <w:p>
      <w:pPr>
        <w:pStyle w:val="ListParagraph"/>
        <w:numPr>
          <w:ilvl w:val="0"/>
          <w:numId w:val="2"/>
        </w:numPr>
        <w:spacing w:after="80" w:line="290"/>
      </w:pPr>
      <w:r>
        <w:t xml:space="preserve">Lays out a filing plan for the 22 – 26 April window, with explicit done-conditions.</w:t>
      </w:r>
    </w:p>
    <w:p>
      <w:pPr>
        <w:spacing w:after="80"/>
      </w:pPr>
      <w:r>
        <w:t xml:space="preserve"/>
      </w:r>
    </w:p>
    <w:p>
      <w:pPr>
        <w:pStyle w:val="Heading3"/>
        <w:spacing w:after="100" w:before="200"/>
      </w:pPr>
      <w:r>
        <w:rPr>
          <w:b/>
          <w:bCs/>
          <w:color w:val="333333"/>
          <w:sz w:val="22"/>
          <w:szCs w:val="22"/>
        </w:rPr>
        <w:t xml:space="preserve">What this brief does NOT do</w:t>
      </w:r>
    </w:p>
    <w:p>
      <w:pPr>
        <w:pStyle w:val="ListParagraph"/>
        <w:numPr>
          <w:ilvl w:val="0"/>
          <w:numId w:val="2"/>
        </w:numPr>
        <w:spacing w:after="80" w:line="290"/>
      </w:pPr>
      <w:r>
        <w:t xml:space="preserve">It does not perform the formal IPO Nigeria registry search. That must be executed by an accredited agent (Deliverable 2 shortlists candidates).</w:t>
      </w:r>
    </w:p>
    <w:p>
      <w:pPr>
        <w:pStyle w:val="ListParagraph"/>
        <w:numPr>
          <w:ilvl w:val="0"/>
          <w:numId w:val="2"/>
        </w:numPr>
        <w:spacing w:after="80" w:line="290"/>
      </w:pPr>
      <w:r>
        <w:t xml:space="preserve">It does not constitute legal advice. It is diligence input supporting the founder's filing decision.</w:t>
      </w:r>
    </w:p>
    <w:p>
      <w:pPr>
        <w:pStyle w:val="Heading1"/>
        <w:spacing w:after="160" w:before="320"/>
      </w:pPr>
      <w:r>
        <w:rPr>
          <w:b/>
          <w:bCs/>
          <w:color w:val="1F4E2C"/>
          <w:sz w:val="32"/>
          <w:szCs w:val="32"/>
        </w:rPr>
        <w:t xml:space="preserve">2. Collision risk assessment — Agro Yield Africa Limited</w:t>
      </w:r>
    </w:p>
    <w:p>
      <w:pPr>
        <w:spacing w:after="120" w:before="0" w:line="300"/>
      </w:pPr>
      <w:r>
        <w:t xml:space="preserve">The collision entity surfaced internally on 20 April 2026. This section records what was — and was not — found during open-web diligence on 21 April 2026.</w:t>
      </w:r>
    </w:p>
    <w:p>
      <w:pPr>
        <w:pStyle w:val="Heading2"/>
        <w:spacing w:after="120" w:before="260"/>
      </w:pPr>
      <w:r>
        <w:rPr>
          <w:b/>
          <w:bCs/>
          <w:color w:val="2E7D46"/>
          <w:sz w:val="26"/>
          <w:szCs w:val="26"/>
        </w:rPr>
        <w:t xml:space="preserve">2.1  What we searched</w:t>
      </w:r>
    </w:p>
    <w:p>
      <w:pPr>
        <w:pStyle w:val="ListParagraph"/>
        <w:numPr>
          <w:ilvl w:val="0"/>
          <w:numId w:val="3"/>
        </w:numPr>
        <w:spacing w:after="80" w:line="290"/>
      </w:pPr>
      <w:r>
        <w:t xml:space="preserve">Exact-phrase search of the company name across general web, news, and social surfaces.</w:t>
      </w:r>
    </w:p>
    <w:p>
      <w:pPr>
        <w:pStyle w:val="ListParagraph"/>
        <w:numPr>
          <w:ilvl w:val="0"/>
          <w:numId w:val="3"/>
        </w:numPr>
        <w:spacing w:after="80" w:line="290"/>
      </w:pPr>
      <w:r>
        <w:t xml:space="preserve">Corporate footprint probes: landing pages, LinkedIn presence, app listings, press releases.</w:t>
      </w:r>
    </w:p>
    <w:p>
      <w:pPr>
        <w:pStyle w:val="ListParagraph"/>
        <w:numPr>
          <w:ilvl w:val="0"/>
          <w:numId w:val="3"/>
        </w:numPr>
        <w:spacing w:after="80" w:line="290"/>
      </w:pPr>
      <w:r>
        <w:t xml:space="preserve">Adjacent searches: "AgroYield" + "Nigeria", "Agro Yield Africa", and branded product listings that might reveal a trading name.</w:t>
      </w:r>
    </w:p>
    <w:p>
      <w:pPr>
        <w:pStyle w:val="ListParagraph"/>
        <w:numPr>
          <w:ilvl w:val="0"/>
          <w:numId w:val="3"/>
        </w:numPr>
        <w:spacing w:after="80" w:line="290"/>
      </w:pPr>
      <w:r>
        <w:t xml:space="preserve">Attempted direct query of portal.iponigeria.com (blocked by network egress in this session; flagged as an action for the engaged agent).</w:t>
      </w:r>
    </w:p>
    <w:p>
      <w:pPr>
        <w:pStyle w:val="Heading2"/>
        <w:spacing w:after="120" w:before="260"/>
      </w:pPr>
      <w:r>
        <w:rPr>
          <w:b/>
          <w:bCs/>
          <w:color w:val="2E7D46"/>
          <w:sz w:val="26"/>
          <w:szCs w:val="26"/>
        </w:rPr>
        <w:t xml:space="preserve">2.2  What we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5E7" w:val="clear"/>
            <w:tcMar>
              <w:top w:type="dxa" w:w="160"/>
              <w:left w:type="dxa" w:w="200"/>
              <w:bottom w:type="dxa" w:w="160"/>
              <w:right w:type="dxa" w:w="200"/>
            </w:tcMar>
          </w:tcPr>
          <w:p>
            <w:pPr>
              <w:spacing w:after="80"/>
            </w:pPr>
            <w:r>
              <w:rPr>
                <w:b/>
                <w:bCs/>
                <w:sz w:val="22"/>
                <w:szCs w:val="22"/>
              </w:rPr>
              <w:t xml:space="preserve">Finding: no observable public footprint</w:t>
            </w:r>
          </w:p>
          <w:p>
            <w:pPr>
              <w:spacing w:after="60" w:line="290"/>
            </w:pPr>
            <w:r>
              <w:rPr>
                <w:sz w:val="20"/>
                <w:szCs w:val="20"/>
              </w:rPr>
              <w:t xml:space="preserve">• No corporate website located under any obvious domain variation (agroyieldafrica.com / .ng / .africa and similar).</w:t>
            </w:r>
          </w:p>
          <w:p>
            <w:pPr>
              <w:spacing w:after="60" w:line="290"/>
            </w:pPr>
            <w:r>
              <w:rPr>
                <w:sz w:val="20"/>
                <w:szCs w:val="20"/>
              </w:rPr>
              <w:t xml:space="preserve">• No LinkedIn company page, Twitter/X handle, or Meta page surfaced for the exact entity name.</w:t>
            </w:r>
          </w:p>
          <w:p>
            <w:pPr>
              <w:spacing w:after="60" w:line="290"/>
            </w:pPr>
            <w:r>
              <w:rPr>
                <w:sz w:val="20"/>
                <w:szCs w:val="20"/>
              </w:rPr>
              <w:t xml:space="preserve">• No press coverage, funding announcements, app-store listings, or mentions in agritech ecosystem reporting.</w:t>
            </w:r>
          </w:p>
          <w:p>
            <w:pPr>
              <w:spacing w:after="60" w:line="290"/>
            </w:pPr>
            <w:r>
              <w:rPr>
                <w:sz w:val="20"/>
                <w:szCs w:val="20"/>
              </w:rPr>
              <w:t xml:space="preserve">• No trading-name alias discovered that would bring the entity into visible competition with our product surface.</w:t>
            </w:r>
          </w:p>
          <w:p>
            <w:pPr>
              <w:spacing w:after="60" w:line="290"/>
            </w:pPr>
            <w:r>
              <w:rPr>
                <w:sz w:val="20"/>
                <w:szCs w:val="20"/>
              </w:rPr>
              <w:t xml:space="preserve">Interpretation: most likely a recently-registered CAC entity whose operations are not yet public — or an inactive shell. Either way, it does not currently compete on the brand surface we occupy.</w:t>
            </w:r>
          </w:p>
        </w:tc>
      </w:tr>
    </w:tbl>
    <w:p>
      <w:pPr>
        <w:spacing w:after="80"/>
      </w:pPr>
      <w:r>
        <w:t xml:space="preserve"/>
      </w:r>
    </w:p>
    <w:p>
      <w:pPr>
        <w:pStyle w:val="Heading2"/>
        <w:spacing w:after="120" w:before="260"/>
      </w:pPr>
      <w:r>
        <w:rPr>
          <w:b/>
          <w:bCs/>
          <w:color w:val="2E7D46"/>
          <w:sz w:val="26"/>
          <w:szCs w:val="26"/>
        </w:rPr>
        <w:t xml:space="preserve">2.3  What we could not verify from this session</w:t>
      </w:r>
    </w:p>
    <w:p>
      <w:pPr>
        <w:pStyle w:val="ListParagraph"/>
        <w:numPr>
          <w:ilvl w:val="0"/>
          <w:numId w:val="2"/>
        </w:numPr>
        <w:spacing w:after="80" w:line="290"/>
      </w:pPr>
      <w:r>
        <w:t xml:space="preserve">Whether Agro Yield Africa Limited has filed, or has pending, any trademark application with IPO Nigeria. Direct portal access is blocked from this environment; a formal agent-run search is required.</w:t>
      </w:r>
    </w:p>
    <w:p>
      <w:pPr>
        <w:pStyle w:val="ListParagraph"/>
        <w:numPr>
          <w:ilvl w:val="0"/>
          <w:numId w:val="2"/>
        </w:numPr>
        <w:spacing w:after="80" w:line="290"/>
      </w:pPr>
      <w:r>
        <w:t xml:space="preserve">The incorporation date, registered office, and directors — these are retrievable from the CAC public search and should be captured by the agent in Deliverable 2's scope of work.</w:t>
      </w:r>
    </w:p>
    <w:p>
      <w:pPr>
        <w:pStyle w:val="ListParagraph"/>
        <w:numPr>
          <w:ilvl w:val="0"/>
          <w:numId w:val="2"/>
        </w:numPr>
        <w:spacing w:after="80" w:line="290"/>
      </w:pPr>
      <w:r>
        <w:t xml:space="preserve">Whether any unregistered common-law rights have accrued through use. Nigerian law recognises passing-off claims on unregistered marks, but the claimant must prove goodwill and reputation — which is hard to establish without an online or commercial footprint.</w:t>
      </w:r>
    </w:p>
    <w:p>
      <w:pPr>
        <w:pStyle w:val="Heading2"/>
        <w:spacing w:after="120" w:before="260"/>
      </w:pPr>
      <w:r>
        <w:rPr>
          <w:b/>
          <w:bCs/>
          <w:color w:val="2E7D46"/>
          <w:sz w:val="26"/>
          <w:szCs w:val="26"/>
        </w:rPr>
        <w:t xml:space="preserve">2.4  Likelihood-of-confusion analysis</w:t>
      </w:r>
    </w:p>
    <w:p>
      <w:pPr>
        <w:spacing w:after="120" w:before="0" w:line="300"/>
      </w:pPr>
      <w:r>
        <w:t xml:space="preserve">Nigerian examiners assess confusion using an aural, visual, and conceptual test, considering the goods/services, the consumer, and the channels of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160"/>
      </w:tblGrid>
      <w:tr>
        <w:trPr>
          <w:tblHeader/>
        </w:trPr>
        <w:tc>
          <w:tcPr>
            <w:tcW w:type="dxa" w:w="24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Dimension</w:t>
            </w:r>
          </w:p>
        </w:tc>
        <w:tc>
          <w:tcPr>
            <w:tcW w:type="dxa" w:w="58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Assessment</w:t>
            </w:r>
          </w:p>
        </w:tc>
        <w:tc>
          <w:tcPr>
            <w:tcW w:type="dxa" w:w="116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Risk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Aural similarity</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"AgroYield Network" vs "Agro Yield Africa" share the "Agro Yield" prefix. Distinct suffix ("Network" vs "Africa") carries the differentiation when spoken.</w:t>
            </w:r>
          </w:p>
        </w:tc>
        <w:tc>
          <w:tcPr>
            <w:tcW w:type="dxa" w:w="1160"/>
            <w:tcBorders>
              <w:top w:val="single" w:color="CCCCCC" w:sz="4"/>
              <w:left w:val="single" w:color="CCCCCC" w:sz="4"/>
              <w:bottom w:val="single" w:color="CCCCCC" w:sz="4"/>
              <w:right w:val="single" w:color="CCCCCC" w:sz="4"/>
            </w:tcBorders>
            <w:shd w:fill="FFF4D6" w:val="clear"/>
            <w:tcMar>
              <w:top w:type="dxa" w:w="100"/>
              <w:left w:type="dxa" w:w="140"/>
              <w:bottom w:type="dxa" w:w="100"/>
              <w:right w:type="dxa" w:w="140"/>
            </w:tcMar>
          </w:tcPr>
          <w:p>
            <w:r>
              <w:rPr>
                <w:sz w:val="20"/>
                <w:szCs w:val="20"/>
              </w:rPr>
              <w:t xml:space="preserve">Moderate</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Visual similarity</w:t>
            </w:r>
          </w:p>
        </w:tc>
        <w:tc>
          <w:tcPr>
            <w:tcW w:type="dxa" w:w="5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Compound vs. two-word rendering differs; suffix word is distinctive. Device-mark differentiation (logo) further separates visual impression.</w:t>
            </w:r>
          </w:p>
        </w:tc>
        <w:tc>
          <w:tcPr>
            <w:tcW w:type="dxa" w:w="1160"/>
            <w:tcBorders>
              <w:top w:val="single" w:color="CCCCCC" w:sz="4"/>
              <w:left w:val="single" w:color="CCCCCC" w:sz="4"/>
              <w:bottom w:val="single" w:color="CCCCCC" w:sz="4"/>
              <w:right w:val="single" w:color="CCCCCC" w:sz="4"/>
            </w:tcBorders>
            <w:shd w:fill="E7F5E7" w:val="clear"/>
            <w:tcMar>
              <w:top w:type="dxa" w:w="100"/>
              <w:left w:type="dxa" w:w="140"/>
              <w:bottom w:type="dxa" w:w="100"/>
              <w:right w:type="dxa" w:w="140"/>
            </w:tcMar>
          </w:tcPr>
          <w:p>
            <w:r>
              <w:rPr>
                <w:sz w:val="20"/>
                <w:szCs w:val="20"/>
              </w:rPr>
              <w:t xml:space="preserve">Low–Mod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Conceptual similarity</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Both evoke agricultural productivity. Common descriptive tone of "agro-yield" language in the sector reduces any individual claimant's monopoly over the phrase.</w:t>
            </w:r>
          </w:p>
        </w:tc>
        <w:tc>
          <w:tcPr>
            <w:tcW w:type="dxa" w:w="1160"/>
            <w:tcBorders>
              <w:top w:val="single" w:color="CCCCCC" w:sz="4"/>
              <w:left w:val="single" w:color="CCCCCC" w:sz="4"/>
              <w:bottom w:val="single" w:color="CCCCCC" w:sz="4"/>
              <w:right w:val="single" w:color="CCCCCC" w:sz="4"/>
            </w:tcBorders>
            <w:shd w:fill="FFF4D6" w:val="clear"/>
            <w:tcMar>
              <w:top w:type="dxa" w:w="100"/>
              <w:left w:type="dxa" w:w="140"/>
              <w:bottom w:type="dxa" w:w="100"/>
              <w:right w:type="dxa" w:w="140"/>
            </w:tcMar>
          </w:tcPr>
          <w:p>
            <w:r>
              <w:rPr>
                <w:sz w:val="20"/>
                <w:szCs w:val="20"/>
              </w:rPr>
              <w:t xml:space="preserve">Moderate</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Goods / services overlap</w:t>
            </w:r>
          </w:p>
        </w:tc>
        <w:tc>
          <w:tcPr>
            <w:tcW w:type="dxa" w:w="5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Unknown — the entity has no discoverable product. If their activity is pure agri-commodity trading, overlap with a software / SaaS mark is limited.</w:t>
            </w:r>
          </w:p>
        </w:tc>
        <w:tc>
          <w:tcPr>
            <w:tcW w:type="dxa" w:w="1160"/>
            <w:tcBorders>
              <w:top w:val="single" w:color="CCCCCC" w:sz="4"/>
              <w:left w:val="single" w:color="CCCCCC" w:sz="4"/>
              <w:bottom w:val="single" w:color="CCCCCC" w:sz="4"/>
              <w:right w:val="single" w:color="CCCCCC" w:sz="4"/>
            </w:tcBorders>
            <w:shd w:fill="FFF4D6" w:val="clear"/>
            <w:tcMar>
              <w:top w:type="dxa" w:w="100"/>
              <w:left w:type="dxa" w:w="140"/>
              <w:bottom w:type="dxa" w:w="100"/>
              <w:right w:type="dxa" w:w="140"/>
            </w:tcMar>
          </w:tcPr>
          <w:p>
            <w:r>
              <w:rPr>
                <w:sz w:val="20"/>
                <w:szCs w:val="20"/>
              </w:rPr>
              <w:t xml:space="preserve">Unknown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Channel of trade</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AgroYield Network operates digitally — web app, PWA, SMS. Absent a corresponding digital presence from the collision entity, channels do not converge on the same consumer.</w:t>
            </w:r>
          </w:p>
        </w:tc>
        <w:tc>
          <w:tcPr>
            <w:tcW w:type="dxa" w:w="1160"/>
            <w:tcBorders>
              <w:top w:val="single" w:color="CCCCCC" w:sz="4"/>
              <w:left w:val="single" w:color="CCCCCC" w:sz="4"/>
              <w:bottom w:val="single" w:color="CCCCCC" w:sz="4"/>
              <w:right w:val="single" w:color="CCCCCC" w:sz="4"/>
            </w:tcBorders>
            <w:shd w:fill="E7F5E7" w:val="clear"/>
            <w:tcMar>
              <w:top w:type="dxa" w:w="100"/>
              <w:left w:type="dxa" w:w="140"/>
              <w:bottom w:type="dxa" w:w="100"/>
              <w:right w:type="dxa" w:w="140"/>
            </w:tcMar>
          </w:tcPr>
          <w:p>
            <w:r>
              <w:rPr>
                <w:sz w:val="20"/>
                <w:szCs w:val="20"/>
              </w:rPr>
              <w:t xml:space="preserve">Low</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Consumer sophistication</w:t>
            </w:r>
          </w:p>
        </w:tc>
        <w:tc>
          <w:tcPr>
            <w:tcW w:type="dxa" w:w="5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B2B buyers (lenders, aggregators) exercise higher attention in purchasing decisions, reducing confusion probability.</w:t>
            </w:r>
          </w:p>
        </w:tc>
        <w:tc>
          <w:tcPr>
            <w:tcW w:type="dxa" w:w="1160"/>
            <w:tcBorders>
              <w:top w:val="single" w:color="CCCCCC" w:sz="4"/>
              <w:left w:val="single" w:color="CCCCCC" w:sz="4"/>
              <w:bottom w:val="single" w:color="CCCCCC" w:sz="4"/>
              <w:right w:val="single" w:color="CCCCCC" w:sz="4"/>
            </w:tcBorders>
            <w:shd w:fill="E7F5E7" w:val="clear"/>
            <w:tcMar>
              <w:top w:type="dxa" w:w="100"/>
              <w:left w:type="dxa" w:w="140"/>
              <w:bottom w:type="dxa" w:w="100"/>
              <w:right w:type="dxa" w:w="140"/>
            </w:tcMar>
          </w:tcPr>
          <w:p>
            <w:r>
              <w:rPr>
                <w:sz w:val="20"/>
                <w:szCs w:val="20"/>
              </w:rPr>
              <w:t xml:space="preserve">Low</w:t>
            </w:r>
          </w:p>
        </w:tc>
      </w:tr>
    </w:tbl>
    <w:p>
      <w:pPr>
        <w:spacing w:after="80"/>
      </w:pPr>
      <w:r>
        <w:t xml:space="preserve"/>
      </w:r>
    </w:p>
    <w:p>
      <w:pPr>
        <w:spacing w:after="120" w:before="0" w:line="300"/>
      </w:pPr>
      <w:r>
        <w:rPr>
          <w:b/>
          <w:bCs/>
        </w:rPr>
        <w:t xml:space="preserve">Net position: </w:t>
      </w:r>
      <w:r>
        <w:t xml:space="preserve">the "Agro Yield" overlap is real but the differentiating suffix, absence of a competing digital footprint, and non-overlapping channels make a successful opposition by Agro Yield Africa Limited unlikely — provided we file in classes they are unlikely to have colonised (software, SaaS, financial services). Final confirmation is gated on the agent-run registry search.</w:t>
      </w:r>
    </w:p>
    <w:p>
      <w:pPr>
        <w:pStyle w:val="Heading1"/>
        <w:spacing w:after="160" w:before="320"/>
      </w:pPr>
      <w:r>
        <w:rPr>
          <w:b/>
          <w:bCs/>
          <w:color w:val="1F4E2C"/>
          <w:sz w:val="32"/>
          <w:szCs w:val="32"/>
        </w:rPr>
        <w:t xml:space="preserve">3. CAC registration is not trademark registration</w:t>
      </w:r>
    </w:p>
    <w:p>
      <w:pPr>
        <w:spacing w:after="120" w:before="0" w:line="300"/>
      </w:pPr>
      <w:r>
        <w:t xml:space="preserve">This is the single most important concept to internalise before filing. In Nigeria, company-name registration with the Corporate Affairs Commission (CAC) and trademark registration with the Federal Institute of Industrial Property (FIPO, also referenced as IPO Nigeria or NIPO) are entirely separate legal frameworks — administered by different agencies, governed by different statutes, and conferring different rights.</w:t>
      </w:r>
    </w:p>
    <w:p>
      <w:pPr>
        <w:pStyle w:val="Heading2"/>
        <w:spacing w:after="120" w:before="260"/>
      </w:pPr>
      <w:r>
        <w:rPr>
          <w:b/>
          <w:bCs/>
          <w:color w:val="2E7D46"/>
          <w:sz w:val="26"/>
          <w:szCs w:val="26"/>
        </w:rPr>
        <w:t xml:space="preserve">3.1  What CAC registration gives you</w:t>
      </w:r>
    </w:p>
    <w:p>
      <w:pPr>
        <w:pStyle w:val="ListParagraph"/>
        <w:numPr>
          <w:ilvl w:val="0"/>
          <w:numId w:val="2"/>
        </w:numPr>
        <w:spacing w:after="80" w:line="290"/>
      </w:pPr>
      <w:r>
        <w:t xml:space="preserve">The right to use that exact corporate name as your legal business identity.</w:t>
      </w:r>
    </w:p>
    <w:p>
      <w:pPr>
        <w:pStyle w:val="ListParagraph"/>
        <w:numPr>
          <w:ilvl w:val="0"/>
          <w:numId w:val="2"/>
        </w:numPr>
        <w:spacing w:after="80" w:line="290"/>
      </w:pPr>
      <w:r>
        <w:t xml:space="preserve">A CAC number for regulatory and banking purposes.</w:t>
      </w:r>
    </w:p>
    <w:p>
      <w:pPr>
        <w:pStyle w:val="ListParagraph"/>
        <w:numPr>
          <w:ilvl w:val="0"/>
          <w:numId w:val="2"/>
        </w:numPr>
        <w:spacing w:after="80" w:line="290"/>
      </w:pPr>
      <w:r>
        <w:t xml:space="preserve">Defensive protection against another party registering an identical company name at CAC.</w:t>
      </w:r>
    </w:p>
    <w:p>
      <w:pPr>
        <w:pStyle w:val="Heading2"/>
        <w:spacing w:after="120" w:before="260"/>
      </w:pPr>
      <w:r>
        <w:rPr>
          <w:b/>
          <w:bCs/>
          <w:color w:val="2E7D46"/>
          <w:sz w:val="26"/>
          <w:szCs w:val="26"/>
        </w:rPr>
        <w:t xml:space="preserve">3.2  What CAC registration does NOT give you</w:t>
      </w:r>
    </w:p>
    <w:p>
      <w:pPr>
        <w:pStyle w:val="ListParagraph"/>
        <w:numPr>
          <w:ilvl w:val="0"/>
          <w:numId w:val="2"/>
        </w:numPr>
        <w:spacing w:after="80" w:line="290"/>
      </w:pPr>
      <w:r>
        <w:t xml:space="preserve">No right to prevent others from using that name as a trademark on goods or services.</w:t>
      </w:r>
    </w:p>
    <w:p>
      <w:pPr>
        <w:pStyle w:val="ListParagraph"/>
        <w:numPr>
          <w:ilvl w:val="0"/>
          <w:numId w:val="2"/>
        </w:numPr>
        <w:spacing w:after="80" w:line="290"/>
      </w:pPr>
      <w:r>
        <w:t xml:space="preserve">No exclusivity over similar or phonetically-equivalent names used in commerce.</w:t>
      </w:r>
    </w:p>
    <w:p>
      <w:pPr>
        <w:pStyle w:val="ListParagraph"/>
        <w:numPr>
          <w:ilvl w:val="0"/>
          <w:numId w:val="2"/>
        </w:numPr>
        <w:spacing w:after="80" w:line="290"/>
      </w:pPr>
      <w:r>
        <w:t xml:space="preserve">No enforceable right against infringers selling under the same or a confusingly-similar brand.</w:t>
      </w:r>
    </w:p>
    <w:p>
      <w:pPr>
        <w:pStyle w:val="Heading2"/>
        <w:spacing w:after="120" w:before="260"/>
      </w:pPr>
      <w:r>
        <w:rPr>
          <w:b/>
          <w:bCs/>
          <w:color w:val="2E7D46"/>
          <w:sz w:val="26"/>
          <w:szCs w:val="26"/>
        </w:rPr>
        <w:t xml:space="preserve">3.3  What a registered trademark gives you</w:t>
      </w:r>
    </w:p>
    <w:p>
      <w:pPr>
        <w:pStyle w:val="ListParagraph"/>
        <w:numPr>
          <w:ilvl w:val="0"/>
          <w:numId w:val="2"/>
        </w:numPr>
        <w:spacing w:after="80" w:line="290"/>
      </w:pPr>
      <w:r>
        <w:t xml:space="preserve">Statutory monopoly over the mark for the registered goods / services classes, nationwide.</w:t>
      </w:r>
    </w:p>
    <w:p>
      <w:pPr>
        <w:pStyle w:val="ListParagraph"/>
        <w:numPr>
          <w:ilvl w:val="0"/>
          <w:numId w:val="2"/>
        </w:numPr>
        <w:spacing w:after="80" w:line="290"/>
      </w:pPr>
      <w:r>
        <w:t xml:space="preserve">The right to sue for infringement without needing to prove reputation first.</w:t>
      </w:r>
    </w:p>
    <w:p>
      <w:pPr>
        <w:pStyle w:val="ListParagraph"/>
        <w:numPr>
          <w:ilvl w:val="0"/>
          <w:numId w:val="2"/>
        </w:numPr>
        <w:spacing w:after="80" w:line="290"/>
      </w:pPr>
      <w:r>
        <w:t xml:space="preserve">The ability to license, assign, or use the mark as a security asset.</w:t>
      </w:r>
    </w:p>
    <w:p>
      <w:pPr>
        <w:pStyle w:val="ListParagraph"/>
        <w:numPr>
          <w:ilvl w:val="0"/>
          <w:numId w:val="2"/>
        </w:numPr>
        <w:spacing w:after="80" w:line="290"/>
      </w:pPr>
      <w:r>
        <w:t xml:space="preserve">A rebuttable presumption of validity in court — the infringer must disprove your rights, not the other way around.</w:t>
      </w:r>
    </w:p>
    <w:p>
      <w:pPr>
        <w:pStyle w:val="ListParagraph"/>
        <w:numPr>
          <w:ilvl w:val="0"/>
          <w:numId w:val="2"/>
        </w:numPr>
        <w:spacing w:after="80" w:line="290"/>
      </w:pPr>
      <w:r>
        <w:t xml:space="preserve">Recoverable statutory damages and the ability to secure injunctive relief.</w:t>
      </w:r>
    </w:p>
    <w:p>
      <w:pPr>
        <w:pStyle w:val="Heading2"/>
        <w:spacing w:after="120" w:before="260"/>
      </w:pPr>
      <w:r>
        <w:rPr>
          <w:b/>
          <w:bCs/>
          <w:color w:val="2E7D46"/>
          <w:sz w:val="26"/>
          <w:szCs w:val="26"/>
        </w:rPr>
        <w:t xml:space="preserve">3.4  When CAC and trademark rights collide</w:t>
      </w:r>
    </w:p>
    <w:p>
      <w:pPr>
        <w:spacing w:after="120" w:before="0" w:line="300"/>
      </w:pPr>
      <w:r>
        <w:t xml:space="preserve">The answer is counterintuitive but settled: where a party holds a CAC-only registration and another holds a registered trademark in the relevant classes, the trademark-holder's rights are superior over use of the name in commerce for the goods / services covered.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5E7" w:val="clear"/>
            <w:tcMar>
              <w:top w:type="dxa" w:w="160"/>
              <w:left w:type="dxa" w:w="200"/>
              <w:bottom w:type="dxa" w:w="160"/>
              <w:right w:type="dxa" w:w="200"/>
            </w:tcMar>
          </w:tcPr>
          <w:p>
            <w:pPr>
              <w:spacing w:after="80"/>
            </w:pPr>
            <w:r>
              <w:rPr>
                <w:b/>
                <w:bCs/>
                <w:sz w:val="22"/>
                <w:szCs w:val="22"/>
              </w:rPr>
              <w:t xml:space="preserve">Practical implication for AgroYield Network</w:t>
            </w:r>
          </w:p>
          <w:p>
            <w:pPr>
              <w:spacing w:after="60" w:line="290"/>
            </w:pPr>
            <w:r>
              <w:rPr>
                <w:sz w:val="20"/>
                <w:szCs w:val="20"/>
              </w:rPr>
              <w:t xml:space="preserve">Even if Agro Yield Africa Limited is a validly-incorporated CAC entity, that registration alone does not prevent AgroYield Network from securing trademark rights in the classes relevant to our product (9, 35, 36, 42, 44).</w:t>
            </w:r>
          </w:p>
          <w:p>
            <w:pPr>
              <w:spacing w:after="60" w:line="290"/>
            </w:pPr>
            <w:r>
              <w:rPr>
                <w:sz w:val="20"/>
                <w:szCs w:val="20"/>
              </w:rPr>
              <w:t xml:space="preserve">The inverse is also true: if we delay filing and they file first in our classes, we face a much harder — and more expensive — oppostion posture, possibly needing to rely on common-law passing-off (which requires evidencing goodwill and reputation, a high bar).</w:t>
            </w:r>
          </w:p>
          <w:p>
            <w:pPr>
              <w:spacing w:after="60" w:line="290"/>
            </w:pPr>
            <w:r>
              <w:rPr>
                <w:sz w:val="20"/>
                <w:szCs w:val="20"/>
              </w:rPr>
              <w:t xml:space="preserve">The cheapest insurance against that scenario is filing this week.</w:t>
            </w:r>
          </w:p>
        </w:tc>
      </w:tr>
    </w:tbl>
    <w:p>
      <w:pPr>
        <w:pStyle w:val="Heading1"/>
        <w:spacing w:after="160" w:before="320"/>
      </w:pPr>
      <w:r>
        <w:rPr>
          <w:b/>
          <w:bCs/>
          <w:color w:val="1F4E2C"/>
          <w:sz w:val="32"/>
          <w:szCs w:val="32"/>
        </w:rPr>
        <w:t xml:space="preserve">4. Recommended Nice Classification filings</w:t>
      </w:r>
    </w:p>
    <w:p>
      <w:pPr>
        <w:spacing w:after="120" w:before="0" w:line="300"/>
      </w:pPr>
      <w:r>
        <w:t xml:space="preserve">Nigeria follows the Nice Classification (13th Edition, effective 1 January 2026). Filings are made one class at a time; a "multi-class" application in Nigeria is effectively a bundle of single-class applications paid for concurrently. Scoping the right classes is the single largest cost lever in this exercise.</w:t>
      </w:r>
    </w:p>
    <w:p>
      <w:pPr>
        <w:spacing w:after="80"/>
      </w:pPr>
      <w:r>
        <w:t xml:space="preserve"/>
      </w:r>
    </w:p>
    <w:p>
      <w:pPr>
        <w:spacing w:after="120" w:before="0" w:line="300"/>
      </w:pPr>
      <w:r>
        <w:rPr>
          <w:b/>
          <w:bCs/>
        </w:rPr>
        <w:t xml:space="preserve">Strategic principle: </w:t>
      </w:r>
      <w:r>
        <w:t xml:space="preserve">file where we operate, where we plan to operate within 24 months, and where competitors are most likely to attack. For AgroYield Network that is a five-class footprint — software first (Class 9), SaaS operations second (Class 42), commercial surfaces third (Classes 35, 36, 44).</w:t>
      </w:r>
    </w:p>
    <w:p>
      <w:pPr>
        <w:pStyle w:val="Heading2"/>
        <w:spacing w:after="120" w:before="260"/>
      </w:pPr>
      <w:r>
        <w:rPr>
          <w:b/>
          <w:bCs/>
          <w:color w:val="2E7D46"/>
          <w:sz w:val="26"/>
          <w:szCs w:val="26"/>
        </w:rPr>
        <w:t xml:space="preserve">4.1  Core filings (file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Class</w:t>
            </w:r>
          </w:p>
        </w:tc>
        <w:tc>
          <w:tcPr>
            <w:tcW w:type="dxa" w:w="24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Short description</w:t>
            </w:r>
          </w:p>
        </w:tc>
        <w:tc>
          <w:tcPr>
            <w:tcW w:type="dxa" w:w="606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Why we need it</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9</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Computer software; downloadable mobile applications; digital platforms</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Our core product is a downloadable / installable software asset. Class 9 is the foundational filing for any SaaS or mobile-first product in Nigeria. It protects the mark on the app itself, the code, and the distribution package.</w:t>
            </w:r>
          </w:p>
        </w:tc>
      </w:tr>
      <w:tr>
        <w:tc>
          <w:tcPr>
            <w:tcW w:type="dxa" w:w="9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42</w:t>
            </w:r>
          </w:p>
        </w:tc>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Software as a Service (SaaS); platform as a service; technology services</w:t>
            </w:r>
          </w:p>
        </w:tc>
        <w:tc>
          <w:tcPr>
            <w:tcW w:type="dxa" w:w="60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Complements Class 9. Where 9 protects the software object, 42 protects the service of providing software on-demand over the internet. Beta users are subscribing to a service — that is 42 territory.</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36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Financial services; insurance; credit scoring; payment processing</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We operate an invoicing layer, a credit-scoring signal, and may integrate lender-facing payment flows. Class 36 protects the financial-service surface against fintech competitors who might register first in that class.</w:t>
            </w:r>
          </w:p>
        </w:tc>
      </w:tr>
      <w:tr>
        <w:tc>
          <w:tcPr>
            <w:tcW w:type="dxa" w:w="9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35</w:t>
            </w:r>
          </w:p>
        </w:tc>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Business services; advertising; commercial intermediation; online marketplace</w:t>
            </w:r>
          </w:p>
        </w:tc>
        <w:tc>
          <w:tcPr>
            <w:tcW w:type="dxa" w:w="60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Our directory, matchmaking, and commercial-intermediation features live here. Class 35 is where competing marketplaces (agri-B2B platforms) file; missing this class is a common — and expensive — mistake.</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44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Agriculture services; agronomy services; agricultural information</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Protects the domain positioning. Even though we are a software business, operating under a strongly agricultural brand without Class 44 leaves a door open for an agritech competitor to register our name for "agricultural services" and create a legitimate consumer-facing confusion.</w:t>
            </w:r>
          </w:p>
        </w:tc>
      </w:tr>
    </w:tbl>
    <w:p>
      <w:pPr>
        <w:spacing w:after="80"/>
      </w:pPr>
      <w:r>
        <w:t xml:space="preserve"/>
      </w:r>
    </w:p>
    <w:p>
      <w:pPr>
        <w:pStyle w:val="Heading2"/>
        <w:spacing w:after="120" w:before="260"/>
      </w:pPr>
      <w:r>
        <w:rPr>
          <w:b/>
          <w:bCs/>
          <w:color w:val="2E7D46"/>
          <w:sz w:val="26"/>
          <w:szCs w:val="26"/>
        </w:rPr>
        <w:t xml:space="preserve">4.2  Optional filings (consider Phase 2, post-Beta)</w:t>
      </w:r>
    </w:p>
    <w:p>
      <w:pPr>
        <w:pStyle w:val="ListParagraph"/>
        <w:numPr>
          <w:ilvl w:val="0"/>
          <w:numId w:val="2"/>
        </w:numPr>
        <w:spacing w:after="80" w:line="290"/>
      </w:pPr>
      <w:r>
        <w:t xml:space="preserve">Class 16 — printed matter, marketing collateral (only if we plan branded physical collateral at scale).</w:t>
      </w:r>
    </w:p>
    <w:p>
      <w:pPr>
        <w:pStyle w:val="ListParagraph"/>
        <w:numPr>
          <w:ilvl w:val="0"/>
          <w:numId w:val="2"/>
        </w:numPr>
        <w:spacing w:after="80" w:line="290"/>
      </w:pPr>
      <w:r>
        <w:t xml:space="preserve">Class 41 — education and training services (relevant if we formalise our farmer-onboarding curriculum).</w:t>
      </w:r>
    </w:p>
    <w:p>
      <w:pPr>
        <w:pStyle w:val="ListParagraph"/>
        <w:numPr>
          <w:ilvl w:val="0"/>
          <w:numId w:val="2"/>
        </w:numPr>
        <w:spacing w:after="80" w:line="290"/>
      </w:pPr>
      <w:r>
        <w:t xml:space="preserve">Class 45 — legal / compliance services (only if we intend to offer certification or compliance tooling as a separate commercial product).</w:t>
      </w:r>
    </w:p>
    <w:p>
      <w:pPr>
        <w:spacing w:after="80"/>
      </w:pPr>
      <w:r>
        <w:t xml:space="preserve"/>
      </w:r>
    </w:p>
    <w:p>
      <w:pPr>
        <w:spacing w:after="120" w:before="0" w:line="300"/>
      </w:pPr>
      <w:r>
        <w:rPr>
          <w:b/>
          <w:bCs/>
        </w:rPr>
        <w:t xml:space="preserve">Not recommended: </w:t>
      </w:r>
      <w:r>
        <w:t xml:space="preserve">filing in classes we do not occupy and do not plan to occupy. Defensive over-filing looks appealing but invites revocation on non-use grounds after 5 years, and burns budget that is better deployed in enforcement when infringers appear.</w:t>
      </w:r>
    </w:p>
    <w:p>
      <w:pPr>
        <w:pStyle w:val="Heading2"/>
        <w:spacing w:after="120" w:before="260"/>
      </w:pPr>
      <w:r>
        <w:rPr>
          <w:b/>
          <w:bCs/>
          <w:color w:val="2E7D46"/>
          <w:sz w:val="26"/>
          <w:szCs w:val="26"/>
        </w:rPr>
        <w:t xml:space="preserve">4.3  Mark types to file</w:t>
      </w:r>
    </w:p>
    <w:p>
      <w:pPr>
        <w:pStyle w:val="ListParagraph"/>
        <w:numPr>
          <w:ilvl w:val="0"/>
          <w:numId w:val="2"/>
        </w:numPr>
        <w:spacing w:after="80" w:line="290"/>
      </w:pPr>
      <w:r>
        <w:rPr>
          <w:b/>
          <w:bCs/>
        </w:rPr>
        <w:t xml:space="preserve">Word mark: </w:t>
      </w:r>
      <w:r>
        <w:t xml:space="preserve">"AGROYIELD NETWORK" in plain text. This is the broadest protection — it covers the words in any font, colour, or stylisation. File this first, in all five recommended classes.</w:t>
      </w:r>
    </w:p>
    <w:p>
      <w:pPr>
        <w:pStyle w:val="ListParagraph"/>
        <w:numPr>
          <w:ilvl w:val="0"/>
          <w:numId w:val="2"/>
        </w:numPr>
        <w:spacing w:after="80" w:line="290"/>
      </w:pPr>
      <w:r>
        <w:rPr>
          <w:b/>
          <w:bCs/>
        </w:rPr>
        <w:t xml:space="preserve">Device (logo) mark: </w:t>
      </w:r>
      <w:r>
        <w:t xml:space="preserve">the current AgroYield Network wordmark-plus-device. Filed only in Class 9 and Class 42 initially, to protect the visual identity on the product itself. Expanding to other classes later is cheaper than filing five classes now if the logo evolves.</w:t>
      </w:r>
    </w:p>
    <w:p>
      <w:pPr>
        <w:pStyle w:val="ListParagraph"/>
        <w:numPr>
          <w:ilvl w:val="0"/>
          <w:numId w:val="2"/>
        </w:numPr>
        <w:spacing w:after="80" w:line="290"/>
      </w:pPr>
      <w:r>
        <w:rPr>
          <w:b/>
          <w:bCs/>
        </w:rPr>
        <w:t xml:space="preserve">Recommended filing sequence: </w:t>
      </w:r>
      <w:r>
        <w:t xml:space="preserve">word mark in 9 → 42 → 35 → 36 → 44, then device mark in 9 → 42. Seven applications in total. Priority date is locked by the first filing; subsequent filings within the same week share effectively the same commercial-risk window.</w:t>
      </w:r>
    </w:p>
    <w:p>
      <w:pPr>
        <w:pStyle w:val="Heading1"/>
        <w:spacing w:after="160" w:before="320"/>
      </w:pPr>
      <w:r>
        <w:rPr>
          <w:b/>
          <w:bCs/>
          <w:color w:val="1F4E2C"/>
          <w:sz w:val="32"/>
          <w:szCs w:val="32"/>
        </w:rPr>
        <w:t xml:space="preserve">5. Nigerian trademark process — stage by stage</w:t>
      </w:r>
    </w:p>
    <w:p>
      <w:pPr>
        <w:spacing w:after="120" w:before="0" w:line="300"/>
      </w:pPr>
      <w:r>
        <w:t xml:space="preserve">The process is governed by the Trade Marks Act Cap T13 (2004) and the Trade Marks Regulations. Administered by the Federal Institute of Industrial Property (FIPO) within the Federal Ministry of Industry, Trade and Investment. Filings are made electronically through the IPO Nigeria portal (iponigeria.com / portal.iponigeria.com) and in physical copy at the Trademark Registry.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460"/>
        <w:gridCol w:w="2100"/>
      </w:tblGrid>
      <w:tr>
        <w:trPr>
          <w:tblHeader/>
        </w:trPr>
        <w:tc>
          <w:tcPr>
            <w:tcW w:type="dxa" w:w="6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w:t>
            </w:r>
          </w:p>
        </w:tc>
        <w:tc>
          <w:tcPr>
            <w:tcW w:type="dxa" w:w="22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Stage</w:t>
            </w:r>
          </w:p>
        </w:tc>
        <w:tc>
          <w:tcPr>
            <w:tcW w:type="dxa" w:w="446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What happens</w:t>
            </w:r>
          </w:p>
        </w:tc>
        <w:tc>
          <w:tcPr>
            <w:tcW w:type="dxa" w:w="21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Typical duration</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Availability search</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Formal search of the trademark register for identical / confusingly-similar marks in the target classes. Executed by an accredited agent. Returns a clearance opinion.</w:t>
            </w:r>
          </w:p>
        </w:tc>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 – 7 working days</w:t>
            </w:r>
          </w:p>
        </w:tc>
      </w:tr>
      <w:tr>
        <w:tc>
          <w:tcPr>
            <w:tcW w:type="dxa" w:w="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2</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Filing</w:t>
            </w:r>
          </w:p>
        </w:tc>
        <w:tc>
          <w:tcPr>
            <w:tcW w:type="dxa" w:w="44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Form TM-1 lodged per class with the applicant details, representation of the mark, specification of goods / services, and Power of Attorney (TM-1A). Filing date = priority date.</w:t>
            </w:r>
          </w:p>
        </w:tc>
        <w:tc>
          <w:tcPr>
            <w:tcW w:type="dxa" w:w="21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1 – 3 working days</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Acknowledgement</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Registry issues an acknowledgement letter confirming filing number, class, and priority date. This is the document we brandish at anyone filing a later competing application.</w:t>
            </w:r>
          </w:p>
        </w:tc>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 weeks after filing</w:t>
            </w:r>
          </w:p>
        </w:tc>
      </w:tr>
      <w:tr>
        <w:tc>
          <w:tcPr>
            <w:tcW w:type="dxa" w:w="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4</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Examination</w:t>
            </w:r>
          </w:p>
        </w:tc>
        <w:tc>
          <w:tcPr>
            <w:tcW w:type="dxa" w:w="44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Registry examines the application for absolute grounds (distinctiveness, descriptiveness, public policy) and relative grounds (conflict with prior marks). Office actions issued where objections arise.</w:t>
            </w:r>
          </w:p>
        </w:tc>
        <w:tc>
          <w:tcPr>
            <w:tcW w:type="dxa" w:w="21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4 – 8 months</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Acceptance</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If no objections (or objections are successfully overcome), the Registry issues a letter of acceptance — the green light for publication.</w:t>
            </w:r>
          </w:p>
        </w:tc>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Triggered after examination</w:t>
            </w:r>
          </w:p>
        </w:tc>
      </w:tr>
      <w:tr>
        <w:tc>
          <w:tcPr>
            <w:tcW w:type="dxa" w:w="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6</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Publication</w:t>
            </w:r>
          </w:p>
        </w:tc>
        <w:tc>
          <w:tcPr>
            <w:tcW w:type="dxa" w:w="44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The mark is published in the Nigerian Trademark Journal. Third parties have a statutory 2-month window to oppose.</w:t>
            </w:r>
          </w:p>
        </w:tc>
        <w:tc>
          <w:tcPr>
            <w:tcW w:type="dxa" w:w="21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~1 month after acceptance</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7</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Opposition window</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Open to anyone claiming prior rights or a legitimate objection. If unopposed or successfully defended, application proceeds. Most AgroYield-scale filings are unopposed.</w:t>
            </w:r>
          </w:p>
        </w:tc>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 months</w:t>
            </w:r>
          </w:p>
        </w:tc>
      </w:tr>
      <w:tr>
        <w:tc>
          <w:tcPr>
            <w:tcW w:type="dxa" w:w="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8</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Certificate</w:t>
            </w:r>
          </w:p>
        </w:tc>
        <w:tc>
          <w:tcPr>
            <w:tcW w:type="dxa" w:w="44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Registry issues the Certificate of Registration. Mark is enforceable as of the filing date (Stage 2), not the certificate date — the retroactive grant is the entire value proposition of filing early.</w:t>
            </w:r>
          </w:p>
        </w:tc>
        <w:tc>
          <w:tcPr>
            <w:tcW w:type="dxa" w:w="21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12 – 24 months from filing</w:t>
            </w:r>
          </w:p>
        </w:tc>
      </w:tr>
    </w:tbl>
    <w:p>
      <w:pPr>
        <w:spacing w:after="80"/>
      </w:pPr>
      <w:r>
        <w:t xml:space="preserve"/>
      </w:r>
    </w:p>
    <w:p>
      <w:pPr>
        <w:pStyle w:val="Heading2"/>
        <w:spacing w:after="120" w:before="260"/>
      </w:pPr>
      <w:r>
        <w:rPr>
          <w:b/>
          <w:bCs/>
          <w:color w:val="2E7D46"/>
          <w:sz w:val="26"/>
          <w:szCs w:val="26"/>
        </w:rPr>
        <w:t xml:space="preserve">5.1  Term and renewal</w:t>
      </w:r>
    </w:p>
    <w:p>
      <w:pPr>
        <w:pStyle w:val="ListParagraph"/>
        <w:numPr>
          <w:ilvl w:val="0"/>
          <w:numId w:val="2"/>
        </w:numPr>
        <w:spacing w:after="80" w:line="290"/>
      </w:pPr>
      <w:r>
        <w:t xml:space="preserve">Initial registration term: 7 years from the filing date.</w:t>
      </w:r>
    </w:p>
    <w:p>
      <w:pPr>
        <w:pStyle w:val="ListParagraph"/>
        <w:numPr>
          <w:ilvl w:val="0"/>
          <w:numId w:val="2"/>
        </w:numPr>
        <w:spacing w:after="80" w:line="290"/>
      </w:pPr>
      <w:r>
        <w:t xml:space="preserve">Renewal: every 14 years, indefinitely, subject to continued use and renewal-fee payment.</w:t>
      </w:r>
    </w:p>
    <w:p>
      <w:pPr>
        <w:pStyle w:val="ListParagraph"/>
        <w:numPr>
          <w:ilvl w:val="0"/>
          <w:numId w:val="2"/>
        </w:numPr>
        <w:spacing w:after="80" w:line="290"/>
      </w:pPr>
      <w:r>
        <w:t xml:space="preserve">Use requirement: a mark unused for 5 continuous years is vulnerable to revocation for non-use. Our commercial launch on 27 April places us squarely on the safe side of this requirement.</w:t>
      </w:r>
    </w:p>
    <w:p>
      <w:pPr>
        <w:pStyle w:val="Heading2"/>
        <w:spacing w:after="120" w:before="260"/>
      </w:pPr>
      <w:r>
        <w:rPr>
          <w:b/>
          <w:bCs/>
          <w:color w:val="2E7D46"/>
          <w:sz w:val="26"/>
          <w:szCs w:val="26"/>
        </w:rPr>
        <w:t xml:space="preserve">5.2  Why the filing date is the entire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5E7" w:val="clear"/>
            <w:tcMar>
              <w:top w:type="dxa" w:w="160"/>
              <w:left w:type="dxa" w:w="200"/>
              <w:bottom w:type="dxa" w:w="160"/>
              <w:right w:type="dxa" w:w="200"/>
            </w:tcMar>
          </w:tcPr>
          <w:p>
            <w:pPr>
              <w:spacing w:after="80"/>
            </w:pPr>
            <w:r>
              <w:rPr>
                <w:b/>
                <w:bCs/>
                <w:sz w:val="22"/>
                <w:szCs w:val="22"/>
              </w:rPr>
              <w:t xml:space="preserve">The priority date doctrine</w:t>
            </w:r>
          </w:p>
          <w:p>
            <w:pPr>
              <w:spacing w:after="60" w:line="290"/>
            </w:pPr>
            <w:r>
              <w:rPr>
                <w:sz w:val="20"/>
                <w:szCs w:val="20"/>
              </w:rPr>
              <w:t xml:space="preserve">Nigerian trademark rights are awarded on a first-to-file basis, subject to prior-use rebuttals that are expensive and fact-intensive to run.</w:t>
            </w:r>
          </w:p>
          <w:p>
            <w:pPr>
              <w:spacing w:after="60" w:line="290"/>
            </w:pPr>
            <w:r>
              <w:rPr>
                <w:sz w:val="20"/>
                <w:szCs w:val="20"/>
              </w:rPr>
              <w:t xml:space="preserve">The filing date is retroactively treated as the date rights arise. A certificate issued in 2028 protects us against an infringer who began using the mark in 2027 — because our rights "began" on the 2026 filing date.</w:t>
            </w:r>
          </w:p>
          <w:p>
            <w:pPr>
              <w:spacing w:after="60" w:line="290"/>
            </w:pPr>
            <w:r>
              <w:rPr>
                <w:sz w:val="20"/>
                <w:szCs w:val="20"/>
              </w:rPr>
              <w:t xml:space="preserve">Every day we delay filing after Beta launch is a day that a competitor (or Agro Yield Africa Limited) could lodge a blocking application. Once they have the earlier priority date, our counter-filing is a second-mover problem that costs an order of magnitude more to resolve.</w:t>
            </w:r>
          </w:p>
        </w:tc>
      </w:tr>
    </w:tbl>
    <w:p>
      <w:pPr>
        <w:pStyle w:val="Heading1"/>
        <w:spacing w:after="160" w:before="320"/>
      </w:pPr>
      <w:r>
        <w:rPr>
          <w:b/>
          <w:bCs/>
          <w:color w:val="1F4E2C"/>
          <w:sz w:val="32"/>
          <w:szCs w:val="32"/>
        </w:rPr>
        <w:t xml:space="preserve">6. Fee estimate — total programme cost</w:t>
      </w:r>
    </w:p>
    <w:p>
      <w:pPr>
        <w:spacing w:after="120" w:before="0" w:line="300"/>
      </w:pPr>
      <w:r>
        <w:t xml:space="preserve">Government fees are published by FIPO and denominated in Nigerian Naira. Agent fees are market-driven. Published rates vary across 2025 – 2026 published sources; the numbers below are the conservative midpoint.</w:t>
      </w:r>
    </w:p>
    <w:p>
      <w:pPr>
        <w:spacing w:after="80"/>
      </w:pPr>
      <w:r>
        <w:t xml:space="preserve"/>
      </w:r>
    </w:p>
    <w:p>
      <w:pPr>
        <w:pStyle w:val="Heading2"/>
        <w:spacing w:after="120" w:before="260"/>
      </w:pPr>
      <w:r>
        <w:rPr>
          <w:b/>
          <w:bCs/>
          <w:color w:val="2E7D46"/>
          <w:sz w:val="26"/>
          <w:szCs w:val="26"/>
        </w:rPr>
        <w:t xml:space="preserve">6.1  Government fees — per class, per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Fee head</w:t>
            </w:r>
          </w:p>
        </w:tc>
        <w:tc>
          <w:tcPr>
            <w:tcW w:type="dxa" w:w="318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Published range</w:t>
            </w:r>
          </w:p>
        </w:tc>
        <w:tc>
          <w:tcPr>
            <w:tcW w:type="dxa" w:w="318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Planning figure used</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Preliminary search fee</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₦500 – ₦1,500</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₦1,500</w:t>
            </w:r>
          </w:p>
        </w:tc>
      </w:tr>
      <w:tr>
        <w:tc>
          <w:tcPr>
            <w:tcW w:type="dxa" w:w="30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Filing fee (Form TM-1)</w:t>
            </w:r>
          </w:p>
        </w:tc>
        <w:tc>
          <w:tcPr>
            <w:tcW w:type="dxa" w:w="31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₦10,000 – ₦16,749</w:t>
            </w:r>
          </w:p>
        </w:tc>
        <w:tc>
          <w:tcPr>
            <w:tcW w:type="dxa" w:w="31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₦16,749</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Publication fee</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₦2,000 – ₦3,000</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₦3,000</w:t>
            </w:r>
          </w:p>
        </w:tc>
      </w:tr>
      <w:tr>
        <w:tc>
          <w:tcPr>
            <w:tcW w:type="dxa" w:w="30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Certificate issuance</w:t>
            </w:r>
          </w:p>
        </w:tc>
        <w:tc>
          <w:tcPr>
            <w:tcW w:type="dxa" w:w="31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₦10,000 – ₦11,530</w:t>
            </w:r>
          </w:p>
        </w:tc>
        <w:tc>
          <w:tcPr>
            <w:tcW w:type="dxa" w:w="31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₦11,530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Per-class subtotal (all stages)</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~₦32,800</w:t>
            </w:r>
          </w:p>
        </w:tc>
      </w:tr>
    </w:tbl>
    <w:p>
      <w:pPr>
        <w:spacing w:after="80"/>
      </w:pPr>
      <w:r>
        <w:t xml:space="preserve"/>
      </w:r>
    </w:p>
    <w:p>
      <w:pPr>
        <w:pStyle w:val="Heading2"/>
        <w:spacing w:after="120" w:before="260"/>
      </w:pPr>
      <w:r>
        <w:rPr>
          <w:b/>
          <w:bCs/>
          <w:color w:val="2E7D46"/>
          <w:sz w:val="26"/>
          <w:szCs w:val="26"/>
        </w:rPr>
        <w:t xml:space="preserve">6.2  Programme total — seven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2000"/>
      </w:tblGrid>
      <w:tr>
        <w:trPr>
          <w:tblHeader/>
        </w:trPr>
        <w:tc>
          <w:tcPr>
            <w:tcW w:type="dxa" w:w="30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Line item</w:t>
            </w:r>
          </w:p>
        </w:tc>
        <w:tc>
          <w:tcPr>
            <w:tcW w:type="dxa" w:w="218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Qty</w:t>
            </w:r>
          </w:p>
        </w:tc>
        <w:tc>
          <w:tcPr>
            <w:tcW w:type="dxa" w:w="218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Unit</w:t>
            </w:r>
          </w:p>
        </w:tc>
        <w:tc>
          <w:tcPr>
            <w:tcW w:type="dxa" w:w="20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Subtotal</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Word mark — 5 classes (9, 35, 36, 42, 44)</w:t>
            </w:r>
          </w:p>
        </w:tc>
        <w:tc>
          <w:tcPr>
            <w:tcW w:type="dxa" w:w="2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 applications</w:t>
            </w:r>
          </w:p>
        </w:tc>
        <w:tc>
          <w:tcPr>
            <w:tcW w:type="dxa" w:w="2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₦32,800 govt</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₦164,000</w:t>
            </w:r>
          </w:p>
        </w:tc>
      </w:tr>
      <w:tr>
        <w:tc>
          <w:tcPr>
            <w:tcW w:type="dxa" w:w="30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Device mark — 2 classes (9, 42)</w:t>
            </w:r>
          </w:p>
        </w:tc>
        <w:tc>
          <w:tcPr>
            <w:tcW w:type="dxa" w:w="21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2 applications</w:t>
            </w:r>
          </w:p>
        </w:tc>
        <w:tc>
          <w:tcPr>
            <w:tcW w:type="dxa" w:w="21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₦32,800 govt</w:t>
            </w:r>
          </w:p>
        </w:tc>
        <w:tc>
          <w:tcPr>
            <w:tcW w:type="dxa" w:w="20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₦65,600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Government total</w:t>
            </w:r>
          </w:p>
        </w:tc>
        <w:tc>
          <w:tcPr>
            <w:tcW w:type="dxa" w:w="2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7 applications</w:t>
            </w:r>
          </w:p>
        </w:tc>
        <w:tc>
          <w:tcPr>
            <w:tcW w:type="dxa" w:w="2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₦229,600</w:t>
            </w:r>
          </w:p>
        </w:tc>
      </w:tr>
      <w:tr>
        <w:tc>
          <w:tcPr>
            <w:tcW w:type="dxa" w:w="30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Agent professional fees — per class</w:t>
            </w:r>
          </w:p>
        </w:tc>
        <w:tc>
          <w:tcPr>
            <w:tcW w:type="dxa" w:w="21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7 applications</w:t>
            </w:r>
          </w:p>
        </w:tc>
        <w:tc>
          <w:tcPr>
            <w:tcW w:type="dxa" w:w="218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₦75,000 – ₦150,000</w:t>
            </w:r>
          </w:p>
        </w:tc>
        <w:tc>
          <w:tcPr>
            <w:tcW w:type="dxa" w:w="20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₦525,000 – ₦1,050,000</w:t>
            </w:r>
          </w:p>
        </w:tc>
      </w:tr>
      <w:tr>
        <w:tc>
          <w:tcPr>
            <w:tcW w:type="dxa" w:w="3000"/>
            <w:tcBorders>
              <w:top w:val="single" w:color="CCCCCC" w:sz="4"/>
              <w:left w:val="single" w:color="CCCCCC" w:sz="4"/>
              <w:bottom w:val="single" w:color="CCCCCC" w:sz="4"/>
              <w:right w:val="single" w:color="CCCCCC" w:sz="4"/>
            </w:tcBorders>
            <w:shd w:fill="E7F5E7" w:val="clear"/>
            <w:tcMar>
              <w:top w:type="dxa" w:w="100"/>
              <w:left w:type="dxa" w:w="140"/>
              <w:bottom w:type="dxa" w:w="100"/>
              <w:right w:type="dxa" w:w="140"/>
            </w:tcMar>
          </w:tcPr>
          <w:p>
            <w:r>
              <w:rPr>
                <w:b/>
                <w:bCs/>
                <w:sz w:val="20"/>
                <w:szCs w:val="20"/>
              </w:rPr>
              <w:t xml:space="preserve">Programme low estimate</w:t>
            </w:r>
          </w:p>
        </w:tc>
        <w:tc>
          <w:tcPr>
            <w:tcW w:type="dxa" w:w="2180"/>
            <w:tcBorders>
              <w:top w:val="single" w:color="CCCCCC" w:sz="4"/>
              <w:left w:val="single" w:color="CCCCCC" w:sz="4"/>
              <w:bottom w:val="single" w:color="CCCCCC" w:sz="4"/>
              <w:right w:val="single" w:color="CCCCCC" w:sz="4"/>
            </w:tcBorders>
            <w:shd w:fill="E7F5E7" w:val="clear"/>
            <w:tcMar>
              <w:top w:type="dxa" w:w="100"/>
              <w:left w:type="dxa" w:w="140"/>
              <w:bottom w:type="dxa" w:w="100"/>
              <w:right w:type="dxa" w:w="140"/>
            </w:tcMar>
          </w:tcPr>
          <w:p>
            <w:r>
              <w:rPr>
                <w:sz w:val="20"/>
                <w:szCs w:val="20"/>
              </w:rPr>
              <w:t xml:space="preserve">—</w:t>
            </w:r>
          </w:p>
        </w:tc>
        <w:tc>
          <w:tcPr>
            <w:tcW w:type="dxa" w:w="2180"/>
            <w:tcBorders>
              <w:top w:val="single" w:color="CCCCCC" w:sz="4"/>
              <w:left w:val="single" w:color="CCCCCC" w:sz="4"/>
              <w:bottom w:val="single" w:color="CCCCCC" w:sz="4"/>
              <w:right w:val="single" w:color="CCCCCC" w:sz="4"/>
            </w:tcBorders>
            <w:shd w:fill="E7F5E7" w:val="clear"/>
            <w:tcMar>
              <w:top w:type="dxa" w:w="100"/>
              <w:left w:type="dxa" w:w="140"/>
              <w:bottom w:type="dxa" w:w="100"/>
              <w:right w:type="dxa" w:w="140"/>
            </w:tcMar>
          </w:tcPr>
          <w:p>
            <w:r>
              <w:rPr>
                <w:sz w:val="20"/>
                <w:szCs w:val="20"/>
              </w:rPr>
              <w:t xml:space="preserve">—</w:t>
            </w:r>
          </w:p>
        </w:tc>
        <w:tc>
          <w:tcPr>
            <w:tcW w:type="dxa" w:w="2000"/>
            <w:tcBorders>
              <w:top w:val="single" w:color="CCCCCC" w:sz="4"/>
              <w:left w:val="single" w:color="CCCCCC" w:sz="4"/>
              <w:bottom w:val="single" w:color="CCCCCC" w:sz="4"/>
              <w:right w:val="single" w:color="CCCCCC" w:sz="4"/>
            </w:tcBorders>
            <w:shd w:fill="E7F5E7" w:val="clear"/>
            <w:tcMar>
              <w:top w:type="dxa" w:w="100"/>
              <w:left w:type="dxa" w:w="140"/>
              <w:bottom w:type="dxa" w:w="100"/>
              <w:right w:type="dxa" w:w="140"/>
            </w:tcMar>
          </w:tcPr>
          <w:p>
            <w:r>
              <w:rPr>
                <w:b/>
                <w:bCs/>
                <w:sz w:val="20"/>
                <w:szCs w:val="20"/>
              </w:rPr>
              <w:t xml:space="preserve">₦754,600</w:t>
            </w:r>
          </w:p>
        </w:tc>
      </w:tr>
      <w:tr>
        <w:tc>
          <w:tcPr>
            <w:tcW w:type="dxa" w:w="3000"/>
            <w:tcBorders>
              <w:top w:val="single" w:color="CCCCCC" w:sz="4"/>
              <w:left w:val="single" w:color="CCCCCC" w:sz="4"/>
              <w:bottom w:val="single" w:color="CCCCCC" w:sz="4"/>
              <w:right w:val="single" w:color="CCCCCC" w:sz="4"/>
            </w:tcBorders>
            <w:shd w:fill="FFF4D6" w:val="clear"/>
            <w:tcMar>
              <w:top w:type="dxa" w:w="100"/>
              <w:left w:type="dxa" w:w="140"/>
              <w:bottom w:type="dxa" w:w="100"/>
              <w:right w:type="dxa" w:w="140"/>
            </w:tcMar>
          </w:tcPr>
          <w:p>
            <w:r>
              <w:rPr>
                <w:b/>
                <w:bCs/>
                <w:sz w:val="20"/>
                <w:szCs w:val="20"/>
              </w:rPr>
              <w:t xml:space="preserve">Programme high estimate</w:t>
            </w:r>
          </w:p>
        </w:tc>
        <w:tc>
          <w:tcPr>
            <w:tcW w:type="dxa" w:w="2180"/>
            <w:tcBorders>
              <w:top w:val="single" w:color="CCCCCC" w:sz="4"/>
              <w:left w:val="single" w:color="CCCCCC" w:sz="4"/>
              <w:bottom w:val="single" w:color="CCCCCC" w:sz="4"/>
              <w:right w:val="single" w:color="CCCCCC" w:sz="4"/>
            </w:tcBorders>
            <w:shd w:fill="FFF4D6" w:val="clear"/>
            <w:tcMar>
              <w:top w:type="dxa" w:w="100"/>
              <w:left w:type="dxa" w:w="140"/>
              <w:bottom w:type="dxa" w:w="100"/>
              <w:right w:type="dxa" w:w="140"/>
            </w:tcMar>
          </w:tcPr>
          <w:p>
            <w:r>
              <w:rPr>
                <w:sz w:val="20"/>
                <w:szCs w:val="20"/>
              </w:rPr>
              <w:t xml:space="preserve">—</w:t>
            </w:r>
          </w:p>
        </w:tc>
        <w:tc>
          <w:tcPr>
            <w:tcW w:type="dxa" w:w="2180"/>
            <w:tcBorders>
              <w:top w:val="single" w:color="CCCCCC" w:sz="4"/>
              <w:left w:val="single" w:color="CCCCCC" w:sz="4"/>
              <w:bottom w:val="single" w:color="CCCCCC" w:sz="4"/>
              <w:right w:val="single" w:color="CCCCCC" w:sz="4"/>
            </w:tcBorders>
            <w:shd w:fill="FFF4D6" w:val="clear"/>
            <w:tcMar>
              <w:top w:type="dxa" w:w="100"/>
              <w:left w:type="dxa" w:w="140"/>
              <w:bottom w:type="dxa" w:w="100"/>
              <w:right w:type="dxa" w:w="140"/>
            </w:tcMar>
          </w:tcPr>
          <w:p>
            <w:r>
              <w:rPr>
                <w:sz w:val="20"/>
                <w:szCs w:val="20"/>
              </w:rPr>
              <w:t xml:space="preserve">—</w:t>
            </w:r>
          </w:p>
        </w:tc>
        <w:tc>
          <w:tcPr>
            <w:tcW w:type="dxa" w:w="2000"/>
            <w:tcBorders>
              <w:top w:val="single" w:color="CCCCCC" w:sz="4"/>
              <w:left w:val="single" w:color="CCCCCC" w:sz="4"/>
              <w:bottom w:val="single" w:color="CCCCCC" w:sz="4"/>
              <w:right w:val="single" w:color="CCCCCC" w:sz="4"/>
            </w:tcBorders>
            <w:shd w:fill="FFF4D6" w:val="clear"/>
            <w:tcMar>
              <w:top w:type="dxa" w:w="100"/>
              <w:left w:type="dxa" w:w="140"/>
              <w:bottom w:type="dxa" w:w="100"/>
              <w:right w:type="dxa" w:w="140"/>
            </w:tcMar>
          </w:tcPr>
          <w:p>
            <w:r>
              <w:rPr>
                <w:b/>
                <w:bCs/>
                <w:sz w:val="20"/>
                <w:szCs w:val="20"/>
              </w:rPr>
              <w:t xml:space="preserve">₦1,279,600</w:t>
            </w:r>
          </w:p>
        </w:tc>
      </w:tr>
    </w:tbl>
    <w:p>
      <w:pPr>
        <w:spacing w:after="80"/>
      </w:pPr>
      <w:r>
        <w:t xml:space="preserve"/>
      </w:r>
    </w:p>
    <w:p>
      <w:pPr>
        <w:pStyle w:val="Heading2"/>
        <w:spacing w:after="120" w:before="260"/>
      </w:pPr>
      <w:r>
        <w:rPr>
          <w:b/>
          <w:bCs/>
          <w:color w:val="2E7D46"/>
          <w:sz w:val="26"/>
          <w:szCs w:val="26"/>
        </w:rPr>
        <w:t xml:space="preserve">6.3  Budget guidance</w:t>
      </w:r>
    </w:p>
    <w:p>
      <w:pPr>
        <w:pStyle w:val="ListParagraph"/>
        <w:numPr>
          <w:ilvl w:val="0"/>
          <w:numId w:val="2"/>
        </w:numPr>
        <w:spacing w:after="80" w:line="290"/>
      </w:pPr>
      <w:r>
        <w:t xml:space="preserve">Baseline recommendation: budget ₦1.2M for the full programme. That assumes mid-market agent fees and includes contingency for one office action per class.</w:t>
      </w:r>
    </w:p>
    <w:p>
      <w:pPr>
        <w:pStyle w:val="ListParagraph"/>
        <w:numPr>
          <w:ilvl w:val="0"/>
          <w:numId w:val="2"/>
        </w:numPr>
        <w:spacing w:after="80" w:line="290"/>
      </w:pPr>
      <w:r>
        <w:t xml:space="preserve">Minimum viable filing: ₦400K covers word mark filing in Classes 9 and 42 only with a low-cost agent. This preserves the priority date in our two highest-stake classes and defers the other three by up to 60 days without materially worsening our position.</w:t>
      </w:r>
    </w:p>
    <w:p>
      <w:pPr>
        <w:pStyle w:val="ListParagraph"/>
        <w:numPr>
          <w:ilvl w:val="0"/>
          <w:numId w:val="2"/>
        </w:numPr>
        <w:spacing w:after="80" w:line="290"/>
      </w:pPr>
      <w:r>
        <w:t xml:space="preserve">What doubles these numbers fast: office action responses (₦50 – 100K per class), opposition defence (₦250K – ₦1M per opposition), and splitting the filings across multiple agents (doubles coordination overhead).</w:t>
      </w:r>
    </w:p>
    <w:p>
      <w:pPr>
        <w:pStyle w:val="Heading1"/>
        <w:spacing w:after="160" w:before="320"/>
      </w:pPr>
      <w:r>
        <w:rPr>
          <w:b/>
          <w:bCs/>
          <w:color w:val="1F4E2C"/>
          <w:sz w:val="32"/>
          <w:szCs w:val="32"/>
        </w:rPr>
        <w:t xml:space="preserve">7. Recommendation and filing plan</w:t>
      </w:r>
    </w:p>
    <w:p>
      <w:pPr>
        <w:spacing w:after="120" w:before="0" w:line="300"/>
      </w:pPr>
      <w:r>
        <w:t xml:space="preserve">This section is the actionable output. It combines the preceding analysis into a specific, dated sequence of steps aligned with the 27 April Beta launch.</w:t>
      </w:r>
    </w:p>
    <w:p>
      <w:pPr>
        <w:pStyle w:val="Heading2"/>
        <w:spacing w:after="120" w:before="260"/>
      </w:pPr>
      <w:r>
        <w:rPr>
          <w:b/>
          <w:bCs/>
          <w:color w:val="2E7D46"/>
          <w:sz w:val="26"/>
          <w:szCs w:val="26"/>
        </w:rPr>
        <w:t xml:space="preserve">7.1  Risk-rated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5E7" w:val="clear"/>
            <w:tcMar>
              <w:top w:type="dxa" w:w="160"/>
              <w:left w:type="dxa" w:w="200"/>
              <w:bottom w:type="dxa" w:w="160"/>
              <w:right w:type="dxa" w:w="200"/>
            </w:tcMar>
          </w:tcPr>
          <w:p>
            <w:pPr>
              <w:spacing w:after="80"/>
            </w:pPr>
            <w:r>
              <w:rPr>
                <w:b/>
                <w:bCs/>
                <w:sz w:val="22"/>
                <w:szCs w:val="22"/>
              </w:rPr>
              <w:t xml:space="preserve">DECISION: File "AGROYIELD NETWORK" this week. Risk rating — MODERATE, net-positive expected value.</w:t>
            </w:r>
          </w:p>
          <w:p>
            <w:pPr>
              <w:spacing w:after="60" w:line="290"/>
            </w:pPr>
            <w:r>
              <w:rPr>
                <w:sz w:val="20"/>
                <w:szCs w:val="20"/>
              </w:rPr>
              <w:t xml:space="preserve">Collision risk from Agro Yield Africa Limited is real but unsupported by any observable commercial activity. Filing in classes where we actively operate (9, 42, 35, 36, 44) dramatically reduces their position regardless of their CAC status.</w:t>
            </w:r>
          </w:p>
          <w:p>
            <w:pPr>
              <w:spacing w:after="60" w:line="290"/>
            </w:pPr>
            <w:r>
              <w:rPr>
                <w:sz w:val="20"/>
                <w:szCs w:val="20"/>
              </w:rPr>
              <w:t xml:space="preserve">The downside of filing is financial (~₦1.2M over the next 12 – 18 months) and reversible (failed applications can be refiled with amendments). The downside of not filing is brand-existential (a blocking application from any competitor eliminates our ability to defend the name in court) and irreversible.</w:t>
            </w:r>
          </w:p>
          <w:p>
            <w:pPr>
              <w:spacing w:after="60" w:line="290"/>
            </w:pPr>
            <w:r>
              <w:rPr>
                <w:sz w:val="20"/>
                <w:szCs w:val="20"/>
              </w:rPr>
              <w:t xml:space="preserve">The priority date captured this week protects every line of product development, every marketing investment, and every customer trust signal we accumulate between Beta and the eventual certificate issuance in late 2027 / 2028.</w:t>
            </w:r>
          </w:p>
        </w:tc>
      </w:tr>
    </w:tbl>
    <w:p>
      <w:pPr>
        <w:spacing w:after="80"/>
      </w:pPr>
      <w:r>
        <w:t xml:space="preserve"/>
      </w:r>
    </w:p>
    <w:p>
      <w:pPr>
        <w:pStyle w:val="Heading2"/>
        <w:spacing w:after="120" w:before="260"/>
      </w:pPr>
      <w:r>
        <w:rPr>
          <w:b/>
          <w:bCs/>
          <w:color w:val="2E7D46"/>
          <w:sz w:val="26"/>
          <w:szCs w:val="26"/>
        </w:rPr>
        <w:t xml:space="preserve">7.2  Filing sequence — 22 to 26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3260"/>
        <w:gridCol w:w="1600"/>
      </w:tblGrid>
      <w:tr>
        <w:trPr>
          <w:tblHeader/>
        </w:trPr>
        <w:tc>
          <w:tcPr>
            <w:tcW w:type="dxa" w:w="17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Date</w:t>
            </w:r>
          </w:p>
        </w:tc>
        <w:tc>
          <w:tcPr>
            <w:tcW w:type="dxa" w:w="28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Action</w:t>
            </w:r>
          </w:p>
        </w:tc>
        <w:tc>
          <w:tcPr>
            <w:tcW w:type="dxa" w:w="326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Deliverable / done-condition</w:t>
            </w:r>
          </w:p>
        </w:tc>
        <w:tc>
          <w:tcPr>
            <w:tcW w:type="dxa" w:w="16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Owner</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Tue 21 Apr</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Approve this brief; commission agent shortlist (Deliverable 2)</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Written go-ahead on recommended scope and budget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Founder</w:t>
            </w:r>
          </w:p>
        </w:tc>
      </w:tr>
      <w:tr>
        <w:tc>
          <w:tcPr>
            <w:tcW w:type="dxa" w:w="17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Wed 22 Apr AM</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Receive Deliverable 2 — agent shortlist with fee bands</w:t>
            </w:r>
          </w:p>
        </w:tc>
        <w:tc>
          <w:tcPr>
            <w:tcW w:type="dxa" w:w="32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3–5 accredited-agent candidates ranked with outreach emails drafted</w:t>
            </w:r>
          </w:p>
        </w:tc>
        <w:tc>
          <w:tcPr>
            <w:tcW w:type="dxa" w:w="1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Claude</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Wed 22 Apr PM</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Send outreach, request engagement letters</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Emails sent to all shortlisted firms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Founder</w:t>
            </w:r>
          </w:p>
        </w:tc>
      </w:tr>
      <w:tr>
        <w:tc>
          <w:tcPr>
            <w:tcW w:type="dxa" w:w="17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Thu 23 Apr</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Select agent; receive Deliverable 3 — application package draft</w:t>
            </w:r>
          </w:p>
        </w:tc>
        <w:tc>
          <w:tcPr>
            <w:tcW w:type="dxa" w:w="32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Engagement letter signed; Nice class specifications, Power of Attorney, mark specimen, applicant entity details assembled</w:t>
            </w:r>
          </w:p>
        </w:tc>
        <w:tc>
          <w:tcPr>
            <w:tcW w:type="dxa" w:w="1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Founder + Claude</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Fri 24 Apr</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Agent executes formal registry search on IPO Nigeria portal</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Clearance opinion covering the 5 classes for the word mark + 2 classes for the device mark</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Agent</w:t>
            </w:r>
          </w:p>
        </w:tc>
      </w:tr>
      <w:tr>
        <w:tc>
          <w:tcPr>
            <w:tcW w:type="dxa" w:w="17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Mon 26 Apr</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Lodge 7 TM-1 applications; pay filing fees</w:t>
            </w:r>
          </w:p>
        </w:tc>
        <w:tc>
          <w:tcPr>
            <w:tcW w:type="dxa" w:w="32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Priority date locked for "AGROYIELD NETWORK" in all 7 applications BEFORE Beta launch</w:t>
            </w:r>
          </w:p>
        </w:tc>
        <w:tc>
          <w:tcPr>
            <w:tcW w:type="dxa" w:w="1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Agent</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Tue 27 Apr</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Beta launch with trademark applications on file</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"TM" notation may be used immediately on marketing surfaces; "®" only after certificate</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Founder</w:t>
            </w:r>
          </w:p>
        </w:tc>
      </w:tr>
    </w:tbl>
    <w:p>
      <w:pPr>
        <w:spacing w:after="80"/>
      </w:pPr>
      <w:r>
        <w:t xml:space="preserve"/>
      </w:r>
    </w:p>
    <w:p>
      <w:pPr>
        <w:pStyle w:val="Heading2"/>
        <w:spacing w:after="120" w:before="260"/>
      </w:pPr>
      <w:r>
        <w:rPr>
          <w:b/>
          <w:bCs/>
          <w:color w:val="2E7D46"/>
          <w:sz w:val="26"/>
          <w:szCs w:val="26"/>
        </w:rPr>
        <w:t xml:space="preserve">7.3  Fallback plan if 26 April filing slips</w:t>
      </w:r>
    </w:p>
    <w:p>
      <w:pPr>
        <w:pStyle w:val="ListParagraph"/>
        <w:numPr>
          <w:ilvl w:val="0"/>
          <w:numId w:val="2"/>
        </w:numPr>
        <w:spacing w:after="80" w:line="290"/>
      </w:pPr>
      <w:r>
        <w:t xml:space="preserve">Slip of 1 – 3 days is acceptable: file any time before 30 April. The priority-date value is not degraded by launch timing.</w:t>
      </w:r>
    </w:p>
    <w:p>
      <w:pPr>
        <w:pStyle w:val="ListParagraph"/>
        <w:numPr>
          <w:ilvl w:val="0"/>
          <w:numId w:val="2"/>
        </w:numPr>
        <w:spacing w:after="80" w:line="290"/>
      </w:pPr>
      <w:r>
        <w:t xml:space="preserve">Slip of 1 – 2 weeks: file the Class 9 + 42 minimum package first (₦400K programme) to capture priority in the highest-stake classes; complete the other three classes within 60 days.</w:t>
      </w:r>
    </w:p>
    <w:p>
      <w:pPr>
        <w:pStyle w:val="ListParagraph"/>
        <w:numPr>
          <w:ilvl w:val="0"/>
          <w:numId w:val="2"/>
        </w:numPr>
        <w:spacing w:after="80" w:line="290"/>
      </w:pPr>
      <w:r>
        <w:t xml:space="preserve">Slip beyond 4 weeks: treat as a failure mode. Pause Beta marketing that relies on the "AgroYield Network" brand identity until filing is secured, or accept an elevated legal risk posture with a documented mitigation plan.</w:t>
      </w:r>
    </w:p>
    <w:p>
      <w:pPr>
        <w:pStyle w:val="Heading2"/>
        <w:spacing w:after="120" w:before="260"/>
      </w:pPr>
      <w:r>
        <w:rPr>
          <w:b/>
          <w:bCs/>
          <w:color w:val="2E7D46"/>
          <w:sz w:val="26"/>
          <w:szCs w:val="26"/>
        </w:rPr>
        <w:t xml:space="preserve">7.4  Signals to watch during the process</w:t>
      </w:r>
    </w:p>
    <w:p>
      <w:pPr>
        <w:pStyle w:val="ListParagraph"/>
        <w:numPr>
          <w:ilvl w:val="0"/>
          <w:numId w:val="2"/>
        </w:numPr>
        <w:spacing w:after="80" w:line="290"/>
      </w:pPr>
      <w:r>
        <w:t xml:space="preserve">Agent-run registry search returns a conflicting prior mark in our target classes: pause; engage agent on opposition feasibility before filing; assess rebrand option with fresh data.</w:t>
      </w:r>
    </w:p>
    <w:p>
      <w:pPr>
        <w:pStyle w:val="ListParagraph"/>
        <w:numPr>
          <w:ilvl w:val="0"/>
          <w:numId w:val="2"/>
        </w:numPr>
        <w:spacing w:after="80" w:line="290"/>
      </w:pPr>
      <w:r>
        <w:t xml:space="preserve">Office action issued during examination: normal and expected. Budget 1 response per class. Agent handles as part of engagement.</w:t>
      </w:r>
    </w:p>
    <w:p>
      <w:pPr>
        <w:pStyle w:val="ListParagraph"/>
        <w:numPr>
          <w:ilvl w:val="0"/>
          <w:numId w:val="2"/>
        </w:numPr>
        <w:spacing w:after="80" w:line="290"/>
      </w:pPr>
      <w:r>
        <w:t xml:space="preserve">Opposition filed within the 2-month window: rare for names without a commercial footprint, but if it comes from Agro Yield Africa Limited, we then have a forced-clarity moment and full disclosure of their actual business — useful intelligence we cannot currently obtain.</w:t>
      </w:r>
    </w:p>
    <w:p>
      <w:pPr>
        <w:pStyle w:val="Heading1"/>
        <w:spacing w:after="160" w:before="320"/>
      </w:pPr>
      <w:r>
        <w:rPr>
          <w:b/>
          <w:bCs/>
          <w:color w:val="1F4E2C"/>
          <w:sz w:val="32"/>
          <w:szCs w:val="32"/>
        </w:rPr>
        <w:t xml:space="preserve">Appendix A — Legal and administrative framework</w:t>
      </w:r>
    </w:p>
    <w:p>
      <w:pPr>
        <w:pStyle w:val="ListParagraph"/>
        <w:numPr>
          <w:ilvl w:val="0"/>
          <w:numId w:val="2"/>
        </w:numPr>
        <w:spacing w:after="80" w:line="290"/>
      </w:pPr>
      <w:r>
        <w:t xml:space="preserve">Primary statute: Trade Marks Act, Cap T13, Laws of the Federation of Nigeria 2004.</w:t>
      </w:r>
    </w:p>
    <w:p>
      <w:pPr>
        <w:pStyle w:val="ListParagraph"/>
        <w:numPr>
          <w:ilvl w:val="0"/>
          <w:numId w:val="2"/>
        </w:numPr>
        <w:spacing w:after="80" w:line="290"/>
      </w:pPr>
      <w:r>
        <w:t xml:space="preserve">Subsidiary instrument: Trade Marks Regulations (1967, as amended).</w:t>
      </w:r>
    </w:p>
    <w:p>
      <w:pPr>
        <w:pStyle w:val="ListParagraph"/>
        <w:numPr>
          <w:ilvl w:val="0"/>
          <w:numId w:val="2"/>
        </w:numPr>
        <w:spacing w:after="80" w:line="290"/>
      </w:pPr>
      <w:r>
        <w:t xml:space="preserve">Classification: Nice Classification 13th Edition (effective 1 January 2026).</w:t>
      </w:r>
    </w:p>
    <w:p>
      <w:pPr>
        <w:pStyle w:val="ListParagraph"/>
        <w:numPr>
          <w:ilvl w:val="0"/>
          <w:numId w:val="2"/>
        </w:numPr>
        <w:spacing w:after="80" w:line="290"/>
      </w:pPr>
      <w:r>
        <w:t xml:space="preserve">Administering agency: Federal Institute of Industrial Property (FIPO) within the Federal Ministry of Industry, Trade and Investment. Also referenced as IPO Nigeria / NIPO / Trademarks, Patents and Designs Registry.</w:t>
      </w:r>
    </w:p>
    <w:p>
      <w:pPr>
        <w:pStyle w:val="ListParagraph"/>
        <w:numPr>
          <w:ilvl w:val="0"/>
          <w:numId w:val="2"/>
        </w:numPr>
        <w:spacing w:after="80" w:line="290"/>
      </w:pPr>
      <w:r>
        <w:t xml:space="preserve">Electronic portal: iponigeria.com and portal.iponigeria.com.</w:t>
      </w:r>
    </w:p>
    <w:p>
      <w:pPr>
        <w:pStyle w:val="ListParagraph"/>
        <w:numPr>
          <w:ilvl w:val="0"/>
          <w:numId w:val="2"/>
        </w:numPr>
        <w:spacing w:after="80" w:line="290"/>
      </w:pPr>
      <w:r>
        <w:t xml:space="preserve">Filing prerequisite: representation by an accredited trademark agent; direct individual filings are permissible in theory but rarely attempted in practice.</w:t>
      </w:r>
    </w:p>
    <w:p>
      <w:pPr>
        <w:spacing w:after="80"/>
      </w:pPr>
      <w:r>
        <w:t xml:space="preserve"/>
      </w:r>
    </w:p>
    <w:p>
      <w:pPr>
        <w:pStyle w:val="Heading1"/>
        <w:spacing w:after="160" w:before="320"/>
      </w:pPr>
      <w:r>
        <w:rPr>
          <w:b/>
          <w:bCs/>
          <w:color w:val="1F4E2C"/>
          <w:sz w:val="32"/>
          <w:szCs w:val="32"/>
        </w:rP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CAC</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Corporate Affairs Commission. Registers company names and ownership structures. Separate system from trademarks.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Class / Nice Class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category of goods or services defined by the Nice Classification. Filings are made per class.</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Device mark</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 trademark that includes graphical / logo elements as well as (or instead of) words.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FIPO</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Federal Institute of Industrial Property. The Nigerian trademark office.</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Office action</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 written objection or query issued by the Registry during examination. Must be responded to within a statutory window.</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Opposition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third-party challenge to a pending application, lodged within the 2-month publication window.</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Passing off</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Common-law claim protecting unregistered marks where the claimant can prove goodwill, misrepresentation, and damage.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Power of Attorney (TM-1A)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Instrument authorising the trademark agent to act on the applicant's behalf.</w:t>
            </w:r>
          </w:p>
        </w:tc>
      </w:tr>
      <w:tr>
        <w:tc>
          <w:tcPr>
            <w:tcW w:type="dxa" w:w="2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Priority date</w:t>
            </w:r>
          </w:p>
        </w:tc>
        <w:tc>
          <w:tcPr>
            <w:tcW w:type="dxa" w:w="69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The filing date of the application, from which rights are retroactively deemed to run.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Word mark</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trademark consisting of the plain words themselves, protected in any font or stylisation.</w:t>
            </w:r>
          </w:p>
        </w:tc>
      </w:tr>
    </w:tbl>
    <w:p>
      <w:pPr>
        <w:spacing w:after="80"/>
      </w:pPr>
      <w:r>
        <w:t xml:space="preserve"/>
      </w:r>
    </w:p>
    <w:p>
      <w:pPr>
        <w:pStyle w:val="Heading1"/>
        <w:spacing w:after="160" w:before="320"/>
      </w:pPr>
      <w:r>
        <w:rPr>
          <w:b/>
          <w:bCs/>
          <w:color w:val="1F4E2C"/>
          <w:sz w:val="32"/>
          <w:szCs w:val="32"/>
        </w:rPr>
        <w:t xml:space="preserve">Appendix C — Sources and caveats</w:t>
      </w:r>
    </w:p>
    <w:p>
      <w:pPr>
        <w:pStyle w:val="ListParagraph"/>
        <w:numPr>
          <w:ilvl w:val="0"/>
          <w:numId w:val="2"/>
        </w:numPr>
        <w:spacing w:after="80" w:line="290"/>
      </w:pPr>
      <w:r>
        <w:t xml:space="preserve">Trade Marks Act Cap T13, Laws of the Federation of Nigeria 2004 — primary statute.</w:t>
      </w:r>
    </w:p>
    <w:p>
      <w:pPr>
        <w:pStyle w:val="ListParagraph"/>
        <w:numPr>
          <w:ilvl w:val="0"/>
          <w:numId w:val="2"/>
        </w:numPr>
        <w:spacing w:after="80" w:line="290"/>
      </w:pPr>
      <w:r>
        <w:t xml:space="preserve">IPO Nigeria published fee schedule and Trademark Journal publication practice, as reflected in 2025 – 2026 agent commentary.</w:t>
      </w:r>
    </w:p>
    <w:p>
      <w:pPr>
        <w:pStyle w:val="ListParagraph"/>
        <w:numPr>
          <w:ilvl w:val="0"/>
          <w:numId w:val="2"/>
        </w:numPr>
        <w:spacing w:after="80" w:line="290"/>
      </w:pPr>
      <w:r>
        <w:t xml:space="preserve">Nice Classification 13th Edition — WIPO publication, effective 1 January 2026.</w:t>
      </w:r>
    </w:p>
    <w:p>
      <w:pPr>
        <w:pStyle w:val="ListParagraph"/>
        <w:numPr>
          <w:ilvl w:val="0"/>
          <w:numId w:val="2"/>
        </w:numPr>
        <w:spacing w:after="80" w:line="290"/>
      </w:pPr>
      <w:r>
        <w:t xml:space="preserve">Open-web searches executed 21 April 2026 for "Agro Yield Africa Limited" and adjacent terms.</w:t>
      </w:r>
    </w:p>
    <w:p>
      <w:pPr>
        <w:pStyle w:val="ListParagraph"/>
        <w:numPr>
          <w:ilvl w:val="0"/>
          <w:numId w:val="2"/>
        </w:numPr>
        <w:spacing w:after="80" w:line="290"/>
      </w:pPr>
      <w:r>
        <w:t xml:space="preserve">Direct query of portal.iponigeria.com was blocked by network egress in this session; the formal registry search must be conducted by the engaged agent as part of Stage 1.</w:t>
      </w:r>
    </w:p>
    <w:p>
      <w:pPr>
        <w:spacing w:after="80"/>
      </w:pPr>
      <w:r>
        <w:t xml:space="preserve"/>
      </w:r>
    </w:p>
    <w:p>
      <w:pPr>
        <w:spacing w:after="120" w:before="0" w:line="300"/>
      </w:pPr>
      <w:r>
        <w:rPr>
          <w:b/>
          <w:bCs/>
          <w:i/>
          <w:iCs/>
        </w:rPr>
        <w:t xml:space="preserve">Important caveat. </w:t>
      </w:r>
      <w:r>
        <w:rPr>
          <w:i/>
          <w:iCs/>
        </w:rPr>
        <w:t xml:space="preserve">This brief is a diligence document prepared to support the founder's decision. It is not legal advice. Final filing decisions should be confirmed with the engaged accredited trademark agent, whose formal registry search and written opinion take precedence over the conclusions here where they differ.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Prepared 21 April 2026</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AgroYield Network — Trademark Deliverable 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2C"/>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D4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AgroYield Network — Trademark Availability Search &amp; Process Brief</dc:title>
  <dc:creator>AgroYield Network</dc:creator>
  <dc:description>Deliverable 1 of 3 in the pre-Beta trademark registration programme</dc:description>
  <cp:lastModifiedBy>Un-named</cp:lastModifiedBy>
  <cp:revision>1</cp:revision>
  <dcterms:created xsi:type="dcterms:W3CDTF">2026-04-21T06:59:45.258Z</dcterms:created>
  <dcterms:modified xsi:type="dcterms:W3CDTF">2026-04-21T06:59:45.258Z</dcterms:modified>
</cp:coreProperties>
</file>

<file path=docProps/custom.xml><?xml version="1.0" encoding="utf-8"?>
<Properties xmlns="http://schemas.openxmlformats.org/officeDocument/2006/custom-properties" xmlns:vt="http://schemas.openxmlformats.org/officeDocument/2006/docPropsVTypes"/>
</file>