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F4E2C"/>
          <w:sz w:val="56"/>
          <w:szCs w:val="56"/>
        </w:rPr>
        <w:t xml:space="preserve">AGROYIELD NETWORK</w:t>
      </w:r>
    </w:p>
    <w:p>
      <w:pPr>
        <w:spacing w:after="200"/>
        <w:jc w:val="center"/>
      </w:pPr>
      <w:r>
        <w:rPr>
          <w:color w:val="555555"/>
          <w:sz w:val="24"/>
          <w:szCs w:val="24"/>
        </w:rPr>
        <w:t xml:space="preserve">Trademark Deliverable 2 of 3</w:t>
      </w:r>
    </w:p>
    <w:p>
      <w:pPr>
        <w:spacing w:after="800"/>
        <w:jc w:val="center"/>
      </w:pPr>
      <w:r>
        <w:rPr>
          <w:b/>
          <w:bCs/>
          <w:color w:val="2E7D46"/>
          <w:sz w:val="40"/>
          <w:szCs w:val="40"/>
        </w:rPr>
        <w:t xml:space="preserve">IP Agent Shortlist &amp; Outreach</w:t>
      </w:r>
    </w:p>
    <w:p>
      <w:pPr>
        <w:spacing w:after="120"/>
        <w:jc w:val="center"/>
      </w:pPr>
      <w:r>
        <w:rPr>
          <w:sz w:val="22"/>
          <w:szCs w:val="22"/>
        </w:rPr>
        <w:t xml:space="preserve">Five accredited Nigerian firms, ranked for fit with a pre-Beta agritech filing</w:t>
      </w:r>
    </w:p>
    <w:p>
      <w:pPr>
        <w:spacing w:after="120"/>
        <w:jc w:val="center"/>
      </w:pPr>
      <w:r>
        <w:rPr>
          <w:sz w:val="22"/>
          <w:szCs w:val="22"/>
        </w:rPr>
        <w:t xml:space="preserve">Issue date: 21 April 2026</w:t>
      </w:r>
    </w:p>
    <w:p>
      <w:pPr>
        <w:spacing w:after="1200"/>
        <w:jc w:val="center"/>
      </w:pPr>
      <w:r>
        <w:rPr>
          <w:i/>
          <w:iCs/>
          <w:color w:val="2E7D46"/>
          <w:sz w:val="22"/>
          <w:szCs w:val="22"/>
        </w:rPr>
        <w:t xml:space="preserve">Target outreach window: 22 April 2026 — response by 23 April</w:t>
      </w:r>
    </w:p>
    <w:p>
      <w:r>
        <w:br w:type="page"/>
      </w:r>
    </w:p>
    <w:p>
      <w:pPr>
        <w:pStyle w:val="Heading1"/>
        <w:spacing w:after="160" w:before="320"/>
      </w:pPr>
      <w:r>
        <w:rPr>
          <w:b/>
          <w:bCs/>
          <w:color w:val="1F4E2C"/>
          <w:sz w:val="32"/>
          <w:szCs w:val="32"/>
        </w:rPr>
        <w:t xml:space="preserve">1. How to use this document</w:t>
      </w:r>
    </w:p>
    <w:p>
      <w:pPr>
        <w:spacing w:after="120" w:line="300"/>
      </w:pPr>
      <w:r>
        <w:t xml:space="preserve">This is the execution document for selecting and engaging a Nigerian trademark agent. It complements Deliverable 1 (the availability search and process brief) by giving you five concrete candidates ranked for fit, plus the outreach emails to send them. You should be able to send these emails within one working day of reading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Recommended primary candidate: Adeola Oyinlade &amp; Co</w:t>
            </w:r>
          </w:p>
          <w:p>
            <w:pPr>
              <w:spacing w:after="60" w:line="290"/>
            </w:pPr>
            <w:r>
              <w:rPr>
                <w:sz w:val="20"/>
                <w:szCs w:val="20"/>
              </w:rPr>
              <w:t xml:space="preserve">Fit rationale: active IP practice, explicit agritech-adjacent advisory (agricultural investment services on their published practice list), startup-friendly posture, Lagos-based with direct registry access, multi-year country recognition. The combination of domain adjacency and responsive mid-market pricing is the best match for a pre-Beta filing of our scope.</w:t>
            </w:r>
          </w:p>
          <w:p>
            <w:pPr>
              <w:spacing w:after="60" w:line="290"/>
            </w:pPr>
            <w:r>
              <w:rPr>
                <w:sz w:val="20"/>
                <w:szCs w:val="20"/>
              </w:rPr>
              <w:t xml:space="preserve">Recommended fallback: Aspire Solicitors (specialist IP boutique, published startup focus) — strong secondary if Adeola Oyinlade &amp; Co quotes above budget or cannot commit to the 26 April filing window.</w:t>
            </w:r>
          </w:p>
          <w:p>
            <w:pPr>
              <w:spacing w:after="60" w:line="290"/>
            </w:pPr>
            <w:r>
              <w:rPr>
                <w:sz w:val="20"/>
                <w:szCs w:val="20"/>
              </w:rPr>
              <w:t xml:space="preserve">Premium escalation option: Jackson, Etti &amp; Edu — engage only if a high-value opposition arises post-filing, not for the initial programme.</w:t>
            </w:r>
          </w:p>
        </w:tc>
      </w:tr>
    </w:tbl>
    <w:p>
      <w:pPr>
        <w:spacing w:after="80"/>
      </w:pPr>
      <w:r>
        <w:t xml:space="preserve"/>
      </w:r>
    </w:p>
    <w:p>
      <w:pPr>
        <w:pStyle w:val="Heading3"/>
        <w:spacing w:after="100" w:before="200"/>
      </w:pPr>
      <w:r>
        <w:rPr>
          <w:b/>
          <w:bCs/>
          <w:color w:val="333333"/>
          <w:sz w:val="22"/>
          <w:szCs w:val="22"/>
        </w:rPr>
        <w:t xml:space="preserve">Selection criteria used</w:t>
      </w:r>
    </w:p>
    <w:p>
      <w:pPr>
        <w:pStyle w:val="ListParagraph"/>
        <w:numPr>
          <w:ilvl w:val="0"/>
          <w:numId w:val="2"/>
        </w:numPr>
        <w:spacing w:after="80" w:line="290"/>
      </w:pPr>
      <w:r>
        <w:t xml:space="preserve">Accreditation: only firms whose agents appear on the IPO Nigeria / FIPO agent register are considered.</w:t>
      </w:r>
    </w:p>
    <w:p>
      <w:pPr>
        <w:pStyle w:val="ListParagraph"/>
        <w:numPr>
          <w:ilvl w:val="0"/>
          <w:numId w:val="2"/>
        </w:numPr>
        <w:spacing w:after="80" w:line="290"/>
      </w:pPr>
      <w:r>
        <w:t xml:space="preserve">Relevance: demonstrated IP practice depth, not corporate-generalist firms taking on trademarks as a side brief.</w:t>
      </w:r>
    </w:p>
    <w:p>
      <w:pPr>
        <w:pStyle w:val="ListParagraph"/>
        <w:numPr>
          <w:ilvl w:val="0"/>
          <w:numId w:val="2"/>
        </w:numPr>
        <w:spacing w:after="80" w:line="290"/>
      </w:pPr>
      <w:r>
        <w:t xml:space="preserve">Responsiveness proxy: has the firm published content indicating they work with startups and SMEs (vs. exclusively multinational mandates).</w:t>
      </w:r>
    </w:p>
    <w:p>
      <w:pPr>
        <w:pStyle w:val="ListParagraph"/>
        <w:numPr>
          <w:ilvl w:val="0"/>
          <w:numId w:val="2"/>
        </w:numPr>
        <w:spacing w:after="80" w:line="290"/>
      </w:pPr>
      <w:r>
        <w:t xml:space="preserve">Cost envelope: per-class professional fee estimate that fits a ~₦1.2M programme for 7 applications.</w:t>
      </w:r>
    </w:p>
    <w:p>
      <w:pPr>
        <w:pStyle w:val="ListParagraph"/>
        <w:numPr>
          <w:ilvl w:val="0"/>
          <w:numId w:val="2"/>
        </w:numPr>
        <w:spacing w:after="80" w:line="290"/>
      </w:pPr>
      <w:r>
        <w:t xml:space="preserve">Geography: Lagos-based preferred (co-located with the Trademark Registry in Abuja and frequent registry runners). Abuja-based boutiques are acceptable when they offer closer registry access.</w:t>
      </w:r>
    </w:p>
    <w:p>
      <w:pPr>
        <w:pStyle w:val="ListParagraph"/>
        <w:numPr>
          <w:ilvl w:val="0"/>
          <w:numId w:val="2"/>
        </w:numPr>
        <w:spacing w:after="80" w:line="290"/>
      </w:pPr>
      <w:r>
        <w:t xml:space="preserve">Conflict check: no visible prior engagement with a competing agritech brand that would create a representation conflict.</w:t>
      </w:r>
    </w:p>
    <w:p>
      <w:r>
        <w:br w:type="page"/>
      </w:r>
    </w:p>
    <w:p>
      <w:pPr>
        <w:pStyle w:val="Heading2"/>
        <w:spacing w:after="80" w:before="320"/>
      </w:pPr>
      <w:r>
        <w:rPr>
          <w:b/>
          <w:bCs/>
          <w:color w:val="2E7D46"/>
          <w:sz w:val="28"/>
          <w:szCs w:val="28"/>
        </w:rPr>
        <w:t xml:space="preserve">1. Adeola Oyinlade &amp; Co</w:t>
      </w:r>
    </w:p>
    <w:p>
      <w:pPr>
        <w:spacing w:after="120"/>
      </w:pPr>
      <w:r>
        <w:rPr>
          <w:b/>
          <w:bCs/>
          <w:color w:val="1F4E2C"/>
          <w:sz w:val="20"/>
          <w:szCs w:val="20"/>
        </w:rPr>
        <w:t xml:space="preserve">PRIMARY RECOMMENDATION · </w:t>
      </w:r>
      <w:r>
        <w:rPr>
          <w:i/>
          <w:iCs/>
          <w:color w:val="555555"/>
          <w:sz w:val="20"/>
          <w:szCs w:val="20"/>
        </w:rPr>
        <w:t xml:space="preserve">Mid-market IP firm with explicit agritech-adjacent practice — best fit for AgroYield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Why this firm is on the list</w:t>
            </w:r>
          </w:p>
          <w:p>
            <w:pPr>
              <w:spacing w:after="60" w:line="290"/>
            </w:pPr>
            <w:r>
              <w:rPr>
                <w:sz w:val="20"/>
                <w:szCs w:val="20"/>
              </w:rPr>
              <w:t xml:space="preserve">Publishes extensive trademark content (procedure, enforcement, registration, remedies), indicating a deep IP practice rather than a generalist firm taking on the work opportunistically.</w:t>
            </w:r>
          </w:p>
          <w:p>
            <w:pPr>
              <w:spacing w:after="60" w:line="290"/>
            </w:pPr>
            <w:r>
              <w:rPr>
                <w:sz w:val="20"/>
                <w:szCs w:val="20"/>
              </w:rPr>
              <w:t xml:space="preserve">Their published corporate advisory list explicitly includes "Agricultural Investment Advisory Services" alongside Fintech and Technology — the only shortlisted firm with domain adjacency this visible.</w:t>
            </w:r>
          </w:p>
          <w:p>
            <w:pPr>
              <w:spacing w:after="60" w:line="290"/>
            </w:pPr>
            <w:r>
              <w:rPr>
                <w:sz w:val="20"/>
                <w:szCs w:val="20"/>
              </w:rPr>
              <w:t xml:space="preserve">Multi-year international recognition (Lawyers Global Law Firm Awards 2024 Country Winner – Nigeria; Corporate INTL International Law Firm of the Year in Nigeria 2022 and 2023) — quality signal without premium pricing.</w:t>
            </w:r>
          </w:p>
          <w:p>
            <w:pPr>
              <w:spacing w:after="60" w:line="290"/>
            </w:pPr>
            <w:r>
              <w:rPr>
                <w:sz w:val="20"/>
                <w:szCs w:val="20"/>
              </w:rPr>
              <w:t xml:space="preserve">Registered at Yaba Lagos, with frequent content aimed at startups and SMEs suggesting receptiveness to a pre-Beta filing mandate.</w:t>
            </w:r>
          </w:p>
        </w:tc>
      </w:tr>
    </w:tbl>
    <w:p>
      <w:pPr>
        <w:spacing w:after="80"/>
      </w:pPr>
      <w:r>
        <w:t xml:space="preserve"/>
      </w:r>
    </w:p>
    <w:p>
      <w:pPr>
        <w:pStyle w:val="Heading3"/>
        <w:spacing w:after="100" w:before="200"/>
      </w:pPr>
      <w:r>
        <w:rPr>
          <w:b/>
          <w:bCs/>
          <w:color w:val="333333"/>
          <w:sz w:val="22"/>
          <w:szCs w:val="22"/>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Address</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Yaba, Lagos State, Nigeria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info@adeolaoyinlade.com  (confirm direct partner email via their contact form)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Phone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Via contact form at adeolaoyinlade.com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Website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https://www.adeolaoyinlade.com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Suggested contact</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IP partner (request assignment on first email — see outreach template)</w:t>
            </w:r>
          </w:p>
        </w:tc>
      </w:tr>
    </w:tbl>
    <w:p>
      <w:pPr>
        <w:spacing w:after="80"/>
      </w:pPr>
      <w:r>
        <w:t xml:space="preserve"/>
      </w:r>
    </w:p>
    <w:p>
      <w:pPr>
        <w:pStyle w:val="Heading3"/>
        <w:spacing w:after="100" w:before="200"/>
      </w:pPr>
      <w:r>
        <w:rPr>
          <w:b/>
          <w:bCs/>
          <w:color w:val="333333"/>
          <w:sz w:val="22"/>
          <w:szCs w:val="22"/>
        </w:rPr>
        <w:t xml:space="preserve">Fee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Professional fee per class (filing)</w:t>
            </w:r>
          </w:p>
        </w:tc>
        <w:tc>
          <w:tcPr>
            <w:tcW w:type="dxa" w:w="5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₦60,000 – ₦100,000 (estimate — request written quote)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Programme total estimate (7 applications)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₦420,000 – ₦700,000 professional + ~₦229,600 govt = ~₦650,000 – ₦930,000 total</w:t>
            </w:r>
          </w:p>
        </w:tc>
      </w:tr>
    </w:tbl>
    <w:p>
      <w:pPr>
        <w:spacing w:after="80"/>
      </w:pPr>
      <w:r>
        <w:t xml:space="preserve"/>
      </w:r>
    </w:p>
    <w:p>
      <w:pPr>
        <w:pStyle w:val="Heading3"/>
        <w:spacing w:after="100" w:before="200"/>
      </w:pPr>
      <w:r>
        <w:rPr>
          <w:b/>
          <w:bCs/>
          <w:color w:val="333333"/>
          <w:sz w:val="22"/>
          <w:szCs w:val="22"/>
        </w:rPr>
        <w:t xml:space="preserve">Strengths</w:t>
      </w:r>
    </w:p>
    <w:p>
      <w:pPr>
        <w:pStyle w:val="ListParagraph"/>
        <w:numPr>
          <w:ilvl w:val="0"/>
          <w:numId w:val="2"/>
        </w:numPr>
        <w:spacing w:after="80" w:line="290"/>
      </w:pPr>
      <w:r>
        <w:t xml:space="preserve">Agritech and fintech domain familiarity — reduces the onboarding explanation burden.</w:t>
      </w:r>
    </w:p>
    <w:p>
      <w:pPr>
        <w:pStyle w:val="ListParagraph"/>
        <w:numPr>
          <w:ilvl w:val="0"/>
          <w:numId w:val="2"/>
        </w:numPr>
        <w:spacing w:after="80" w:line="290"/>
      </w:pPr>
      <w:r>
        <w:t xml:space="preserve">Published detailed Nigerian trademark procedure guide — indicates workflow maturity.</w:t>
      </w:r>
    </w:p>
    <w:p>
      <w:pPr>
        <w:pStyle w:val="ListParagraph"/>
        <w:numPr>
          <w:ilvl w:val="0"/>
          <w:numId w:val="2"/>
        </w:numPr>
        <w:spacing w:after="80" w:line="290"/>
      </w:pPr>
      <w:r>
        <w:t xml:space="preserve">Lagos-based with Trademark Registry runners — filing within the 26 April window is operationally feasible.</w:t>
      </w:r>
    </w:p>
    <w:p>
      <w:pPr>
        <w:pStyle w:val="ListParagraph"/>
        <w:numPr>
          <w:ilvl w:val="0"/>
          <w:numId w:val="2"/>
        </w:numPr>
        <w:spacing w:after="80" w:line="290"/>
      </w:pPr>
      <w:r>
        <w:t xml:space="preserve">Startup-friendly content posture suggests flexibility on scope and milestones.</w:t>
      </w:r>
    </w:p>
    <w:p>
      <w:pPr>
        <w:spacing w:after="80"/>
      </w:pPr>
      <w:r>
        <w:t xml:space="preserve"/>
      </w:r>
    </w:p>
    <w:p>
      <w:pPr>
        <w:pStyle w:val="Heading3"/>
        <w:spacing w:after="100" w:before="200"/>
      </w:pPr>
      <w:r>
        <w:rPr>
          <w:b/>
          <w:bCs/>
          <w:color w:val="333333"/>
          <w:sz w:val="22"/>
          <w:szCs w:val="22"/>
        </w:rPr>
        <w:t xml:space="preserve">Watch-outs</w:t>
      </w:r>
    </w:p>
    <w:p>
      <w:pPr>
        <w:pStyle w:val="ListParagraph"/>
        <w:numPr>
          <w:ilvl w:val="0"/>
          <w:numId w:val="2"/>
        </w:numPr>
        <w:spacing w:after="80" w:line="290"/>
      </w:pPr>
      <w:r>
        <w:t xml:space="preserve">Fee quote not published; requires written RFQ to confirm fit with budget.</w:t>
      </w:r>
    </w:p>
    <w:p>
      <w:pPr>
        <w:pStyle w:val="ListParagraph"/>
        <w:numPr>
          <w:ilvl w:val="0"/>
          <w:numId w:val="2"/>
        </w:numPr>
        <w:spacing w:after="80" w:line="290"/>
      </w:pPr>
      <w:r>
        <w:t xml:space="preserve">Partner assignment on mandate needs to be confirmed at engagement time — don't accept an associate-only allocation for a 7-class programme.</w:t>
      </w:r>
    </w:p>
    <w:p>
      <w:pPr>
        <w:pStyle w:val="ListParagraph"/>
        <w:numPr>
          <w:ilvl w:val="0"/>
          <w:numId w:val="2"/>
        </w:numPr>
        <w:spacing w:after="80" w:line="290"/>
      </w:pPr>
      <w:r>
        <w:t xml:space="preserve">Verify agent-register number and accreditation code during due diligence — standard due-diligence, not specific concern.</w:t>
      </w:r>
    </w:p>
    <w:p>
      <w:pPr>
        <w:spacing w:after="80"/>
      </w:pPr>
      <w:r>
        <w:t xml:space="preserve"/>
      </w:r>
    </w:p>
    <w:p>
      <w:pPr>
        <w:pStyle w:val="Heading3"/>
        <w:spacing w:after="100" w:before="200"/>
      </w:pPr>
      <w:r>
        <w:rPr>
          <w:b/>
          <w:bCs/>
          <w:color w:val="333333"/>
          <w:sz w:val="22"/>
          <w:szCs w:val="22"/>
        </w:rPr>
        <w:t xml:space="preserve">Engagement note</w:t>
      </w:r>
    </w:p>
    <w:p>
      <w:pPr>
        <w:spacing w:after="120" w:line="300"/>
      </w:pPr>
      <w:r>
        <w:t xml:space="preserve">Request written quote covering all 7 applications (word mark x 5 classes + device mark x 2 classes), with stage-based milestone pricing. Confirm a named partner will own the mandate and commit to a Monday 26 April filing date. Ask for at least two recent reference clients in the tech / SaaS / fintech segment — not anonymised, and ideally with the agent register number on the Power of Attorney.</w:t>
      </w:r>
    </w:p>
    <w:p>
      <w:r>
        <w:br w:type="page"/>
      </w:r>
    </w:p>
    <w:p>
      <w:pPr>
        <w:pStyle w:val="Heading2"/>
        <w:spacing w:after="80" w:before="320"/>
      </w:pPr>
      <w:r>
        <w:rPr>
          <w:b/>
          <w:bCs/>
          <w:color w:val="2E7D46"/>
          <w:sz w:val="28"/>
          <w:szCs w:val="28"/>
        </w:rPr>
        <w:t xml:space="preserve">2. Aspire Solicitors</w:t>
      </w:r>
    </w:p>
    <w:p>
      <w:pPr>
        <w:spacing w:after="120"/>
      </w:pPr>
      <w:r>
        <w:rPr>
          <w:b/>
          <w:bCs/>
          <w:color w:val="1F4E2C"/>
          <w:sz w:val="20"/>
          <w:szCs w:val="20"/>
        </w:rPr>
        <w:t xml:space="preserve">STRONG SECONDARY · </w:t>
      </w:r>
      <w:r>
        <w:rPr>
          <w:i/>
          <w:iCs/>
          <w:color w:val="555555"/>
          <w:sz w:val="20"/>
          <w:szCs w:val="20"/>
        </w:rPr>
        <w:t xml:space="preserve">Specialist IP boutique with explicit startup focus — ideal fallback if primary cannot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Why this firm is on the list</w:t>
            </w:r>
          </w:p>
          <w:p>
            <w:pPr>
              <w:spacing w:after="60" w:line="290"/>
            </w:pPr>
            <w:r>
              <w:rPr>
                <w:sz w:val="20"/>
                <w:szCs w:val="20"/>
              </w:rPr>
              <w:t xml:space="preserve">Marketing surface and positioning is entirely IP-focused (trademark, patent, NAFDAC) — not a general-practice firm treating IP as a side service.</w:t>
            </w:r>
          </w:p>
          <w:p>
            <w:pPr>
              <w:spacing w:after="60" w:line="290"/>
            </w:pPr>
            <w:r>
              <w:rPr>
                <w:sz w:val="20"/>
                <w:szCs w:val="20"/>
              </w:rPr>
              <w:t xml:space="preserve">Publicly describes supporting "both established companies and startups seeking to establish a presence in Nigeria" — sector-relevant posture.</w:t>
            </w:r>
          </w:p>
          <w:p>
            <w:pPr>
              <w:spacing w:after="60" w:line="290"/>
            </w:pPr>
            <w:r>
              <w:rPr>
                <w:sz w:val="20"/>
                <w:szCs w:val="20"/>
              </w:rPr>
              <w:t xml:space="preserve">International collaboration experience suggests workflow discipline expected of a registered IP agent.</w:t>
            </w:r>
          </w:p>
          <w:p>
            <w:pPr>
              <w:spacing w:after="60" w:line="290"/>
            </w:pPr>
            <w:r>
              <w:rPr>
                <w:sz w:val="20"/>
                <w:szCs w:val="20"/>
              </w:rPr>
              <w:t xml:space="preserve">Visible domain seniority ("leading adviser in the field of intellectual property") with transparent service enumeration.</w:t>
            </w:r>
          </w:p>
        </w:tc>
      </w:tr>
    </w:tbl>
    <w:p>
      <w:pPr>
        <w:spacing w:after="80"/>
      </w:pPr>
      <w:r>
        <w:t xml:space="preserve"/>
      </w:r>
    </w:p>
    <w:p>
      <w:pPr>
        <w:pStyle w:val="Heading3"/>
        <w:spacing w:after="100" w:before="200"/>
      </w:pPr>
      <w:r>
        <w:rPr>
          <w:b/>
          <w:bCs/>
          <w:color w:val="333333"/>
          <w:sz w:val="22"/>
          <w:szCs w:val="22"/>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Address</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Lagos, Nigeria (confirm exact office via website)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Via contact form at aspiresolicitors.com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Phone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Via website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Website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https://aspiresolicitors.com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Suggested contact</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IP trademark department head</w:t>
            </w:r>
          </w:p>
        </w:tc>
      </w:tr>
    </w:tbl>
    <w:p>
      <w:pPr>
        <w:spacing w:after="80"/>
      </w:pPr>
      <w:r>
        <w:t xml:space="preserve"/>
      </w:r>
    </w:p>
    <w:p>
      <w:pPr>
        <w:pStyle w:val="Heading3"/>
        <w:spacing w:after="100" w:before="200"/>
      </w:pPr>
      <w:r>
        <w:rPr>
          <w:b/>
          <w:bCs/>
          <w:color w:val="333333"/>
          <w:sz w:val="22"/>
          <w:szCs w:val="22"/>
        </w:rPr>
        <w:t xml:space="preserve">Fee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Professional fee per class (filing)</w:t>
            </w:r>
          </w:p>
        </w:tc>
        <w:tc>
          <w:tcPr>
            <w:tcW w:type="dxa" w:w="5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₦50,000 – ₦90,000 (estimate — request written quote)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Programme total estimate (7 applications)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₦350,000 – ₦630,000 professional + ~₦229,600 govt = ~₦580,000 – ₦860,000 total</w:t>
            </w:r>
          </w:p>
        </w:tc>
      </w:tr>
    </w:tbl>
    <w:p>
      <w:pPr>
        <w:spacing w:after="80"/>
      </w:pPr>
      <w:r>
        <w:t xml:space="preserve"/>
      </w:r>
    </w:p>
    <w:p>
      <w:pPr>
        <w:pStyle w:val="Heading3"/>
        <w:spacing w:after="100" w:before="200"/>
      </w:pPr>
      <w:r>
        <w:rPr>
          <w:b/>
          <w:bCs/>
          <w:color w:val="333333"/>
          <w:sz w:val="22"/>
          <w:szCs w:val="22"/>
        </w:rPr>
        <w:t xml:space="preserve">Strengths</w:t>
      </w:r>
    </w:p>
    <w:p>
      <w:pPr>
        <w:pStyle w:val="ListParagraph"/>
        <w:numPr>
          <w:ilvl w:val="0"/>
          <w:numId w:val="2"/>
        </w:numPr>
        <w:spacing w:after="80" w:line="290"/>
      </w:pPr>
      <w:r>
        <w:t xml:space="preserve">Pure-IP positioning reduces internal context-switching cost for the lawyer on our mandate.</w:t>
      </w:r>
    </w:p>
    <w:p>
      <w:pPr>
        <w:pStyle w:val="ListParagraph"/>
        <w:numPr>
          <w:ilvl w:val="0"/>
          <w:numId w:val="2"/>
        </w:numPr>
        <w:spacing w:after="80" w:line="290"/>
      </w:pPr>
      <w:r>
        <w:t xml:space="preserve">Stated startup-fit — more flexible on scope adjustments during the programme.</w:t>
      </w:r>
    </w:p>
    <w:p>
      <w:pPr>
        <w:pStyle w:val="ListParagraph"/>
        <w:numPr>
          <w:ilvl w:val="0"/>
          <w:numId w:val="2"/>
        </w:numPr>
        <w:spacing w:after="80" w:line="290"/>
      </w:pPr>
      <w:r>
        <w:t xml:space="preserve">International collaboration implies familiarity with electronic engagement, DocuSign, and remote onboarding.</w:t>
      </w:r>
    </w:p>
    <w:p>
      <w:pPr>
        <w:pStyle w:val="ListParagraph"/>
        <w:numPr>
          <w:ilvl w:val="0"/>
          <w:numId w:val="2"/>
        </w:numPr>
        <w:spacing w:after="80" w:line="290"/>
      </w:pPr>
      <w:r>
        <w:t xml:space="preserve">Possibly the lowest-cost credible option in the shortlist.</w:t>
      </w:r>
    </w:p>
    <w:p>
      <w:pPr>
        <w:spacing w:after="80"/>
      </w:pPr>
      <w:r>
        <w:t xml:space="preserve"/>
      </w:r>
    </w:p>
    <w:p>
      <w:pPr>
        <w:pStyle w:val="Heading3"/>
        <w:spacing w:after="100" w:before="200"/>
      </w:pPr>
      <w:r>
        <w:rPr>
          <w:b/>
          <w:bCs/>
          <w:color w:val="333333"/>
          <w:sz w:val="22"/>
          <w:szCs w:val="22"/>
        </w:rPr>
        <w:t xml:space="preserve">Watch-outs</w:t>
      </w:r>
    </w:p>
    <w:p>
      <w:pPr>
        <w:pStyle w:val="ListParagraph"/>
        <w:numPr>
          <w:ilvl w:val="0"/>
          <w:numId w:val="2"/>
        </w:numPr>
        <w:spacing w:after="80" w:line="290"/>
      </w:pPr>
      <w:r>
        <w:t xml:space="preserve">Smaller firm means single-point-of-failure risk if the assigned lawyer is unavailable during the filing window.</w:t>
      </w:r>
    </w:p>
    <w:p>
      <w:pPr>
        <w:pStyle w:val="ListParagraph"/>
        <w:numPr>
          <w:ilvl w:val="0"/>
          <w:numId w:val="2"/>
        </w:numPr>
        <w:spacing w:after="80" w:line="290"/>
      </w:pPr>
      <w:r>
        <w:t xml:space="preserve">Fewer published client references than the larger firms.</w:t>
      </w:r>
    </w:p>
    <w:p>
      <w:pPr>
        <w:pStyle w:val="ListParagraph"/>
        <w:numPr>
          <w:ilvl w:val="0"/>
          <w:numId w:val="2"/>
        </w:numPr>
        <w:spacing w:after="80" w:line="290"/>
      </w:pPr>
      <w:r>
        <w:t xml:space="preserve">Verify agent-accreditation number before signing a Power of Attorney.</w:t>
      </w:r>
    </w:p>
    <w:p>
      <w:pPr>
        <w:spacing w:after="80"/>
      </w:pPr>
      <w:r>
        <w:t xml:space="preserve"/>
      </w:r>
    </w:p>
    <w:p>
      <w:pPr>
        <w:pStyle w:val="Heading3"/>
        <w:spacing w:after="100" w:before="200"/>
      </w:pPr>
      <w:r>
        <w:rPr>
          <w:b/>
          <w:bCs/>
          <w:color w:val="333333"/>
          <w:sz w:val="22"/>
          <w:szCs w:val="22"/>
        </w:rPr>
        <w:t xml:space="preserve">Engagement note</w:t>
      </w:r>
    </w:p>
    <w:p>
      <w:pPr>
        <w:spacing w:after="120" w:line="300"/>
      </w:pPr>
      <w:r>
        <w:t xml:space="preserve">Approach in parallel with Adeola Oyinlade &amp; Co as a formal price comparison. Emphasise the fixed 26 April filing deadline in the first email — if Aspire cannot commit, you want to know within 24 hours, not after two rounds of negotiation.</w:t>
      </w:r>
    </w:p>
    <w:p>
      <w:r>
        <w:br w:type="page"/>
      </w:r>
    </w:p>
    <w:p>
      <w:pPr>
        <w:pStyle w:val="Heading2"/>
        <w:spacing w:after="80" w:before="320"/>
      </w:pPr>
      <w:r>
        <w:rPr>
          <w:b/>
          <w:bCs/>
          <w:color w:val="2E7D46"/>
          <w:sz w:val="28"/>
          <w:szCs w:val="28"/>
        </w:rPr>
        <w:t xml:space="preserve">3. Hectagon &amp; Shields Solicitors</w:t>
      </w:r>
    </w:p>
    <w:p>
      <w:pPr>
        <w:spacing w:after="120"/>
      </w:pPr>
      <w:r>
        <w:rPr>
          <w:b/>
          <w:bCs/>
          <w:color w:val="2E75B6"/>
          <w:sz w:val="20"/>
          <w:szCs w:val="20"/>
        </w:rPr>
        <w:t xml:space="preserve">BOUTIQUE / ABUJA ACCESS · </w:t>
      </w:r>
      <w:r>
        <w:rPr>
          <w:i/>
          <w:iCs/>
          <w:color w:val="555555"/>
          <w:sz w:val="20"/>
          <w:szCs w:val="20"/>
        </w:rPr>
        <w:t xml:space="preserve">Abuja-based IP boutique with direct registry access — fastest filing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6F0FF" w:val="clear"/>
            <w:tcMar>
              <w:top w:type="dxa" w:w="160"/>
              <w:left w:type="dxa" w:w="200"/>
              <w:bottom w:type="dxa" w:w="160"/>
              <w:right w:type="dxa" w:w="200"/>
            </w:tcMar>
          </w:tcPr>
          <w:p>
            <w:pPr>
              <w:spacing w:after="80"/>
            </w:pPr>
            <w:r>
              <w:rPr>
                <w:b/>
                <w:bCs/>
                <w:sz w:val="22"/>
                <w:szCs w:val="22"/>
              </w:rPr>
              <w:t xml:space="preserve">Why this firm is on the list</w:t>
            </w:r>
          </w:p>
          <w:p>
            <w:pPr>
              <w:spacing w:after="60" w:line="290"/>
            </w:pPr>
            <w:r>
              <w:rPr>
                <w:sz w:val="20"/>
                <w:szCs w:val="20"/>
              </w:rPr>
              <w:t xml:space="preserve">Abuja headquarters places the firm in the same city as the Trademark Registry — for a tight filing window that is a measurable logistics advantage.</w:t>
            </w:r>
          </w:p>
          <w:p>
            <w:pPr>
              <w:spacing w:after="60" w:line="290"/>
            </w:pPr>
            <w:r>
              <w:rPr>
                <w:sz w:val="20"/>
                <w:szCs w:val="20"/>
              </w:rPr>
              <w:t xml:space="preserve">Established 2017, focused on IP rights and enforcement plus corporate commercial — appropriate focus depth for our mandate.</w:t>
            </w:r>
          </w:p>
          <w:p>
            <w:pPr>
              <w:spacing w:after="60" w:line="290"/>
            </w:pPr>
            <w:r>
              <w:rPr>
                <w:sz w:val="20"/>
                <w:szCs w:val="20"/>
              </w:rPr>
              <w:t xml:space="preserve">Published content explicitly walks through cost, procedure, and timeline for trademark registration — indicates client-education discipline.</w:t>
            </w:r>
          </w:p>
          <w:p>
            <w:pPr>
              <w:spacing w:after="60" w:line="290"/>
            </w:pPr>
            <w:r>
              <w:rPr>
                <w:sz w:val="20"/>
                <w:szCs w:val="20"/>
              </w:rPr>
              <w:t xml:space="preserve">Works with "startups, multinational companies and law firms" — scale-agnostic, a good sign for a pre-Beta startup.</w:t>
            </w:r>
          </w:p>
        </w:tc>
      </w:tr>
    </w:tbl>
    <w:p>
      <w:pPr>
        <w:spacing w:after="80"/>
      </w:pPr>
      <w:r>
        <w:t xml:space="preserve"/>
      </w:r>
    </w:p>
    <w:p>
      <w:pPr>
        <w:pStyle w:val="Heading3"/>
        <w:spacing w:after="100" w:before="200"/>
      </w:pPr>
      <w:r>
        <w:rPr>
          <w:b/>
          <w:bCs/>
          <w:color w:val="333333"/>
          <w:sz w:val="22"/>
          <w:szCs w:val="22"/>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Address</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Abuja, Nigeria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Via hectagonsolicitors.com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Phone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Via website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Website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https://hectagonsolicitors.com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Suggested contact</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Senior IP partner</w:t>
            </w:r>
          </w:p>
        </w:tc>
      </w:tr>
    </w:tbl>
    <w:p>
      <w:pPr>
        <w:spacing w:after="80"/>
      </w:pPr>
      <w:r>
        <w:t xml:space="preserve"/>
      </w:r>
    </w:p>
    <w:p>
      <w:pPr>
        <w:pStyle w:val="Heading3"/>
        <w:spacing w:after="100" w:before="200"/>
      </w:pPr>
      <w:r>
        <w:rPr>
          <w:b/>
          <w:bCs/>
          <w:color w:val="333333"/>
          <w:sz w:val="22"/>
          <w:szCs w:val="22"/>
        </w:rPr>
        <w:t xml:space="preserve">Fee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Professional fee per class (filing)</w:t>
            </w:r>
          </w:p>
        </w:tc>
        <w:tc>
          <w:tcPr>
            <w:tcW w:type="dxa" w:w="5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₦55,000 – ₦85,000 (estimate)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Programme total estimate (7 applications)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₦385,000 – ₦595,000 professional + ~₦229,600 govt = ~₦615,000 – ₦825,000 total</w:t>
            </w:r>
          </w:p>
        </w:tc>
      </w:tr>
    </w:tbl>
    <w:p>
      <w:pPr>
        <w:spacing w:after="80"/>
      </w:pPr>
      <w:r>
        <w:t xml:space="preserve"/>
      </w:r>
    </w:p>
    <w:p>
      <w:pPr>
        <w:pStyle w:val="Heading3"/>
        <w:spacing w:after="100" w:before="200"/>
      </w:pPr>
      <w:r>
        <w:rPr>
          <w:b/>
          <w:bCs/>
          <w:color w:val="333333"/>
          <w:sz w:val="22"/>
          <w:szCs w:val="22"/>
        </w:rPr>
        <w:t xml:space="preserve">Strengths</w:t>
      </w:r>
    </w:p>
    <w:p>
      <w:pPr>
        <w:pStyle w:val="ListParagraph"/>
        <w:numPr>
          <w:ilvl w:val="0"/>
          <w:numId w:val="2"/>
        </w:numPr>
        <w:spacing w:after="80" w:line="290"/>
      </w:pPr>
      <w:r>
        <w:t xml:space="preserve">Abuja-based — quickest physical registry filing turnaround.</w:t>
      </w:r>
    </w:p>
    <w:p>
      <w:pPr>
        <w:pStyle w:val="ListParagraph"/>
        <w:numPr>
          <w:ilvl w:val="0"/>
          <w:numId w:val="2"/>
        </w:numPr>
        <w:spacing w:after="80" w:line="290"/>
      </w:pPr>
      <w:r>
        <w:t xml:space="preserve">Transparent on process and cost in public content.</w:t>
      </w:r>
    </w:p>
    <w:p>
      <w:pPr>
        <w:pStyle w:val="ListParagraph"/>
        <w:numPr>
          <w:ilvl w:val="0"/>
          <w:numId w:val="2"/>
        </w:numPr>
        <w:spacing w:after="80" w:line="290"/>
      </w:pPr>
      <w:r>
        <w:t xml:space="preserve">Boutique focus on IP, no distraction from mega-deal corporate workloads.</w:t>
      </w:r>
    </w:p>
    <w:p>
      <w:pPr>
        <w:pStyle w:val="ListParagraph"/>
        <w:numPr>
          <w:ilvl w:val="0"/>
          <w:numId w:val="2"/>
        </w:numPr>
        <w:spacing w:after="80" w:line="290"/>
      </w:pPr>
      <w:r>
        <w:t xml:space="preserve">Likely sharper cost basis than Lagos-based firms.</w:t>
      </w:r>
    </w:p>
    <w:p>
      <w:pPr>
        <w:spacing w:after="80"/>
      </w:pPr>
      <w:r>
        <w:t xml:space="preserve"/>
      </w:r>
    </w:p>
    <w:p>
      <w:pPr>
        <w:pStyle w:val="Heading3"/>
        <w:spacing w:after="100" w:before="200"/>
      </w:pPr>
      <w:r>
        <w:rPr>
          <w:b/>
          <w:bCs/>
          <w:color w:val="333333"/>
          <w:sz w:val="22"/>
          <w:szCs w:val="22"/>
        </w:rPr>
        <w:t xml:space="preserve">Watch-outs</w:t>
      </w:r>
    </w:p>
    <w:p>
      <w:pPr>
        <w:pStyle w:val="ListParagraph"/>
        <w:numPr>
          <w:ilvl w:val="0"/>
          <w:numId w:val="2"/>
        </w:numPr>
        <w:spacing w:after="80" w:line="290"/>
      </w:pPr>
      <w:r>
        <w:t xml:space="preserve">Smaller firm — capacity ceiling on a 7-application programme if they have concurrent engagements.</w:t>
      </w:r>
    </w:p>
    <w:p>
      <w:pPr>
        <w:pStyle w:val="ListParagraph"/>
        <w:numPr>
          <w:ilvl w:val="0"/>
          <w:numId w:val="2"/>
        </w:numPr>
        <w:spacing w:after="80" w:line="290"/>
      </w:pPr>
      <w:r>
        <w:t xml:space="preserve">Less international marketing surface makes partner-quality verification harder from a distance.</w:t>
      </w:r>
    </w:p>
    <w:p>
      <w:pPr>
        <w:pStyle w:val="ListParagraph"/>
        <w:numPr>
          <w:ilvl w:val="0"/>
          <w:numId w:val="2"/>
        </w:numPr>
        <w:spacing w:after="80" w:line="290"/>
      </w:pPr>
      <w:r>
        <w:t xml:space="preserve">Coordination between Lagos founder and Abuja firm adds one handoff — mitigated by e-signature tooling.</w:t>
      </w:r>
    </w:p>
    <w:p>
      <w:pPr>
        <w:spacing w:after="80"/>
      </w:pPr>
      <w:r>
        <w:t xml:space="preserve"/>
      </w:r>
    </w:p>
    <w:p>
      <w:pPr>
        <w:pStyle w:val="Heading3"/>
        <w:spacing w:after="100" w:before="200"/>
      </w:pPr>
      <w:r>
        <w:rPr>
          <w:b/>
          <w:bCs/>
          <w:color w:val="333333"/>
          <w:sz w:val="22"/>
          <w:szCs w:val="22"/>
        </w:rPr>
        <w:t xml:space="preserve">Engagement note</w:t>
      </w:r>
    </w:p>
    <w:p>
      <w:pPr>
        <w:spacing w:after="120" w:line="300"/>
      </w:pPr>
      <w:r>
        <w:t xml:space="preserve">Use as the registry-access accelerator if we face any filing-window slippage. Ask specifically about same-day physical lodgement capacity on 26 April and about their typical turnaround on acknowledgement letters.</w:t>
      </w:r>
    </w:p>
    <w:p>
      <w:r>
        <w:br w:type="page"/>
      </w:r>
    </w:p>
    <w:p>
      <w:pPr>
        <w:pStyle w:val="Heading2"/>
        <w:spacing w:after="80" w:before="320"/>
      </w:pPr>
      <w:r>
        <w:rPr>
          <w:b/>
          <w:bCs/>
          <w:color w:val="2E7D46"/>
          <w:sz w:val="28"/>
          <w:szCs w:val="28"/>
        </w:rPr>
        <w:t xml:space="preserve">4. Jackson, Etti &amp; Edu (JEE)</w:t>
      </w:r>
    </w:p>
    <w:p>
      <w:pPr>
        <w:spacing w:after="120"/>
      </w:pPr>
      <w:r>
        <w:rPr>
          <w:b/>
          <w:bCs/>
          <w:color w:val="8B4513"/>
          <w:sz w:val="20"/>
          <w:szCs w:val="20"/>
        </w:rPr>
        <w:t xml:space="preserve">PREMIUM — FOR ESCALATION SCENARIOS · </w:t>
      </w:r>
      <w:r>
        <w:rPr>
          <w:i/>
          <w:iCs/>
          <w:color w:val="555555"/>
          <w:sz w:val="20"/>
          <w:szCs w:val="20"/>
        </w:rPr>
        <w:t xml:space="preserve">Chambers Global 2026 ranked firm. Reserve for opposition defence or high-stakes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E4B5" w:val="clear"/>
            <w:tcMar>
              <w:top w:type="dxa" w:w="160"/>
              <w:left w:type="dxa" w:w="200"/>
              <w:bottom w:type="dxa" w:w="160"/>
              <w:right w:type="dxa" w:w="200"/>
            </w:tcMar>
          </w:tcPr>
          <w:p>
            <w:pPr>
              <w:spacing w:after="80"/>
            </w:pPr>
            <w:r>
              <w:rPr>
                <w:b/>
                <w:bCs/>
                <w:sz w:val="22"/>
                <w:szCs w:val="22"/>
              </w:rPr>
              <w:t xml:space="preserve">Why this firm is on the list</w:t>
            </w:r>
          </w:p>
          <w:p>
            <w:pPr>
              <w:spacing w:after="60" w:line="290"/>
            </w:pPr>
            <w:r>
              <w:rPr>
                <w:sz w:val="20"/>
                <w:szCs w:val="20"/>
              </w:rPr>
              <w:t xml:space="preserve">One of the most recognised IP practices in Nigeria, with specialist units dedicated to trademark prosecution, examination, and brand protection.</w:t>
            </w:r>
          </w:p>
          <w:p>
            <w:pPr>
              <w:spacing w:after="60" w:line="290"/>
            </w:pPr>
            <w:r>
              <w:rPr>
                <w:sz w:val="20"/>
                <w:szCs w:val="20"/>
              </w:rPr>
              <w:t xml:space="preserve">Pan-African IP coverage (including OAPI) — useful if we later expand beyond Nigeria.</w:t>
            </w:r>
          </w:p>
          <w:p>
            <w:pPr>
              <w:spacing w:after="60" w:line="290"/>
            </w:pPr>
            <w:r>
              <w:rPr>
                <w:sz w:val="20"/>
                <w:szCs w:val="20"/>
              </w:rPr>
              <w:t xml:space="preserve">Chambers Global 2026 listing confirms top-tier market recognition.</w:t>
            </w:r>
          </w:p>
          <w:p>
            <w:pPr>
              <w:spacing w:after="60" w:line="290"/>
            </w:pPr>
            <w:r>
              <w:rPr>
                <w:sz w:val="20"/>
                <w:szCs w:val="20"/>
              </w:rPr>
              <w:t xml:space="preserve">Depth to handle contested matters — if Agro Yield Africa Limited ever files a genuine opposition, JEE is the firm you want on that matter.</w:t>
            </w:r>
          </w:p>
        </w:tc>
      </w:tr>
    </w:tbl>
    <w:p>
      <w:pPr>
        <w:spacing w:after="80"/>
      </w:pPr>
      <w:r>
        <w:t xml:space="preserve"/>
      </w:r>
    </w:p>
    <w:p>
      <w:pPr>
        <w:pStyle w:val="Heading3"/>
        <w:spacing w:after="100" w:before="200"/>
      </w:pPr>
      <w:r>
        <w:rPr>
          <w:b/>
          <w:bCs/>
          <w:color w:val="333333"/>
          <w:sz w:val="22"/>
          <w:szCs w:val="22"/>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Address</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Lagos, Nigeria (multiple Pan-African offices)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info@jee.africa  (confirm direct IP partner via website)</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Phone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Via jee.africa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Website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https://www.jee.africa</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Suggested contact</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Brand Protection practice head</w:t>
            </w:r>
          </w:p>
        </w:tc>
      </w:tr>
    </w:tbl>
    <w:p>
      <w:pPr>
        <w:spacing w:after="80"/>
      </w:pPr>
      <w:r>
        <w:t xml:space="preserve"/>
      </w:r>
    </w:p>
    <w:p>
      <w:pPr>
        <w:pStyle w:val="Heading3"/>
        <w:spacing w:after="100" w:before="200"/>
      </w:pPr>
      <w:r>
        <w:rPr>
          <w:b/>
          <w:bCs/>
          <w:color w:val="333333"/>
          <w:sz w:val="22"/>
          <w:szCs w:val="22"/>
        </w:rPr>
        <w:t xml:space="preserve">Fee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Professional fee per class (filing)</w:t>
            </w:r>
          </w:p>
        </w:tc>
        <w:tc>
          <w:tcPr>
            <w:tcW w:type="dxa" w:w="5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₦120,000 – ₦200,000+ (estimate — likely ceiling of shortlist)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Programme total estimate (7 applications)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₦840,000 – ₦1,400,000 professional + ~₦229,600 govt = ~₦1.07M – ₦1.63M total</w:t>
            </w:r>
          </w:p>
        </w:tc>
      </w:tr>
    </w:tbl>
    <w:p>
      <w:pPr>
        <w:spacing w:after="80"/>
      </w:pPr>
      <w:r>
        <w:t xml:space="preserve"/>
      </w:r>
    </w:p>
    <w:p>
      <w:pPr>
        <w:pStyle w:val="Heading3"/>
        <w:spacing w:after="100" w:before="200"/>
      </w:pPr>
      <w:r>
        <w:rPr>
          <w:b/>
          <w:bCs/>
          <w:color w:val="333333"/>
          <w:sz w:val="22"/>
          <w:szCs w:val="22"/>
        </w:rPr>
        <w:t xml:space="preserve">Strengths</w:t>
      </w:r>
    </w:p>
    <w:p>
      <w:pPr>
        <w:pStyle w:val="ListParagraph"/>
        <w:numPr>
          <w:ilvl w:val="0"/>
          <w:numId w:val="2"/>
        </w:numPr>
        <w:spacing w:after="80" w:line="290"/>
      </w:pPr>
      <w:r>
        <w:t xml:space="preserve">Depth, reputation, and an IP practice with market-recognised specialists.</w:t>
      </w:r>
    </w:p>
    <w:p>
      <w:pPr>
        <w:pStyle w:val="ListParagraph"/>
        <w:numPr>
          <w:ilvl w:val="0"/>
          <w:numId w:val="2"/>
        </w:numPr>
        <w:spacing w:after="80" w:line="290"/>
      </w:pPr>
      <w:r>
        <w:t xml:space="preserve">Strongest firm to escalate to if an opposition or infringement arises post-filing.</w:t>
      </w:r>
    </w:p>
    <w:p>
      <w:pPr>
        <w:pStyle w:val="ListParagraph"/>
        <w:numPr>
          <w:ilvl w:val="0"/>
          <w:numId w:val="2"/>
        </w:numPr>
        <w:spacing w:after="80" w:line="290"/>
      </w:pPr>
      <w:r>
        <w:t xml:space="preserve">Pan-African reach gives us regional expansion optionality at reasonable incremental cost.</w:t>
      </w:r>
    </w:p>
    <w:p>
      <w:pPr>
        <w:spacing w:after="80"/>
      </w:pPr>
      <w:r>
        <w:t xml:space="preserve"/>
      </w:r>
    </w:p>
    <w:p>
      <w:pPr>
        <w:pStyle w:val="Heading3"/>
        <w:spacing w:after="100" w:before="200"/>
      </w:pPr>
      <w:r>
        <w:rPr>
          <w:b/>
          <w:bCs/>
          <w:color w:val="333333"/>
          <w:sz w:val="22"/>
          <w:szCs w:val="22"/>
        </w:rPr>
        <w:t xml:space="preserve">Watch-outs</w:t>
      </w:r>
    </w:p>
    <w:p>
      <w:pPr>
        <w:pStyle w:val="ListParagraph"/>
        <w:numPr>
          <w:ilvl w:val="0"/>
          <w:numId w:val="2"/>
        </w:numPr>
        <w:spacing w:after="80" w:line="290"/>
      </w:pPr>
      <w:r>
        <w:t xml:space="preserve">Highest cost on the shortlist — likely stretches the ₦1.2M budget even on the low end.</w:t>
      </w:r>
    </w:p>
    <w:p>
      <w:pPr>
        <w:pStyle w:val="ListParagraph"/>
        <w:numPr>
          <w:ilvl w:val="0"/>
          <w:numId w:val="2"/>
        </w:numPr>
        <w:spacing w:after="80" w:line="290"/>
      </w:pPr>
      <w:r>
        <w:t xml:space="preserve">Large firm means our mandate is lower-priority in their book; response cadence may be slower than boutiques.</w:t>
      </w:r>
    </w:p>
    <w:p>
      <w:pPr>
        <w:pStyle w:val="ListParagraph"/>
        <w:numPr>
          <w:ilvl w:val="0"/>
          <w:numId w:val="2"/>
        </w:numPr>
        <w:spacing w:after="80" w:line="290"/>
      </w:pPr>
      <w:r>
        <w:t xml:space="preserve">Over-specified for a pre-Beta filing where no contested matter is live.</w:t>
      </w:r>
    </w:p>
    <w:p>
      <w:pPr>
        <w:spacing w:after="80"/>
      </w:pPr>
      <w:r>
        <w:t xml:space="preserve"/>
      </w:r>
    </w:p>
    <w:p>
      <w:pPr>
        <w:pStyle w:val="Heading3"/>
        <w:spacing w:after="100" w:before="200"/>
      </w:pPr>
      <w:r>
        <w:rPr>
          <w:b/>
          <w:bCs/>
          <w:color w:val="333333"/>
          <w:sz w:val="22"/>
          <w:szCs w:val="22"/>
        </w:rPr>
        <w:t xml:space="preserve">Engagement note</w:t>
      </w:r>
    </w:p>
    <w:p>
      <w:pPr>
        <w:spacing w:after="120" w:line="300"/>
      </w:pPr>
      <w:r>
        <w:t xml:space="preserve">Hold in reserve. Do not engage now. If we receive a formal opposition from Agro Yield Africa Limited or any other party during the 2-month publication window, re-approach JEE for the contested matter only, keeping the initial filing firm on the prosecution work.</w:t>
      </w:r>
    </w:p>
    <w:p>
      <w:r>
        <w:br w:type="page"/>
      </w:r>
    </w:p>
    <w:p>
      <w:pPr>
        <w:pStyle w:val="Heading2"/>
        <w:spacing w:after="80" w:before="320"/>
      </w:pPr>
      <w:r>
        <w:rPr>
          <w:b/>
          <w:bCs/>
          <w:color w:val="2E7D46"/>
          <w:sz w:val="28"/>
          <w:szCs w:val="28"/>
        </w:rPr>
        <w:t xml:space="preserve">5. Banwo &amp; Ighodalo</w:t>
      </w:r>
    </w:p>
    <w:p>
      <w:pPr>
        <w:spacing w:after="120"/>
      </w:pPr>
      <w:r>
        <w:rPr>
          <w:b/>
          <w:bCs/>
          <w:color w:val="8B4513"/>
          <w:sz w:val="20"/>
          <w:szCs w:val="20"/>
        </w:rPr>
        <w:t xml:space="preserve">PREMIUM ALTERNATIVE · </w:t>
      </w:r>
      <w:r>
        <w:rPr>
          <w:i/>
          <w:iCs/>
          <w:color w:val="555555"/>
          <w:sz w:val="20"/>
          <w:szCs w:val="20"/>
        </w:rPr>
        <w:t xml:space="preserve">Accredited agent (code CLD/RA/0014) with institutional IP depth — alternative to JEE for complex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E4B5" w:val="clear"/>
            <w:tcMar>
              <w:top w:type="dxa" w:w="160"/>
              <w:left w:type="dxa" w:w="200"/>
              <w:bottom w:type="dxa" w:w="160"/>
              <w:right w:type="dxa" w:w="200"/>
            </w:tcMar>
          </w:tcPr>
          <w:p>
            <w:pPr>
              <w:spacing w:after="80"/>
            </w:pPr>
            <w:r>
              <w:rPr>
                <w:b/>
                <w:bCs/>
                <w:sz w:val="22"/>
                <w:szCs w:val="22"/>
              </w:rPr>
              <w:t xml:space="preserve">Why this firm is on the list</w:t>
            </w:r>
          </w:p>
          <w:p>
            <w:pPr>
              <w:spacing w:after="60" w:line="290"/>
            </w:pPr>
            <w:r>
              <w:rPr>
                <w:sz w:val="20"/>
                <w:szCs w:val="20"/>
              </w:rPr>
              <w:t xml:space="preserve">Holds Nigerian Trademark Registry agent code CLD/RA/0014 — accreditation is confirmed on the IP Agents list.</w:t>
            </w:r>
          </w:p>
          <w:p>
            <w:pPr>
              <w:spacing w:after="60" w:line="290"/>
            </w:pPr>
            <w:r>
              <w:rPr>
                <w:sz w:val="20"/>
                <w:szCs w:val="20"/>
              </w:rPr>
              <w:t xml:space="preserve">Established 1991, 15 IP practitioners — scale and experience to match JEE.</w:t>
            </w:r>
          </w:p>
          <w:p>
            <w:pPr>
              <w:spacing w:after="60" w:line="290"/>
            </w:pPr>
            <w:r>
              <w:rPr>
                <w:sz w:val="20"/>
                <w:szCs w:val="20"/>
              </w:rPr>
              <w:t xml:space="preserve">Active INTA, AIPPI, PTMG, and Chartered Institute of Trade Mark Attorneys memberships — strong international network for cross-border matters.</w:t>
            </w:r>
          </w:p>
          <w:p>
            <w:pPr>
              <w:spacing w:after="60" w:line="290"/>
            </w:pPr>
            <w:r>
              <w:rPr>
                <w:sz w:val="20"/>
                <w:szCs w:val="20"/>
              </w:rPr>
              <w:t xml:space="preserve">Ikoyi Lagos address, well-regarded IP &amp; Technology Group, including corporate-side IP structuring alongside prosecution.</w:t>
            </w:r>
          </w:p>
        </w:tc>
      </w:tr>
    </w:tbl>
    <w:p>
      <w:pPr>
        <w:spacing w:after="80"/>
      </w:pPr>
      <w:r>
        <w:t xml:space="preserve"/>
      </w:r>
    </w:p>
    <w:p>
      <w:pPr>
        <w:pStyle w:val="Heading3"/>
        <w:spacing w:after="100" w:before="200"/>
      </w:pPr>
      <w:r>
        <w:rPr>
          <w:b/>
          <w:bCs/>
          <w:color w:val="333333"/>
          <w:sz w:val="22"/>
          <w:szCs w:val="22"/>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Address</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48 Awolowo Road, South-West Ikoyi, Lagos, Nigeria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banwigho@banwo-ighodalo.com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Phone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Via banwo-ighodalo.com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Website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https://www.banwo-ighodalo.com</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Suggested contact</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IP &amp; Technology Group partner</w:t>
            </w:r>
          </w:p>
        </w:tc>
      </w:tr>
    </w:tbl>
    <w:p>
      <w:pPr>
        <w:spacing w:after="80"/>
      </w:pPr>
      <w:r>
        <w:t xml:space="preserve"/>
      </w:r>
    </w:p>
    <w:p>
      <w:pPr>
        <w:pStyle w:val="Heading3"/>
        <w:spacing w:after="100" w:before="200"/>
      </w:pPr>
      <w:r>
        <w:rPr>
          <w:b/>
          <w:bCs/>
          <w:color w:val="333333"/>
          <w:sz w:val="22"/>
          <w:szCs w:val="22"/>
        </w:rPr>
        <w:t xml:space="preserve">Fee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Professional fee per class (filing)</w:t>
            </w:r>
          </w:p>
        </w:tc>
        <w:tc>
          <w:tcPr>
            <w:tcW w:type="dxa" w:w="5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₦100,000 – ₦180,000 (estimate)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Programme total estimate (7 applications)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₦700,000 – ₦1,260,000 professional + ~₦229,600 govt = ~₦930,000 – ₦1.49M total</w:t>
            </w:r>
          </w:p>
        </w:tc>
      </w:tr>
    </w:tbl>
    <w:p>
      <w:pPr>
        <w:spacing w:after="80"/>
      </w:pPr>
      <w:r>
        <w:t xml:space="preserve"/>
      </w:r>
    </w:p>
    <w:p>
      <w:pPr>
        <w:pStyle w:val="Heading3"/>
        <w:spacing w:after="100" w:before="200"/>
      </w:pPr>
      <w:r>
        <w:rPr>
          <w:b/>
          <w:bCs/>
          <w:color w:val="333333"/>
          <w:sz w:val="22"/>
          <w:szCs w:val="22"/>
        </w:rPr>
        <w:t xml:space="preserve">Strengths</w:t>
      </w:r>
    </w:p>
    <w:p>
      <w:pPr>
        <w:pStyle w:val="ListParagraph"/>
        <w:numPr>
          <w:ilvl w:val="0"/>
          <w:numId w:val="2"/>
        </w:numPr>
        <w:spacing w:after="80" w:line="290"/>
      </w:pPr>
      <w:r>
        <w:t xml:space="preserve">Agent code already on the IPO Nigeria register — eliminates any accreditation uncertainty.</w:t>
      </w:r>
    </w:p>
    <w:p>
      <w:pPr>
        <w:pStyle w:val="ListParagraph"/>
        <w:numPr>
          <w:ilvl w:val="0"/>
          <w:numId w:val="2"/>
        </w:numPr>
        <w:spacing w:after="80" w:line="290"/>
      </w:pPr>
      <w:r>
        <w:t xml:space="preserve">Corporate IP structuring depth — useful for future assignment, licensing, or fundraising diligence needs.</w:t>
      </w:r>
    </w:p>
    <w:p>
      <w:pPr>
        <w:pStyle w:val="ListParagraph"/>
        <w:numPr>
          <w:ilvl w:val="0"/>
          <w:numId w:val="2"/>
        </w:numPr>
        <w:spacing w:after="80" w:line="290"/>
      </w:pPr>
      <w:r>
        <w:t xml:space="preserve">International memberships = experienced at handling foreign counsel co-counsel arrangements if investors require it.</w:t>
      </w:r>
    </w:p>
    <w:p>
      <w:pPr>
        <w:spacing w:after="80"/>
      </w:pPr>
      <w:r>
        <w:t xml:space="preserve"/>
      </w:r>
    </w:p>
    <w:p>
      <w:pPr>
        <w:pStyle w:val="Heading3"/>
        <w:spacing w:after="100" w:before="200"/>
      </w:pPr>
      <w:r>
        <w:rPr>
          <w:b/>
          <w:bCs/>
          <w:color w:val="333333"/>
          <w:sz w:val="22"/>
          <w:szCs w:val="22"/>
        </w:rPr>
        <w:t xml:space="preserve">Watch-outs</w:t>
      </w:r>
    </w:p>
    <w:p>
      <w:pPr>
        <w:pStyle w:val="ListParagraph"/>
        <w:numPr>
          <w:ilvl w:val="0"/>
          <w:numId w:val="2"/>
        </w:numPr>
        <w:spacing w:after="80" w:line="290"/>
      </w:pPr>
      <w:r>
        <w:t xml:space="preserve">Pricing similar to JEE — stretches budget for an initial filing with no live contested matter.</w:t>
      </w:r>
    </w:p>
    <w:p>
      <w:pPr>
        <w:pStyle w:val="ListParagraph"/>
        <w:numPr>
          <w:ilvl w:val="0"/>
          <w:numId w:val="2"/>
        </w:numPr>
        <w:spacing w:after="80" w:line="290"/>
      </w:pPr>
      <w:r>
        <w:t xml:space="preserve">Large-firm responsiveness ceiling for a sub-₦1M mandate.</w:t>
      </w:r>
    </w:p>
    <w:p>
      <w:pPr>
        <w:pStyle w:val="ListParagraph"/>
        <w:numPr>
          <w:ilvl w:val="0"/>
          <w:numId w:val="2"/>
        </w:numPr>
        <w:spacing w:after="80" w:line="290"/>
      </w:pPr>
      <w:r>
        <w:t xml:space="preserve">Like JEE, over-specified for the pre-Beta scope.</w:t>
      </w:r>
    </w:p>
    <w:p>
      <w:pPr>
        <w:spacing w:after="80"/>
      </w:pPr>
      <w:r>
        <w:t xml:space="preserve"/>
      </w:r>
    </w:p>
    <w:p>
      <w:pPr>
        <w:pStyle w:val="Heading3"/>
        <w:spacing w:after="100" w:before="200"/>
      </w:pPr>
      <w:r>
        <w:rPr>
          <w:b/>
          <w:bCs/>
          <w:color w:val="333333"/>
          <w:sz w:val="22"/>
          <w:szCs w:val="22"/>
        </w:rPr>
        <w:t xml:space="preserve">Engagement note</w:t>
      </w:r>
    </w:p>
    <w:p>
      <w:pPr>
        <w:spacing w:after="120" w:line="300"/>
      </w:pPr>
      <w:r>
        <w:t xml:space="preserve">Consider if we later raise institutional capital and investor diligence demands a tier-1 IP counsel of record. Otherwise, treat as JEE alternative for contested matters only.</w:t>
      </w:r>
    </w:p>
    <w:p>
      <w:pPr>
        <w:pStyle w:val="Heading1"/>
        <w:spacing w:after="160" w:before="320"/>
      </w:pPr>
      <w:r>
        <w:rPr>
          <w:b/>
          <w:bCs/>
          <w:color w:val="1F4E2C"/>
          <w:sz w:val="32"/>
          <w:szCs w:val="32"/>
        </w:rPr>
        <w:t xml:space="preserve">2. Fit matrix — at-a-glance comparison</w:t>
      </w:r>
    </w:p>
    <w:p>
      <w:pPr>
        <w:spacing w:after="120" w:line="300"/>
      </w:pPr>
      <w:r>
        <w:t xml:space="preserve">All five firms are credible. The matrix below scores them against the factors that matter for an initial pre-Beta filing programme: cost, speed, domain fit, and execution risk. A "★" means strong on that dimension; open circle is weak or unknown.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200"/>
        <w:gridCol w:w="1860"/>
      </w:tblGrid>
      <w:tr>
        <w:trPr>
          <w:tblHeader/>
        </w:trPr>
        <w:tc>
          <w:tcPr>
            <w:tcW w:type="dxa" w:w="27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Firm</w:t>
            </w:r>
          </w:p>
        </w:tc>
        <w:tc>
          <w:tcPr>
            <w:tcW w:type="dxa" w:w="1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Budget fit</w:t>
            </w:r>
          </w:p>
        </w:tc>
        <w:tc>
          <w:tcPr>
            <w:tcW w:type="dxa" w:w="1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Filing speed</w:t>
            </w:r>
          </w:p>
        </w:tc>
        <w:tc>
          <w:tcPr>
            <w:tcW w:type="dxa" w:w="1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Domain fit</w:t>
            </w:r>
          </w:p>
        </w:tc>
        <w:tc>
          <w:tcPr>
            <w:tcW w:type="dxa" w:w="1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Execution risk</w:t>
            </w:r>
          </w:p>
        </w:tc>
        <w:tc>
          <w:tcPr>
            <w:tcW w:type="dxa" w:w="18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Overall</w:t>
            </w:r>
          </w:p>
        </w:tc>
      </w:tr>
      <w:tr>
        <w:tc>
          <w:tcPr>
            <w:tcW w:type="dxa" w:w="2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Adeola Oyinlade &amp; Co</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8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Primary recommendation</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Aspire Solicitors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Strong secondary</w:t>
            </w:r>
          </w:p>
        </w:tc>
      </w:tr>
      <w:tr>
        <w:tc>
          <w:tcPr>
            <w:tcW w:type="dxa" w:w="2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Hectagon &amp; Shields</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8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Boutique fallback</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Jackson, Etti &amp; Edu</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Escalation only</w:t>
            </w:r>
          </w:p>
        </w:tc>
      </w:tr>
      <w:tr>
        <w:tc>
          <w:tcPr>
            <w:tcW w:type="dxa" w:w="2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Banwo &amp; Ighodalo</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t>
            </w:r>
          </w:p>
        </w:tc>
        <w:tc>
          <w:tcPr>
            <w:tcW w:type="dxa" w:w="18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Escalation only</w:t>
            </w:r>
          </w:p>
        </w:tc>
      </w:tr>
    </w:tbl>
    <w:p>
      <w:pPr>
        <w:spacing w:after="80"/>
      </w:pPr>
      <w:r>
        <w:t xml:space="preserve"/>
      </w:r>
    </w:p>
    <w:p>
      <w:pPr>
        <w:pStyle w:val="Heading3"/>
        <w:spacing w:after="100" w:before="200"/>
      </w:pPr>
      <w:r>
        <w:rPr>
          <w:b/>
          <w:bCs/>
          <w:color w:val="333333"/>
          <w:sz w:val="22"/>
          <w:szCs w:val="22"/>
        </w:rPr>
        <w:t xml:space="preserve">Reading the matrix</w:t>
      </w:r>
    </w:p>
    <w:p>
      <w:pPr>
        <w:pStyle w:val="ListParagraph"/>
        <w:numPr>
          <w:ilvl w:val="0"/>
          <w:numId w:val="2"/>
        </w:numPr>
        <w:spacing w:after="80" w:line="290"/>
      </w:pPr>
      <w:r>
        <w:rPr>
          <w:b/>
          <w:bCs/>
        </w:rPr>
        <w:t xml:space="preserve">Budget fit: </w:t>
      </w:r>
      <w:r>
        <w:t xml:space="preserve">three stars = quote likely within the ₦1.2M programme envelope with budget left for one office action per class. One star = likely exceeds budget at published market rates.</w:t>
      </w:r>
    </w:p>
    <w:p>
      <w:pPr>
        <w:pStyle w:val="ListParagraph"/>
        <w:numPr>
          <w:ilvl w:val="0"/>
          <w:numId w:val="2"/>
        </w:numPr>
        <w:spacing w:after="80" w:line="290"/>
      </w:pPr>
      <w:r>
        <w:rPr>
          <w:b/>
          <w:bCs/>
        </w:rPr>
        <w:t xml:space="preserve">Filing speed: </w:t>
      </w:r>
      <w:r>
        <w:t xml:space="preserve">three stars = high confidence in meeting a 26 April lodgement date. Reflects firm size, registry-access logistics, and published responsiveness signals.</w:t>
      </w:r>
    </w:p>
    <w:p>
      <w:pPr>
        <w:pStyle w:val="ListParagraph"/>
        <w:numPr>
          <w:ilvl w:val="0"/>
          <w:numId w:val="2"/>
        </w:numPr>
        <w:spacing w:after="80" w:line="290"/>
      </w:pPr>
      <w:r>
        <w:rPr>
          <w:b/>
          <w:bCs/>
        </w:rPr>
        <w:t xml:space="preserve">Domain fit: </w:t>
      </w:r>
      <w:r>
        <w:t xml:space="preserve">three stars = demonstrated agritech / fintech / SaaS practice experience. Firms without public signals on tech-sector work are rated lower.</w:t>
      </w:r>
    </w:p>
    <w:p>
      <w:pPr>
        <w:pStyle w:val="ListParagraph"/>
        <w:numPr>
          <w:ilvl w:val="0"/>
          <w:numId w:val="2"/>
        </w:numPr>
        <w:spacing w:after="80" w:line="290"/>
      </w:pPr>
      <w:r>
        <w:rPr>
          <w:b/>
          <w:bCs/>
        </w:rPr>
        <w:t xml:space="preserve">Execution risk: </w:t>
      </w:r>
      <w:r>
        <w:t xml:space="preserve">three stars = institutional depth means low single-lawyer dependency and mature workflow discipline. Two stars = boutique-scale, higher key-person risk.</w:t>
      </w:r>
    </w:p>
    <w:p>
      <w:r>
        <w:br w:type="page"/>
      </w:r>
    </w:p>
    <w:p>
      <w:pPr>
        <w:pStyle w:val="Heading1"/>
        <w:spacing w:after="160" w:before="320"/>
      </w:pPr>
      <w:r>
        <w:rPr>
          <w:b/>
          <w:bCs/>
          <w:color w:val="1F4E2C"/>
          <w:sz w:val="32"/>
          <w:szCs w:val="32"/>
        </w:rPr>
        <w:t xml:space="preserve">3. Outreach email templates</w:t>
      </w:r>
    </w:p>
    <w:p>
      <w:pPr>
        <w:spacing w:after="120" w:line="300"/>
      </w:pPr>
      <w:r>
        <w:t xml:space="preserve">Send templates A and B on Tuesday 22 April 2026, morning Lagos time. Personalise lightly per firm. Both emails should request a written quote, a named partner, and a commitment on the 26 April filing window — written responses by end-of-day Wednesday 23 April.</w:t>
      </w:r>
    </w:p>
    <w:p>
      <w:pPr>
        <w:spacing w:after="80"/>
      </w:pPr>
      <w:r>
        <w:t xml:space="preserve"/>
      </w:r>
    </w:p>
    <w:p>
      <w:pPr>
        <w:pStyle w:val="Heading2"/>
        <w:spacing w:after="120" w:before="260"/>
      </w:pPr>
      <w:r>
        <w:rPr>
          <w:b/>
          <w:bCs/>
          <w:color w:val="2E7D46"/>
          <w:sz w:val="26"/>
          <w:szCs w:val="26"/>
        </w:rPr>
        <w:t xml:space="preserve">3.1  Template A — Primary and Secondary firms (Adeola Oyinlade &amp; Co, Aspire, Hectagon)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Subject: Trademark registration mandate — AgroYield Network (7 applications, filing window 26 April)</w:t>
            </w:r>
          </w:p>
          <w:p>
            <w:pPr>
              <w:spacing w:after="60" w:line="290"/>
            </w:pPr>
            <w:r>
              <w:rPr>
                <w:sz w:val="20"/>
                <w:szCs w:val="20"/>
              </w:rPr>
              <w:t xml:space="preserve">Dear [Partner Name or Trademark Department],</w:t>
            </w:r>
          </w:p>
          <w:p>
            <w:pPr>
              <w:spacing w:after="60" w:line="290"/>
            </w:pPr>
            <w:r>
              <w:rPr>
                <w:sz w:val="20"/>
                <w:szCs w:val="20"/>
              </w:rPr>
              <w:t xml:space="preserve"/>
            </w:r>
          </w:p>
          <w:p>
            <w:pPr>
              <w:spacing w:after="60" w:line="290"/>
            </w:pPr>
            <w:r>
              <w:rPr>
                <w:sz w:val="20"/>
                <w:szCs w:val="20"/>
              </w:rPr>
              <w:t xml:space="preserve">I am the founder of AgroYield Network, a Nigerian agritech platform launching its public Beta on 27 April 2026. We are seeking an accredited trademark agent to execute a seven-application filing programme before that date.</w:t>
            </w:r>
          </w:p>
          <w:p>
            <w:pPr>
              <w:spacing w:after="60" w:line="290"/>
            </w:pPr>
            <w:r>
              <w:rPr>
                <w:sz w:val="20"/>
                <w:szCs w:val="20"/>
              </w:rPr>
              <w:t xml:space="preserve"/>
            </w:r>
          </w:p>
          <w:p>
            <w:pPr>
              <w:spacing w:after="60" w:line="290"/>
            </w:pPr>
            <w:r>
              <w:rPr>
                <w:sz w:val="20"/>
                <w:szCs w:val="20"/>
              </w:rPr>
              <w:t xml:space="preserve">Scope:</w:t>
            </w:r>
          </w:p>
          <w:p>
            <w:pPr>
              <w:spacing w:after="60" w:line="290"/>
            </w:pPr>
            <w:r>
              <w:rPr>
                <w:sz w:val="20"/>
                <w:szCs w:val="20"/>
              </w:rPr>
              <w:t xml:space="preserve">• Word mark "AGROYIELD NETWORK" filed in Nice Classes 9 (software), 35 (commercial intermediation / online marketplace), 36 (financial services), 42 (SaaS / technology services), and 44 (agricultural services) — five applications.</w:t>
            </w:r>
          </w:p>
          <w:p>
            <w:pPr>
              <w:spacing w:after="60" w:line="290"/>
            </w:pPr>
            <w:r>
              <w:rPr>
                <w:sz w:val="20"/>
                <w:szCs w:val="20"/>
              </w:rPr>
              <w:t xml:space="preserve">• Device mark (our current logo) filed in Classes 9 and 42 — two applications.</w:t>
            </w:r>
          </w:p>
          <w:p>
            <w:pPr>
              <w:spacing w:after="60" w:line="290"/>
            </w:pPr>
            <w:r>
              <w:rPr>
                <w:sz w:val="20"/>
                <w:szCs w:val="20"/>
              </w:rPr>
              <w:t xml:space="preserve">• Preliminary availability searches in all five word-mark classes prior to lodgement.</w:t>
            </w:r>
          </w:p>
          <w:p>
            <w:pPr>
              <w:spacing w:after="60" w:line="290"/>
            </w:pPr>
            <w:r>
              <w:rPr>
                <w:sz w:val="20"/>
                <w:szCs w:val="20"/>
              </w:rPr>
              <w:t xml:space="preserve">• Standard filing deliverables including acknowledgement letters, examination tracking, and acceptance letters.</w:t>
            </w:r>
          </w:p>
          <w:p>
            <w:pPr>
              <w:spacing w:after="60" w:line="290"/>
            </w:pPr>
            <w:r>
              <w:rPr>
                <w:sz w:val="20"/>
                <w:szCs w:val="20"/>
              </w:rPr>
              <w:t xml:space="preserve"/>
            </w:r>
          </w:p>
          <w:p>
            <w:pPr>
              <w:spacing w:after="60" w:line="290"/>
            </w:pPr>
            <w:r>
              <w:rPr>
                <w:sz w:val="20"/>
                <w:szCs w:val="20"/>
              </w:rPr>
              <w:t xml:space="preserve">Deadlines:</w:t>
            </w:r>
          </w:p>
          <w:p>
            <w:pPr>
              <w:spacing w:after="60" w:line="290"/>
            </w:pPr>
            <w:r>
              <w:rPr>
                <w:sz w:val="20"/>
                <w:szCs w:val="20"/>
              </w:rPr>
              <w:t xml:space="preserve">• Engagement letter and availability search opinion by Friday 24 April 2026.</w:t>
            </w:r>
          </w:p>
          <w:p>
            <w:pPr>
              <w:spacing w:after="60" w:line="290"/>
            </w:pPr>
            <w:r>
              <w:rPr>
                <w:sz w:val="20"/>
                <w:szCs w:val="20"/>
              </w:rPr>
              <w:t xml:space="preserve">• Lodgement of all 7 applications by Monday 26 April 2026 (priority-date lock required before our 27 April launch).</w:t>
            </w:r>
          </w:p>
          <w:p>
            <w:pPr>
              <w:spacing w:after="60" w:line="290"/>
            </w:pPr>
            <w:r>
              <w:rPr>
                <w:sz w:val="20"/>
                <w:szCs w:val="20"/>
              </w:rPr>
              <w:t xml:space="preserve"/>
            </w:r>
          </w:p>
          <w:p>
            <w:pPr>
              <w:spacing w:after="60" w:line="290"/>
            </w:pPr>
            <w:r>
              <w:rPr>
                <w:sz w:val="20"/>
                <w:szCs w:val="20"/>
              </w:rPr>
              <w:t xml:space="preserve">Information requested in your reply:</w:t>
            </w:r>
          </w:p>
          <w:p>
            <w:pPr>
              <w:spacing w:after="60" w:line="290"/>
            </w:pPr>
            <w:r>
              <w:rPr>
                <w:sz w:val="20"/>
                <w:szCs w:val="20"/>
              </w:rPr>
              <w:t xml:space="preserve">1. Fixed professional fee per class (filing) and any separate charges for availability search, publication fee processing, and certificate issuance.</w:t>
            </w:r>
          </w:p>
          <w:p>
            <w:pPr>
              <w:spacing w:after="60" w:line="290"/>
            </w:pPr>
            <w:r>
              <w:rPr>
                <w:sz w:val="20"/>
                <w:szCs w:val="20"/>
              </w:rPr>
              <w:t xml:space="preserve">2. Estimated programme total including all 7 applications and government fees.</w:t>
            </w:r>
          </w:p>
          <w:p>
            <w:pPr>
              <w:spacing w:after="60" w:line="290"/>
            </w:pPr>
            <w:r>
              <w:rPr>
                <w:sz w:val="20"/>
                <w:szCs w:val="20"/>
              </w:rPr>
              <w:t xml:space="preserve">3. Name and agent-register number of the partner who will own this mandate.</w:t>
            </w:r>
          </w:p>
          <w:p>
            <w:pPr>
              <w:spacing w:after="60" w:line="290"/>
            </w:pPr>
            <w:r>
              <w:rPr>
                <w:sz w:val="20"/>
                <w:szCs w:val="20"/>
              </w:rPr>
              <w:t xml:space="preserve">4. Written confirmation that you can lodge all 7 applications by Monday 26 April 2026.</w:t>
            </w:r>
          </w:p>
          <w:p>
            <w:pPr>
              <w:spacing w:after="60" w:line="290"/>
            </w:pPr>
            <w:r>
              <w:rPr>
                <w:sz w:val="20"/>
                <w:szCs w:val="20"/>
              </w:rPr>
              <w:t xml:space="preserve">5. Two recent references — ideally technology or fintech clients.</w:t>
            </w:r>
          </w:p>
          <w:p>
            <w:pPr>
              <w:spacing w:after="60" w:line="290"/>
            </w:pPr>
            <w:r>
              <w:rPr>
                <w:sz w:val="20"/>
                <w:szCs w:val="20"/>
              </w:rPr>
              <w:t xml:space="preserve"/>
            </w:r>
          </w:p>
          <w:p>
            <w:pPr>
              <w:spacing w:after="60" w:line="290"/>
            </w:pPr>
            <w:r>
              <w:rPr>
                <w:sz w:val="20"/>
                <w:szCs w:val="20"/>
              </w:rPr>
              <w:t xml:space="preserve">I can be available for a 15-minute call Wednesday 23 April to discuss. Please respond by end-of-day Wednesday 23 April if you are interested in the mandate.</w:t>
            </w:r>
          </w:p>
          <w:p>
            <w:pPr>
              <w:spacing w:after="60" w:line="290"/>
            </w:pPr>
            <w:r>
              <w:rPr>
                <w:sz w:val="20"/>
                <w:szCs w:val="20"/>
              </w:rPr>
              <w:t xml:space="preserve"/>
            </w:r>
          </w:p>
          <w:p>
            <w:pPr>
              <w:spacing w:after="60" w:line="290"/>
            </w:pPr>
            <w:r>
              <w:rPr>
                <w:sz w:val="20"/>
                <w:szCs w:val="20"/>
              </w:rPr>
              <w:t xml:space="preserve">Kind regards,</w:t>
            </w:r>
          </w:p>
          <w:p>
            <w:pPr>
              <w:spacing w:after="60" w:line="290"/>
            </w:pPr>
            <w:r>
              <w:rPr>
                <w:sz w:val="20"/>
                <w:szCs w:val="20"/>
              </w:rPr>
              <w:t xml:space="preserve">Okoli Chijioke</w:t>
            </w:r>
          </w:p>
          <w:p>
            <w:pPr>
              <w:spacing w:after="60" w:line="290"/>
            </w:pPr>
            <w:r>
              <w:rPr>
                <w:sz w:val="20"/>
                <w:szCs w:val="20"/>
              </w:rPr>
              <w:t xml:space="preserve">Founder, AgroYield Network</w:t>
            </w:r>
          </w:p>
          <w:p>
            <w:pPr>
              <w:spacing w:after="60" w:line="290"/>
            </w:pPr>
            <w:r>
              <w:rPr>
                <w:sz w:val="20"/>
                <w:szCs w:val="20"/>
              </w:rPr>
              <w:t xml:space="preserve">okolichijiokei@gmail.com</w:t>
            </w:r>
          </w:p>
        </w:tc>
      </w:tr>
    </w:tbl>
    <w:p>
      <w:pPr>
        <w:spacing w:after="80"/>
      </w:pPr>
      <w:r>
        <w:t xml:space="preserve"/>
      </w:r>
    </w:p>
    <w:p>
      <w:pPr>
        <w:pStyle w:val="Heading2"/>
        <w:spacing w:after="120" w:before="260"/>
      </w:pPr>
      <w:r>
        <w:rPr>
          <w:b/>
          <w:bCs/>
          <w:color w:val="2E7D46"/>
          <w:sz w:val="26"/>
          <w:szCs w:val="26"/>
        </w:rPr>
        <w:t xml:space="preserve">3.2  Template B — Premium firms (JEE, Banwo &amp; Ighodalo) — only if escalation needed</w:t>
      </w:r>
    </w:p>
    <w:p>
      <w:pPr>
        <w:spacing w:after="120" w:line="300"/>
      </w:pPr>
      <w:r>
        <w:t xml:space="preserve">Do not send Template B unless Primary and Secondary candidates both fail to respond or cannot meet the filing window. Template B is more formal because JEE and Banwo &amp; Ighodalo expect a tone consistent with their institutional positioning.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Subject: Trademark prosecution engagement — AgroYield Network (time-critical)</w:t>
            </w:r>
          </w:p>
          <w:p>
            <w:pPr>
              <w:spacing w:after="60" w:line="290"/>
            </w:pPr>
            <w:r>
              <w:rPr>
                <w:sz w:val="20"/>
                <w:szCs w:val="20"/>
              </w:rPr>
              <w:t xml:space="preserve">Dear [Partner Name],</w:t>
            </w:r>
          </w:p>
          <w:p>
            <w:pPr>
              <w:spacing w:after="60" w:line="290"/>
            </w:pPr>
            <w:r>
              <w:rPr>
                <w:sz w:val="20"/>
                <w:szCs w:val="20"/>
              </w:rPr>
              <w:t xml:space="preserve"/>
            </w:r>
          </w:p>
          <w:p>
            <w:pPr>
              <w:spacing w:after="60" w:line="290"/>
            </w:pPr>
            <w:r>
              <w:rPr>
                <w:sz w:val="20"/>
                <w:szCs w:val="20"/>
              </w:rPr>
              <w:t xml:space="preserve">I am writing to enquire about a time-critical trademark prosecution mandate for AgroYield Network, a Nigerian agritech platform approaching public launch on 27 April 2026.</w:t>
            </w:r>
          </w:p>
          <w:p>
            <w:pPr>
              <w:spacing w:after="60" w:line="290"/>
            </w:pPr>
            <w:r>
              <w:rPr>
                <w:sz w:val="20"/>
                <w:szCs w:val="20"/>
              </w:rPr>
              <w:t xml:space="preserve"/>
            </w:r>
          </w:p>
          <w:p>
            <w:pPr>
              <w:spacing w:after="60" w:line="290"/>
            </w:pPr>
            <w:r>
              <w:rPr>
                <w:sz w:val="20"/>
                <w:szCs w:val="20"/>
              </w:rPr>
              <w:t xml:space="preserve">The programme comprises seven applications — the "AGROYIELD NETWORK" word mark across five Nice classes (9, 35, 36, 42, 44) and the corresponding device mark in Classes 9 and 42. We have completed internal collision-risk diligence and a process brief; what we require now is the accredited agent's formal availability search and lodgement.</w:t>
            </w:r>
          </w:p>
          <w:p>
            <w:pPr>
              <w:spacing w:after="60" w:line="290"/>
            </w:pPr>
            <w:r>
              <w:rPr>
                <w:sz w:val="20"/>
                <w:szCs w:val="20"/>
              </w:rPr>
              <w:t xml:space="preserve"/>
            </w:r>
          </w:p>
          <w:p>
            <w:pPr>
              <w:spacing w:after="60" w:line="290"/>
            </w:pPr>
            <w:r>
              <w:rPr>
                <w:sz w:val="20"/>
                <w:szCs w:val="20"/>
              </w:rPr>
              <w:t xml:space="preserve">We aim to lodge all applications on or before Monday 26 April 2026 to secure priority dates prior to the product launch the following day.</w:t>
            </w:r>
          </w:p>
          <w:p>
            <w:pPr>
              <w:spacing w:after="60" w:line="290"/>
            </w:pPr>
            <w:r>
              <w:rPr>
                <w:sz w:val="20"/>
                <w:szCs w:val="20"/>
              </w:rPr>
              <w:t xml:space="preserve"/>
            </w:r>
          </w:p>
          <w:p>
            <w:pPr>
              <w:spacing w:after="60" w:line="290"/>
            </w:pPr>
            <w:r>
              <w:rPr>
                <w:sz w:val="20"/>
                <w:szCs w:val="20"/>
              </w:rPr>
              <w:t xml:space="preserve">Given the compressed timeline, could you confirm at your earliest convenience (1) your availability to accept the mandate this week, (2) your fixed or estimated professional fee across the programme, and (3) the partner and accredited agent who would handle the matter. I am happy to forward our internal process brief under NDA once engagement terms are agreed.</w:t>
            </w:r>
          </w:p>
          <w:p>
            <w:pPr>
              <w:spacing w:after="60" w:line="290"/>
            </w:pPr>
            <w:r>
              <w:rPr>
                <w:sz w:val="20"/>
                <w:szCs w:val="20"/>
              </w:rPr>
              <w:t xml:space="preserve"/>
            </w:r>
          </w:p>
          <w:p>
            <w:pPr>
              <w:spacing w:after="60" w:line="290"/>
            </w:pPr>
            <w:r>
              <w:rPr>
                <w:sz w:val="20"/>
                <w:szCs w:val="20"/>
              </w:rPr>
              <w:t xml:space="preserve">With thanks,</w:t>
            </w:r>
          </w:p>
          <w:p>
            <w:pPr>
              <w:spacing w:after="60" w:line="290"/>
            </w:pPr>
            <w:r>
              <w:rPr>
                <w:sz w:val="20"/>
                <w:szCs w:val="20"/>
              </w:rPr>
              <w:t xml:space="preserve">Okoli Chijioke</w:t>
            </w:r>
          </w:p>
          <w:p>
            <w:pPr>
              <w:spacing w:after="60" w:line="290"/>
            </w:pPr>
            <w:r>
              <w:rPr>
                <w:sz w:val="20"/>
                <w:szCs w:val="20"/>
              </w:rPr>
              <w:t xml:space="preserve">Founder, AgroYield Network</w:t>
            </w:r>
          </w:p>
          <w:p>
            <w:pPr>
              <w:spacing w:after="60" w:line="290"/>
            </w:pPr>
            <w:r>
              <w:rPr>
                <w:sz w:val="20"/>
                <w:szCs w:val="20"/>
              </w:rPr>
              <w:t xml:space="preserve">okolichijiokei@gmail.com</w:t>
            </w:r>
          </w:p>
        </w:tc>
      </w:tr>
    </w:tbl>
    <w:p>
      <w:r>
        <w:br w:type="page"/>
      </w:r>
    </w:p>
    <w:p>
      <w:pPr>
        <w:pStyle w:val="Heading1"/>
        <w:spacing w:after="160" w:before="320"/>
      </w:pPr>
      <w:r>
        <w:rPr>
          <w:b/>
          <w:bCs/>
          <w:color w:val="1F4E2C"/>
          <w:sz w:val="32"/>
          <w:szCs w:val="32"/>
        </w:rPr>
        <w:t xml:space="preserve">4. Scope-of-work checklist — send with any signed engagement</w:t>
      </w:r>
    </w:p>
    <w:p>
      <w:pPr>
        <w:spacing w:after="120" w:line="300"/>
      </w:pPr>
      <w:r>
        <w:t xml:space="preserve">Once a firm confirms and the price is acceptable, send this checklist with the engagement letter so the scope, milestones, and deliverables are unambiguous. A written scope also becomes useful diligence material for future investors.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760"/>
        <w:gridCol w:w="2200"/>
      </w:tblGrid>
      <w:tr>
        <w:trPr>
          <w:tblHeader/>
        </w:trPr>
        <w:tc>
          <w:tcPr>
            <w:tcW w:type="dxa" w:w="6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w:t>
            </w:r>
          </w:p>
        </w:tc>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Milestone</w:t>
            </w:r>
          </w:p>
        </w:tc>
        <w:tc>
          <w:tcPr>
            <w:tcW w:type="dxa" w:w="37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Deliverable</w:t>
            </w:r>
          </w:p>
        </w:tc>
        <w:tc>
          <w:tcPr>
            <w:tcW w:type="dxa" w:w="2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Due date</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Engagement terms</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Signed engagement letter; Power of Attorney (TM-1A) executed by applicant</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Thu 23 Apr 2026</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Applicant details captured</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Confirmed applicant entity name, address, nature of business, and director details to appear on TM-1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Thu 23 Apr 2026</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3</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Availability search</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Written clearance opinion covering all 7 applications across the target classes</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Fri 24 Apr 2026</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Mark specimen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Device-mark files in the format prescribed by the Registry; approved wordmark capitalisation ("AGROYIELD NETWORK")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Fri 24 Apr 2026</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5</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 specifications</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Agreed text for each class's specification of goods / services, drafted in Nice 13th-edition language</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Fri 24 Apr 2026</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7 × Form TM-1 lodged electronically via portal.iponigeria.com with receipts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Mon 26 Apr 2026</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7</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Acknowledgement letters</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Official IPO Nigeria acknowledgement letters for each of the 7 filings</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~2 weeks after filing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8</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Examination tracking</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Monthly status report covering examination progress, office actions, publication dates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Monthly thereafter</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9</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Office action response</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Drafting and lodgement of response to each office action within statutory deadlines</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As required</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10</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Publication monitoring</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Confirmation of publication in the Trademark Journal; management of 2-month opposition window</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Post-acceptance</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11</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Certificate issuance</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Delivery of Certificate of Registration for each class</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12 – 24 months</w:t>
            </w:r>
          </w:p>
        </w:tc>
      </w:tr>
    </w:tbl>
    <w:p>
      <w:r>
        <w:br w:type="page"/>
      </w:r>
    </w:p>
    <w:p>
      <w:pPr>
        <w:pStyle w:val="Heading1"/>
        <w:spacing w:after="160" w:before="320"/>
      </w:pPr>
      <w:r>
        <w:rPr>
          <w:b/>
          <w:bCs/>
          <w:color w:val="1F4E2C"/>
          <w:sz w:val="32"/>
          <w:szCs w:val="32"/>
        </w:rPr>
        <w:t xml:space="preserve">5. Due-diligence checklist before signing Power of Attorney</w:t>
      </w:r>
    </w:p>
    <w:p>
      <w:pPr>
        <w:spacing w:after="120" w:line="300"/>
      </w:pPr>
      <w:r>
        <w:t xml:space="preserve">Before signing the Power of Attorney (Form TM-1A) with any firm, confirm the following. The first three items are non-negotiable.</w:t>
      </w:r>
    </w:p>
    <w:p>
      <w:pPr>
        <w:spacing w:after="80"/>
      </w:pPr>
      <w:r>
        <w:t xml:space="preserve"/>
      </w:r>
    </w:p>
    <w:p>
      <w:pPr>
        <w:pStyle w:val="ListParagraph"/>
        <w:numPr>
          <w:ilvl w:val="0"/>
          <w:numId w:val="2"/>
        </w:numPr>
        <w:spacing w:after="80" w:line="290"/>
      </w:pPr>
      <w:r>
        <w:rPr>
          <w:b/>
          <w:bCs/>
        </w:rPr>
        <w:t xml:space="preserve">Accreditation verification: </w:t>
      </w:r>
      <w:r>
        <w:t xml:space="preserve">Agent code on the IPO Nigeria / FIPO published agent register. Ask for the code in writing; cross-reference against the register.</w:t>
      </w:r>
    </w:p>
    <w:p>
      <w:pPr>
        <w:pStyle w:val="ListParagraph"/>
        <w:numPr>
          <w:ilvl w:val="0"/>
          <w:numId w:val="2"/>
        </w:numPr>
        <w:spacing w:after="80" w:line="290"/>
      </w:pPr>
      <w:r>
        <w:rPr>
          <w:b/>
          <w:bCs/>
        </w:rPr>
        <w:t xml:space="preserve">Named partner commitment: </w:t>
      </w:r>
      <w:r>
        <w:t xml:space="preserve">Mandate assigned to a named partner, not a generic "trademark department". Partner named in the engagement letter.</w:t>
      </w:r>
    </w:p>
    <w:p>
      <w:pPr>
        <w:pStyle w:val="ListParagraph"/>
        <w:numPr>
          <w:ilvl w:val="0"/>
          <w:numId w:val="2"/>
        </w:numPr>
        <w:spacing w:after="80" w:line="290"/>
      </w:pPr>
      <w:r>
        <w:rPr>
          <w:b/>
          <w:bCs/>
        </w:rPr>
        <w:t xml:space="preserve">Filing deadline commitment: </w:t>
      </w:r>
      <w:r>
        <w:t xml:space="preserve">Monday 26 April 2026 lodgement confirmed in writing. Any soft commitment ("we aim to…", "subject to capacity…") disqualifies the firm for this mandate.</w:t>
      </w:r>
    </w:p>
    <w:p>
      <w:pPr>
        <w:pStyle w:val="ListParagraph"/>
        <w:numPr>
          <w:ilvl w:val="0"/>
          <w:numId w:val="2"/>
        </w:numPr>
        <w:spacing w:after="80" w:line="290"/>
      </w:pPr>
      <w:r>
        <w:t xml:space="preserve">Stated fees are fixed, not hourly, for the filing stage; hourly only permissible for office-action responses and opposition defence.</w:t>
      </w:r>
    </w:p>
    <w:p>
      <w:pPr>
        <w:pStyle w:val="ListParagraph"/>
        <w:numPr>
          <w:ilvl w:val="0"/>
          <w:numId w:val="2"/>
        </w:numPr>
        <w:spacing w:after="80" w:line="290"/>
      </w:pPr>
      <w:r>
        <w:t xml:space="preserve">Written conflict check confirming no current representation of Agro Yield Africa Limited or any other "Agro Yield"-containing entity.</w:t>
      </w:r>
    </w:p>
    <w:p>
      <w:pPr>
        <w:pStyle w:val="ListParagraph"/>
        <w:numPr>
          <w:ilvl w:val="0"/>
          <w:numId w:val="2"/>
        </w:numPr>
        <w:spacing w:after="80" w:line="290"/>
      </w:pPr>
      <w:r>
        <w:t xml:space="preserve">Two references furnished and contactable — prefer tech / fintech / SaaS clients.</w:t>
      </w:r>
    </w:p>
    <w:p>
      <w:pPr>
        <w:pStyle w:val="ListParagraph"/>
        <w:numPr>
          <w:ilvl w:val="0"/>
          <w:numId w:val="2"/>
        </w:numPr>
        <w:spacing w:after="80" w:line="290"/>
      </w:pPr>
      <w:r>
        <w:t xml:space="preserve">Engagement letter specifies a termination clause enabling the applicant to disengage without forfeiting filings already made.</w:t>
      </w:r>
    </w:p>
    <w:p>
      <w:pPr>
        <w:pStyle w:val="ListParagraph"/>
        <w:numPr>
          <w:ilvl w:val="0"/>
          <w:numId w:val="2"/>
        </w:numPr>
        <w:spacing w:after="80" w:line="290"/>
      </w:pPr>
      <w:r>
        <w:t xml:space="preserve">Invoicing milestones tied to Stage completion (engagement, search, filing, acceptance, publication, certificate), not front-loaded.</w:t>
      </w:r>
    </w:p>
    <w:p>
      <w:pPr>
        <w:pStyle w:val="ListParagraph"/>
        <w:numPr>
          <w:ilvl w:val="0"/>
          <w:numId w:val="2"/>
        </w:numPr>
        <w:spacing w:after="80" w:line="290"/>
      </w:pPr>
      <w:r>
        <w:t xml:space="preserve">Clear escalation path if an office action or opposition arises; quoted response fees.</w:t>
      </w:r>
    </w:p>
    <w:p>
      <w:pPr>
        <w:pStyle w:val="ListParagraph"/>
        <w:numPr>
          <w:ilvl w:val="0"/>
          <w:numId w:val="2"/>
        </w:numPr>
        <w:spacing w:after="80" w:line="290"/>
      </w:pPr>
      <w:r>
        <w:t xml:space="preserve">Written commitment to provide monthly status reports once the applications enter examination.</w:t>
      </w:r>
    </w:p>
    <w:p>
      <w:r>
        <w:br w:type="page"/>
      </w:r>
    </w:p>
    <w:p>
      <w:pPr>
        <w:pStyle w:val="Heading1"/>
        <w:spacing w:after="160" w:before="320"/>
      </w:pPr>
      <w:r>
        <w:rPr>
          <w:b/>
          <w:bCs/>
          <w:color w:val="1F4E2C"/>
          <w:sz w:val="32"/>
          <w:szCs w:val="32"/>
        </w:rPr>
        <w:t xml:space="preserve">6. Decision flow — how the next 48 hours should 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Tuesday 21 April — today</w:t>
            </w:r>
          </w:p>
          <w:p>
            <w:pPr>
              <w:spacing w:after="60" w:line="290"/>
            </w:pPr>
            <w:r>
              <w:rPr>
                <w:sz w:val="20"/>
                <w:szCs w:val="20"/>
              </w:rPr>
              <w:t xml:space="preserve">• You approve this shortlist.</w:t>
            </w:r>
          </w:p>
          <w:p>
            <w:pPr>
              <w:spacing w:after="60" w:line="290"/>
            </w:pPr>
            <w:r>
              <w:rPr>
                <w:sz w:val="20"/>
                <w:szCs w:val="20"/>
              </w:rPr>
              <w:t xml:space="preserve">• I draft the email bodies from the templates in Section 3 and put them in a ready-to-send state.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Wednesday 22 April — morning Lagos time</w:t>
            </w:r>
          </w:p>
          <w:p>
            <w:pPr>
              <w:spacing w:after="60" w:line="290"/>
            </w:pPr>
            <w:r>
              <w:rPr>
                <w:sz w:val="20"/>
                <w:szCs w:val="20"/>
              </w:rPr>
              <w:t xml:space="preserve">• Send Template A to Adeola Oyinlade &amp; Co, Aspire Solicitors, and Hectagon &amp; Shields in parallel.</w:t>
            </w:r>
          </w:p>
          <w:p>
            <w:pPr>
              <w:spacing w:after="60" w:line="290"/>
            </w:pPr>
            <w:r>
              <w:rPr>
                <w:sz w:val="20"/>
                <w:szCs w:val="20"/>
              </w:rPr>
              <w:t xml:space="preserve">• Hold Template B in reserve (JEE, Banwo &amp; Ighodalo) unless all three primary candidates fail to respond or decline.</w:t>
            </w:r>
          </w:p>
          <w:p>
            <w:pPr>
              <w:spacing w:after="60" w:line="290"/>
            </w:pPr>
            <w:r>
              <w:rPr>
                <w:sz w:val="20"/>
                <w:szCs w:val="20"/>
              </w:rPr>
              <w:t xml:space="preserve">• Expected first response: by Wednesday 22 April EOD, definitely by Thursday 23 April morning.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Thursday 23 April — by EOD Lagos time</w:t>
            </w:r>
          </w:p>
          <w:p>
            <w:pPr>
              <w:spacing w:after="60" w:line="290"/>
            </w:pPr>
            <w:r>
              <w:rPr>
                <w:sz w:val="20"/>
                <w:szCs w:val="20"/>
              </w:rPr>
              <w:t xml:space="preserve">• Compare quotes received. Select on: (1) confirmed 26 April filing commitment, (2) within ₦1.2M programme envelope, (3) named partner with agent code disclosed.</w:t>
            </w:r>
          </w:p>
          <w:p>
            <w:pPr>
              <w:spacing w:after="60" w:line="290"/>
            </w:pPr>
            <w:r>
              <w:rPr>
                <w:sz w:val="20"/>
                <w:szCs w:val="20"/>
              </w:rPr>
              <w:t xml:space="preserve">• Sign engagement letter with the chosen firm.</w:t>
            </w:r>
          </w:p>
          <w:p>
            <w:pPr>
              <w:spacing w:after="60" w:line="290"/>
            </w:pPr>
            <w:r>
              <w:rPr>
                <w:sz w:val="20"/>
                <w:szCs w:val="20"/>
              </w:rPr>
              <w:t xml:space="preserve">• Execute Power of Attorney (Form TM-1A).</w:t>
            </w:r>
          </w:p>
          <w:p>
            <w:pPr>
              <w:spacing w:after="60" w:line="290"/>
            </w:pPr>
            <w:r>
              <w:rPr>
                <w:sz w:val="20"/>
                <w:szCs w:val="20"/>
              </w:rPr>
              <w:t xml:space="preserve">• Commission availability search.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Friday 24 April — search and application drafting</w:t>
            </w:r>
          </w:p>
          <w:p>
            <w:pPr>
              <w:spacing w:after="60" w:line="290"/>
            </w:pPr>
            <w:r>
              <w:rPr>
                <w:sz w:val="20"/>
                <w:szCs w:val="20"/>
              </w:rPr>
              <w:t xml:space="preserve">• Receive written clearance opinion from the agent.</w:t>
            </w:r>
          </w:p>
          <w:p>
            <w:pPr>
              <w:spacing w:after="60" w:line="290"/>
            </w:pPr>
            <w:r>
              <w:rPr>
                <w:sz w:val="20"/>
                <w:szCs w:val="20"/>
              </w:rPr>
              <w:t xml:space="preserve">• If the opinion flags a confusingly similar prior mark: immediately engage on whether to proceed, narrow classes, or amend the specification. Deliverable 3 (application package) is flexible — we can adapt specifications to avoid conflict.</w:t>
            </w:r>
          </w:p>
          <w:p>
            <w:pPr>
              <w:spacing w:after="60" w:line="290"/>
            </w:pPr>
            <w:r>
              <w:rPr>
                <w:sz w:val="20"/>
                <w:szCs w:val="20"/>
              </w:rPr>
              <w:t xml:space="preserve">• Agent drafts the 7 TM-1 forms.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Monday 26 April — filing</w:t>
            </w:r>
          </w:p>
          <w:p>
            <w:pPr>
              <w:spacing w:after="60" w:line="290"/>
            </w:pPr>
            <w:r>
              <w:rPr>
                <w:sz w:val="20"/>
                <w:szCs w:val="20"/>
              </w:rPr>
              <w:t xml:space="preserve">• Agent lodges all 7 applications electronically.</w:t>
            </w:r>
          </w:p>
          <w:p>
            <w:pPr>
              <w:spacing w:after="60" w:line="290"/>
            </w:pPr>
            <w:r>
              <w:rPr>
                <w:sz w:val="20"/>
                <w:szCs w:val="20"/>
              </w:rPr>
              <w:t xml:space="preserve">• Receipts captured and forwarded.</w:t>
            </w:r>
          </w:p>
          <w:p>
            <w:pPr>
              <w:spacing w:after="60" w:line="290"/>
            </w:pPr>
            <w:r>
              <w:rPr>
                <w:sz w:val="20"/>
                <w:szCs w:val="20"/>
              </w:rPr>
              <w:t xml:space="preserve">• Priority date locked before Tuesday 27 April Beta launch.</w:t>
            </w:r>
          </w:p>
        </w:tc>
      </w:tr>
    </w:tbl>
    <w:p>
      <w:r>
        <w:br w:type="page"/>
      </w:r>
    </w:p>
    <w:p>
      <w:pPr>
        <w:pStyle w:val="Heading1"/>
        <w:spacing w:after="160" w:before="320"/>
      </w:pPr>
      <w:r>
        <w:rPr>
          <w:b/>
          <w:bCs/>
          <w:color w:val="1F4E2C"/>
          <w:sz w:val="32"/>
          <w:szCs w:val="32"/>
        </w:rPr>
        <w:t xml:space="preserve">Appendix — Notes on sources and caveats</w:t>
      </w:r>
    </w:p>
    <w:p>
      <w:pPr>
        <w:pStyle w:val="ListParagraph"/>
        <w:numPr>
          <w:ilvl w:val="0"/>
          <w:numId w:val="2"/>
        </w:numPr>
        <w:spacing w:after="80" w:line="290"/>
      </w:pPr>
      <w:r>
        <w:t xml:space="preserve">Fee estimates combine published market data (ICLG Trade Marks Laws &amp; Regulations 2025-2026 Nigeria chapter; IP-Coster Nigeria guide; Hectagon and Resolution Law published articles 2025-2026) with firm-tier adjustment. All fee ranges are planning estimates only; written quotes from each firm supersede these.</w:t>
      </w:r>
    </w:p>
    <w:p>
      <w:pPr>
        <w:pStyle w:val="ListParagraph"/>
        <w:numPr>
          <w:ilvl w:val="0"/>
          <w:numId w:val="2"/>
        </w:numPr>
        <w:spacing w:after="80" w:line="290"/>
      </w:pPr>
      <w:r>
        <w:t xml:space="preserve">All five firms are widely referenced as IP-practising firms in Nigeria. Accreditation (agent register code) is confirmed for Banwo &amp; Ighodalo (CLD/RA/0014); the others should confirm their codes in their reply emails as part of the engagement diligence.</w:t>
      </w:r>
    </w:p>
    <w:p>
      <w:pPr>
        <w:pStyle w:val="ListParagraph"/>
        <w:numPr>
          <w:ilvl w:val="0"/>
          <w:numId w:val="2"/>
        </w:numPr>
        <w:spacing w:after="80" w:line="290"/>
      </w:pPr>
      <w:r>
        <w:t xml:space="preserve">This shortlist is not exhaustive. Other credible Nigerian IP firms include Lexartifex LLP, G. Elias, and Preem &amp; Partners. These were considered but ranked below the five selected based on publicly-visible domain fit or cost transparency signals.</w:t>
      </w:r>
    </w:p>
    <w:p>
      <w:pPr>
        <w:pStyle w:val="ListParagraph"/>
        <w:numPr>
          <w:ilvl w:val="0"/>
          <w:numId w:val="2"/>
        </w:numPr>
        <w:spacing w:after="80" w:line="290"/>
      </w:pPr>
      <w:r>
        <w:t xml:space="preserve">Primary statutory framework governing each firm's practice: Trade Marks Act Cap T13, Laws of the Federation of Nigeria 2004, and the Trade Marks Regulations.</w:t>
      </w:r>
    </w:p>
    <w:p>
      <w:pPr>
        <w:pStyle w:val="ListParagraph"/>
        <w:numPr>
          <w:ilvl w:val="0"/>
          <w:numId w:val="2"/>
        </w:numPr>
        <w:spacing w:after="80" w:line="290"/>
      </w:pPr>
      <w:r>
        <w:t xml:space="preserve">This deliverable is diligence input, not legal advice. Final firm selection and engagement terms remain the founder's commercial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Prepared 21 April 2026</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AgroYield Network — Trademark Deliverable 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2C"/>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D4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IP Agent Shortlist &amp; Outreach</dc:title>
  <dc:creator>AgroYield Network</dc:creator>
  <dc:description>Deliverable 2 of 3 in the pre-Beta trademark registration programme</dc:description>
  <cp:lastModifiedBy>Un-named</cp:lastModifiedBy>
  <cp:revision>1</cp:revision>
  <dcterms:created xsi:type="dcterms:W3CDTF">2026-04-21T07:05:06.434Z</dcterms:created>
  <dcterms:modified xsi:type="dcterms:W3CDTF">2026-04-21T07:05:06.434Z</dcterms:modified>
</cp:coreProperties>
</file>

<file path=docProps/custom.xml><?xml version="1.0" encoding="utf-8"?>
<Properties xmlns="http://schemas.openxmlformats.org/officeDocument/2006/custom-properties" xmlns:vt="http://schemas.openxmlformats.org/officeDocument/2006/docPropsVTypes"/>
</file>