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00"/>
        <w:jc w:val="center"/>
      </w:pPr>
      <w:r>
        <w:rPr>
          <w:b/>
          <w:bCs/>
          <w:color w:val="1F4E2C"/>
          <w:sz w:val="56"/>
          <w:szCs w:val="56"/>
        </w:rPr>
        <w:t xml:space="preserve">AGROYIELD NETWORK</w:t>
      </w:r>
    </w:p>
    <w:p>
      <w:pPr>
        <w:spacing w:after="200"/>
        <w:jc w:val="center"/>
      </w:pPr>
      <w:r>
        <w:rPr>
          <w:color w:val="555555"/>
          <w:sz w:val="24"/>
          <w:szCs w:val="24"/>
        </w:rPr>
        <w:t xml:space="preserve">Trademark Deliverable 3 of 3</w:t>
      </w:r>
    </w:p>
    <w:p>
      <w:pPr>
        <w:spacing w:after="800"/>
        <w:jc w:val="center"/>
      </w:pPr>
      <w:r>
        <w:rPr>
          <w:b/>
          <w:bCs/>
          <w:color w:val="2E7D46"/>
          <w:sz w:val="40"/>
          <w:szCs w:val="40"/>
        </w:rPr>
        <w:t xml:space="preserve">Application Package</w:t>
      </w:r>
    </w:p>
    <w:p>
      <w:pPr>
        <w:spacing w:after="120"/>
        <w:jc w:val="center"/>
      </w:pPr>
      <w:r>
        <w:rPr>
          <w:sz w:val="22"/>
          <w:szCs w:val="22"/>
        </w:rPr>
        <w:t xml:space="preserve">Filing-ready inputs for the engaged IP agent</w:t>
      </w:r>
    </w:p>
    <w:p>
      <w:pPr>
        <w:spacing w:after="120"/>
        <w:jc w:val="center"/>
      </w:pPr>
      <w:r>
        <w:rPr>
          <w:sz w:val="22"/>
          <w:szCs w:val="22"/>
        </w:rPr>
        <w:t xml:space="preserve">Seven applications — five classes word mark + two classes device mark</w:t>
      </w:r>
    </w:p>
    <w:p>
      <w:pPr>
        <w:spacing w:after="120"/>
        <w:jc w:val="center"/>
      </w:pPr>
      <w:r>
        <w:rPr>
          <w:sz w:val="22"/>
          <w:szCs w:val="22"/>
        </w:rPr>
        <w:t xml:space="preserve">Issue date: 21 April 2026</w:t>
      </w:r>
    </w:p>
    <w:p>
      <w:pPr>
        <w:spacing w:after="1200"/>
        <w:jc w:val="center"/>
      </w:pPr>
      <w:r>
        <w:rPr>
          <w:i/>
          <w:iCs/>
          <w:color w:val="2E7D46"/>
          <w:sz w:val="22"/>
          <w:szCs w:val="22"/>
        </w:rPr>
        <w:t xml:space="preserve">Target lodgement: Monday 26 April 2026</w:t>
      </w:r>
    </w:p>
    <w:p>
      <w:pPr>
        <w:jc w:val="center"/>
      </w:pPr>
      <w:r>
        <w:rPr>
          <w:i/>
          <w:iCs/>
          <w:color w:val="666666"/>
          <w:sz w:val="18"/>
          <w:szCs w:val="18"/>
        </w:rPr>
        <w:t xml:space="preserve">Hand this package to the engaged IP agent as soon as the engagement letter is signed. Agent will transpose contents into Form TM-1 for each class and into Form TM-1A (Power of Attorney).</w:t>
      </w:r>
    </w:p>
    <w:p>
      <w:r>
        <w:br w:type="page"/>
      </w:r>
    </w:p>
    <w:p>
      <w:pPr>
        <w:pStyle w:val="Heading1"/>
        <w:spacing w:after="160" w:before="320"/>
      </w:pPr>
      <w:r>
        <w:rPr>
          <w:b/>
          <w:bCs/>
          <w:color w:val="1F4E2C"/>
          <w:sz w:val="32"/>
          <w:szCs w:val="32"/>
        </w:rPr>
        <w:t xml:space="preserve">1. How the engaged agent should use this package</w:t>
      </w:r>
    </w:p>
    <w:p>
      <w:pPr>
        <w:spacing w:after="120" w:line="300"/>
      </w:pPr>
      <w:r>
        <w:t xml:space="preserve">This document is the single source of truth for the contents of all seven trademark applications. Everything the agent needs to populate Form TM-1 (one per class) and Form TM-1A (Power of Attorney) is contained here, with the exception of the mark specimen image files, which are supplied separately as an image-asset bundle (Section 5).</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7F5E7" w:val="clear"/>
            <w:tcMar>
              <w:top w:type="dxa" w:w="160"/>
              <w:left w:type="dxa" w:w="200"/>
              <w:bottom w:type="dxa" w:w="160"/>
              <w:right w:type="dxa" w:w="200"/>
            </w:tcMar>
          </w:tcPr>
          <w:p>
            <w:pPr>
              <w:spacing w:after="80"/>
            </w:pPr>
            <w:r>
              <w:rPr>
                <w:b/>
                <w:bCs/>
                <w:sz w:val="22"/>
                <w:szCs w:val="22"/>
              </w:rPr>
              <w:t xml:space="preserve">Agent workflow — recommended sequence</w:t>
            </w:r>
          </w:p>
          <w:p>
            <w:pPr>
              <w:spacing w:after="60" w:line="290"/>
            </w:pPr>
            <w:r>
              <w:rPr>
                <w:sz w:val="20"/>
                <w:szCs w:val="20"/>
              </w:rPr>
              <w:t xml:space="preserve">1. Confirm applicant details (Section 2) against CAC records.</w:t>
            </w:r>
          </w:p>
          <w:p>
            <w:pPr>
              <w:spacing w:after="60" w:line="290"/>
            </w:pPr>
            <w:r>
              <w:rPr>
                <w:sz w:val="20"/>
                <w:szCs w:val="20"/>
              </w:rPr>
              <w:t xml:space="preserve">2. Verify accuracy of class specifications (Section 4) against Nice 13th Edition.</w:t>
            </w:r>
          </w:p>
          <w:p>
            <w:pPr>
              <w:spacing w:after="60" w:line="290"/>
            </w:pPr>
            <w:r>
              <w:rPr>
                <w:sz w:val="20"/>
                <w:szCs w:val="20"/>
              </w:rPr>
              <w:t xml:space="preserve">3. Receive mark-specimen image bundle from applicant; confirm format compliance (Section 5).</w:t>
            </w:r>
          </w:p>
          <w:p>
            <w:pPr>
              <w:spacing w:after="60" w:line="290"/>
            </w:pPr>
            <w:r>
              <w:rPr>
                <w:sz w:val="20"/>
                <w:szCs w:val="20"/>
              </w:rPr>
              <w:t xml:space="preserve">4. Execute Power of Attorney (Section 6) — applicant signs, agent witnesses.</w:t>
            </w:r>
          </w:p>
          <w:p>
            <w:pPr>
              <w:spacing w:after="60" w:line="290"/>
            </w:pPr>
            <w:r>
              <w:rPr>
                <w:sz w:val="20"/>
                <w:szCs w:val="20"/>
              </w:rPr>
              <w:t xml:space="preserve">5. Run availability search across target classes (Section 7 records the search scope).</w:t>
            </w:r>
          </w:p>
          <w:p>
            <w:pPr>
              <w:spacing w:after="60" w:line="290"/>
            </w:pPr>
            <w:r>
              <w:rPr>
                <w:sz w:val="20"/>
                <w:szCs w:val="20"/>
              </w:rPr>
              <w:t xml:space="preserve">6. If clearance opinion is positive, lodge all seven TM-1 applications on 26 April 2026.</w:t>
            </w:r>
          </w:p>
          <w:p>
            <w:pPr>
              <w:spacing w:after="60" w:line="290"/>
            </w:pPr>
            <w:r>
              <w:rPr>
                <w:sz w:val="20"/>
                <w:szCs w:val="20"/>
              </w:rPr>
              <w:t xml:space="preserve">7. Forward receipts and acknowledgement letters to applicant.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4D6" w:val="clear"/>
            <w:tcMar>
              <w:top w:type="dxa" w:w="160"/>
              <w:left w:type="dxa" w:w="200"/>
              <w:bottom w:type="dxa" w:w="160"/>
              <w:right w:type="dxa" w:w="200"/>
            </w:tcMar>
          </w:tcPr>
          <w:p>
            <w:pPr>
              <w:spacing w:after="80"/>
            </w:pPr>
            <w:r>
              <w:rPr>
                <w:b/>
                <w:bCs/>
                <w:sz w:val="22"/>
                <w:szCs w:val="22"/>
              </w:rPr>
              <w:t xml:space="preserve">Critical flags before lodgement</w:t>
            </w:r>
          </w:p>
          <w:p>
            <w:pPr>
              <w:spacing w:after="60" w:line="290"/>
            </w:pPr>
            <w:r>
              <w:rPr>
                <w:sz w:val="20"/>
                <w:szCs w:val="20"/>
              </w:rPr>
              <w:t xml:space="preserve">• The mark name across all applications must be rendered exactly as: AGROYIELD NETWORK (all-caps wordmark, single space between words).</w:t>
            </w:r>
          </w:p>
          <w:p>
            <w:pPr>
              <w:spacing w:after="60" w:line="290"/>
            </w:pPr>
            <w:r>
              <w:rPr>
                <w:sz w:val="20"/>
                <w:szCs w:val="20"/>
              </w:rPr>
              <w:t xml:space="preserve">• The priority date value of a single-day slip is non-trivial; if any application cannot be lodged on 26 April, lodge the Class 9 and Class 42 applications first and file the remaining five the following business day. Do not hold the first five awaiting the last two.</w:t>
            </w:r>
          </w:p>
          <w:p>
            <w:pPr>
              <w:spacing w:after="60" w:line="290"/>
            </w:pPr>
            <w:r>
              <w:rPr>
                <w:sz w:val="20"/>
                <w:szCs w:val="20"/>
              </w:rPr>
              <w:t xml:space="preserve">• Publication and filing fees are payable up front; applicant (Okoli Chijioke) will fund via bank transfer or card as agreed in the engagement letter.</w:t>
            </w:r>
          </w:p>
        </w:tc>
      </w:tr>
    </w:tbl>
    <w:p>
      <w:r>
        <w:br w:type="page"/>
      </w:r>
    </w:p>
    <w:p>
      <w:pPr>
        <w:pStyle w:val="Heading1"/>
        <w:spacing w:after="160" w:before="320"/>
      </w:pPr>
      <w:r>
        <w:rPr>
          <w:b/>
          <w:bCs/>
          <w:color w:val="1F4E2C"/>
          <w:sz w:val="32"/>
          <w:szCs w:val="32"/>
        </w:rPr>
        <w:t xml:space="preserve">2. Applicant details</w:t>
      </w:r>
    </w:p>
    <w:p>
      <w:pPr>
        <w:spacing w:after="120" w:line="300"/>
      </w:pPr>
      <w:r>
        <w:t xml:space="preserve">Applicant details appear identically on all seven TM-1 forms. They must match the applicant's underlying legal identity — corporate where an entity holds the rights, personal where no entity holds them yet.</w:t>
      </w:r>
    </w:p>
    <w:p>
      <w:pPr>
        <w:pStyle w:val="Heading2"/>
        <w:spacing w:after="120" w:before="260"/>
      </w:pPr>
      <w:r>
        <w:rPr>
          <w:b/>
          <w:bCs/>
          <w:color w:val="2E7D46"/>
          <w:sz w:val="26"/>
          <w:szCs w:val="26"/>
        </w:rPr>
        <w:t xml:space="preserve">2.1  Primary applicant (complete before lodgement)</w:t>
      </w:r>
    </w:p>
    <w:p>
      <w:pPr>
        <w:spacing w:after="120" w:line="300"/>
      </w:pPr>
      <w:r>
        <w:rPr>
          <w:b/>
          <w:bCs/>
        </w:rPr>
        <w:t xml:space="preserve">Action required: </w:t>
      </w:r>
      <w:r>
        <w:t xml:space="preserve">Okoli, complete this table yourself and confirm with the agent before 24 April 2026. If AgroYield Network has an incorporated entity (CAC registered), the entity is the applicant. If not, file in your personal name and assign to the entity post-incorporation.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Applicant type</w:t>
            </w:r>
          </w:p>
        </w:tc>
        <w:tc>
          <w:tcPr>
            <w:tcW w:type="dxa" w:w="65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 ] Individual   [ ] Corporate entity (CAC-registered)</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Full legal name</w:t>
            </w:r>
          </w:p>
        </w:tc>
        <w:tc>
          <w:tcPr>
            <w:tcW w:type="dxa" w:w="6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[FILL: corporate name exactly as on CAC certificate, OR personal full legal name]</w:t>
            </w:r>
          </w:p>
        </w:tc>
      </w:tr>
      <w:tr>
        <w:tc>
          <w:tcPr>
            <w:tcW w:type="dxa" w:w="2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Nationality</w:t>
            </w:r>
          </w:p>
        </w:tc>
        <w:tc>
          <w:tcPr>
            <w:tcW w:type="dxa" w:w="65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Nigerian</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Date of birth (if individual)</w:t>
            </w:r>
          </w:p>
        </w:tc>
        <w:tc>
          <w:tcPr>
            <w:tcW w:type="dxa" w:w="6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[FILL: DD/MM/YYYY]</w:t>
            </w:r>
          </w:p>
        </w:tc>
      </w:tr>
      <w:tr>
        <w:tc>
          <w:tcPr>
            <w:tcW w:type="dxa" w:w="2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Date of incorporation (if corporate)</w:t>
            </w:r>
          </w:p>
        </w:tc>
        <w:tc>
          <w:tcPr>
            <w:tcW w:type="dxa" w:w="65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[FILL: DD/MM/YYYY from CAC certificate]</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CAC registration number (if corporate)</w:t>
            </w:r>
          </w:p>
        </w:tc>
        <w:tc>
          <w:tcPr>
            <w:tcW w:type="dxa" w:w="6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[FILL: RC-XXXXXXX]</w:t>
            </w:r>
          </w:p>
        </w:tc>
      </w:tr>
      <w:tr>
        <w:tc>
          <w:tcPr>
            <w:tcW w:type="dxa" w:w="2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Registered address</w:t>
            </w:r>
          </w:p>
        </w:tc>
        <w:tc>
          <w:tcPr>
            <w:tcW w:type="dxa" w:w="65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[FILL: full postal address — street, city, state, country]</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Telephone</w:t>
            </w:r>
          </w:p>
        </w:tc>
        <w:tc>
          <w:tcPr>
            <w:tcW w:type="dxa" w:w="6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[FILL]</w:t>
            </w:r>
          </w:p>
        </w:tc>
      </w:tr>
      <w:tr>
        <w:tc>
          <w:tcPr>
            <w:tcW w:type="dxa" w:w="2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Email</w:t>
            </w:r>
          </w:p>
        </w:tc>
        <w:tc>
          <w:tcPr>
            <w:tcW w:type="dxa" w:w="65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okolichijiokei@gmail.com</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Nature of business / occupation</w:t>
            </w:r>
          </w:p>
        </w:tc>
        <w:tc>
          <w:tcPr>
            <w:tcW w:type="dxa" w:w="6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Digital agritech platform — software and online services connecting farmers, aggregators, and financiers</w:t>
            </w:r>
          </w:p>
        </w:tc>
      </w:tr>
      <w:tr>
        <w:tc>
          <w:tcPr>
            <w:tcW w:type="dxa" w:w="2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Trading name(s)</w:t>
            </w:r>
          </w:p>
        </w:tc>
        <w:tc>
          <w:tcPr>
            <w:tcW w:type="dxa" w:w="65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"AgroYield Network"</w:t>
            </w:r>
          </w:p>
        </w:tc>
      </w:tr>
    </w:tbl>
    <w:p>
      <w:pPr>
        <w:spacing w:after="80"/>
      </w:pPr>
      <w:r>
        <w:t xml:space="preserve"/>
      </w:r>
    </w:p>
    <w:p>
      <w:pPr>
        <w:pStyle w:val="Heading2"/>
        <w:spacing w:after="120" w:before="260"/>
      </w:pPr>
      <w:r>
        <w:rPr>
          <w:b/>
          <w:bCs/>
          <w:color w:val="2E7D46"/>
          <w:sz w:val="26"/>
          <w:szCs w:val="26"/>
        </w:rPr>
        <w:t xml:space="preserve">2.2  Key choice — corporate vs. individual filing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7F5E7" w:val="clear"/>
            <w:tcMar>
              <w:top w:type="dxa" w:w="160"/>
              <w:left w:type="dxa" w:w="200"/>
              <w:bottom w:type="dxa" w:w="160"/>
              <w:right w:type="dxa" w:w="200"/>
            </w:tcMar>
          </w:tcPr>
          <w:p>
            <w:pPr>
              <w:spacing w:after="80"/>
            </w:pPr>
            <w:r>
              <w:rPr>
                <w:b/>
                <w:bCs/>
                <w:sz w:val="22"/>
                <w:szCs w:val="22"/>
              </w:rPr>
              <w:t xml:space="preserve">Recommendation: file in a corporate entity name if available</w:t>
            </w:r>
          </w:p>
          <w:p>
            <w:pPr>
              <w:spacing w:after="60" w:line="290"/>
            </w:pPr>
            <w:r>
              <w:rPr>
                <w:sz w:val="20"/>
                <w:szCs w:val="20"/>
              </w:rPr>
              <w:t xml:space="preserve">If an AgroYield Network company is registered at CAC — file in the company name. That's the cleanest rights structure: rights vest directly in the operating entity, no later assignment is needed, diligence for investors is straightforward.</w:t>
            </w:r>
          </w:p>
          <w:p>
            <w:pPr>
              <w:spacing w:after="60" w:line="290"/>
            </w:pPr>
            <w:r>
              <w:rPr>
                <w:sz w:val="20"/>
                <w:szCs w:val="20"/>
              </w:rPr>
              <w:t xml:space="preserve">If no company is registered yet — file in the individual founder's name now, capture the priority date, then assign the marks to the company once it's incorporated. Assignment is routine and relatively cheap, but it does create one additional filing later and a small discount in investor diligence quality.</w:t>
            </w:r>
          </w:p>
          <w:p>
            <w:pPr>
              <w:spacing w:after="60" w:line="290"/>
            </w:pPr>
            <w:r>
              <w:rPr>
                <w:sz w:val="20"/>
                <w:szCs w:val="20"/>
              </w:rPr>
              <w:t xml:space="preserve">Do NOT delay filing while waiting for CAC registration. The priority-date lock is worth orders of magnitude more than the cost of a later assignment.</w:t>
            </w:r>
          </w:p>
        </w:tc>
      </w:tr>
    </w:tbl>
    <w:p>
      <w:pPr>
        <w:spacing w:after="80"/>
      </w:pPr>
      <w:r>
        <w:t xml:space="preserve"/>
      </w:r>
    </w:p>
    <w:p>
      <w:pPr>
        <w:pStyle w:val="Heading2"/>
        <w:spacing w:after="120" w:before="260"/>
      </w:pPr>
      <w:r>
        <w:rPr>
          <w:b/>
          <w:bCs/>
          <w:color w:val="2E7D46"/>
          <w:sz w:val="26"/>
          <w:szCs w:val="26"/>
        </w:rPr>
        <w:t xml:space="preserve">2.3  Agent-register acknowledgement</w:t>
      </w:r>
    </w:p>
    <w:p>
      <w:pPr>
        <w:spacing w:after="120" w:line="300"/>
      </w:pPr>
      <w:r>
        <w:t xml:space="preserve">The agent will add their accredited agent code on the TM-1A Power of Attorney. Confirm the code is present and matches the IPO Nigeria agent register before signing. Omission of the code is the single most common reason for TM-1 rejection at the filing counter.</w:t>
      </w:r>
    </w:p>
    <w:p>
      <w:r>
        <w:br w:type="page"/>
      </w:r>
    </w:p>
    <w:p>
      <w:pPr>
        <w:pStyle w:val="Heading1"/>
        <w:spacing w:after="160" w:before="320"/>
      </w:pPr>
      <w:r>
        <w:rPr>
          <w:b/>
          <w:bCs/>
          <w:color w:val="1F4E2C"/>
          <w:sz w:val="32"/>
          <w:szCs w:val="32"/>
        </w:rPr>
        <w:t xml:space="preserve">3. Marks and applications overview</w:t>
      </w:r>
    </w:p>
    <w:p>
      <w:pPr>
        <w:spacing w:after="120" w:line="300"/>
      </w:pPr>
      <w:r>
        <w:t xml:space="preserve">Seven applications — five for the word mark, two for the device mark. All filed concurrently on 26 April 2026. Priority date is the filing date for each application independently.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400"/>
        <w:gridCol w:w="5060"/>
      </w:tblGrid>
      <w:tr>
        <w:trPr>
          <w:tblHeader/>
        </w:trPr>
        <w:tc>
          <w:tcPr>
            <w:tcW w:type="dxa" w:w="700"/>
            <w:tcBorders>
              <w:top w:val="single" w:color="CCCCCC" w:sz="4"/>
              <w:left w:val="single" w:color="CCCCCC" w:sz="4"/>
              <w:bottom w:val="single" w:color="CCCCCC" w:sz="4"/>
              <w:right w:val="single" w:color="CCCCCC" w:sz="4"/>
            </w:tcBorders>
            <w:shd w:fill="D5E8D8" w:val="clear"/>
            <w:tcMar>
              <w:top w:type="dxa" w:w="100"/>
              <w:left w:type="dxa" w:w="140"/>
              <w:bottom w:type="dxa" w:w="100"/>
              <w:right w:type="dxa" w:w="140"/>
            </w:tcMar>
          </w:tcPr>
          <w:p>
            <w:r>
              <w:rPr>
                <w:b/>
                <w:bCs/>
                <w:sz w:val="20"/>
                <w:szCs w:val="20"/>
              </w:rPr>
              <w:t xml:space="preserve">App #</w:t>
            </w:r>
          </w:p>
        </w:tc>
        <w:tc>
          <w:tcPr>
            <w:tcW w:type="dxa" w:w="2200"/>
            <w:tcBorders>
              <w:top w:val="single" w:color="CCCCCC" w:sz="4"/>
              <w:left w:val="single" w:color="CCCCCC" w:sz="4"/>
              <w:bottom w:val="single" w:color="CCCCCC" w:sz="4"/>
              <w:right w:val="single" w:color="CCCCCC" w:sz="4"/>
            </w:tcBorders>
            <w:shd w:fill="D5E8D8" w:val="clear"/>
            <w:tcMar>
              <w:top w:type="dxa" w:w="100"/>
              <w:left w:type="dxa" w:w="140"/>
              <w:bottom w:type="dxa" w:w="100"/>
              <w:right w:type="dxa" w:w="140"/>
            </w:tcMar>
          </w:tcPr>
          <w:p>
            <w:r>
              <w:rPr>
                <w:b/>
                <w:bCs/>
                <w:sz w:val="20"/>
                <w:szCs w:val="20"/>
              </w:rPr>
              <w:t xml:space="preserve">Mark type</w:t>
            </w:r>
          </w:p>
        </w:tc>
        <w:tc>
          <w:tcPr>
            <w:tcW w:type="dxa" w:w="1400"/>
            <w:tcBorders>
              <w:top w:val="single" w:color="CCCCCC" w:sz="4"/>
              <w:left w:val="single" w:color="CCCCCC" w:sz="4"/>
              <w:bottom w:val="single" w:color="CCCCCC" w:sz="4"/>
              <w:right w:val="single" w:color="CCCCCC" w:sz="4"/>
            </w:tcBorders>
            <w:shd w:fill="D5E8D8" w:val="clear"/>
            <w:tcMar>
              <w:top w:type="dxa" w:w="100"/>
              <w:left w:type="dxa" w:w="140"/>
              <w:bottom w:type="dxa" w:w="100"/>
              <w:right w:type="dxa" w:w="140"/>
            </w:tcMar>
          </w:tcPr>
          <w:p>
            <w:r>
              <w:rPr>
                <w:b/>
                <w:bCs/>
                <w:sz w:val="20"/>
                <w:szCs w:val="20"/>
              </w:rPr>
              <w:t xml:space="preserve">Class</w:t>
            </w:r>
          </w:p>
        </w:tc>
        <w:tc>
          <w:tcPr>
            <w:tcW w:type="dxa" w:w="5060"/>
            <w:tcBorders>
              <w:top w:val="single" w:color="CCCCCC" w:sz="4"/>
              <w:left w:val="single" w:color="CCCCCC" w:sz="4"/>
              <w:bottom w:val="single" w:color="CCCCCC" w:sz="4"/>
              <w:right w:val="single" w:color="CCCCCC" w:sz="4"/>
            </w:tcBorders>
            <w:shd w:fill="D5E8D8" w:val="clear"/>
            <w:tcMar>
              <w:top w:type="dxa" w:w="100"/>
              <w:left w:type="dxa" w:w="140"/>
              <w:bottom w:type="dxa" w:w="100"/>
              <w:right w:type="dxa" w:w="140"/>
            </w:tcMar>
          </w:tcPr>
          <w:p>
            <w:r>
              <w:rPr>
                <w:b/>
                <w:bCs/>
                <w:sz w:val="20"/>
                <w:szCs w:val="20"/>
              </w:rPr>
              <w:t xml:space="preserve">Scope (short)</w:t>
            </w:r>
          </w:p>
        </w:tc>
      </w:tr>
      <w:tr>
        <w:tc>
          <w:tcPr>
            <w:tcW w:type="dxa" w:w="7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1</w:t>
            </w:r>
          </w:p>
        </w:tc>
        <w:tc>
          <w:tcPr>
            <w:tcW w:type="dxa" w:w="22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val="false"/>
                <w:bCs w:val="false"/>
                <w:sz w:val="20"/>
                <w:szCs w:val="20"/>
              </w:rPr>
              <w:t xml:space="preserve">Word mark — AGROYIELD NETWORK</w:t>
            </w:r>
          </w:p>
        </w:tc>
        <w:tc>
          <w:tcPr>
            <w:tcW w:type="dxa" w:w="14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Class 9</w:t>
            </w:r>
          </w:p>
        </w:tc>
        <w:tc>
          <w:tcPr>
            <w:tcW w:type="dxa" w:w="50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val="false"/>
                <w:bCs w:val="false"/>
                <w:sz w:val="20"/>
                <w:szCs w:val="20"/>
              </w:rPr>
              <w:t xml:space="preserve">Downloadable software, mobile applications, computer platforms</w:t>
            </w:r>
          </w:p>
        </w:tc>
      </w:tr>
      <w:t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2</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Word mark — AGROYIELD NETWORK</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Class 42</w:t>
            </w:r>
          </w:p>
        </w:tc>
        <w:tc>
          <w:tcPr>
            <w:tcW w:type="dxa" w:w="50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SaaS / platform as a service; software hosting and application development</w:t>
            </w:r>
          </w:p>
        </w:tc>
      </w:tr>
      <w:tr>
        <w:tc>
          <w:tcPr>
            <w:tcW w:type="dxa" w:w="7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3</w:t>
            </w:r>
          </w:p>
        </w:tc>
        <w:tc>
          <w:tcPr>
            <w:tcW w:type="dxa" w:w="22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val="false"/>
                <w:bCs w:val="false"/>
                <w:sz w:val="20"/>
                <w:szCs w:val="20"/>
              </w:rPr>
              <w:t xml:space="preserve">Word mark — AGROYIELD NETWORK</w:t>
            </w:r>
          </w:p>
        </w:tc>
        <w:tc>
          <w:tcPr>
            <w:tcW w:type="dxa" w:w="14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Class 35</w:t>
            </w:r>
          </w:p>
        </w:tc>
        <w:tc>
          <w:tcPr>
            <w:tcW w:type="dxa" w:w="50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val="false"/>
                <w:bCs w:val="false"/>
                <w:sz w:val="20"/>
                <w:szCs w:val="20"/>
              </w:rPr>
              <w:t xml:space="preserve">Business services; commercial intermediation; online marketplace</w:t>
            </w:r>
          </w:p>
        </w:tc>
      </w:tr>
      <w:t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4</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Word mark — AGROYIELD NETWORK</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Class 36</w:t>
            </w:r>
          </w:p>
        </w:tc>
        <w:tc>
          <w:tcPr>
            <w:tcW w:type="dxa" w:w="50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Financial services including invoicing, credit scoring, payment facilitation</w:t>
            </w:r>
          </w:p>
        </w:tc>
      </w:tr>
      <w:tr>
        <w:tc>
          <w:tcPr>
            <w:tcW w:type="dxa" w:w="7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5</w:t>
            </w:r>
          </w:p>
        </w:tc>
        <w:tc>
          <w:tcPr>
            <w:tcW w:type="dxa" w:w="22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val="false"/>
                <w:bCs w:val="false"/>
                <w:sz w:val="20"/>
                <w:szCs w:val="20"/>
              </w:rPr>
              <w:t xml:space="preserve">Word mark — AGROYIELD NETWORK</w:t>
            </w:r>
          </w:p>
        </w:tc>
        <w:tc>
          <w:tcPr>
            <w:tcW w:type="dxa" w:w="14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Class 44</w:t>
            </w:r>
          </w:p>
        </w:tc>
        <w:tc>
          <w:tcPr>
            <w:tcW w:type="dxa" w:w="50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val="false"/>
                <w:bCs w:val="false"/>
                <w:sz w:val="20"/>
                <w:szCs w:val="20"/>
              </w:rPr>
              <w:t xml:space="preserve">Agricultural services; agronomic information; advisory to farmers</w:t>
            </w:r>
          </w:p>
        </w:tc>
      </w:tr>
      <w:tr>
        <w:tc>
          <w:tcPr>
            <w:tcW w:type="dxa" w:w="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6</w:t>
            </w:r>
          </w:p>
        </w:tc>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Device mark — AgroYield Network logo</w:t>
            </w:r>
          </w:p>
        </w:tc>
        <w:tc>
          <w:tcPr>
            <w:tcW w:type="dxa" w:w="14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Class 9</w:t>
            </w:r>
          </w:p>
        </w:tc>
        <w:tc>
          <w:tcPr>
            <w:tcW w:type="dxa" w:w="50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Same scope as Application 1, protecting the visual identity</w:t>
            </w:r>
          </w:p>
        </w:tc>
      </w:tr>
      <w:tr>
        <w:tc>
          <w:tcPr>
            <w:tcW w:type="dxa" w:w="7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7</w:t>
            </w:r>
          </w:p>
        </w:tc>
        <w:tc>
          <w:tcPr>
            <w:tcW w:type="dxa" w:w="22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val="false"/>
                <w:bCs w:val="false"/>
                <w:sz w:val="20"/>
                <w:szCs w:val="20"/>
              </w:rPr>
              <w:t xml:space="preserve">Device mark — AgroYield Network logo</w:t>
            </w:r>
          </w:p>
        </w:tc>
        <w:tc>
          <w:tcPr>
            <w:tcW w:type="dxa" w:w="14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Class 42</w:t>
            </w:r>
          </w:p>
        </w:tc>
        <w:tc>
          <w:tcPr>
            <w:tcW w:type="dxa" w:w="50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val="false"/>
                <w:bCs w:val="false"/>
                <w:sz w:val="20"/>
                <w:szCs w:val="20"/>
              </w:rPr>
              <w:t xml:space="preserve">Same scope as Application 2, protecting the visual identity</w:t>
            </w:r>
          </w:p>
        </w:tc>
      </w:tr>
    </w:tbl>
    <w:p>
      <w:pPr>
        <w:spacing w:after="80"/>
      </w:pPr>
      <w:r>
        <w:t xml:space="preserve"/>
      </w:r>
    </w:p>
    <w:p>
      <w:pPr>
        <w:pStyle w:val="Heading2"/>
        <w:spacing w:after="120" w:before="260"/>
      </w:pPr>
      <w:r>
        <w:rPr>
          <w:b/>
          <w:bCs/>
          <w:color w:val="2E7D46"/>
          <w:sz w:val="26"/>
          <w:szCs w:val="26"/>
        </w:rPr>
        <w:t xml:space="preserve">3.1  Word-mark representation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DF5" w:val="clear"/>
            <w:tcMar>
              <w:top w:type="dxa" w:w="160"/>
              <w:left w:type="dxa" w:w="200"/>
              <w:bottom w:type="dxa" w:w="160"/>
              <w:right w:type="dxa" w:w="200"/>
            </w:tcMar>
          </w:tcPr>
          <w:p>
            <w:pPr>
              <w:spacing w:after="80"/>
            </w:pPr>
            <w:r>
              <w:rPr>
                <w:b/>
                <w:bCs/>
                <w:sz w:val="22"/>
                <w:szCs w:val="22"/>
              </w:rPr>
              <w:t xml:space="preserve">AGROYIELD NETWORK</w:t>
            </w:r>
          </w:p>
          <w:p>
            <w:pPr>
              <w:spacing w:after="60" w:line="290"/>
            </w:pPr>
            <w:r>
              <w:rPr>
                <w:sz w:val="20"/>
                <w:szCs w:val="20"/>
              </w:rPr>
              <w:t xml:space="preserve">Representation exactly as shown above.</w:t>
            </w:r>
          </w:p>
          <w:p>
            <w:pPr>
              <w:spacing w:after="60" w:line="290"/>
            </w:pPr>
            <w:r>
              <w:rPr>
                <w:sz w:val="20"/>
                <w:szCs w:val="20"/>
              </w:rPr>
              <w:t xml:space="preserve">• All capitals, single space between the two words.</w:t>
            </w:r>
          </w:p>
          <w:p>
            <w:pPr>
              <w:spacing w:after="60" w:line="290"/>
            </w:pPr>
            <w:r>
              <w:rPr>
                <w:sz w:val="20"/>
                <w:szCs w:val="20"/>
              </w:rPr>
              <w:t xml:space="preserve">• No stylisation, no font lock-in, no colour reservation. This is what makes a word mark maximally protective — it covers any font, any colour, any case rendering in actual use.</w:t>
            </w:r>
          </w:p>
        </w:tc>
      </w:tr>
    </w:tbl>
    <w:p>
      <w:pPr>
        <w:spacing w:after="80"/>
      </w:pPr>
      <w:r>
        <w:t xml:space="preserve"/>
      </w:r>
    </w:p>
    <w:p>
      <w:pPr>
        <w:pStyle w:val="Heading2"/>
        <w:spacing w:after="120" w:before="260"/>
      </w:pPr>
      <w:r>
        <w:rPr>
          <w:b/>
          <w:bCs/>
          <w:color w:val="2E7D46"/>
          <w:sz w:val="26"/>
          <w:szCs w:val="26"/>
        </w:rPr>
        <w:t xml:space="preserve">3.2  Device-mark representation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DF5" w:val="clear"/>
            <w:tcMar>
              <w:top w:type="dxa" w:w="160"/>
              <w:left w:type="dxa" w:w="200"/>
              <w:bottom w:type="dxa" w:w="160"/>
              <w:right w:type="dxa" w:w="200"/>
            </w:tcMar>
          </w:tcPr>
          <w:p>
            <w:pPr>
              <w:spacing w:after="80"/>
            </w:pPr>
            <w:r>
              <w:rPr>
                <w:b/>
                <w:bCs/>
                <w:sz w:val="22"/>
                <w:szCs w:val="22"/>
              </w:rPr>
              <w:t xml:space="preserve">AgroYield Network logo (device mark)</w:t>
            </w:r>
          </w:p>
          <w:p>
            <w:pPr>
              <w:spacing w:after="60" w:line="290"/>
            </w:pPr>
            <w:r>
              <w:rPr>
                <w:sz w:val="20"/>
                <w:szCs w:val="20"/>
              </w:rPr>
              <w:t xml:space="preserve">The currently-deployed AgroYield Network logo (wordmark-plus-device) is the subject of Applications 6 and 7. The specific image file supplied to the agent in the specimen bundle is the canonical representation for these filings.</w:t>
            </w:r>
          </w:p>
          <w:p>
            <w:pPr>
              <w:spacing w:after="60" w:line="290"/>
            </w:pPr>
            <w:r>
              <w:rPr>
                <w:sz w:val="20"/>
                <w:szCs w:val="20"/>
              </w:rPr>
              <w:t xml:space="preserve">Colour reservation: the filing should claim colour as an element of the mark. The primary brand green (hex #2E7D46) and dark body text (#1F2937) are the reserved colours.</w:t>
            </w:r>
          </w:p>
          <w:p>
            <w:pPr>
              <w:spacing w:after="60" w:line="290"/>
            </w:pPr>
            <w:r>
              <w:rPr>
                <w:sz w:val="20"/>
                <w:szCs w:val="20"/>
              </w:rPr>
              <w:t xml:space="preserve">If the logo evolves post-filing, a refiling of the device mark is a normal process, but the word-mark filings (Applications 1–5) are unaffected by logo changes.</w:t>
            </w:r>
          </w:p>
        </w:tc>
      </w:tr>
    </w:tbl>
    <w:p>
      <w:r>
        <w:br w:type="page"/>
      </w:r>
    </w:p>
    <w:p>
      <w:pPr>
        <w:pStyle w:val="Heading1"/>
        <w:spacing w:after="160" w:before="320"/>
      </w:pPr>
      <w:r>
        <w:rPr>
          <w:b/>
          <w:bCs/>
          <w:color w:val="1F4E2C"/>
          <w:sz w:val="32"/>
          <w:szCs w:val="32"/>
        </w:rPr>
        <w:t xml:space="preserve">4. Class specifications — Nice 13th Edition</w:t>
      </w:r>
    </w:p>
    <w:p>
      <w:pPr>
        <w:spacing w:after="120" w:line="300"/>
      </w:pPr>
      <w:r>
        <w:t xml:space="preserve">Specifications are worded to match Nice 13th Edition headings wherever possible. Broad coverage of plausible product-surface evolution, with sufficient specificity to avoid examiner objection for vagueness. The agent should review each specification against the latest Nice Classification accepted terms and narrow / reword as needed before lodgement.</w:t>
      </w:r>
    </w:p>
    <w:p>
      <w:pPr>
        <w:spacing w:after="80"/>
      </w:pPr>
      <w:r>
        <w:t xml:space="preserve"/>
      </w:r>
    </w:p>
    <w:p>
      <w:pPr>
        <w:pStyle w:val="Heading2"/>
        <w:spacing w:after="120" w:before="260"/>
      </w:pPr>
      <w:r>
        <w:rPr>
          <w:b/>
          <w:bCs/>
          <w:color w:val="2E7D46"/>
          <w:sz w:val="26"/>
          <w:szCs w:val="26"/>
        </w:rPr>
        <w:t xml:space="preserve">4.1  Class 9 —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6FA" w:val="clear"/>
            <w:tcMar>
              <w:top w:type="dxa" w:w="160"/>
              <w:left w:type="dxa" w:w="200"/>
              <w:bottom w:type="dxa" w:w="160"/>
              <w:right w:type="dxa" w:w="200"/>
            </w:tcMar>
          </w:tcPr>
          <w:p>
            <w:pPr>
              <w:spacing w:after="80"/>
            </w:pPr>
            <w:r>
              <w:rPr>
                <w:b/>
                <w:bCs/>
                <w:sz w:val="22"/>
                <w:szCs w:val="22"/>
              </w:rPr>
              <w:t xml:space="preserve">Full specification text for Application 1 (word mark) and Application 6 (device mark)</w:t>
            </w:r>
          </w:p>
          <w:p>
            <w:pPr>
              <w:spacing w:after="60" w:line="290"/>
            </w:pPr>
            <w:r>
              <w:rPr>
                <w:sz w:val="20"/>
                <w:szCs w:val="20"/>
              </w:rPr>
              <w:t xml:space="preserve">Downloadable computer software and mobile applications for connecting farmers, aggregators, and financial institutions; downloadable software for digital marketplace transactions in agricultural commodities; downloadable software for farm record keeping, yield tracking, and agronomic data management; downloadable software for credit assessment, invoicing, and payment processing in agricultural supply chains; downloadable software for SMS-based, USSD-based, and web-based farmer communication; computer programs and downloadable digital publications relating to agricultural production, financing, and commerce.</w:t>
            </w:r>
          </w:p>
        </w:tc>
      </w:tr>
    </w:tbl>
    <w:p>
      <w:pPr>
        <w:spacing w:after="80"/>
      </w:pPr>
      <w:r>
        <w:t xml:space="preserve"/>
      </w:r>
    </w:p>
    <w:p>
      <w:pPr>
        <w:pStyle w:val="Heading2"/>
        <w:spacing w:after="120" w:before="260"/>
      </w:pPr>
      <w:r>
        <w:rPr>
          <w:b/>
          <w:bCs/>
          <w:color w:val="2E7D46"/>
          <w:sz w:val="26"/>
          <w:szCs w:val="26"/>
        </w:rPr>
        <w:t xml:space="preserve">4.2  Class 42 — SaaS / Technology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6FA" w:val="clear"/>
            <w:tcMar>
              <w:top w:type="dxa" w:w="160"/>
              <w:left w:type="dxa" w:w="200"/>
              <w:bottom w:type="dxa" w:w="160"/>
              <w:right w:type="dxa" w:w="200"/>
            </w:tcMar>
          </w:tcPr>
          <w:p>
            <w:pPr>
              <w:spacing w:after="80"/>
            </w:pPr>
            <w:r>
              <w:rPr>
                <w:b/>
                <w:bCs/>
                <w:sz w:val="22"/>
                <w:szCs w:val="22"/>
              </w:rPr>
              <w:t xml:space="preserve">Full specification text for Application 2 (word mark) and Application 7 (device mark)</w:t>
            </w:r>
          </w:p>
          <w:p>
            <w:pPr>
              <w:spacing w:after="60" w:line="290"/>
            </w:pPr>
            <w:r>
              <w:rPr>
                <w:sz w:val="20"/>
                <w:szCs w:val="20"/>
              </w:rPr>
              <w:t xml:space="preserve">Software as a service (SaaS) featuring software for connecting farmers, aggregators, and financial institutions; platform as a service (PaaS) featuring software for digital agricultural marketplaces, farm management, and agri-financial services; hosting of online platforms and software applications for others; design, development, installation, and maintenance of computer software; providing temporary use of non-downloadable software for agricultural data analytics, credit scoring, and supply-chain record keeping; technological consultancy services relating to agritech platforms; cloud computing services for agricultural enterprise data.</w:t>
            </w:r>
          </w:p>
        </w:tc>
      </w:tr>
    </w:tbl>
    <w:p>
      <w:pPr>
        <w:spacing w:after="80"/>
      </w:pPr>
      <w:r>
        <w:t xml:space="preserve"/>
      </w:r>
    </w:p>
    <w:p>
      <w:pPr>
        <w:pStyle w:val="Heading2"/>
        <w:spacing w:after="120" w:before="260"/>
      </w:pPr>
      <w:r>
        <w:rPr>
          <w:b/>
          <w:bCs/>
          <w:color w:val="2E7D46"/>
          <w:sz w:val="26"/>
          <w:szCs w:val="26"/>
        </w:rPr>
        <w:t xml:space="preserve">4.3  Class 35 — Business services and online marketplace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6FA" w:val="clear"/>
            <w:tcMar>
              <w:top w:type="dxa" w:w="160"/>
              <w:left w:type="dxa" w:w="200"/>
              <w:bottom w:type="dxa" w:w="160"/>
              <w:right w:type="dxa" w:w="200"/>
            </w:tcMar>
          </w:tcPr>
          <w:p>
            <w:pPr>
              <w:spacing w:after="80"/>
            </w:pPr>
            <w:r>
              <w:rPr>
                <w:b/>
                <w:bCs/>
                <w:sz w:val="22"/>
                <w:szCs w:val="22"/>
              </w:rPr>
              <w:t xml:space="preserve">Full specification text for Application 3 (word mark)</w:t>
            </w:r>
          </w:p>
          <w:p>
            <w:pPr>
              <w:spacing w:after="60" w:line="290"/>
            </w:pPr>
            <w:r>
              <w:rPr>
                <w:sz w:val="20"/>
                <w:szCs w:val="20"/>
              </w:rPr>
              <w:t xml:space="preserve">Providing an online marketplace for buyers and sellers of agricultural goods and services; commercial intermediation services connecting farmers, aggregators, off-takers, and financial institutions; business administration services for agricultural enterprises; advertising, marketing, and promotional services delivered via an online agritech platform; business information and data analytics services relating to agricultural production, trade, and distribution; compilation and systemisation of information into computer databases in the field of agriculture; subscription-based business services for agricultural supply-chain participants; procurement services for others in relation to agricultural inputs and produce.</w:t>
            </w:r>
          </w:p>
        </w:tc>
      </w:tr>
    </w:tbl>
    <w:p>
      <w:pPr>
        <w:spacing w:after="80"/>
      </w:pPr>
      <w:r>
        <w:t xml:space="preserve"/>
      </w:r>
    </w:p>
    <w:p>
      <w:pPr>
        <w:pStyle w:val="Heading2"/>
        <w:spacing w:after="120" w:before="260"/>
      </w:pPr>
      <w:r>
        <w:rPr>
          <w:b/>
          <w:bCs/>
          <w:color w:val="2E7D46"/>
          <w:sz w:val="26"/>
          <w:szCs w:val="26"/>
        </w:rPr>
        <w:t xml:space="preserve">4.4  Class 36 — Financial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6FA" w:val="clear"/>
            <w:tcMar>
              <w:top w:type="dxa" w:w="160"/>
              <w:left w:type="dxa" w:w="200"/>
              <w:bottom w:type="dxa" w:w="160"/>
              <w:right w:type="dxa" w:w="200"/>
            </w:tcMar>
          </w:tcPr>
          <w:p>
            <w:pPr>
              <w:spacing w:after="80"/>
            </w:pPr>
            <w:r>
              <w:rPr>
                <w:b/>
                <w:bCs/>
                <w:sz w:val="22"/>
                <w:szCs w:val="22"/>
              </w:rPr>
              <w:t xml:space="preserve">Full specification text for Application 4 (word mark)</w:t>
            </w:r>
          </w:p>
          <w:p>
            <w:pPr>
              <w:spacing w:after="60" w:line="290"/>
            </w:pPr>
            <w:r>
              <w:rPr>
                <w:sz w:val="20"/>
                <w:szCs w:val="20"/>
              </w:rPr>
              <w:t xml:space="preserve">Financial services including financing and credit services; issuance of electronic invoices and payment notices; credit assessment, credit scoring, and credit rating services; payment processing services; financial information, analysis, and advisory services relating to the agricultural sector; electronic funds transfer; insurance information and advisory services; financial guarantee and escrow services in connection with agricultural commerce; microfinance and agricultural lending support services; online payment gateway services.</w:t>
            </w:r>
          </w:p>
        </w:tc>
      </w:tr>
    </w:tbl>
    <w:p>
      <w:pPr>
        <w:spacing w:after="80"/>
      </w:pPr>
      <w:r>
        <w:t xml:space="preserve"/>
      </w:r>
    </w:p>
    <w:p>
      <w:pPr>
        <w:pStyle w:val="Heading2"/>
        <w:spacing w:after="120" w:before="260"/>
      </w:pPr>
      <w:r>
        <w:rPr>
          <w:b/>
          <w:bCs/>
          <w:color w:val="2E7D46"/>
          <w:sz w:val="26"/>
          <w:szCs w:val="26"/>
        </w:rPr>
        <w:t xml:space="preserve">4.5  Class 44 — Agricultural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6FA" w:val="clear"/>
            <w:tcMar>
              <w:top w:type="dxa" w:w="160"/>
              <w:left w:type="dxa" w:w="200"/>
              <w:bottom w:type="dxa" w:w="160"/>
              <w:right w:type="dxa" w:w="200"/>
            </w:tcMar>
          </w:tcPr>
          <w:p>
            <w:pPr>
              <w:spacing w:after="80"/>
            </w:pPr>
            <w:r>
              <w:rPr>
                <w:b/>
                <w:bCs/>
                <w:sz w:val="22"/>
                <w:szCs w:val="22"/>
              </w:rPr>
              <w:t xml:space="preserve">Full specification text for Application 5 (word mark)</w:t>
            </w:r>
          </w:p>
          <w:p>
            <w:pPr>
              <w:spacing w:after="60" w:line="290"/>
            </w:pPr>
            <w:r>
              <w:rPr>
                <w:sz w:val="20"/>
                <w:szCs w:val="20"/>
              </w:rPr>
              <w:t xml:space="preserve">Agricultural services; agronomy services; agricultural advisory and consultancy services; provision of agricultural information including crop yield information, soil information, weather information, pest and disease information; agricultural research and extension services delivered via digital platforms; advisory services relating to farm management, agricultural inputs, and post-harvest handling; agronomic data interpretation services; consulting services relating to agricultural sustainability and productivity.</w:t>
            </w:r>
          </w:p>
        </w:tc>
      </w:tr>
    </w:tbl>
    <w:p>
      <w:pPr>
        <w:spacing w:after="80"/>
      </w:pPr>
      <w:r>
        <w:t xml:space="preserve"/>
      </w:r>
    </w:p>
    <w:p>
      <w:pPr>
        <w:pStyle w:val="Heading2"/>
        <w:spacing w:after="120" w:before="260"/>
      </w:pPr>
      <w:r>
        <w:rPr>
          <w:b/>
          <w:bCs/>
          <w:color w:val="2E7D46"/>
          <w:sz w:val="26"/>
          <w:szCs w:val="26"/>
        </w:rPr>
        <w:t xml:space="preserve">4.6  Scoping notes for the agent</w:t>
      </w:r>
    </w:p>
    <w:p>
      <w:pPr>
        <w:pStyle w:val="ListParagraph"/>
        <w:numPr>
          <w:ilvl w:val="0"/>
          <w:numId w:val="2"/>
        </w:numPr>
        <w:spacing w:after="80" w:line="290"/>
      </w:pPr>
      <w:r>
        <w:t xml:space="preserve">The specifications above are deliberately broad within each class to cover near-term product roadmap (next 24 months). If the agent's clearance opinion flags conflicting prior marks, the first mitigation is to narrow the specification rather than abandon the filing.</w:t>
      </w:r>
    </w:p>
    <w:p>
      <w:pPr>
        <w:pStyle w:val="ListParagraph"/>
        <w:numPr>
          <w:ilvl w:val="0"/>
          <w:numId w:val="2"/>
        </w:numPr>
        <w:spacing w:after="80" w:line="290"/>
      </w:pPr>
      <w:r>
        <w:t xml:space="preserve">The 5-year non-use risk means we must actually operate in the classes we file. The current product surface supports Classes 9, 35, 36, 42, and 44. Class 44 is the closest call and may be narrowed to "agricultural information services delivered via digital platforms" if the agent prefers a tighter formulation.</w:t>
      </w:r>
    </w:p>
    <w:p>
      <w:pPr>
        <w:pStyle w:val="ListParagraph"/>
        <w:numPr>
          <w:ilvl w:val="0"/>
          <w:numId w:val="2"/>
        </w:numPr>
        <w:spacing w:after="80" w:line="290"/>
      </w:pPr>
      <w:r>
        <w:t xml:space="preserve">Classes 16 (printed matter), 41 (education and training), and 45 (legal / compliance) are deliberately out of scope for this programme. Consider them in a Phase 2 filing post-Beta only if the product surface actually expands into those areas.</w:t>
      </w:r>
    </w:p>
    <w:p>
      <w:r>
        <w:br w:type="page"/>
      </w:r>
    </w:p>
    <w:p>
      <w:pPr>
        <w:pStyle w:val="Heading1"/>
        <w:spacing w:after="160" w:before="320"/>
      </w:pPr>
      <w:r>
        <w:rPr>
          <w:b/>
          <w:bCs/>
          <w:color w:val="1F4E2C"/>
          <w:sz w:val="32"/>
          <w:szCs w:val="32"/>
        </w:rPr>
        <w:t xml:space="preserve">5. Mark specimen — image-asset bundle</w:t>
      </w:r>
    </w:p>
    <w:p>
      <w:pPr>
        <w:spacing w:after="120" w:line="300"/>
      </w:pPr>
      <w:r>
        <w:t xml:space="preserve">The agent will need the following image files for the device-mark applications. Deliver as a ZIP bundle to the agent at engagement time.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4"/>
              <w:left w:val="single" w:color="CCCCCC" w:sz="4"/>
              <w:bottom w:val="single" w:color="CCCCCC" w:sz="4"/>
              <w:right w:val="single" w:color="CCCCCC" w:sz="4"/>
            </w:tcBorders>
            <w:shd w:fill="D5E8D8" w:val="clear"/>
            <w:tcMar>
              <w:top w:type="dxa" w:w="100"/>
              <w:left w:type="dxa" w:w="140"/>
              <w:bottom w:type="dxa" w:w="100"/>
              <w:right w:type="dxa" w:w="140"/>
            </w:tcMar>
          </w:tcPr>
          <w:p>
            <w:r>
              <w:rPr>
                <w:b/>
                <w:bCs/>
                <w:sz w:val="20"/>
                <w:szCs w:val="20"/>
              </w:rPr>
              <w:t xml:space="preserve">File</w:t>
            </w:r>
          </w:p>
        </w:tc>
        <w:tc>
          <w:tcPr>
            <w:tcW w:type="dxa" w:w="2800"/>
            <w:tcBorders>
              <w:top w:val="single" w:color="CCCCCC" w:sz="4"/>
              <w:left w:val="single" w:color="CCCCCC" w:sz="4"/>
              <w:bottom w:val="single" w:color="CCCCCC" w:sz="4"/>
              <w:right w:val="single" w:color="CCCCCC" w:sz="4"/>
            </w:tcBorders>
            <w:shd w:fill="D5E8D8" w:val="clear"/>
            <w:tcMar>
              <w:top w:type="dxa" w:w="100"/>
              <w:left w:type="dxa" w:w="140"/>
              <w:bottom w:type="dxa" w:w="100"/>
              <w:right w:type="dxa" w:w="140"/>
            </w:tcMar>
          </w:tcPr>
          <w:p>
            <w:r>
              <w:rPr>
                <w:b/>
                <w:bCs/>
                <w:sz w:val="20"/>
                <w:szCs w:val="20"/>
              </w:rPr>
              <w:t xml:space="preserve">Format / size</w:t>
            </w:r>
          </w:p>
        </w:tc>
        <w:tc>
          <w:tcPr>
            <w:tcW w:type="dxa" w:w="3760"/>
            <w:tcBorders>
              <w:top w:val="single" w:color="CCCCCC" w:sz="4"/>
              <w:left w:val="single" w:color="CCCCCC" w:sz="4"/>
              <w:bottom w:val="single" w:color="CCCCCC" w:sz="4"/>
              <w:right w:val="single" w:color="CCCCCC" w:sz="4"/>
            </w:tcBorders>
            <w:shd w:fill="D5E8D8" w:val="clear"/>
            <w:tcMar>
              <w:top w:type="dxa" w:w="100"/>
              <w:left w:type="dxa" w:w="140"/>
              <w:bottom w:type="dxa" w:w="100"/>
              <w:right w:type="dxa" w:w="140"/>
            </w:tcMar>
          </w:tcPr>
          <w:p>
            <w:r>
              <w:rPr>
                <w:b/>
                <w:bCs/>
                <w:sz w:val="20"/>
                <w:szCs w:val="20"/>
              </w:rPr>
              <w:t xml:space="preserve">Purpose</w:t>
            </w:r>
          </w:p>
        </w:tc>
      </w:tr>
      <w:tr>
        <w:tc>
          <w:tcPr>
            <w:tcW w:type="dxa" w:w="2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agroyield-mark-full-colour.png</w:t>
            </w:r>
          </w:p>
        </w:tc>
        <w:tc>
          <w:tcPr>
            <w:tcW w:type="dxa" w:w="2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PNG, 300 DPI, 2000px wide</w:t>
            </w:r>
          </w:p>
        </w:tc>
        <w:tc>
          <w:tcPr>
            <w:tcW w:type="dxa" w:w="37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Primary specimen for Applications 6 and 7; full-colour rendering with reserved hex values</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agroyield-mark-mono-black.png</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PNG, 300 DPI, 2000px wide</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Registry monochrome variant where required for publication</w:t>
            </w:r>
          </w:p>
        </w:tc>
      </w:tr>
      <w:tr>
        <w:tc>
          <w:tcPr>
            <w:tcW w:type="dxa" w:w="2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agroyield-mark-specimen.pdf</w:t>
            </w:r>
          </w:p>
        </w:tc>
        <w:tc>
          <w:tcPr>
            <w:tcW w:type="dxa" w:w="2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PDF, vector</w:t>
            </w:r>
          </w:p>
        </w:tc>
        <w:tc>
          <w:tcPr>
            <w:tcW w:type="dxa" w:w="37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Back-up for any print-based Registry process</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agroyield-mark-description.txt</w:t>
            </w:r>
          </w:p>
        </w:tc>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Plain text, ≤ 200 words</w:t>
            </w:r>
          </w:p>
        </w:tc>
        <w:tc>
          <w:tcPr>
            <w:tcW w:type="dxa" w:w="3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Written description of the logo's graphic elements for the TM-1 "description of mark" field</w:t>
            </w:r>
          </w:p>
        </w:tc>
      </w:tr>
    </w:tbl>
    <w:p>
      <w:pPr>
        <w:spacing w:after="80"/>
      </w:pPr>
      <w:r>
        <w:t xml:space="preserve"/>
      </w:r>
    </w:p>
    <w:p>
      <w:pPr>
        <w:pStyle w:val="Heading2"/>
        <w:spacing w:after="120" w:before="260"/>
      </w:pPr>
      <w:r>
        <w:rPr>
          <w:b/>
          <w:bCs/>
          <w:color w:val="2E7D46"/>
          <w:sz w:val="26"/>
          <w:szCs w:val="26"/>
        </w:rPr>
        <w:t xml:space="preserve">5.1  Draft text for the "description of mark" field (Applications 6 and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6FA" w:val="clear"/>
            <w:tcMar>
              <w:top w:type="dxa" w:w="160"/>
              <w:left w:type="dxa" w:w="200"/>
              <w:bottom w:type="dxa" w:w="160"/>
              <w:right w:type="dxa" w:w="200"/>
            </w:tcMar>
          </w:tcPr>
          <w:p>
            <w:pPr>
              <w:spacing w:after="80"/>
            </w:pPr>
            <w:r>
              <w:rPr>
                <w:b/>
                <w:bCs/>
                <w:sz w:val="22"/>
                <w:szCs w:val="22"/>
              </w:rPr>
              <w:t xml:space="preserve">Copy-paste description text</w:t>
            </w:r>
          </w:p>
          <w:p>
            <w:pPr>
              <w:spacing w:after="60" w:line="290"/>
            </w:pPr>
            <w:r>
              <w:rPr>
                <w:sz w:val="20"/>
                <w:szCs w:val="20"/>
              </w:rPr>
              <w:t xml:space="preserve">The mark consists of the stylised wordmark "AgroYield Network" rendered in mixed case, with "AgroYield" set as a single compound word and "Network" positioned to the right or below, accompanied by a graphical device element in the primary brand green (hex #2E7D46). The graphic device element evokes growth and connectivity, consistent with the applicant's agricultural technology platform. Colour is claimed as a feature of the mark; the primary colour is green hex #2E7D46 and the secondary (wordmark body) colour is dark grey hex #1F2937.</w:t>
            </w:r>
          </w:p>
        </w:tc>
      </w:tr>
    </w:tbl>
    <w:p>
      <w:pPr>
        <w:spacing w:after="80"/>
      </w:pPr>
      <w:r>
        <w:t xml:space="preserve"/>
      </w:r>
    </w:p>
    <w:p>
      <w:pPr>
        <w:pStyle w:val="Heading2"/>
        <w:spacing w:after="120" w:before="260"/>
      </w:pPr>
      <w:r>
        <w:rPr>
          <w:b/>
          <w:bCs/>
          <w:color w:val="2E7D46"/>
          <w:sz w:val="26"/>
          <w:szCs w:val="26"/>
        </w:rPr>
        <w:t xml:space="preserve">5.2  Action required before 24 April</w:t>
      </w:r>
    </w:p>
    <w:p>
      <w:pPr>
        <w:pStyle w:val="ListParagraph"/>
        <w:numPr>
          <w:ilvl w:val="0"/>
          <w:numId w:val="2"/>
        </w:numPr>
        <w:spacing w:after="80" w:line="290"/>
      </w:pPr>
      <w:r>
        <w:rPr>
          <w:b/>
          <w:bCs/>
        </w:rPr>
        <w:t xml:space="preserve">Okoli: </w:t>
      </w:r>
      <w:r>
        <w:t xml:space="preserve">export the current logo in the four file formats above. If production-ready versions do not exist at the required resolution, a design hour from the brand designer is necessary and should be scheduled for Wednesday 22 April.</w:t>
      </w:r>
    </w:p>
    <w:p>
      <w:pPr>
        <w:pStyle w:val="ListParagraph"/>
        <w:numPr>
          <w:ilvl w:val="0"/>
          <w:numId w:val="2"/>
        </w:numPr>
        <w:spacing w:after="80" w:line="290"/>
      </w:pPr>
      <w:r>
        <w:rPr>
          <w:b/>
          <w:bCs/>
        </w:rPr>
        <w:t xml:space="preserve">Agent: </w:t>
      </w:r>
      <w:r>
        <w:t xml:space="preserve">confirm the image formats are Registry-compliant; advise if any file needs re-rendering before lodgement.</w:t>
      </w:r>
    </w:p>
    <w:p>
      <w:r>
        <w:br w:type="page"/>
      </w:r>
    </w:p>
    <w:p>
      <w:pPr>
        <w:pStyle w:val="Heading1"/>
        <w:spacing w:after="160" w:before="320"/>
      </w:pPr>
      <w:r>
        <w:rPr>
          <w:b/>
          <w:bCs/>
          <w:color w:val="1F4E2C"/>
          <w:sz w:val="32"/>
          <w:szCs w:val="32"/>
        </w:rPr>
        <w:t xml:space="preserve">6. Power of Attorney (Form TM-1A) — draft</w:t>
      </w:r>
    </w:p>
    <w:p>
      <w:pPr>
        <w:spacing w:after="120" w:line="300"/>
      </w:pPr>
      <w:r>
        <w:t xml:space="preserve">The Power of Attorney authorises the accredited agent to act on the applicant's behalf at the Trademark Registry. Draft below; finalise with agent's name and code at engagement time.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6FA" w:val="clear"/>
            <w:tcMar>
              <w:top w:type="dxa" w:w="160"/>
              <w:left w:type="dxa" w:w="200"/>
              <w:bottom w:type="dxa" w:w="160"/>
              <w:right w:type="dxa" w:w="200"/>
            </w:tcMar>
          </w:tcPr>
          <w:p>
            <w:pPr>
              <w:spacing w:after="80"/>
            </w:pPr>
            <w:r>
              <w:rPr>
                <w:b/>
                <w:bCs/>
                <w:sz w:val="22"/>
                <w:szCs w:val="22"/>
              </w:rPr>
              <w:t xml:space="preserve">DRAFT — POWER OF ATTORNEY (Form TM-1A)</w:t>
            </w:r>
          </w:p>
          <w:p>
            <w:pPr>
              <w:spacing w:after="60" w:line="290"/>
            </w:pPr>
            <w:r>
              <w:rPr>
                <w:sz w:val="20"/>
                <w:szCs w:val="20"/>
              </w:rPr>
              <w:t xml:space="preserve">To: The Registrar of Trademarks, Patents and Designs, Federal Republic of Nigeria</w:t>
            </w:r>
          </w:p>
          <w:p>
            <w:pPr>
              <w:spacing w:after="60" w:line="290"/>
            </w:pPr>
            <w:r>
              <w:rPr>
                <w:sz w:val="20"/>
                <w:szCs w:val="20"/>
              </w:rPr>
              <w:t xml:space="preserve"/>
            </w:r>
          </w:p>
          <w:p>
            <w:pPr>
              <w:spacing w:after="60" w:line="290"/>
            </w:pPr>
            <w:r>
              <w:rPr>
                <w:sz w:val="20"/>
                <w:szCs w:val="20"/>
              </w:rPr>
              <w:t xml:space="preserve">I / We, [APPLICANT LEGAL NAME], [nationality/incorporation], of [full registered address], being the applicant for registration of the trademarks "AGROYIELD NETWORK" (word mark) and the AgroYield Network logo (device mark) in Nice Classes 9, 35, 36, 42, and 44 (word mark) and Classes 9 and 42 (device mark), hereby appoint:</w:t>
            </w:r>
          </w:p>
          <w:p>
            <w:pPr>
              <w:spacing w:after="60" w:line="290"/>
            </w:pPr>
            <w:r>
              <w:rPr>
                <w:sz w:val="20"/>
                <w:szCs w:val="20"/>
              </w:rPr>
              <w:t xml:space="preserve"/>
            </w:r>
          </w:p>
          <w:p>
            <w:pPr>
              <w:spacing w:after="60" w:line="290"/>
            </w:pPr>
            <w:r>
              <w:rPr>
                <w:sz w:val="20"/>
                <w:szCs w:val="20"/>
              </w:rPr>
              <w:t xml:space="preserve">[AGENT FULL LEGAL NAME], [agent firm address], accredited trademark agent (Register Code: [FILL]),</w:t>
            </w:r>
          </w:p>
          <w:p>
            <w:pPr>
              <w:spacing w:after="60" w:line="290"/>
            </w:pPr>
            <w:r>
              <w:rPr>
                <w:sz w:val="20"/>
                <w:szCs w:val="20"/>
              </w:rPr>
              <w:t xml:space="preserve"/>
            </w:r>
          </w:p>
          <w:p>
            <w:pPr>
              <w:spacing w:after="60" w:line="290"/>
            </w:pPr>
            <w:r>
              <w:rPr>
                <w:sz w:val="20"/>
                <w:szCs w:val="20"/>
              </w:rPr>
              <w:t xml:space="preserve">to act as my / our agent in all matters relating to the prosecution of the above-referenced trademark applications before the Trademarks, Patents and Designs Registry, including but not limited to the filing of applications on Form TM-1, responses to office actions, publication procedures, opposition defence, and issuance of Certificates of Registration.</w:t>
            </w:r>
          </w:p>
          <w:p>
            <w:pPr>
              <w:spacing w:after="60" w:line="290"/>
            </w:pPr>
            <w:r>
              <w:rPr>
                <w:sz w:val="20"/>
                <w:szCs w:val="20"/>
              </w:rPr>
              <w:t xml:space="preserve"/>
            </w:r>
          </w:p>
          <w:p>
            <w:pPr>
              <w:spacing w:after="60" w:line="290"/>
            </w:pPr>
            <w:r>
              <w:rPr>
                <w:sz w:val="20"/>
                <w:szCs w:val="20"/>
              </w:rPr>
              <w:t xml:space="preserve">This Power of Attorney shall remain in force until revoked in writing.</w:t>
            </w:r>
          </w:p>
          <w:p>
            <w:pPr>
              <w:spacing w:after="60" w:line="290"/>
            </w:pPr>
            <w:r>
              <w:rPr>
                <w:sz w:val="20"/>
                <w:szCs w:val="20"/>
              </w:rPr>
              <w:t xml:space="preserve"/>
            </w:r>
          </w:p>
          <w:p>
            <w:pPr>
              <w:spacing w:after="60" w:line="290"/>
            </w:pPr>
            <w:r>
              <w:rPr>
                <w:sz w:val="20"/>
                <w:szCs w:val="20"/>
              </w:rPr>
              <w:t xml:space="preserve">Signed: _______________________________</w:t>
            </w:r>
          </w:p>
          <w:p>
            <w:pPr>
              <w:spacing w:after="60" w:line="290"/>
            </w:pPr>
            <w:r>
              <w:rPr>
                <w:sz w:val="20"/>
                <w:szCs w:val="20"/>
              </w:rPr>
              <w:t xml:space="preserve">Name: [APPLICANT LEGAL NAME]</w:t>
            </w:r>
          </w:p>
          <w:p>
            <w:pPr>
              <w:spacing w:after="60" w:line="290"/>
            </w:pPr>
            <w:r>
              <w:rPr>
                <w:sz w:val="20"/>
                <w:szCs w:val="20"/>
              </w:rPr>
              <w:t xml:space="preserve">Capacity: [Founder / Managing Director / Sole Proprietor]</w:t>
            </w:r>
          </w:p>
          <w:p>
            <w:pPr>
              <w:spacing w:after="60" w:line="290"/>
            </w:pPr>
            <w:r>
              <w:rPr>
                <w:sz w:val="20"/>
                <w:szCs w:val="20"/>
              </w:rPr>
              <w:t xml:space="preserve">Date: ______________, 2026</w:t>
            </w:r>
          </w:p>
          <w:p>
            <w:pPr>
              <w:spacing w:after="60" w:line="290"/>
            </w:pPr>
            <w:r>
              <w:rPr>
                <w:sz w:val="20"/>
                <w:szCs w:val="20"/>
              </w:rPr>
              <w:t xml:space="preserve"/>
            </w:r>
          </w:p>
          <w:p>
            <w:pPr>
              <w:spacing w:after="60" w:line="290"/>
            </w:pPr>
            <w:r>
              <w:rPr>
                <w:sz w:val="20"/>
                <w:szCs w:val="20"/>
              </w:rPr>
              <w:t xml:space="preserve">Witness signature: _______________________________</w:t>
            </w:r>
          </w:p>
          <w:p>
            <w:pPr>
              <w:spacing w:after="60" w:line="290"/>
            </w:pPr>
            <w:r>
              <w:rPr>
                <w:sz w:val="20"/>
                <w:szCs w:val="20"/>
              </w:rPr>
              <w:t xml:space="preserve">Witness name: _______________________________</w:t>
            </w:r>
          </w:p>
          <w:p>
            <w:pPr>
              <w:spacing w:after="60" w:line="290"/>
            </w:pPr>
            <w:r>
              <w:rPr>
                <w:sz w:val="20"/>
                <w:szCs w:val="20"/>
              </w:rPr>
              <w:t xml:space="preserve">Witness address: _______________________________</w:t>
            </w:r>
          </w:p>
        </w:tc>
      </w:tr>
    </w:tbl>
    <w:p>
      <w:pPr>
        <w:spacing w:after="80"/>
      </w:pPr>
      <w:r>
        <w:t xml:space="preserve"/>
      </w:r>
    </w:p>
    <w:p>
      <w:pPr>
        <w:pStyle w:val="Heading3"/>
        <w:spacing w:after="100" w:before="200"/>
      </w:pPr>
      <w:r>
        <w:rPr>
          <w:b/>
          <w:bCs/>
          <w:color w:val="333333"/>
          <w:sz w:val="22"/>
          <w:szCs w:val="22"/>
        </w:rPr>
        <w:t xml:space="preserve">Signature logistics</w:t>
      </w:r>
    </w:p>
    <w:p>
      <w:pPr>
        <w:pStyle w:val="ListParagraph"/>
        <w:numPr>
          <w:ilvl w:val="0"/>
          <w:numId w:val="2"/>
        </w:numPr>
        <w:spacing w:after="80" w:line="290"/>
      </w:pPr>
      <w:r>
        <w:t xml:space="preserve">Applicant signs in wet ink on a printed copy; agent witnesses or arranges witnessing. Scanned PDF is acceptable for the Registry's electronic lodgement.</w:t>
      </w:r>
    </w:p>
    <w:p>
      <w:pPr>
        <w:pStyle w:val="ListParagraph"/>
        <w:numPr>
          <w:ilvl w:val="0"/>
          <w:numId w:val="2"/>
        </w:numPr>
        <w:spacing w:after="80" w:line="290"/>
      </w:pPr>
      <w:r>
        <w:t xml:space="preserve">If AgroYield Network is a corporate applicant, the signature must be from a director or officer with lawful authority to bind the company (typically the Managing Director / CEO) and the corporate seal / stamp may be required.</w:t>
      </w:r>
    </w:p>
    <w:p>
      <w:pPr>
        <w:pStyle w:val="ListParagraph"/>
        <w:numPr>
          <w:ilvl w:val="0"/>
          <w:numId w:val="2"/>
        </w:numPr>
        <w:spacing w:after="80" w:line="290"/>
      </w:pPr>
      <w:r>
        <w:t xml:space="preserve">One Power of Attorney per agent firm covers all seven applications — no need to execute seven separate instruments.</w:t>
      </w:r>
    </w:p>
    <w:p>
      <w:r>
        <w:br w:type="page"/>
      </w:r>
    </w:p>
    <w:p>
      <w:pPr>
        <w:pStyle w:val="Heading1"/>
        <w:spacing w:after="160" w:before="320"/>
      </w:pPr>
      <w:r>
        <w:rPr>
          <w:b/>
          <w:bCs/>
          <w:color w:val="1F4E2C"/>
          <w:sz w:val="32"/>
          <w:szCs w:val="32"/>
        </w:rPr>
        <w:t xml:space="preserve">7. Availability search — scope to commission from agent</w:t>
      </w:r>
    </w:p>
    <w:p>
      <w:pPr>
        <w:spacing w:after="120" w:line="300"/>
      </w:pPr>
      <w:r>
        <w:t xml:space="preserve">The accredited agent will execute the formal registry search on Friday 24 April 2026 (per the Deliverable 1 timeline). The scope below is what we instruct them to search. This is the paid search that produces a clearance opinion — distinct from the informal internet diligence already conducted.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Target mark</w:t>
            </w:r>
          </w:p>
        </w:tc>
        <w:tc>
          <w:tcPr>
            <w:tcW w:type="dxa" w:w="63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"AGROYIELD NETWORK"</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Search variations</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"AGROYIELD", "AGRO YIELD", "AGROYIELD NETWORK", "AGRO YIELD NETWORK", "AGROYIELD AFRICA", "AGRO YIELD AFRICA"</w:t>
            </w:r>
          </w:p>
        </w:tc>
      </w:tr>
      <w:tr>
        <w:tc>
          <w:tcPr>
            <w:tcW w:type="dxa" w:w="30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Classes to search</w:t>
            </w:r>
          </w:p>
        </w:tc>
        <w:tc>
          <w:tcPr>
            <w:tcW w:type="dxa" w:w="63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Classes 9, 35, 36, 42, 44 (word mark) and Classes 9 and 42 (device mark)</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Additional entity check</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Agro Yield Africa Limited and any trademark applications filed by that entity across all classes</w:t>
            </w:r>
          </w:p>
        </w:tc>
      </w:tr>
      <w:tr>
        <w:tc>
          <w:tcPr>
            <w:tcW w:type="dxa" w:w="30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Deliverable from agent</w:t>
            </w:r>
          </w:p>
        </w:tc>
        <w:tc>
          <w:tcPr>
            <w:tcW w:type="dxa" w:w="63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Written clearance opinion per class stating: (a) whether identical marks exist; (b) whether confusingly similar marks exist; (c) recommended specification narrowing to avoid conflict; (d) firm recommendation to proceed, narrow, or withdraw per class</w:t>
            </w:r>
          </w:p>
        </w:tc>
      </w:tr>
      <w:t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Due date</w:t>
            </w:r>
          </w:p>
        </w:tc>
        <w:tc>
          <w:tcPr>
            <w:tcW w:type="dxa" w:w="6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Friday 24 April 2026 EOD Lagos time</w:t>
            </w:r>
          </w:p>
        </w:tc>
      </w:tr>
    </w:tbl>
    <w:p>
      <w:pPr>
        <w:spacing w:after="80"/>
      </w:pPr>
      <w:r>
        <w:t xml:space="preserve"/>
      </w:r>
    </w:p>
    <w:p>
      <w:pPr>
        <w:pStyle w:val="Heading3"/>
        <w:spacing w:after="100" w:before="200"/>
      </w:pPr>
      <w:r>
        <w:rPr>
          <w:b/>
          <w:bCs/>
          <w:color w:val="333333"/>
          <w:sz w:val="22"/>
          <w:szCs w:val="22"/>
        </w:rPr>
        <w:t xml:space="preserve">Decision framework on receipt of the opinion</w:t>
      </w:r>
    </w:p>
    <w:p>
      <w:pPr>
        <w:pStyle w:val="ListParagraph"/>
        <w:numPr>
          <w:ilvl w:val="0"/>
          <w:numId w:val="2"/>
        </w:numPr>
        <w:spacing w:after="80" w:line="290"/>
      </w:pPr>
      <w:r>
        <w:t xml:space="preserve">Clean opinion (no identical or confusingly similar prior marks in our classes): proceed to lodgement on 26 April.</w:t>
      </w:r>
    </w:p>
    <w:p>
      <w:pPr>
        <w:pStyle w:val="ListParagraph"/>
        <w:numPr>
          <w:ilvl w:val="0"/>
          <w:numId w:val="2"/>
        </w:numPr>
        <w:spacing w:after="80" w:line="290"/>
      </w:pPr>
      <w:r>
        <w:t xml:space="preserve">Opinion flags a prior mark in one or two classes only: narrow the specification for those classes; lodge all seven applications on 26 April with narrowed scope.</w:t>
      </w:r>
    </w:p>
    <w:p>
      <w:pPr>
        <w:pStyle w:val="ListParagraph"/>
        <w:numPr>
          <w:ilvl w:val="0"/>
          <w:numId w:val="2"/>
        </w:numPr>
        <w:spacing w:after="80" w:line="290"/>
      </w:pPr>
      <w:r>
        <w:t xml:space="preserve">Opinion flags Agro Yield Africa Limited with a pending trademark application: engage agent urgently on opposition strategy before lodgement. This is the single highest-impact escape hatch in the timeline.</w:t>
      </w:r>
    </w:p>
    <w:p>
      <w:pPr>
        <w:pStyle w:val="ListParagraph"/>
        <w:numPr>
          <w:ilvl w:val="0"/>
          <w:numId w:val="2"/>
        </w:numPr>
        <w:spacing w:after="80" w:line="290"/>
      </w:pPr>
      <w:r>
        <w:t xml:space="preserve">Opinion flags multiple blocking prior marks in our core classes (9 and 42): pause lodgement, schedule a founder-agent call, revisit the strategic decision (narrow scope, rebrand, or accept elevated risk).</w:t>
      </w:r>
    </w:p>
    <w:p>
      <w:r>
        <w:br w:type="page"/>
      </w:r>
    </w:p>
    <w:p>
      <w:pPr>
        <w:pStyle w:val="Heading1"/>
        <w:spacing w:after="160" w:before="320"/>
      </w:pPr>
      <w:r>
        <w:rPr>
          <w:b/>
          <w:bCs/>
          <w:color w:val="1F4E2C"/>
          <w:sz w:val="32"/>
          <w:szCs w:val="32"/>
        </w:rPr>
        <w:t xml:space="preserve">8. TM-1 form content per application</w:t>
      </w:r>
    </w:p>
    <w:p>
      <w:pPr>
        <w:spacing w:after="120" w:line="300"/>
      </w:pPr>
      <w:r>
        <w:t xml:space="preserve">Each TM-1 form needs the fields below. The agent will prepare the official forms; this section gives them the pre-agreed answers to populate. Fields marked [FILL] remain for the applicant to complete with the agent before lodgement.</w:t>
      </w:r>
    </w:p>
    <w:p>
      <w:pPr>
        <w:spacing w:after="80"/>
      </w:pPr>
      <w:r>
        <w:t xml:space="preserve"/>
      </w:r>
    </w:p>
    <w:p>
      <w:pPr>
        <w:pStyle w:val="Heading2"/>
        <w:spacing w:after="120" w:before="260"/>
      </w:pPr>
      <w:r>
        <w:rPr>
          <w:b/>
          <w:bCs/>
          <w:color w:val="2E7D46"/>
          <w:sz w:val="26"/>
          <w:szCs w:val="26"/>
        </w:rPr>
        <w:t xml:space="preserve">8.1  Common fields (all seven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Applicant name</w:t>
            </w:r>
          </w:p>
        </w:tc>
        <w:tc>
          <w:tcPr>
            <w:tcW w:type="dxa" w:w="65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[FILL per Section 2]</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Applicant address</w:t>
            </w:r>
          </w:p>
        </w:tc>
        <w:tc>
          <w:tcPr>
            <w:tcW w:type="dxa" w:w="6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[FILL per Section 2]</w:t>
            </w:r>
          </w:p>
        </w:tc>
      </w:tr>
      <w:tr>
        <w:tc>
          <w:tcPr>
            <w:tcW w:type="dxa" w:w="2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Applicant nationality</w:t>
            </w:r>
          </w:p>
        </w:tc>
        <w:tc>
          <w:tcPr>
            <w:tcW w:type="dxa" w:w="65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Nigerian</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Agent name</w:t>
            </w:r>
          </w:p>
        </w:tc>
        <w:tc>
          <w:tcPr>
            <w:tcW w:type="dxa" w:w="6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[FILL — engaged agent's full legal name]</w:t>
            </w:r>
          </w:p>
        </w:tc>
      </w:tr>
      <w:tr>
        <w:tc>
          <w:tcPr>
            <w:tcW w:type="dxa" w:w="2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Agent register code</w:t>
            </w:r>
          </w:p>
        </w:tc>
        <w:tc>
          <w:tcPr>
            <w:tcW w:type="dxa" w:w="65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[FILL — confirm on first agent interaction]</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Power of Attorney reference</w:t>
            </w:r>
          </w:p>
        </w:tc>
        <w:tc>
          <w:tcPr>
            <w:tcW w:type="dxa" w:w="6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One master PoA executed, applicable to all 7 applications</w:t>
            </w:r>
          </w:p>
        </w:tc>
      </w:tr>
      <w:tr>
        <w:tc>
          <w:tcPr>
            <w:tcW w:type="dxa" w:w="2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Applicant signature</w:t>
            </w:r>
          </w:p>
        </w:tc>
        <w:tc>
          <w:tcPr>
            <w:tcW w:type="dxa" w:w="65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On file (PoA signature page)</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Declaration of bona fide intention to use</w:t>
            </w:r>
          </w:p>
        </w:tc>
        <w:tc>
          <w:tcPr>
            <w:tcW w:type="dxa" w:w="6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Yes — applicant is currently operating under the AgroYield Network brand and launching public Beta on 27 April 2026</w:t>
            </w:r>
          </w:p>
        </w:tc>
      </w:tr>
    </w:tbl>
    <w:p>
      <w:pPr>
        <w:spacing w:after="80"/>
      </w:pPr>
      <w:r>
        <w:t xml:space="preserve"/>
      </w:r>
    </w:p>
    <w:p>
      <w:pPr>
        <w:pStyle w:val="Heading2"/>
        <w:spacing w:after="120" w:before="260"/>
      </w:pPr>
      <w:r>
        <w:rPr>
          <w:b/>
          <w:bCs/>
          <w:color w:val="2E7D46"/>
          <w:sz w:val="26"/>
          <w:szCs w:val="26"/>
        </w:rPr>
        <w:t xml:space="preserve">8.2  Per-application variable fields</w:t>
      </w:r>
    </w:p>
    <w:p>
      <w:pPr>
        <w:spacing w:after="120" w:line="300"/>
      </w:pPr>
      <w:r>
        <w:t xml:space="preserve">These are the fields that vary by application. Class specification text is reproduced in full so the agent's typist has it to paste directly into the form.</w:t>
      </w:r>
    </w:p>
    <w:p>
      <w:pPr>
        <w:spacing w:after="80"/>
      </w:pPr>
      <w:r>
        <w:t xml:space="preserve"/>
      </w:r>
    </w:p>
    <w:p>
      <w:pPr>
        <w:pStyle w:val="Heading3"/>
        <w:spacing w:after="100" w:before="200"/>
      </w:pPr>
      <w:r>
        <w:rPr>
          <w:b/>
          <w:bCs/>
          <w:color w:val="333333"/>
          <w:sz w:val="22"/>
          <w:szCs w:val="22"/>
        </w:rPr>
        <w:t xml:space="preserve">Application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Mark</w:t>
            </w:r>
          </w:p>
        </w:tc>
        <w:tc>
          <w:tcPr>
            <w:tcW w:type="dxa" w:w="65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AGROYIELD NETWORK (word mark)</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Class</w:t>
            </w:r>
          </w:p>
        </w:tc>
        <w:tc>
          <w:tcPr>
            <w:tcW w:type="dxa" w:w="6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Class 9</w:t>
            </w:r>
          </w:p>
        </w:tc>
      </w:tr>
      <w:tr>
        <w:tc>
          <w:tcPr>
            <w:tcW w:type="dxa" w:w="2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Specification of goods / services</w:t>
            </w:r>
          </w:p>
        </w:tc>
        <w:tc>
          <w:tcPr>
            <w:tcW w:type="dxa" w:w="65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Per Section 4.1 of this document</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Filing fee (govt)</w:t>
            </w:r>
          </w:p>
        </w:tc>
        <w:tc>
          <w:tcPr>
            <w:tcW w:type="dxa" w:w="6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Per IPO Nigeria current schedule — ~₦16,749</w:t>
            </w:r>
          </w:p>
        </w:tc>
      </w:tr>
      <w:tr>
        <w:tc>
          <w:tcPr>
            <w:tcW w:type="dxa" w:w="2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Date of first use in Nigeria</w:t>
            </w:r>
          </w:p>
        </w:tc>
        <w:tc>
          <w:tcPr>
            <w:tcW w:type="dxa" w:w="65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[FILL — typically the date the name first appeared on a public surface; Beta launch date 27 April 2026 is the safe conservative answer if no prior use]</w:t>
            </w:r>
          </w:p>
        </w:tc>
      </w:tr>
    </w:tbl>
    <w:p>
      <w:pPr>
        <w:spacing w:after="80"/>
      </w:pPr>
      <w:r>
        <w:t xml:space="preserve"/>
      </w:r>
    </w:p>
    <w:p>
      <w:pPr>
        <w:pStyle w:val="Heading3"/>
        <w:spacing w:after="100" w:before="200"/>
      </w:pPr>
      <w:r>
        <w:rPr>
          <w:b/>
          <w:bCs/>
          <w:color w:val="333333"/>
          <w:sz w:val="22"/>
          <w:szCs w:val="22"/>
        </w:rPr>
        <w:t xml:space="preserve">Application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Mark</w:t>
            </w:r>
          </w:p>
        </w:tc>
        <w:tc>
          <w:tcPr>
            <w:tcW w:type="dxa" w:w="65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AGROYIELD NETWORK (word mark)</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Class</w:t>
            </w:r>
          </w:p>
        </w:tc>
        <w:tc>
          <w:tcPr>
            <w:tcW w:type="dxa" w:w="6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Class 42</w:t>
            </w:r>
          </w:p>
        </w:tc>
      </w:tr>
      <w:tr>
        <w:tc>
          <w:tcPr>
            <w:tcW w:type="dxa" w:w="2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Specification of goods / services</w:t>
            </w:r>
          </w:p>
        </w:tc>
        <w:tc>
          <w:tcPr>
            <w:tcW w:type="dxa" w:w="65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Per Section 4.2 of this document</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Filing fee (govt)</w:t>
            </w:r>
          </w:p>
        </w:tc>
        <w:tc>
          <w:tcPr>
            <w:tcW w:type="dxa" w:w="6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Per IPO Nigeria current schedule — ~₦16,749</w:t>
            </w:r>
          </w:p>
        </w:tc>
      </w:tr>
      <w:tr>
        <w:tc>
          <w:tcPr>
            <w:tcW w:type="dxa" w:w="2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Date of first use in Nigeria</w:t>
            </w:r>
          </w:p>
        </w:tc>
        <w:tc>
          <w:tcPr>
            <w:tcW w:type="dxa" w:w="65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[FILL — typically the date the name first appeared on a public surface; Beta launch date 27 April 2026 is the safe conservative answer if no prior use]</w:t>
            </w:r>
          </w:p>
        </w:tc>
      </w:tr>
    </w:tbl>
    <w:p>
      <w:pPr>
        <w:spacing w:after="80"/>
      </w:pPr>
      <w:r>
        <w:t xml:space="preserve"/>
      </w:r>
    </w:p>
    <w:p>
      <w:pPr>
        <w:pStyle w:val="Heading3"/>
        <w:spacing w:after="100" w:before="200"/>
      </w:pPr>
      <w:r>
        <w:rPr>
          <w:b/>
          <w:bCs/>
          <w:color w:val="333333"/>
          <w:sz w:val="22"/>
          <w:szCs w:val="22"/>
        </w:rPr>
        <w:t xml:space="preserve">Application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Mark</w:t>
            </w:r>
          </w:p>
        </w:tc>
        <w:tc>
          <w:tcPr>
            <w:tcW w:type="dxa" w:w="65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AGROYIELD NETWORK (word mark)</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Class</w:t>
            </w:r>
          </w:p>
        </w:tc>
        <w:tc>
          <w:tcPr>
            <w:tcW w:type="dxa" w:w="6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Class 35</w:t>
            </w:r>
          </w:p>
        </w:tc>
      </w:tr>
      <w:tr>
        <w:tc>
          <w:tcPr>
            <w:tcW w:type="dxa" w:w="2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Specification of goods / services</w:t>
            </w:r>
          </w:p>
        </w:tc>
        <w:tc>
          <w:tcPr>
            <w:tcW w:type="dxa" w:w="65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Per Section 4.3 of this document</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Filing fee (govt)</w:t>
            </w:r>
          </w:p>
        </w:tc>
        <w:tc>
          <w:tcPr>
            <w:tcW w:type="dxa" w:w="6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Per IPO Nigeria current schedule — ~₦16,749</w:t>
            </w:r>
          </w:p>
        </w:tc>
      </w:tr>
      <w:tr>
        <w:tc>
          <w:tcPr>
            <w:tcW w:type="dxa" w:w="2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Date of first use in Nigeria</w:t>
            </w:r>
          </w:p>
        </w:tc>
        <w:tc>
          <w:tcPr>
            <w:tcW w:type="dxa" w:w="65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[FILL — typically the date the name first appeared on a public surface; Beta launch date 27 April 2026 is the safe conservative answer if no prior use]</w:t>
            </w:r>
          </w:p>
        </w:tc>
      </w:tr>
    </w:tbl>
    <w:p>
      <w:pPr>
        <w:spacing w:after="80"/>
      </w:pPr>
      <w:r>
        <w:t xml:space="preserve"/>
      </w:r>
    </w:p>
    <w:p>
      <w:pPr>
        <w:pStyle w:val="Heading3"/>
        <w:spacing w:after="100" w:before="200"/>
      </w:pPr>
      <w:r>
        <w:rPr>
          <w:b/>
          <w:bCs/>
          <w:color w:val="333333"/>
          <w:sz w:val="22"/>
          <w:szCs w:val="22"/>
        </w:rPr>
        <w:t xml:space="preserve">Application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Mark</w:t>
            </w:r>
          </w:p>
        </w:tc>
        <w:tc>
          <w:tcPr>
            <w:tcW w:type="dxa" w:w="65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AGROYIELD NETWORK (word mark)</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Class</w:t>
            </w:r>
          </w:p>
        </w:tc>
        <w:tc>
          <w:tcPr>
            <w:tcW w:type="dxa" w:w="6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Class 36</w:t>
            </w:r>
          </w:p>
        </w:tc>
      </w:tr>
      <w:tr>
        <w:tc>
          <w:tcPr>
            <w:tcW w:type="dxa" w:w="2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Specification of goods / services</w:t>
            </w:r>
          </w:p>
        </w:tc>
        <w:tc>
          <w:tcPr>
            <w:tcW w:type="dxa" w:w="65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Per Section 4.4 of this document</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Filing fee (govt)</w:t>
            </w:r>
          </w:p>
        </w:tc>
        <w:tc>
          <w:tcPr>
            <w:tcW w:type="dxa" w:w="6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Per IPO Nigeria current schedule — ~₦16,749</w:t>
            </w:r>
          </w:p>
        </w:tc>
      </w:tr>
      <w:tr>
        <w:tc>
          <w:tcPr>
            <w:tcW w:type="dxa" w:w="2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Date of first use in Nigeria</w:t>
            </w:r>
          </w:p>
        </w:tc>
        <w:tc>
          <w:tcPr>
            <w:tcW w:type="dxa" w:w="65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[FILL — typically the date the name first appeared on a public surface; Beta launch date 27 April 2026 is the safe conservative answer if no prior use]</w:t>
            </w:r>
          </w:p>
        </w:tc>
      </w:tr>
    </w:tbl>
    <w:p>
      <w:pPr>
        <w:spacing w:after="80"/>
      </w:pPr>
      <w:r>
        <w:t xml:space="preserve"/>
      </w:r>
    </w:p>
    <w:p>
      <w:pPr>
        <w:pStyle w:val="Heading3"/>
        <w:spacing w:after="100" w:before="200"/>
      </w:pPr>
      <w:r>
        <w:rPr>
          <w:b/>
          <w:bCs/>
          <w:color w:val="333333"/>
          <w:sz w:val="22"/>
          <w:szCs w:val="22"/>
        </w:rPr>
        <w:t xml:space="preserve">Application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Mark</w:t>
            </w:r>
          </w:p>
        </w:tc>
        <w:tc>
          <w:tcPr>
            <w:tcW w:type="dxa" w:w="65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AGROYIELD NETWORK (word mark)</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Class</w:t>
            </w:r>
          </w:p>
        </w:tc>
        <w:tc>
          <w:tcPr>
            <w:tcW w:type="dxa" w:w="6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Class 44</w:t>
            </w:r>
          </w:p>
        </w:tc>
      </w:tr>
      <w:tr>
        <w:tc>
          <w:tcPr>
            <w:tcW w:type="dxa" w:w="2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Specification of goods / services</w:t>
            </w:r>
          </w:p>
        </w:tc>
        <w:tc>
          <w:tcPr>
            <w:tcW w:type="dxa" w:w="65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Per Section 4.5 of this document</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Filing fee (govt)</w:t>
            </w:r>
          </w:p>
        </w:tc>
        <w:tc>
          <w:tcPr>
            <w:tcW w:type="dxa" w:w="6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Per IPO Nigeria current schedule — ~₦16,749</w:t>
            </w:r>
          </w:p>
        </w:tc>
      </w:tr>
      <w:tr>
        <w:tc>
          <w:tcPr>
            <w:tcW w:type="dxa" w:w="2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Date of first use in Nigeria</w:t>
            </w:r>
          </w:p>
        </w:tc>
        <w:tc>
          <w:tcPr>
            <w:tcW w:type="dxa" w:w="65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[FILL — typically the date the name first appeared on a public surface; Beta launch date 27 April 2026 is the safe conservative answer if no prior use]</w:t>
            </w:r>
          </w:p>
        </w:tc>
      </w:tr>
    </w:tbl>
    <w:p>
      <w:pPr>
        <w:spacing w:after="80"/>
      </w:pPr>
      <w:r>
        <w:t xml:space="preserve"/>
      </w:r>
    </w:p>
    <w:p>
      <w:pPr>
        <w:pStyle w:val="Heading3"/>
        <w:spacing w:after="100" w:before="200"/>
      </w:pPr>
      <w:r>
        <w:rPr>
          <w:b/>
          <w:bCs/>
          <w:color w:val="333333"/>
          <w:sz w:val="22"/>
          <w:szCs w:val="22"/>
        </w:rPr>
        <w:t xml:space="preserve">Application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Mark</w:t>
            </w:r>
          </w:p>
        </w:tc>
        <w:tc>
          <w:tcPr>
            <w:tcW w:type="dxa" w:w="65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AgroYield Network device (logo)</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Class</w:t>
            </w:r>
          </w:p>
        </w:tc>
        <w:tc>
          <w:tcPr>
            <w:tcW w:type="dxa" w:w="6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Class 9</w:t>
            </w:r>
          </w:p>
        </w:tc>
      </w:tr>
      <w:tr>
        <w:tc>
          <w:tcPr>
            <w:tcW w:type="dxa" w:w="2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Specification of goods / services</w:t>
            </w:r>
          </w:p>
        </w:tc>
        <w:tc>
          <w:tcPr>
            <w:tcW w:type="dxa" w:w="65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Per Section 4.1 + colour / description from Section 5.1 of this document</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Filing fee (govt)</w:t>
            </w:r>
          </w:p>
        </w:tc>
        <w:tc>
          <w:tcPr>
            <w:tcW w:type="dxa" w:w="6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Per IPO Nigeria current schedule — ~₦16,749</w:t>
            </w:r>
          </w:p>
        </w:tc>
      </w:tr>
      <w:tr>
        <w:tc>
          <w:tcPr>
            <w:tcW w:type="dxa" w:w="2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Date of first use in Nigeria</w:t>
            </w:r>
          </w:p>
        </w:tc>
        <w:tc>
          <w:tcPr>
            <w:tcW w:type="dxa" w:w="65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[FILL — typically the date the logo first appeared on a public product surface]</w:t>
            </w:r>
          </w:p>
        </w:tc>
      </w:tr>
    </w:tbl>
    <w:p>
      <w:pPr>
        <w:spacing w:after="80"/>
      </w:pPr>
      <w:r>
        <w:t xml:space="preserve"/>
      </w:r>
    </w:p>
    <w:p>
      <w:pPr>
        <w:pStyle w:val="Heading3"/>
        <w:spacing w:after="100" w:before="200"/>
      </w:pPr>
      <w:r>
        <w:rPr>
          <w:b/>
          <w:bCs/>
          <w:color w:val="333333"/>
          <w:sz w:val="22"/>
          <w:szCs w:val="22"/>
        </w:rPr>
        <w:t xml:space="preserve">Application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Mark</w:t>
            </w:r>
          </w:p>
        </w:tc>
        <w:tc>
          <w:tcPr>
            <w:tcW w:type="dxa" w:w="65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AgroYield Network device (logo)</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Class</w:t>
            </w:r>
          </w:p>
        </w:tc>
        <w:tc>
          <w:tcPr>
            <w:tcW w:type="dxa" w:w="6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Class 42</w:t>
            </w:r>
          </w:p>
        </w:tc>
      </w:tr>
      <w:tr>
        <w:tc>
          <w:tcPr>
            <w:tcW w:type="dxa" w:w="2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Specification of goods / services</w:t>
            </w:r>
          </w:p>
        </w:tc>
        <w:tc>
          <w:tcPr>
            <w:tcW w:type="dxa" w:w="65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Per Section 4.2 + colour / description from Section 5.1 of this document</w:t>
            </w:r>
          </w:p>
        </w:tc>
      </w:tr>
      <w:tr>
        <w:tc>
          <w:tcPr>
            <w:tcW w:type="dxa" w:w="2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bCs/>
                <w:sz w:val="20"/>
                <w:szCs w:val="20"/>
              </w:rPr>
              <w:t xml:space="preserve">Filing fee (govt)</w:t>
            </w:r>
          </w:p>
        </w:tc>
        <w:tc>
          <w:tcPr>
            <w:tcW w:type="dxa" w:w="6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Per IPO Nigeria current schedule — ~₦16,749</w:t>
            </w:r>
          </w:p>
        </w:tc>
      </w:tr>
      <w:tr>
        <w:tc>
          <w:tcPr>
            <w:tcW w:type="dxa" w:w="28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b/>
                <w:bCs/>
                <w:sz w:val="20"/>
                <w:szCs w:val="20"/>
              </w:rPr>
              <w:t xml:space="preserve">Date of first use in Nigeria</w:t>
            </w:r>
          </w:p>
        </w:tc>
        <w:tc>
          <w:tcPr>
            <w:tcW w:type="dxa" w:w="65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[FILL — typically the date the logo first appeared on a public product surface]</w:t>
            </w:r>
          </w:p>
        </w:tc>
      </w:tr>
    </w:tbl>
    <w:p>
      <w:pPr>
        <w:spacing w:after="80"/>
      </w:pPr>
      <w:r>
        <w:t xml:space="preserve"/>
      </w:r>
    </w:p>
    <w:p>
      <w:r>
        <w:br w:type="page"/>
      </w:r>
    </w:p>
    <w:p>
      <w:pPr>
        <w:pStyle w:val="Heading1"/>
        <w:spacing w:after="160" w:before="320"/>
      </w:pPr>
      <w:r>
        <w:rPr>
          <w:b/>
          <w:bCs/>
          <w:color w:val="1F4E2C"/>
          <w:sz w:val="32"/>
          <w:szCs w:val="32"/>
        </w:rPr>
        <w:t xml:space="preserve">9. Common lodgement pitfalls — final checklist</w:t>
      </w:r>
    </w:p>
    <w:p>
      <w:pPr>
        <w:spacing w:after="120" w:line="300"/>
      </w:pPr>
      <w:r>
        <w:t xml:space="preserve">This is the last-chance checklist before lodgement on 26 April. Agent should confirm each item before submission.</w:t>
      </w:r>
    </w:p>
    <w:p>
      <w:pPr>
        <w:spacing w:after="80"/>
      </w:pPr>
      <w:r>
        <w:t xml:space="preserve"/>
      </w:r>
    </w:p>
    <w:p>
      <w:pPr>
        <w:pStyle w:val="ListParagraph"/>
        <w:numPr>
          <w:ilvl w:val="0"/>
          <w:numId w:val="2"/>
        </w:numPr>
        <w:spacing w:after="80" w:line="290"/>
      </w:pPr>
      <w:r>
        <w:rPr>
          <w:b/>
          <w:bCs/>
        </w:rPr>
        <w:t xml:space="preserve">Mark name rendering inconsistent across forms: </w:t>
      </w:r>
      <w:r>
        <w:t xml:space="preserve">confirm every TM-1 has the mark printed identically as "AGROYIELD NETWORK" — same spelling, same case, same spacing. A single inconsistency can produce seven non-identical marks in the register, which is a rights-weakening mistake.</w:t>
      </w:r>
    </w:p>
    <w:p>
      <w:pPr>
        <w:pStyle w:val="ListParagraph"/>
        <w:numPr>
          <w:ilvl w:val="0"/>
          <w:numId w:val="2"/>
        </w:numPr>
        <w:spacing w:after="80" w:line="290"/>
      </w:pPr>
      <w:r>
        <w:rPr>
          <w:b/>
          <w:bCs/>
        </w:rPr>
        <w:t xml:space="preserve">Applicant name mismatch with CAC: </w:t>
      </w:r>
      <w:r>
        <w:t xml:space="preserve">company names at CAC sometimes differ by punctuation (e.g., "AgroYield Network Limited" vs. "AgroYield Network Ltd"). Match the CAC certificate exactly.</w:t>
      </w:r>
    </w:p>
    <w:p>
      <w:pPr>
        <w:pStyle w:val="ListParagraph"/>
        <w:numPr>
          <w:ilvl w:val="0"/>
          <w:numId w:val="2"/>
        </w:numPr>
        <w:spacing w:after="80" w:line="290"/>
      </w:pPr>
      <w:r>
        <w:rPr>
          <w:b/>
          <w:bCs/>
        </w:rPr>
        <w:t xml:space="preserve">Specification contains Nice 12th Edition terminology: </w:t>
      </w:r>
      <w:r>
        <w:t xml:space="preserve">the 13th Edition (effective 1 January 2026) changed some accepted terms. Agent must cross-check against the current Nice list.</w:t>
      </w:r>
    </w:p>
    <w:p>
      <w:pPr>
        <w:pStyle w:val="ListParagraph"/>
        <w:numPr>
          <w:ilvl w:val="0"/>
          <w:numId w:val="2"/>
        </w:numPr>
        <w:spacing w:after="80" w:line="290"/>
      </w:pPr>
      <w:r>
        <w:rPr>
          <w:b/>
          <w:bCs/>
        </w:rPr>
        <w:t xml:space="preserve">Missing colour reservation on device marks: </w:t>
      </w:r>
      <w:r>
        <w:t xml:space="preserve">Applications 6 and 7 must explicitly claim green hex #2E7D46 and dark grey hex #1F2937 as features of the mark.</w:t>
      </w:r>
    </w:p>
    <w:p>
      <w:pPr>
        <w:pStyle w:val="ListParagraph"/>
        <w:numPr>
          <w:ilvl w:val="0"/>
          <w:numId w:val="2"/>
        </w:numPr>
        <w:spacing w:after="80" w:line="290"/>
      </w:pPr>
      <w:r>
        <w:rPr>
          <w:b/>
          <w:bCs/>
        </w:rPr>
        <w:t xml:space="preserve">Agent register code omitted from PoA: </w:t>
      </w:r>
      <w:r>
        <w:t xml:space="preserve">single most common TM-1 rejection cause. Confirm the code is on the Power of Attorney before the applicant signs.</w:t>
      </w:r>
    </w:p>
    <w:p>
      <w:pPr>
        <w:pStyle w:val="ListParagraph"/>
        <w:numPr>
          <w:ilvl w:val="0"/>
          <w:numId w:val="2"/>
        </w:numPr>
        <w:spacing w:after="80" w:line="290"/>
      </w:pPr>
      <w:r>
        <w:rPr>
          <w:b/>
          <w:bCs/>
        </w:rPr>
        <w:t xml:space="preserve">Filing fee receipt not captured: </w:t>
      </w:r>
      <w:r>
        <w:t xml:space="preserve">agent must record the Registry receipt number for each of the seven filing fees. These receipts are the evidentiary trail if any filing later goes missing from the Registry workflow.</w:t>
      </w:r>
    </w:p>
    <w:p>
      <w:pPr>
        <w:pStyle w:val="ListParagraph"/>
        <w:numPr>
          <w:ilvl w:val="0"/>
          <w:numId w:val="2"/>
        </w:numPr>
        <w:spacing w:after="80" w:line="290"/>
      </w:pPr>
      <w:r>
        <w:rPr>
          <w:b/>
          <w:bCs/>
        </w:rPr>
        <w:t xml:space="preserve">No backup applicant contact: </w:t>
      </w:r>
      <w:r>
        <w:t xml:space="preserve">Registry notifications sometimes get trapped in spam filters. Provide the agent with the founder's primary email AND phone, and agree that the agent will also relay every Registry communication in a separate client-portal channel.</w:t>
      </w:r>
    </w:p>
    <w:p>
      <w:r>
        <w:br w:type="page"/>
      </w:r>
    </w:p>
    <w:p>
      <w:pPr>
        <w:pStyle w:val="Heading1"/>
        <w:spacing w:after="160" w:before="320"/>
      </w:pPr>
      <w:r>
        <w:rPr>
          <w:b/>
          <w:bCs/>
          <w:color w:val="1F4E2C"/>
          <w:sz w:val="32"/>
          <w:szCs w:val="32"/>
        </w:rPr>
        <w:t xml:space="preserve">10. After 26 April — what happens next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CCCC" w:sz="4"/>
              <w:left w:val="single" w:color="CCCCCC" w:sz="4"/>
              <w:bottom w:val="single" w:color="CCCCCC" w:sz="4"/>
              <w:right w:val="single" w:color="CCCCCC" w:sz="4"/>
            </w:tcBorders>
            <w:shd w:fill="D5E8D8" w:val="clear"/>
            <w:tcMar>
              <w:top w:type="dxa" w:w="100"/>
              <w:left w:type="dxa" w:w="140"/>
              <w:bottom w:type="dxa" w:w="100"/>
              <w:right w:type="dxa" w:w="140"/>
            </w:tcMar>
          </w:tcPr>
          <w:p>
            <w:r>
              <w:rPr>
                <w:b/>
                <w:bCs/>
                <w:sz w:val="20"/>
                <w:szCs w:val="20"/>
              </w:rPr>
              <w:t xml:space="preserve">Timeframe</w:t>
            </w:r>
          </w:p>
        </w:tc>
        <w:tc>
          <w:tcPr>
            <w:tcW w:type="dxa" w:w="2600"/>
            <w:tcBorders>
              <w:top w:val="single" w:color="CCCCCC" w:sz="4"/>
              <w:left w:val="single" w:color="CCCCCC" w:sz="4"/>
              <w:bottom w:val="single" w:color="CCCCCC" w:sz="4"/>
              <w:right w:val="single" w:color="CCCCCC" w:sz="4"/>
            </w:tcBorders>
            <w:shd w:fill="D5E8D8" w:val="clear"/>
            <w:tcMar>
              <w:top w:type="dxa" w:w="100"/>
              <w:left w:type="dxa" w:w="140"/>
              <w:bottom w:type="dxa" w:w="100"/>
              <w:right w:type="dxa" w:w="140"/>
            </w:tcMar>
          </w:tcPr>
          <w:p>
            <w:r>
              <w:rPr>
                <w:b/>
                <w:bCs/>
                <w:sz w:val="20"/>
                <w:szCs w:val="20"/>
              </w:rPr>
              <w:t xml:space="preserve">Event</w:t>
            </w:r>
          </w:p>
        </w:tc>
        <w:tc>
          <w:tcPr>
            <w:tcW w:type="dxa" w:w="4560"/>
            <w:tcBorders>
              <w:top w:val="single" w:color="CCCCCC" w:sz="4"/>
              <w:left w:val="single" w:color="CCCCCC" w:sz="4"/>
              <w:bottom w:val="single" w:color="CCCCCC" w:sz="4"/>
              <w:right w:val="single" w:color="CCCCCC" w:sz="4"/>
            </w:tcBorders>
            <w:shd w:fill="D5E8D8" w:val="clear"/>
            <w:tcMar>
              <w:top w:type="dxa" w:w="100"/>
              <w:left w:type="dxa" w:w="140"/>
              <w:bottom w:type="dxa" w:w="100"/>
              <w:right w:type="dxa" w:w="140"/>
            </w:tcMar>
          </w:tcPr>
          <w:p>
            <w:r>
              <w:rPr>
                <w:b/>
                <w:bCs/>
                <w:sz w:val="20"/>
                <w:szCs w:val="20"/>
              </w:rPr>
              <w:t xml:space="preserve">Action required</w:t>
            </w:r>
          </w:p>
        </w:tc>
      </w:tr>
      <w:tr>
        <w:tc>
          <w:tcPr>
            <w:tcW w:type="dxa" w:w="22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Week 1 post-filing</w:t>
            </w:r>
          </w:p>
        </w:tc>
        <w:tc>
          <w:tcPr>
            <w:tcW w:type="dxa" w:w="26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Receipts issued</w:t>
            </w:r>
          </w:p>
        </w:tc>
        <w:tc>
          <w:tcPr>
            <w:tcW w:type="dxa" w:w="45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Agent forwards filing receipts; applicant saves in company IP folder</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~2 weeks post-filing</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Acknowledgement letters issued</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Agent forwards seven acknowledgement letters; applicant stores</w:t>
            </w:r>
          </w:p>
        </w:tc>
      </w:tr>
      <w:tr>
        <w:tc>
          <w:tcPr>
            <w:tcW w:type="dxa" w:w="22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Marketing surfaces</w:t>
            </w:r>
          </w:p>
        </w:tc>
        <w:tc>
          <w:tcPr>
            <w:tcW w:type="dxa" w:w="26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TM notation usable immediately</w:t>
            </w:r>
          </w:p>
        </w:tc>
        <w:tc>
          <w:tcPr>
            <w:tcW w:type="dxa" w:w="45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Website, app, printed matter may now carry the "TM" notation for the filed marks. Do NOT use "®" — that is only permitted post-certificate</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4 – 8 months</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Examination outcome</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Agent handles any office actions; notify applicant of substantive issues and cost of response</w:t>
            </w:r>
          </w:p>
        </w:tc>
      </w:tr>
      <w:tr>
        <w:tc>
          <w:tcPr>
            <w:tcW w:type="dxa" w:w="22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9 – 12 months</w:t>
            </w:r>
          </w:p>
        </w:tc>
        <w:tc>
          <w:tcPr>
            <w:tcW w:type="dxa" w:w="26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Publication in Trademark Journal</w:t>
            </w:r>
          </w:p>
        </w:tc>
        <w:tc>
          <w:tcPr>
            <w:tcW w:type="dxa" w:w="45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Agent confirms publication; 2-month opposition window begins</w:t>
            </w:r>
          </w:p>
        </w:tc>
      </w:tr>
      <w:tr>
        <w:tc>
          <w:tcPr>
            <w:tcW w:type="dxa" w:w="2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11 – 14 months</w:t>
            </w:r>
          </w:p>
        </w:tc>
        <w:tc>
          <w:tcPr>
            <w:tcW w:type="dxa" w:w="26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Opposition window closes</w:t>
            </w:r>
          </w:p>
        </w:tc>
        <w:tc>
          <w:tcPr>
            <w:tcW w:type="dxa" w:w="45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sz w:val="20"/>
                <w:szCs w:val="20"/>
              </w:rPr>
              <w:t xml:space="preserve">If unopposed, agent pays certificate-issuance fees</w:t>
            </w:r>
          </w:p>
        </w:tc>
      </w:tr>
      <w:tr>
        <w:tc>
          <w:tcPr>
            <w:tcW w:type="dxa" w:w="22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12 – 24 months</w:t>
            </w:r>
          </w:p>
        </w:tc>
        <w:tc>
          <w:tcPr>
            <w:tcW w:type="dxa" w:w="260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Certificate of Registration</w:t>
            </w:r>
          </w:p>
        </w:tc>
        <w:tc>
          <w:tcPr>
            <w:tcW w:type="dxa" w:w="4560"/>
            <w:tcBorders>
              <w:top w:val="single" w:color="CCCCCC" w:sz="4"/>
              <w:left w:val="single" w:color="CCCCCC" w:sz="4"/>
              <w:bottom w:val="single" w:color="CCCCCC" w:sz="4"/>
              <w:right w:val="single" w:color="CCCCCC" w:sz="4"/>
            </w:tcBorders>
            <w:shd w:fill="F4F7F1" w:val="clear"/>
            <w:tcMar>
              <w:top w:type="dxa" w:w="100"/>
              <w:left w:type="dxa" w:w="140"/>
              <w:bottom w:type="dxa" w:w="100"/>
              <w:right w:type="dxa" w:w="140"/>
            </w:tcMar>
          </w:tcPr>
          <w:p>
            <w:r>
              <w:rPr>
                <w:sz w:val="20"/>
                <w:szCs w:val="20"/>
              </w:rPr>
              <w:t xml:space="preserve">Applicant receives certificates; "®" symbol now permissible; renewal diary set for filing-date + 7 years</w:t>
            </w:r>
          </w:p>
        </w:tc>
      </w:tr>
    </w:tbl>
    <w:p>
      <w:pPr>
        <w:spacing w:after="80"/>
      </w:pPr>
      <w:r>
        <w:t xml:space="preserve"/>
      </w:r>
    </w:p>
    <w:p>
      <w:pPr>
        <w:pStyle w:val="Heading3"/>
        <w:spacing w:after="100" w:before="200"/>
      </w:pPr>
      <w:r>
        <w:rPr>
          <w:b/>
          <w:bCs/>
          <w:color w:val="333333"/>
          <w:sz w:val="22"/>
          <w:szCs w:val="22"/>
        </w:rPr>
        <w:t xml:space="preserve">Ongoing obligations</w:t>
      </w:r>
    </w:p>
    <w:p>
      <w:pPr>
        <w:pStyle w:val="ListParagraph"/>
        <w:numPr>
          <w:ilvl w:val="0"/>
          <w:numId w:val="2"/>
        </w:numPr>
        <w:spacing w:after="80" w:line="290"/>
      </w:pPr>
      <w:r>
        <w:t xml:space="preserve">Maintain a use log — dates and screenshots of the mark in commerce for each class. This is the first line of defence against any future non-use revocation action.</w:t>
      </w:r>
    </w:p>
    <w:p>
      <w:pPr>
        <w:pStyle w:val="ListParagraph"/>
        <w:numPr>
          <w:ilvl w:val="0"/>
          <w:numId w:val="2"/>
        </w:numPr>
        <w:spacing w:after="80" w:line="290"/>
      </w:pPr>
      <w:r>
        <w:t xml:space="preserve">Monitor the Trademark Journal monthly during the 11-14 month publication window for any opposition filings.</w:t>
      </w:r>
    </w:p>
    <w:p>
      <w:pPr>
        <w:pStyle w:val="ListParagraph"/>
        <w:numPr>
          <w:ilvl w:val="0"/>
          <w:numId w:val="2"/>
        </w:numPr>
        <w:spacing w:after="80" w:line="290"/>
      </w:pPr>
      <w:r>
        <w:t xml:space="preserve">Diary renewal at filing date + 7 years. Subsequent renewals every 14 years. Calendar both now while context is fresh.</w:t>
      </w:r>
    </w:p>
    <w:p>
      <w:pPr>
        <w:pStyle w:val="ListParagraph"/>
        <w:numPr>
          <w:ilvl w:val="0"/>
          <w:numId w:val="2"/>
        </w:numPr>
        <w:spacing w:after="80" w:line="290"/>
      </w:pPr>
      <w:r>
        <w:t xml:space="preserve">Notify the agent of any material change to the applicant entity (name change, merger, address change) so the Registry record stays current.</w:t>
      </w:r>
    </w:p>
    <w:p>
      <w:r>
        <w:br w:type="page"/>
      </w:r>
    </w:p>
    <w:p>
      <w:pPr>
        <w:pStyle w:val="Heading1"/>
        <w:spacing w:after="160" w:before="320"/>
      </w:pPr>
      <w:r>
        <w:rPr>
          <w:b/>
          <w:bCs/>
          <w:color w:val="1F4E2C"/>
          <w:sz w:val="32"/>
          <w:szCs w:val="32"/>
        </w:rPr>
        <w:t xml:space="preserve">Closing — what signing this package off gets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E7F5E7" w:val="clear"/>
            <w:tcMar>
              <w:top w:type="dxa" w:w="160"/>
              <w:left w:type="dxa" w:w="200"/>
              <w:bottom w:type="dxa" w:w="160"/>
              <w:right w:type="dxa" w:w="200"/>
            </w:tcMar>
          </w:tcPr>
          <w:p>
            <w:pPr>
              <w:spacing w:after="80"/>
            </w:pPr>
            <w:r>
              <w:rPr>
                <w:b/>
                <w:bCs/>
                <w:sz w:val="22"/>
                <w:szCs w:val="22"/>
              </w:rPr>
              <w:t xml:space="preserve">On 26 April 2026, before Beta launch:</w:t>
            </w:r>
          </w:p>
          <w:p>
            <w:pPr>
              <w:spacing w:after="60" w:line="290"/>
            </w:pPr>
            <w:r>
              <w:rPr>
                <w:sz w:val="20"/>
                <w:szCs w:val="20"/>
              </w:rPr>
              <w:t xml:space="preserve">• Seven priority dates locked at the Nigerian Trademark Registry.</w:t>
            </w:r>
          </w:p>
          <w:p>
            <w:pPr>
              <w:spacing w:after="60" w:line="290"/>
            </w:pPr>
            <w:r>
              <w:rPr>
                <w:sz w:val="20"/>
                <w:szCs w:val="20"/>
              </w:rPr>
              <w:t xml:space="preserve">• "AGROYIELD NETWORK" word mark filed across Classes 9, 35, 36, 42, and 44.</w:t>
            </w:r>
          </w:p>
          <w:p>
            <w:pPr>
              <w:spacing w:after="60" w:line="290"/>
            </w:pPr>
            <w:r>
              <w:rPr>
                <w:sz w:val="20"/>
                <w:szCs w:val="20"/>
              </w:rPr>
              <w:t xml:space="preserve">• AgroYield Network device mark filed in Classes 9 and 42.</w:t>
            </w:r>
          </w:p>
          <w:p>
            <w:pPr>
              <w:spacing w:after="60" w:line="290"/>
            </w:pPr>
            <w:r>
              <w:rPr>
                <w:sz w:val="20"/>
                <w:szCs w:val="20"/>
              </w:rPr>
              <w:t xml:space="preserve">• A single accredited agent of record handling the prosecution from filing through certificate issuance.</w:t>
            </w:r>
          </w:p>
          <w:p>
            <w:pPr>
              <w:spacing w:after="60" w:line="290"/>
            </w:pPr>
            <w:r>
              <w:rPr>
                <w:sz w:val="20"/>
                <w:szCs w:val="20"/>
              </w:rPr>
              <w:t xml:space="preserve">• A documented diligence trail — the three deliverables in this programme — that investors, acquirers, or future rebrand advisors can read to understand exactly why and how this was done.</w:t>
            </w:r>
          </w:p>
          <w:p>
            <w:pPr>
              <w:spacing w:after="60" w:line="290"/>
            </w:pPr>
            <w:r>
              <w:rPr>
                <w:sz w:val="20"/>
                <w:szCs w:val="20"/>
              </w:rPr>
              <w:t xml:space="preserve"/>
            </w:r>
          </w:p>
          <w:p>
            <w:pPr>
              <w:spacing w:after="60" w:line="290"/>
            </w:pPr>
            <w:r>
              <w:rPr>
                <w:sz w:val="20"/>
                <w:szCs w:val="20"/>
              </w:rPr>
              <w:t xml:space="preserve">The certificates will arrive between April 2027 and April 2028. Legal rights begin today, on the filing date.</w:t>
            </w:r>
          </w:p>
        </w:tc>
      </w:tr>
    </w:tbl>
    <w:p>
      <w:pPr>
        <w:spacing w:after="80"/>
      </w:pPr>
      <w:r>
        <w:t xml:space="preserve"/>
      </w:r>
    </w:p>
    <w:p>
      <w:pPr>
        <w:spacing w:after="120" w:line="300"/>
      </w:pPr>
      <w:r>
        <w:rPr>
          <w:b/>
          <w:bCs/>
        </w:rPr>
        <w:t xml:space="preserve">This concludes the three-deliverable pre-Beta trademark programme. </w:t>
      </w:r>
      <w:r>
        <w:t xml:space="preserve">Deliverable 1 set the strategy, Deliverable 2 enables agent selection, and Deliverable 3 — this document — is what the agent executes on our behalf. Good luck on Monday.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6"/>
        <w:szCs w:val="16"/>
      </w:rPr>
      <w:t xml:space="preserve">Prepared 21 April 2026</w:t>
    </w:r>
    <w:r>
      <w:rPr>
        <w:color w:val="888888"/>
        <w:sz w:val="16"/>
        <w:szCs w:val="16"/>
      </w:rPr>
      <w:t xml:space="preserve">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AgroYield Network — Trademark Deliverable 3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4E2C"/>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2E7D46"/>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AgroYield Network — Trademark Application Package</dc:title>
  <dc:creator>AgroYield Network</dc:creator>
  <dc:description>Deliverable 3 of 3 in the pre-Beta trademark registration programme</dc:description>
  <cp:lastModifiedBy>Un-named</cp:lastModifiedBy>
  <cp:revision>1</cp:revision>
  <dcterms:created xsi:type="dcterms:W3CDTF">2026-04-21T07:08:50.341Z</dcterms:created>
  <dcterms:modified xsi:type="dcterms:W3CDTF">2026-04-21T07:08:50.341Z</dcterms:modified>
</cp:coreProperties>
</file>

<file path=docProps/custom.xml><?xml version="1.0" encoding="utf-8"?>
<Properties xmlns="http://schemas.openxmlformats.org/officeDocument/2006/custom-properties" xmlns:vt="http://schemas.openxmlformats.org/officeDocument/2006/docPropsVTypes"/>
</file>