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4E2C"/>
          <w:sz w:val="32"/>
          <w:szCs w:val="32"/>
        </w:rPr>
        <w:t xml:space="preserve">AGROYIELD NETWORK</w:t>
      </w:r>
    </w:p>
    <w:p>
      <w:pPr>
        <w:spacing w:after="40"/>
        <w:jc w:val="left"/>
      </w:pPr>
      <w:r>
        <w:rPr>
          <w:i/>
          <w:iCs/>
          <w:color w:val="555555"/>
          <w:sz w:val="18"/>
          <w:szCs w:val="18"/>
        </w:rPr>
        <w:t xml:space="preserve">Digital agricultural commerce platform</w:t>
      </w:r>
    </w:p>
    <w:p>
      <w:pPr>
        <w:spacing w:after="120"/>
        <w:jc w:val="left"/>
      </w:pPr>
      <w:r>
        <w:rPr>
          <w:color w:val="555555"/>
          <w:sz w:val="18"/>
          <w:szCs w:val="18"/>
        </w:rPr>
        <w:t xml:space="preserve">Lagos, Nigeria  ·  okolichijiokei@gmail.com</w:t>
      </w:r>
    </w:p>
    <w:p>
      <w:pPr>
        <w:pBdr>
          <w:bottom w:val="single" w:color="2E7D46" w:sz="8" w:space="1"/>
        </w:pBdr>
        <w:spacing w:after="260"/>
        <w:jc w:val="left"/>
      </w:pPr>
      <w:r>
        <w:t xml:space="preserve"/>
      </w:r>
    </w:p>
    <w:p>
      <w:pPr>
        <w:spacing w:after="160" w:before="0" w:line="300"/>
      </w:pPr>
      <w:r>
        <w:t xml:space="preserve">21 April 2026</w:t>
      </w:r>
    </w:p>
    <w:p>
      <w:pPr>
        <w:spacing w:after="40"/>
      </w:pPr>
      <w:r>
        <w:t xml:space="preserve"/>
      </w:r>
    </w:p>
    <w:p>
      <w:pPr>
        <w:spacing w:after="160" w:before="0" w:line="300"/>
      </w:pPr>
      <w:r>
        <w:rPr>
          <w:b/>
          <w:bCs/>
          <w:color w:val="B00020"/>
        </w:rPr>
        <w:t xml:space="preserve">[Firm Name]</w:t>
      </w:r>
    </w:p>
    <w:p>
      <w:pPr>
        <w:spacing w:after="160" w:before="0" w:line="300"/>
      </w:pPr>
      <w:r>
        <w:rPr>
          <w:b/>
          <w:bCs/>
          <w:color w:val="B00020"/>
        </w:rPr>
        <w:t xml:space="preserve">[Attention: Partner Name, Head of Intellectual Property practice]</w:t>
      </w:r>
    </w:p>
    <w:p>
      <w:pPr>
        <w:spacing w:after="160" w:before="0" w:line="300"/>
      </w:pPr>
      <w:r>
        <w:rPr>
          <w:b/>
          <w:bCs/>
          <w:color w:val="B00020"/>
        </w:rPr>
        <w:t xml:space="preserve">[Firm Address Line 1]</w:t>
      </w:r>
    </w:p>
    <w:p>
      <w:pPr>
        <w:spacing w:after="160" w:before="0" w:line="300"/>
      </w:pPr>
      <w:r>
        <w:rPr>
          <w:b/>
          <w:bCs/>
          <w:color w:val="B00020"/>
        </w:rPr>
        <w:t xml:space="preserve">[City, State, Nigeria]</w:t>
      </w:r>
    </w:p>
    <w:p>
      <w:pPr>
        <w:spacing w:after="160"/>
      </w:pPr>
      <w:r>
        <w:t xml:space="preserve"/>
      </w:r>
    </w:p>
    <w:p>
      <w:pPr>
        <w:spacing w:after="160" w:before="0" w:line="300"/>
      </w:pPr>
      <w:r>
        <w:rPr>
          <w:b/>
          <w:bCs/>
        </w:rPr>
        <w:t xml:space="preserve">Subject: </w:t>
      </w:r>
      <w:r>
        <w:rPr>
          <w:b/>
          <w:bCs/>
        </w:rPr>
        <w:t xml:space="preserve">Letter of Intent — Trademark prosecution mandate for AgroYield Network (seven applications; target filing 26 April 2026)</w:t>
      </w:r>
    </w:p>
    <w:p>
      <w:pPr>
        <w:spacing w:after="160"/>
      </w:pPr>
      <w:r>
        <w:t xml:space="preserve"/>
      </w:r>
    </w:p>
    <w:p>
      <w:pPr>
        <w:spacing w:after="160" w:before="0" w:line="300"/>
      </w:pPr>
      <w:r>
        <w:rPr>
          <w:b/>
          <w:bCs/>
          <w:color w:val="B00020"/>
        </w:rPr>
        <w:t xml:space="preserve">Dear [Partner Name]</w:t>
      </w:r>
      <w:r>
        <w:t xml:space="preserve">,</w:t>
      </w:r>
    </w:p>
    <w:p>
      <w:pPr>
        <w:spacing w:after="80"/>
      </w:pPr>
      <w:r>
        <w:t xml:space="preserve"/>
      </w:r>
    </w:p>
    <w:p>
      <w:pPr>
        <w:spacing w:after="160" w:before="0" w:line="300"/>
      </w:pPr>
      <w:r>
        <w:t xml:space="preserve">This Letter of Intent (the "LOI") sets out the scope, timeline, and commercial expectations for the prospective engagement of </w:t>
      </w:r>
      <w:r>
        <w:rPr>
          <w:b/>
          <w:bCs/>
          <w:color w:val="B00020"/>
        </w:rPr>
        <w:t xml:space="preserve">[Firm Name]</w:t>
      </w:r>
      <w:r>
        <w:t xml:space="preserve"> (the "Firm") by AgroYield Network (the "Applicant") as accredited trademark agent for the prosecution of seven trademark applications before the Trademarks, Patents and Designs Registry of Nigeria.</w:t>
      </w:r>
    </w:p>
    <w:p>
      <w:pPr>
        <w:spacing w:after="160" w:before="0" w:line="300"/>
      </w:pPr>
      <w:r>
        <w:t xml:space="preserve">This LOI is non-binding in its commercial terms and is intended to form the basis of a formal engagement letter, which once executed by both parties will supersede this LOI. The confidentiality provisions in Section 9 are, however, binding from the date of signature.</w:t>
      </w:r>
    </w:p>
    <w:p>
      <w:pPr>
        <w:pStyle w:val="Heading1"/>
        <w:spacing w:after="140" w:before="280"/>
      </w:pPr>
      <w:r>
        <w:rPr>
          <w:b/>
          <w:bCs/>
          <w:color w:val="1F4E2C"/>
          <w:sz w:val="26"/>
          <w:szCs w:val="26"/>
        </w:rPr>
        <w:t xml:space="preserve">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Applicant</w:t>
            </w:r>
          </w:p>
        </w:tc>
        <w:tc>
          <w:tcPr>
            <w:tcW w:type="dxa" w:w="6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pPr>
              <w:spacing w:after="40"/>
            </w:pPr>
            <w:r>
              <w:rPr>
                <w:b/>
                <w:bCs/>
                <w:sz w:val="20"/>
                <w:szCs w:val="20"/>
              </w:rPr>
              <w:t xml:space="preserve">AgroYield Network</w:t>
            </w:r>
          </w:p>
          <w:p>
            <w:pPr>
              <w:spacing w:after="40"/>
            </w:pPr>
            <w:r>
              <w:rPr>
                <w:b/>
                <w:bCs/>
                <w:color w:val="B00020"/>
              </w:rPr>
              <w:t xml:space="preserve">[Legal name to be confirmed — corporate entity if CAC-registered; individual applicant otherwise]</w:t>
            </w:r>
          </w:p>
          <w:p>
            <w:pPr>
              <w:spacing w:after="40"/>
            </w:pPr>
            <w:r>
              <w:rPr>
                <w:sz w:val="20"/>
                <w:szCs w:val="20"/>
              </w:rPr>
              <w:t xml:space="preserve">Represented by: Okoli Chijioke, Founder</w:t>
            </w:r>
          </w:p>
          <w:p>
            <w:pPr>
              <w:spacing w:after="40"/>
            </w:pPr>
            <w:r>
              <w:rPr>
                <w:sz w:val="20"/>
                <w:szCs w:val="20"/>
              </w:rPr>
              <w:t xml:space="preserve">Email: okolichijiokei@gmail.com</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Firm</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bCs/>
                <w:color w:val="B00020"/>
              </w:rPr>
              <w:t xml:space="preserve">[Firm Name]</w:t>
            </w:r>
          </w:p>
          <w:p>
            <w:pPr>
              <w:spacing w:after="40"/>
            </w:pPr>
            <w:r>
              <w:rPr>
                <w:b/>
                <w:bCs/>
                <w:color w:val="B00020"/>
              </w:rPr>
              <w:t xml:space="preserve">[Firm Address]</w:t>
            </w:r>
          </w:p>
          <w:p>
            <w:pPr>
              <w:spacing w:after="40"/>
            </w:pPr>
            <w:r>
              <w:rPr>
                <w:sz w:val="20"/>
                <w:szCs w:val="20"/>
              </w:rPr>
              <w:t xml:space="preserve">Represented by: </w:t>
            </w:r>
            <w:r>
              <w:rPr>
                <w:b/>
                <w:bCs/>
                <w:color w:val="B00020"/>
              </w:rPr>
              <w:t xml:space="preserve">[Partner Name, title]</w:t>
            </w:r>
          </w:p>
          <w:p>
            <w:pPr>
              <w:spacing w:after="40"/>
            </w:pPr>
            <w:r>
              <w:rPr>
                <w:sz w:val="20"/>
                <w:szCs w:val="20"/>
              </w:rPr>
              <w:t xml:space="preserve">Accredited Trademark Agent Register Code: </w:t>
            </w:r>
            <w:r>
              <w:rPr>
                <w:b/>
                <w:bCs/>
                <w:color w:val="B00020"/>
              </w:rPr>
              <w:t xml:space="preserve">[to be confirmed by Firm]</w:t>
            </w:r>
          </w:p>
        </w:tc>
      </w:tr>
    </w:tbl>
    <w:p>
      <w:pPr>
        <w:pStyle w:val="Heading1"/>
        <w:spacing w:after="140" w:before="280"/>
      </w:pPr>
      <w:r>
        <w:rPr>
          <w:b/>
          <w:bCs/>
          <w:color w:val="1F4E2C"/>
          <w:sz w:val="26"/>
          <w:szCs w:val="26"/>
        </w:rPr>
        <w:t xml:space="preserve">2. Purpose and strategic context</w:t>
      </w:r>
    </w:p>
    <w:p>
      <w:pPr>
        <w:spacing w:after="160" w:before="0" w:line="300"/>
      </w:pPr>
      <w:r>
        <w:t xml:space="preserve">The Applicant is a Nigerian digital agricultural commerce platform launching a public Beta on 27 April 2026. The Applicant intends to secure trademark rights over its brand — "AgroYield Network" — in all Nice Classification classes relevant to its current and near-term product surface, prior to the public launch.</w:t>
      </w:r>
    </w:p>
    <w:p>
      <w:pPr>
        <w:spacing w:after="160" w:before="0" w:line="300"/>
      </w:pPr>
      <w:r>
        <w:t xml:space="preserve">The purpose of this engagement is to capture the filing-date priority for all seven trademark applications on or before Monday 26 April 2026. Capturing the priority date in advance of launch is the core commercial objective of this engagement; commercial terms and milestones are structured around that objective.</w:t>
      </w:r>
    </w:p>
    <w:p>
      <w:pPr>
        <w:pStyle w:val="Heading1"/>
        <w:spacing w:after="140" w:before="280"/>
      </w:pPr>
      <w:r>
        <w:rPr>
          <w:b/>
          <w:bCs/>
          <w:color w:val="1F4E2C"/>
          <w:sz w:val="26"/>
          <w:szCs w:val="26"/>
        </w:rPr>
        <w:t xml:space="preserve">3. Scope of work</w:t>
      </w:r>
    </w:p>
    <w:p>
      <w:pPr>
        <w:spacing w:after="160" w:before="0" w:line="300"/>
      </w:pPr>
      <w:r>
        <w:t xml:space="preserve">The Firm is engaged to perform the following trademark prosecution services:</w:t>
      </w:r>
    </w:p>
    <w:p>
      <w:pPr>
        <w:pStyle w:val="Heading2"/>
        <w:spacing w:after="100" w:before="220"/>
      </w:pPr>
      <w:r>
        <w:rPr>
          <w:b/>
          <w:bCs/>
          <w:color w:val="2E7D46"/>
          <w:sz w:val="22"/>
          <w:szCs w:val="22"/>
        </w:rPr>
        <w:t xml:space="preserve">3.1  Seven trademark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4760"/>
      </w:tblGrid>
      <w:tr>
        <w:trPr>
          <w:tblHeader/>
        </w:trPr>
        <w:tc>
          <w:tcPr>
            <w:tcW w:type="dxa" w:w="8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App #</w:t>
            </w:r>
          </w:p>
        </w:tc>
        <w:tc>
          <w:tcPr>
            <w:tcW w:type="dxa" w:w="24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Mark</w:t>
            </w:r>
          </w:p>
        </w:tc>
        <w:tc>
          <w:tcPr>
            <w:tcW w:type="dxa" w:w="14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Nice Class</w:t>
            </w:r>
          </w:p>
        </w:tc>
        <w:tc>
          <w:tcPr>
            <w:tcW w:type="dxa" w:w="47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Scope summary</w:t>
            </w:r>
          </w:p>
        </w:tc>
      </w:tr>
      <w:tr>
        <w:tc>
          <w:tcPr>
            <w:tcW w:type="dxa" w:w="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1</w:t>
            </w:r>
          </w:p>
        </w:tc>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AGROYIELD NETWORK (word mark)</w:t>
            </w:r>
          </w:p>
        </w:tc>
        <w:tc>
          <w:tcPr>
            <w:tcW w:type="dxa" w:w="1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Class 9</w:t>
            </w:r>
          </w:p>
        </w:tc>
        <w:tc>
          <w:tcPr>
            <w:tcW w:type="dxa" w:w="4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Downloadable software / mobile applications / platforms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AGROYIELD NETWORK (word mark)</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Class 42</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SaaS / PaaS / software hosting / technology services</w:t>
            </w:r>
          </w:p>
        </w:tc>
      </w:tr>
      <w:tr>
        <w:tc>
          <w:tcPr>
            <w:tcW w:type="dxa" w:w="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3</w:t>
            </w:r>
          </w:p>
        </w:tc>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AGROYIELD NETWORK (word mark)</w:t>
            </w:r>
          </w:p>
        </w:tc>
        <w:tc>
          <w:tcPr>
            <w:tcW w:type="dxa" w:w="1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Class 35</w:t>
            </w:r>
          </w:p>
        </w:tc>
        <w:tc>
          <w:tcPr>
            <w:tcW w:type="dxa" w:w="4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Online marketplace / commercial intermediation / advertising</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AGROYIELD NETWORK (word mark)</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Class 36</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Financial services / credit scoring / payment processing</w:t>
            </w:r>
          </w:p>
        </w:tc>
      </w:tr>
      <w:tr>
        <w:tc>
          <w:tcPr>
            <w:tcW w:type="dxa" w:w="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5</w:t>
            </w:r>
          </w:p>
        </w:tc>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AGROYIELD NETWORK (word mark)</w:t>
            </w:r>
          </w:p>
        </w:tc>
        <w:tc>
          <w:tcPr>
            <w:tcW w:type="dxa" w:w="1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Class 44</w:t>
            </w:r>
          </w:p>
        </w:tc>
        <w:tc>
          <w:tcPr>
            <w:tcW w:type="dxa" w:w="4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Agricultural / agronomy services and information</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AgroYield Network logo (device mark)</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Class 9</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As Application 1, with colour-claimed device</w:t>
            </w:r>
          </w:p>
        </w:tc>
      </w:tr>
      <w:tr>
        <w:tc>
          <w:tcPr>
            <w:tcW w:type="dxa" w:w="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7</w:t>
            </w:r>
          </w:p>
        </w:tc>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AgroYield Network logo (device mark)</w:t>
            </w:r>
          </w:p>
        </w:tc>
        <w:tc>
          <w:tcPr>
            <w:tcW w:type="dxa" w:w="1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Class 42</w:t>
            </w:r>
          </w:p>
        </w:tc>
        <w:tc>
          <w:tcPr>
            <w:tcW w:type="dxa" w:w="4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As Application 2, with colour-claimed device</w:t>
            </w:r>
          </w:p>
        </w:tc>
      </w:tr>
    </w:tbl>
    <w:p>
      <w:pPr>
        <w:spacing w:after="80"/>
      </w:pPr>
      <w:r>
        <w:t xml:space="preserve"/>
      </w:r>
    </w:p>
    <w:p>
      <w:pPr>
        <w:spacing w:after="160" w:before="0" w:line="300"/>
      </w:pPr>
      <w:r>
        <w:t xml:space="preserve">Full specifications of goods / services per class, drafted in Nice 13th Edition terminology, are supplied by the Applicant in a separate Application Package document; the Firm will review and, where necessary, propose narrowing language to the Applicant before lodgement.</w:t>
      </w:r>
    </w:p>
    <w:p>
      <w:pPr>
        <w:pStyle w:val="Heading2"/>
        <w:spacing w:after="100" w:before="220"/>
      </w:pPr>
      <w:r>
        <w:rPr>
          <w:b/>
          <w:bCs/>
          <w:color w:val="2E7D46"/>
          <w:sz w:val="22"/>
          <w:szCs w:val="22"/>
        </w:rPr>
        <w:t xml:space="preserve">3.2  Services to be rendered by the Firm</w:t>
      </w:r>
    </w:p>
    <w:p>
      <w:pPr>
        <w:pStyle w:val="ListParagraph"/>
        <w:numPr>
          <w:ilvl w:val="0"/>
          <w:numId w:val="2"/>
        </w:numPr>
        <w:spacing w:after="80" w:line="290"/>
      </w:pPr>
      <w:r>
        <w:t xml:space="preserve">Availability search across the Trademarks Registry in all seven target class-mark combinations, with a written clearance opinion per class.</w:t>
      </w:r>
    </w:p>
    <w:p>
      <w:pPr>
        <w:pStyle w:val="ListParagraph"/>
        <w:numPr>
          <w:ilvl w:val="0"/>
          <w:numId w:val="2"/>
        </w:numPr>
        <w:spacing w:after="80" w:line="290"/>
      </w:pPr>
      <w:r>
        <w:t xml:space="preserve">Preparation and filing of Form TM-1 for each of the seven applications.</w:t>
      </w:r>
    </w:p>
    <w:p>
      <w:pPr>
        <w:pStyle w:val="ListParagraph"/>
        <w:numPr>
          <w:ilvl w:val="0"/>
          <w:numId w:val="2"/>
        </w:numPr>
        <w:spacing w:after="80" w:line="290"/>
      </w:pPr>
      <w:r>
        <w:t xml:space="preserve">Execution of Form TM-1A (Power of Attorney) authorising the Firm to act for the Applicant.</w:t>
      </w:r>
    </w:p>
    <w:p>
      <w:pPr>
        <w:pStyle w:val="ListParagraph"/>
        <w:numPr>
          <w:ilvl w:val="0"/>
          <w:numId w:val="2"/>
        </w:numPr>
        <w:spacing w:after="80" w:line="290"/>
      </w:pPr>
      <w:r>
        <w:t xml:space="preserve">Electronic lodgement through the IPO Nigeria portal (iponigeria.com / portal.iponigeria.com) and physical lodgement at the Registry where required.</w:t>
      </w:r>
    </w:p>
    <w:p>
      <w:pPr>
        <w:pStyle w:val="ListParagraph"/>
        <w:numPr>
          <w:ilvl w:val="0"/>
          <w:numId w:val="2"/>
        </w:numPr>
        <w:spacing w:after="80" w:line="290"/>
      </w:pPr>
      <w:r>
        <w:t xml:space="preserve">Collection and forwarding of official filing receipts and acknowledgement letters.</w:t>
      </w:r>
    </w:p>
    <w:p>
      <w:pPr>
        <w:pStyle w:val="ListParagraph"/>
        <w:numPr>
          <w:ilvl w:val="0"/>
          <w:numId w:val="2"/>
        </w:numPr>
        <w:spacing w:after="80" w:line="290"/>
      </w:pPr>
      <w:r>
        <w:t xml:space="preserve">Monitoring and tracking of examination progress; drafting and lodgement of responses to office actions within statutory deadlines.</w:t>
      </w:r>
    </w:p>
    <w:p>
      <w:pPr>
        <w:pStyle w:val="ListParagraph"/>
        <w:numPr>
          <w:ilvl w:val="0"/>
          <w:numId w:val="2"/>
        </w:numPr>
        <w:spacing w:after="80" w:line="290"/>
      </w:pPr>
      <w:r>
        <w:t xml:space="preserve">Monitoring of publication in the Nigerian Trademark Journal; management of the two-month opposition window, including defence of any opposition that may be filed.</w:t>
      </w:r>
    </w:p>
    <w:p>
      <w:pPr>
        <w:pStyle w:val="ListParagraph"/>
        <w:numPr>
          <w:ilvl w:val="0"/>
          <w:numId w:val="2"/>
        </w:numPr>
        <w:spacing w:after="80" w:line="290"/>
      </w:pPr>
      <w:r>
        <w:t xml:space="preserve">Payment of certificate-issuance fees and collection of the Certificates of Registration upon grant.</w:t>
      </w:r>
    </w:p>
    <w:p>
      <w:pPr>
        <w:pStyle w:val="ListParagraph"/>
        <w:numPr>
          <w:ilvl w:val="0"/>
          <w:numId w:val="2"/>
        </w:numPr>
        <w:spacing w:after="80" w:line="290"/>
      </w:pPr>
      <w:r>
        <w:t xml:space="preserve">Monthly written status reports to the Applicant once applications enter examination.</w:t>
      </w:r>
    </w:p>
    <w:p>
      <w:pPr>
        <w:pStyle w:val="Heading1"/>
        <w:spacing w:after="140" w:before="280"/>
      </w:pPr>
      <w:r>
        <w:rPr>
          <w:b/>
          <w:bCs/>
          <w:color w:val="1F4E2C"/>
          <w:sz w:val="26"/>
          <w:szCs w:val="26"/>
        </w:rPr>
        <w:t xml:space="preserve">4. Timeline and milestones</w:t>
      </w:r>
    </w:p>
    <w:p>
      <w:pPr>
        <w:spacing w:after="160" w:before="0" w:line="300"/>
      </w:pPr>
      <w:r>
        <w:t xml:space="preserve">Time is of the essence. The following dates are critical-path milestones for the engagement: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Date</w:t>
            </w:r>
          </w:p>
        </w:tc>
        <w:tc>
          <w:tcPr>
            <w:tcW w:type="dxa" w:w="28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Milestone</w:t>
            </w:r>
          </w:p>
        </w:tc>
        <w:tc>
          <w:tcPr>
            <w:tcW w:type="dxa" w:w="47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Responsibility / deliverable</w:t>
            </w:r>
          </w:p>
        </w:tc>
      </w:tr>
      <w:tr>
        <w:tc>
          <w:tcPr>
            <w:tcW w:type="dxa" w:w="1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Thu 23 Apr 2026</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Engagement confirmed</w:t>
            </w:r>
          </w:p>
        </w:tc>
        <w:tc>
          <w:tcPr>
            <w:tcW w:type="dxa" w:w="4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Firm signs engagement letter; Applicant executes Power of Attorney; fees milestone 1 invoiced and paid</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Fri 24 Apr 2026</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Availability search complete</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Firm delivers written clearance opinion across all 7 applications; Applicant decides: proceed, narrow, or withdraw per class</w:t>
            </w:r>
          </w:p>
        </w:tc>
      </w:tr>
      <w:tr>
        <w:tc>
          <w:tcPr>
            <w:tcW w:type="dxa" w:w="1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Mon 26 Apr 2026</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All 7 applications lodged</w:t>
            </w:r>
          </w:p>
        </w:tc>
        <w:tc>
          <w:tcPr>
            <w:tcW w:type="dxa" w:w="4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Firm lodges 7 × TM-1 forms with the Registry; filing receipts issued and forwarded to Applicant same day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Tue 27 Apr 2026</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Beta launch</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Applicant's public Beta goes live with priority date secured</w:t>
            </w:r>
          </w:p>
        </w:tc>
      </w:tr>
      <w:tr>
        <w:tc>
          <w:tcPr>
            <w:tcW w:type="dxa" w:w="1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~2 weeks post-filing</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Acknowledgement letters</w:t>
            </w:r>
          </w:p>
        </w:tc>
        <w:tc>
          <w:tcPr>
            <w:tcW w:type="dxa" w:w="4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Firm collects and forwards 7 acknowledgement letters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4 – 8 months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Examination phase</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Firm tracks examination; responds to any office actions within statutory windows</w:t>
            </w:r>
          </w:p>
        </w:tc>
      </w:tr>
      <w:tr>
        <w:tc>
          <w:tcPr>
            <w:tcW w:type="dxa" w:w="1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~12 months</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Publication / opposition window</w:t>
            </w:r>
          </w:p>
        </w:tc>
        <w:tc>
          <w:tcPr>
            <w:tcW w:type="dxa" w:w="4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Firm monitors Trademark Journal; manages 2-month opposition window</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12 – 24 months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Certificate issuance</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Firm pays issuance fees; delivers 7 Certificates of Registration</w:t>
            </w:r>
          </w:p>
        </w:tc>
      </w:tr>
    </w:tbl>
    <w:p>
      <w:pPr>
        <w:spacing w:after="80"/>
      </w:pPr>
      <w:r>
        <w:t xml:space="preserve"/>
      </w:r>
    </w:p>
    <w:p>
      <w:pPr>
        <w:spacing w:after="160" w:before="0" w:line="300"/>
      </w:pPr>
      <w:r>
        <w:rPr>
          <w:b/>
          <w:bCs/>
        </w:rPr>
        <w:t xml:space="preserve">Critical-path covenant: </w:t>
      </w:r>
      <w:r>
        <w:t xml:space="preserve">the Firm acknowledges that the 26 April 2026 lodgement date is the single most important commitment under this engagement. The Firm confirms in its reply to this LOI that it has the capacity to meet this date and will lodge all seven applications on or before 26 April 2026.</w:t>
      </w:r>
    </w:p>
    <w:p>
      <w:pPr>
        <w:pStyle w:val="Heading1"/>
        <w:spacing w:after="140" w:before="280"/>
      </w:pPr>
      <w:r>
        <w:rPr>
          <w:b/>
          <w:bCs/>
          <w:color w:val="1F4E2C"/>
          <w:sz w:val="26"/>
          <w:szCs w:val="26"/>
        </w:rPr>
        <w:t xml:space="preserve">5. Commercial terms</w:t>
      </w:r>
    </w:p>
    <w:p>
      <w:pPr>
        <w:pStyle w:val="Heading2"/>
        <w:spacing w:after="100" w:before="220"/>
      </w:pPr>
      <w:r>
        <w:rPr>
          <w:b/>
          <w:bCs/>
          <w:color w:val="2E7D46"/>
          <w:sz w:val="22"/>
          <w:szCs w:val="22"/>
        </w:rPr>
        <w:t xml:space="preserve">5.1  Fees</w:t>
      </w:r>
    </w:p>
    <w:p>
      <w:pPr>
        <w:spacing w:after="160" w:before="0" w:line="300"/>
      </w:pPr>
      <w:r>
        <w:t xml:space="preserve">The Firm's professional fees for the engagement are </w:t>
      </w:r>
      <w:r>
        <w:rPr>
          <w:b/>
          <w:bCs/>
          <w:color w:val="B00020"/>
        </w:rPr>
        <w:t xml:space="preserve">[₦X per class for filing; ₦X total across 7 applications; additional office-action and opposition response fees quoted separately]</w:t>
      </w:r>
      <w:r>
        <w:t xml:space="preserve">. Government fees (filing fees payable to IPO Nigeria, publication fees, and certificate-issuance fees) are payable by the Applicant and additional to the Firm's professional fees.</w:t>
      </w:r>
    </w:p>
    <w:p>
      <w:pPr>
        <w:spacing w:after="160" w:before="0" w:line="300"/>
      </w:pPr>
      <w:r>
        <w:t xml:space="preserve">The Applicant's indicative budget envelope for the programme is ₦750,000 to ₦1,280,000 inclusive of both Firm fees and government fees. The Firm is requested to return a quote within or close to this envelope, with transparent line-items.</w:t>
      </w:r>
    </w:p>
    <w:p>
      <w:pPr>
        <w:pStyle w:val="Heading2"/>
        <w:spacing w:after="100" w:before="220"/>
      </w:pPr>
      <w:r>
        <w:rPr>
          <w:b/>
          <w:bCs/>
          <w:color w:val="2E7D46"/>
          <w:sz w:val="22"/>
          <w:szCs w:val="22"/>
        </w:rPr>
        <w:t xml:space="preserve">5.2  Invoicing and payment</w:t>
      </w:r>
    </w:p>
    <w:p>
      <w:pPr>
        <w:spacing w:after="160" w:before="0" w:line="300"/>
      </w:pPr>
      <w:r>
        <w:t xml:space="preserve">The Applicant proposes the following milestone-based invoicing, to be confirmed in the engagement letter:</w:t>
      </w:r>
    </w:p>
    <w:p>
      <w:pPr>
        <w:pStyle w:val="ListParagraph"/>
        <w:numPr>
          <w:ilvl w:val="0"/>
          <w:numId w:val="2"/>
        </w:numPr>
        <w:spacing w:after="80" w:line="290"/>
      </w:pPr>
      <w:r>
        <w:t xml:space="preserve">Milestone 1 — 40% on engagement and commencement of availability search.</w:t>
      </w:r>
    </w:p>
    <w:p>
      <w:pPr>
        <w:pStyle w:val="ListParagraph"/>
        <w:numPr>
          <w:ilvl w:val="0"/>
          <w:numId w:val="2"/>
        </w:numPr>
        <w:spacing w:after="80" w:line="290"/>
      </w:pPr>
      <w:r>
        <w:t xml:space="preserve">Milestone 2 — 40% on successful lodgement of all seven applications on or before 26 April 2026.</w:t>
      </w:r>
    </w:p>
    <w:p>
      <w:pPr>
        <w:pStyle w:val="ListParagraph"/>
        <w:numPr>
          <w:ilvl w:val="0"/>
          <w:numId w:val="2"/>
        </w:numPr>
        <w:spacing w:after="80" w:line="290"/>
      </w:pPr>
      <w:r>
        <w:t xml:space="preserve">Milestone 3 — 10% on receipt of all seven acknowledgement letters.</w:t>
      </w:r>
    </w:p>
    <w:p>
      <w:pPr>
        <w:pStyle w:val="ListParagraph"/>
        <w:numPr>
          <w:ilvl w:val="0"/>
          <w:numId w:val="2"/>
        </w:numPr>
        <w:spacing w:after="80" w:line="290"/>
      </w:pPr>
      <w:r>
        <w:t xml:space="preserve">Milestone 4 — 10% on receipt of the Certificates of Registration (pro-rated per class).</w:t>
      </w:r>
    </w:p>
    <w:p>
      <w:pPr>
        <w:pStyle w:val="ListParagraph"/>
        <w:numPr>
          <w:ilvl w:val="0"/>
          <w:numId w:val="2"/>
        </w:numPr>
        <w:spacing w:after="80" w:line="290"/>
      </w:pPr>
      <w:r>
        <w:t xml:space="preserve">Office action responses, opposition defence, and any non-scope work are billed separately at rates agreed in the engagement letter.</w:t>
      </w:r>
    </w:p>
    <w:p>
      <w:pPr>
        <w:pStyle w:val="Heading2"/>
        <w:spacing w:after="100" w:before="220"/>
      </w:pPr>
      <w:r>
        <w:rPr>
          <w:b/>
          <w:bCs/>
          <w:color w:val="2E7D46"/>
          <w:sz w:val="22"/>
          <w:szCs w:val="22"/>
        </w:rPr>
        <w:t xml:space="preserve">5.3  Disbursements</w:t>
      </w:r>
    </w:p>
    <w:p>
      <w:pPr>
        <w:spacing w:after="160" w:before="0" w:line="300"/>
      </w:pPr>
      <w:r>
        <w:t xml:space="preserve">Government filing fees, publication fees, and certificate-issuance fees are passed through at cost with supporting Registry receipts. Incidental disbursements (courier, notarisation, printing) are passed through at cost with receipts where they exceed ₦5,000 per disbursement.</w:t>
      </w:r>
    </w:p>
    <w:p>
      <w:pPr>
        <w:pStyle w:val="Heading1"/>
        <w:spacing w:after="140" w:before="280"/>
      </w:pPr>
      <w:r>
        <w:rPr>
          <w:b/>
          <w:bCs/>
          <w:color w:val="1F4E2C"/>
          <w:sz w:val="26"/>
          <w:szCs w:val="26"/>
        </w:rPr>
        <w:t xml:space="preserve">6. Conditions precedent</w:t>
      </w:r>
    </w:p>
    <w:p>
      <w:pPr>
        <w:spacing w:after="160" w:before="0" w:line="300"/>
      </w:pPr>
      <w:r>
        <w:t xml:space="preserve">Both parties acknowledge that the following are conditions precedent to the engagement:</w:t>
      </w:r>
    </w:p>
    <w:p>
      <w:pPr>
        <w:pStyle w:val="ListParagraph"/>
        <w:numPr>
          <w:ilvl w:val="0"/>
          <w:numId w:val="2"/>
        </w:numPr>
        <w:spacing w:after="80" w:line="290"/>
      </w:pPr>
      <w:r>
        <w:t xml:space="preserve">The Firm confirms in writing its current accreditation as a trademark agent, providing its register code from the IPO Nigeria / FIPO register.</w:t>
      </w:r>
    </w:p>
    <w:p>
      <w:pPr>
        <w:pStyle w:val="ListParagraph"/>
        <w:numPr>
          <w:ilvl w:val="0"/>
          <w:numId w:val="2"/>
        </w:numPr>
        <w:spacing w:after="80" w:line="290"/>
      </w:pPr>
      <w:r>
        <w:t xml:space="preserve">The Firm confirms in writing that it has no active engagement or representation of "Agro Yield Africa Limited" or any entity containing "Agro Yield" or "AgroYield" in its name, and that no conflict exists that would prevent it from accepting this mandate.</w:t>
      </w:r>
    </w:p>
    <w:p>
      <w:pPr>
        <w:pStyle w:val="ListParagraph"/>
        <w:numPr>
          <w:ilvl w:val="0"/>
          <w:numId w:val="2"/>
        </w:numPr>
        <w:spacing w:after="80" w:line="290"/>
      </w:pPr>
      <w:r>
        <w:t xml:space="preserve">The Firm names the partner who will own the mandate and confirms that this partner will personally supervise the seven filings through at least the acceptance stage.</w:t>
      </w:r>
    </w:p>
    <w:p>
      <w:pPr>
        <w:pStyle w:val="ListParagraph"/>
        <w:numPr>
          <w:ilvl w:val="0"/>
          <w:numId w:val="2"/>
        </w:numPr>
        <w:spacing w:after="80" w:line="290"/>
      </w:pPr>
      <w:r>
        <w:t xml:space="preserve">The Firm confirms capacity to meet the 26 April 2026 lodgement date.</w:t>
      </w:r>
    </w:p>
    <w:p>
      <w:pPr>
        <w:pStyle w:val="ListParagraph"/>
        <w:numPr>
          <w:ilvl w:val="0"/>
          <w:numId w:val="2"/>
        </w:numPr>
        <w:spacing w:after="80" w:line="290"/>
      </w:pPr>
      <w:r>
        <w:t xml:space="preserve">The Applicant confirms its legal identity (corporate or individual) for the TM-1 forms and delivers the Applicant-details information required by the Application Package.</w:t>
      </w:r>
    </w:p>
    <w:p>
      <w:pPr>
        <w:pStyle w:val="Heading1"/>
        <w:spacing w:after="140" w:before="280"/>
      </w:pPr>
      <w:r>
        <w:rPr>
          <w:b/>
          <w:bCs/>
          <w:color w:val="1F4E2C"/>
          <w:sz w:val="26"/>
          <w:szCs w:val="26"/>
        </w:rPr>
        <w:t xml:space="preserve">7. Exclusivity and term</w:t>
      </w:r>
    </w:p>
    <w:p>
      <w:pPr>
        <w:spacing w:after="160" w:before="0" w:line="300"/>
      </w:pPr>
      <w:r>
        <w:t xml:space="preserve">The Applicant is concurrently in discussion with a limited number of other accredited firms regarding this mandate. The Applicant expects to select one firm based on the responses received by end-of-day Wednesday 23 April 2026. Upon selection and execution of the engagement letter, the engagement with the selected firm will be exclusive for this programme.</w:t>
      </w:r>
    </w:p>
    <w:p>
      <w:pPr>
        <w:spacing w:after="160" w:before="0" w:line="300"/>
      </w:pPr>
      <w:r>
        <w:t xml:space="preserve">The engagement runs from the date of the engagement letter until the later of (a) issuance of all seven Certificates of Registration, or (b) written termination by either party on thirty (30) days' notice for cause. Neither party shall be prevented from completing filings already lodged at the time of termination; all work in progress shall be handed over in an orderly manner to a successor agent if so elected by the Applicant.</w:t>
      </w:r>
    </w:p>
    <w:p>
      <w:pPr>
        <w:pStyle w:val="Heading1"/>
        <w:spacing w:after="140" w:before="280"/>
      </w:pPr>
      <w:r>
        <w:rPr>
          <w:b/>
          <w:bCs/>
          <w:color w:val="1F4E2C"/>
          <w:sz w:val="26"/>
          <w:szCs w:val="26"/>
        </w:rPr>
        <w:t xml:space="preserve">8. Responsibilities</w:t>
      </w:r>
    </w:p>
    <w:p>
      <w:pPr>
        <w:pStyle w:val="Heading2"/>
        <w:spacing w:after="100" w:before="220"/>
      </w:pPr>
      <w:r>
        <w:rPr>
          <w:b/>
          <w:bCs/>
          <w:color w:val="2E7D46"/>
          <w:sz w:val="22"/>
          <w:szCs w:val="22"/>
        </w:rPr>
        <w:t xml:space="preserve">8.1  Applicant's responsibilities</w:t>
      </w:r>
    </w:p>
    <w:p>
      <w:pPr>
        <w:pStyle w:val="ListParagraph"/>
        <w:numPr>
          <w:ilvl w:val="0"/>
          <w:numId w:val="2"/>
        </w:numPr>
        <w:spacing w:after="80" w:line="290"/>
      </w:pPr>
      <w:r>
        <w:t xml:space="preserve">Provide complete and accurate applicant information for the TM-1 and TM-1A forms, including CAC particulars where applicable.</w:t>
      </w:r>
    </w:p>
    <w:p>
      <w:pPr>
        <w:pStyle w:val="ListParagraph"/>
        <w:numPr>
          <w:ilvl w:val="0"/>
          <w:numId w:val="2"/>
        </w:numPr>
        <w:spacing w:after="80" w:line="290"/>
      </w:pPr>
      <w:r>
        <w:t xml:space="preserve">Supply the device-mark specimen files in the formats required by the Registry.</w:t>
      </w:r>
    </w:p>
    <w:p>
      <w:pPr>
        <w:pStyle w:val="ListParagraph"/>
        <w:numPr>
          <w:ilvl w:val="0"/>
          <w:numId w:val="2"/>
        </w:numPr>
        <w:spacing w:after="80" w:line="290"/>
      </w:pPr>
      <w:r>
        <w:t xml:space="preserve">Pay the Firm's fees and government disbursements in accordance with the agreed milestones.</w:t>
      </w:r>
    </w:p>
    <w:p>
      <w:pPr>
        <w:pStyle w:val="ListParagraph"/>
        <w:numPr>
          <w:ilvl w:val="0"/>
          <w:numId w:val="2"/>
        </w:numPr>
        <w:spacing w:after="80" w:line="290"/>
      </w:pPr>
      <w:r>
        <w:t xml:space="preserve">Respond to Firm queries within one (1) business day during the pre-filing window (21 – 26 April) and within three (3) business days thereafter.</w:t>
      </w:r>
    </w:p>
    <w:p>
      <w:pPr>
        <w:pStyle w:val="ListParagraph"/>
        <w:numPr>
          <w:ilvl w:val="0"/>
          <w:numId w:val="2"/>
        </w:numPr>
        <w:spacing w:after="80" w:line="290"/>
      </w:pPr>
      <w:r>
        <w:t xml:space="preserve">Notify the Firm of any change to the Applicant entity (name, address, ownership) during the term of the engagement.</w:t>
      </w:r>
    </w:p>
    <w:p>
      <w:pPr>
        <w:pStyle w:val="Heading2"/>
        <w:spacing w:after="100" w:before="220"/>
      </w:pPr>
      <w:r>
        <w:rPr>
          <w:b/>
          <w:bCs/>
          <w:color w:val="2E7D46"/>
          <w:sz w:val="22"/>
          <w:szCs w:val="22"/>
        </w:rPr>
        <w:t xml:space="preserve">8.2  Firm's responsibilities</w:t>
      </w:r>
    </w:p>
    <w:p>
      <w:pPr>
        <w:pStyle w:val="ListParagraph"/>
        <w:numPr>
          <w:ilvl w:val="0"/>
          <w:numId w:val="2"/>
        </w:numPr>
        <w:spacing w:after="80" w:line="290"/>
      </w:pPr>
      <w:r>
        <w:t xml:space="preserve">Act with the professional competence and diligence expected of an accredited trademark agent.</w:t>
      </w:r>
    </w:p>
    <w:p>
      <w:pPr>
        <w:pStyle w:val="ListParagraph"/>
        <w:numPr>
          <w:ilvl w:val="0"/>
          <w:numId w:val="2"/>
        </w:numPr>
        <w:spacing w:after="80" w:line="290"/>
      </w:pPr>
      <w:r>
        <w:t xml:space="preserve">Adhere to the timeline set out in Section 4.</w:t>
      </w:r>
    </w:p>
    <w:p>
      <w:pPr>
        <w:pStyle w:val="ListParagraph"/>
        <w:numPr>
          <w:ilvl w:val="0"/>
          <w:numId w:val="2"/>
        </w:numPr>
        <w:spacing w:after="80" w:line="290"/>
      </w:pPr>
      <w:r>
        <w:t xml:space="preserve">Keep the Applicant informed of all Registry communications within two (2) business days of receipt.</w:t>
      </w:r>
    </w:p>
    <w:p>
      <w:pPr>
        <w:pStyle w:val="ListParagraph"/>
        <w:numPr>
          <w:ilvl w:val="0"/>
          <w:numId w:val="2"/>
        </w:numPr>
        <w:spacing w:after="80" w:line="290"/>
      </w:pPr>
      <w:r>
        <w:t xml:space="preserve">Maintain the confidentiality of all information disclosed by the Applicant under this engagement.</w:t>
      </w:r>
    </w:p>
    <w:p>
      <w:pPr>
        <w:pStyle w:val="ListParagraph"/>
        <w:numPr>
          <w:ilvl w:val="0"/>
          <w:numId w:val="2"/>
        </w:numPr>
        <w:spacing w:after="80" w:line="290"/>
      </w:pPr>
      <w:r>
        <w:t xml:space="preserve">Provide monthly status reports once the applications enter examination.</w:t>
      </w:r>
    </w:p>
    <w:p>
      <w:pPr>
        <w:pStyle w:val="Heading1"/>
        <w:spacing w:after="140" w:before="280"/>
      </w:pPr>
      <w:r>
        <w:rPr>
          <w:b/>
          <w:bCs/>
          <w:color w:val="1F4E2C"/>
          <w:sz w:val="26"/>
          <w:szCs w:val="26"/>
        </w:rPr>
        <w:t xml:space="preserve">9. Confidentiality (binding)</w:t>
      </w:r>
    </w:p>
    <w:p>
      <w:pPr>
        <w:spacing w:after="160" w:before="0" w:line="300"/>
      </w:pPr>
      <w:r>
        <w:t xml:space="preserve">The Firm agrees that all information disclosed by the Applicant in connection with this LOI and the subsequent engagement — including the trademark specifications, product plans, launch dates, applicant entity details, and any commercial or strategic information — is confidential. The Firm shall not disclose any such information to any third party, save to the extent required by law, by Registry procedure, or by the explicit written consent of the Applicant.</w:t>
      </w:r>
    </w:p>
    <w:p>
      <w:pPr>
        <w:spacing w:after="160" w:before="0" w:line="300"/>
      </w:pPr>
      <w:r>
        <w:t xml:space="preserve">This confidentiality obligation is binding from the date of signature of this LOI and survives its termination or the termination of any subsequent engagement for a period of three (3) years.</w:t>
      </w:r>
    </w:p>
    <w:p>
      <w:pPr>
        <w:pStyle w:val="Heading1"/>
        <w:spacing w:after="140" w:before="280"/>
      </w:pPr>
      <w:r>
        <w:rPr>
          <w:b/>
          <w:bCs/>
          <w:color w:val="1F4E2C"/>
          <w:sz w:val="26"/>
          <w:szCs w:val="26"/>
        </w:rPr>
        <w:t xml:space="preserve">10. Non-binding nature</w:t>
      </w:r>
    </w:p>
    <w:p>
      <w:pPr>
        <w:spacing w:after="160" w:before="0" w:line="300"/>
      </w:pPr>
      <w:r>
        <w:t xml:space="preserve">Except for Section 9 (Confidentiality), this LOI is non-binding in its commercial terms. Neither party is obligated to proceed with the engagement on the basis of this LOI alone. The parties intend to negotiate and execute a formal engagement letter based on the terms outlined herein. Upon execution of the engagement letter, that letter shall supersede this LOI in full, save for the binding Confidentiality provisions.</w:t>
      </w:r>
    </w:p>
    <w:p>
      <w:pPr>
        <w:pStyle w:val="Heading1"/>
        <w:spacing w:after="140" w:before="280"/>
      </w:pPr>
      <w:r>
        <w:rPr>
          <w:b/>
          <w:bCs/>
          <w:color w:val="1F4E2C"/>
          <w:sz w:val="26"/>
          <w:szCs w:val="26"/>
        </w:rPr>
        <w:t xml:space="preserve">11. Governing law and dispute resolution</w:t>
      </w:r>
    </w:p>
    <w:p>
      <w:pPr>
        <w:spacing w:after="160" w:before="0" w:line="300"/>
      </w:pPr>
      <w:r>
        <w:t xml:space="preserve">This LOI and any engagement arising from it shall be governed by the laws of the Federal Republic of Nigeria. Any dispute arising under this LOI or the engagement letter shall be submitted first to good-faith negotiation between the parties, and failing resolution within thirty (30) days, to mediation under the Lagos Multi-Door Courthouse rules prior to any litigation.</w:t>
      </w:r>
    </w:p>
    <w:p>
      <w:pPr>
        <w:pStyle w:val="Heading1"/>
        <w:spacing w:after="140" w:before="280"/>
      </w:pPr>
      <w:r>
        <w:rPr>
          <w:b/>
          <w:bCs/>
          <w:color w:val="1F4E2C"/>
          <w:sz w:val="26"/>
          <w:szCs w:val="26"/>
        </w:rPr>
        <w:t xml:space="preserve">12. How to respond</w:t>
      </w:r>
    </w:p>
    <w:p>
      <w:pPr>
        <w:spacing w:after="160" w:before="0" w:line="300"/>
      </w:pPr>
      <w:r>
        <w:t xml:space="preserve">If the Firm is interested in this mandate, please respond to okolichijiokei@gmail.com by end-of-day Wednesday 23 April 2026 with:</w:t>
      </w:r>
    </w:p>
    <w:p>
      <w:pPr>
        <w:pStyle w:val="ListParagraph"/>
        <w:numPr>
          <w:ilvl w:val="0"/>
          <w:numId w:val="2"/>
        </w:numPr>
        <w:spacing w:after="80" w:line="290"/>
      </w:pPr>
      <w:r>
        <w:t xml:space="preserve">Written confirmation of accreditation (Register Code).</w:t>
      </w:r>
    </w:p>
    <w:p>
      <w:pPr>
        <w:pStyle w:val="ListParagraph"/>
        <w:numPr>
          <w:ilvl w:val="0"/>
          <w:numId w:val="2"/>
        </w:numPr>
        <w:spacing w:after="80" w:line="290"/>
      </w:pPr>
      <w:r>
        <w:t xml:space="preserve">Written confirmation of no conflict per Section 6.</w:t>
      </w:r>
    </w:p>
    <w:p>
      <w:pPr>
        <w:pStyle w:val="ListParagraph"/>
        <w:numPr>
          <w:ilvl w:val="0"/>
          <w:numId w:val="2"/>
        </w:numPr>
        <w:spacing w:after="80" w:line="290"/>
      </w:pPr>
      <w:r>
        <w:t xml:space="preserve">Name and qualifications of the partner who will own this mandate.</w:t>
      </w:r>
    </w:p>
    <w:p>
      <w:pPr>
        <w:pStyle w:val="ListParagraph"/>
        <w:numPr>
          <w:ilvl w:val="0"/>
          <w:numId w:val="2"/>
        </w:numPr>
        <w:spacing w:after="80" w:line="290"/>
      </w:pPr>
      <w:r>
        <w:t xml:space="preserve">Written confirmation of capacity to lodge all seven applications by Monday 26 April 2026.</w:t>
      </w:r>
    </w:p>
    <w:p>
      <w:pPr>
        <w:pStyle w:val="ListParagraph"/>
        <w:numPr>
          <w:ilvl w:val="0"/>
          <w:numId w:val="2"/>
        </w:numPr>
        <w:spacing w:after="80" w:line="290"/>
      </w:pPr>
      <w:r>
        <w:t xml:space="preserve">Fixed professional fee quote per class plus programme total, and any per-event fees (office action, opposition) for the Applicant's information.</w:t>
      </w:r>
    </w:p>
    <w:p>
      <w:pPr>
        <w:pStyle w:val="ListParagraph"/>
        <w:numPr>
          <w:ilvl w:val="0"/>
          <w:numId w:val="2"/>
        </w:numPr>
        <w:spacing w:after="80" w:line="290"/>
      </w:pPr>
      <w:r>
        <w:t xml:space="preserve">Two recent client references, preferably in the technology or fintech sector.</w:t>
      </w:r>
    </w:p>
    <w:p>
      <w:pPr>
        <w:pStyle w:val="ListParagraph"/>
        <w:numPr>
          <w:ilvl w:val="0"/>
          <w:numId w:val="2"/>
        </w:numPr>
        <w:spacing w:after="80" w:line="290"/>
      </w:pPr>
      <w:r>
        <w:t xml:space="preserve">A signed copy of this LOI acknowledging its terms (signature block below).</w:t>
      </w:r>
    </w:p>
    <w:p>
      <w:pPr>
        <w:spacing w:after="80"/>
      </w:pPr>
      <w:r>
        <w:t xml:space="preserve"/>
      </w:r>
    </w:p>
    <w:p>
      <w:pPr>
        <w:spacing w:after="160" w:before="0" w:line="300"/>
      </w:pPr>
      <w:r>
        <w:rPr>
          <w:b w:val="false"/>
          <w:bCs w:val="false"/>
        </w:rPr>
        <w:t xml:space="preserve">A 15-minute call on Wednesday 23 April 2026 can be arranged to discuss any clarifying points. </w:t>
      </w:r>
      <w:r>
        <w:t xml:space="preserve">Please propose a time in your response.</w:t>
      </w:r>
    </w:p>
    <w:p>
      <w:pPr>
        <w:spacing w:after="160"/>
      </w:pPr>
      <w:r>
        <w:t xml:space="preserve"/>
      </w:r>
    </w:p>
    <w:p>
      <w:pPr>
        <w:spacing w:after="160" w:before="0" w:line="300"/>
      </w:pPr>
      <w:r>
        <w:t xml:space="preserve">Kind regards,</w:t>
      </w:r>
    </w:p>
    <w:p>
      <w:pPr>
        <w:spacing w:after="400"/>
      </w:pPr>
      <w:r>
        <w:t xml:space="preserve"/>
      </w:r>
    </w:p>
    <w:p>
      <w:pPr>
        <w:spacing w:after="160" w:before="0" w:line="300"/>
      </w:pPr>
      <w:r>
        <w:rPr>
          <w:b/>
          <w:bCs/>
        </w:rPr>
        <w:t xml:space="preserve">Okoli Chijioke</w:t>
      </w:r>
    </w:p>
    <w:p>
      <w:pPr>
        <w:spacing w:after="160" w:before="0" w:line="300"/>
      </w:pPr>
      <w:r>
        <w:t xml:space="preserve">Founder, AgroYield Network</w:t>
      </w:r>
    </w:p>
    <w:p>
      <w:pPr>
        <w:spacing w:after="160" w:before="0" w:line="300"/>
      </w:pPr>
      <w:r>
        <w:t xml:space="preserve">Email: okolichijiokei@gmail.com</w:t>
      </w:r>
    </w:p>
    <w:p>
      <w:r>
        <w:br w:type="page"/>
      </w:r>
    </w:p>
    <w:p>
      <w:pPr>
        <w:spacing w:after="200"/>
        <w:jc w:val="center"/>
      </w:pPr>
      <w:r>
        <w:rPr>
          <w:b/>
          <w:bCs/>
          <w:color w:val="1F4E2C"/>
          <w:sz w:val="28"/>
          <w:szCs w:val="28"/>
        </w:rPr>
        <w:t xml:space="preserve">ACKNOWLEDGEMENT AND SIGNATURE PAGE</w:t>
      </w:r>
    </w:p>
    <w:p>
      <w:pPr>
        <w:spacing w:after="160" w:before="0" w:line="300"/>
      </w:pPr>
      <w:r>
        <w:t xml:space="preserve">Each party signs below to acknowledge receipt of this Letter of Intent and acceptance of the binding Confidentiality provision in Section 9. Signature does not constitute acceptance of the commercial terms, which remain subject to a separate engagement letter.</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b/>
                <w:bCs/>
                <w:sz w:val="22"/>
                <w:szCs w:val="22"/>
              </w:rPr>
              <w:t xml:space="preserve">For the Applicant</w:t>
            </w:r>
          </w:p>
          <w:p>
            <w:pPr>
              <w:spacing w:after="120"/>
            </w:pPr>
            <w:r>
              <w:rPr>
                <w:sz w:val="20"/>
                <w:szCs w:val="20"/>
              </w:rPr>
              <w:t xml:space="preserve">Name: Okoli Chijioke</w:t>
            </w:r>
          </w:p>
          <w:p>
            <w:pPr>
              <w:spacing w:after="400"/>
            </w:pPr>
            <w:r>
              <w:rPr>
                <w:sz w:val="20"/>
                <w:szCs w:val="20"/>
              </w:rPr>
              <w:t xml:space="preserve">Title: Founder, AgroYield Network</w:t>
            </w:r>
          </w:p>
          <w:p>
            <w:pPr>
              <w:spacing w:after="200"/>
            </w:pPr>
            <w:r>
              <w:rPr>
                <w:sz w:val="20"/>
                <w:szCs w:val="20"/>
              </w:rPr>
              <w:t xml:space="preserve">Signature: _______________________________</w:t>
            </w:r>
          </w:p>
          <w:p>
            <w:pPr>
              <w:spacing w:after="120"/>
            </w:pPr>
            <w:r>
              <w:rPr>
                <w:sz w:val="20"/>
                <w:szCs w:val="20"/>
              </w:rPr>
              <w:t xml:space="preserve">Date: ___________________________________</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b/>
                <w:bCs/>
                <w:sz w:val="22"/>
                <w:szCs w:val="22"/>
              </w:rPr>
              <w:t xml:space="preserve">For the Firm</w:t>
            </w:r>
          </w:p>
          <w:p>
            <w:pPr>
              <w:spacing w:after="120"/>
            </w:pPr>
            <w:r>
              <w:rPr>
                <w:sz w:val="20"/>
                <w:szCs w:val="20"/>
              </w:rPr>
              <w:t xml:space="preserve">Name: </w:t>
            </w:r>
            <w:r>
              <w:rPr>
                <w:b/>
                <w:bCs/>
                <w:color w:val="B00020"/>
              </w:rPr>
              <w:t xml:space="preserve">[Partner Name]</w:t>
            </w:r>
          </w:p>
          <w:p>
            <w:pPr>
              <w:spacing w:after="120"/>
            </w:pPr>
            <w:r>
              <w:rPr>
                <w:sz w:val="20"/>
                <w:szCs w:val="20"/>
              </w:rPr>
              <w:t xml:space="preserve">Title: </w:t>
            </w:r>
            <w:r>
              <w:rPr>
                <w:b/>
                <w:bCs/>
                <w:color w:val="B00020"/>
              </w:rPr>
              <w:t xml:space="preserve">[Title]</w:t>
            </w:r>
          </w:p>
          <w:p>
            <w:pPr>
              <w:spacing w:after="120"/>
            </w:pPr>
            <w:r>
              <w:rPr>
                <w:sz w:val="20"/>
                <w:szCs w:val="20"/>
              </w:rPr>
              <w:t xml:space="preserve">Firm: </w:t>
            </w:r>
            <w:r>
              <w:rPr>
                <w:b/>
                <w:bCs/>
                <w:color w:val="B00020"/>
              </w:rPr>
              <w:t xml:space="preserve">[Firm Name]</w:t>
            </w:r>
          </w:p>
          <w:p>
            <w:pPr>
              <w:spacing w:after="200"/>
            </w:pPr>
            <w:r>
              <w:rPr>
                <w:sz w:val="20"/>
                <w:szCs w:val="20"/>
              </w:rPr>
              <w:t xml:space="preserve">Register Code: </w:t>
            </w:r>
            <w:r>
              <w:rPr>
                <w:b/>
                <w:bCs/>
                <w:color w:val="B00020"/>
              </w:rPr>
              <w:t xml:space="preserve">[IPO Nigeria agent code]</w:t>
            </w:r>
          </w:p>
          <w:p>
            <w:pPr>
              <w:spacing w:after="200"/>
            </w:pPr>
            <w:r>
              <w:rPr>
                <w:sz w:val="20"/>
                <w:szCs w:val="20"/>
              </w:rPr>
              <w:t xml:space="preserve">Signature: _______________________________</w:t>
            </w:r>
          </w:p>
          <w:p>
            <w:pPr>
              <w:spacing w:after="120"/>
            </w:pPr>
            <w:r>
              <w:rPr>
                <w:sz w:val="20"/>
                <w:szCs w:val="20"/>
              </w:rPr>
              <w:t xml:space="preserve">Date: ___________________________________</w:t>
            </w:r>
          </w:p>
        </w:tc>
      </w:tr>
    </w:tbl>
    <w:p>
      <w:r>
        <w:br w:type="page"/>
      </w:r>
    </w:p>
    <w:p>
      <w:pPr>
        <w:spacing w:after="200" w:before="200"/>
        <w:jc w:val="left"/>
      </w:pPr>
      <w:r>
        <w:rPr>
          <w:b/>
          <w:bCs/>
          <w:color w:val="1F4E2C"/>
          <w:sz w:val="24"/>
          <w:szCs w:val="24"/>
        </w:rPr>
        <w:t xml:space="preserve">INTERNAL USE — How to personalise this LOI before sending</w:t>
      </w:r>
    </w:p>
    <w:p>
      <w:pPr>
        <w:spacing w:after="160" w:before="0" w:line="300"/>
      </w:pPr>
      <w:r>
        <w:t xml:space="preserve">This page is for internal use only. Remove it before sending the LOI to any recipient.</w:t>
      </w:r>
    </w:p>
    <w:p>
      <w:pPr>
        <w:spacing w:after="80"/>
      </w:pPr>
      <w:r>
        <w:t xml:space="preserve"/>
      </w:r>
    </w:p>
    <w:p>
      <w:pPr>
        <w:pStyle w:val="Heading2"/>
        <w:spacing w:after="100" w:before="220"/>
      </w:pPr>
      <w:r>
        <w:rPr>
          <w:b/>
          <w:bCs/>
          <w:color w:val="2E7D46"/>
          <w:sz w:val="22"/>
          <w:szCs w:val="22"/>
        </w:rPr>
        <w:t xml:space="preserve">Placeholders to replace</w:t>
      </w:r>
    </w:p>
    <w:p>
      <w:pPr>
        <w:spacing w:after="160" w:before="0" w:line="300"/>
      </w:pPr>
      <w:r>
        <w:t xml:space="preserve">All placeholder text is shown in bold red in this document. Before sending, replace each of the following:</w:t>
      </w:r>
    </w:p>
    <w:p>
      <w:pPr>
        <w:pStyle w:val="ListParagraph"/>
        <w:numPr>
          <w:ilvl w:val="0"/>
          <w:numId w:val="2"/>
        </w:numPr>
        <w:spacing w:after="80" w:line="290"/>
      </w:pPr>
      <w:r>
        <w:t xml:space="preserve">[Firm Name] — exact legal name of the recipient firm (e.g. "Adeola Oyinlade &amp; Co", "Aspire Solicitors", "Hectagon &amp; Shields Solicitors").</w:t>
      </w:r>
    </w:p>
    <w:p>
      <w:pPr>
        <w:pStyle w:val="ListParagraph"/>
        <w:numPr>
          <w:ilvl w:val="0"/>
          <w:numId w:val="2"/>
        </w:numPr>
        <w:spacing w:after="80" w:line="290"/>
      </w:pPr>
      <w:r>
        <w:t xml:space="preserve">[Partner Name, Head of Intellectual Property practice] — name of the partner being addressed. For generic outreach, address to "The Head of Trademark Practice" rather than a specific name.</w:t>
      </w:r>
    </w:p>
    <w:p>
      <w:pPr>
        <w:pStyle w:val="ListParagraph"/>
        <w:numPr>
          <w:ilvl w:val="0"/>
          <w:numId w:val="2"/>
        </w:numPr>
        <w:spacing w:after="80" w:line="290"/>
      </w:pPr>
      <w:r>
        <w:t xml:space="preserve">[Firm Address Line 1] and [City, State, Nigeria] — firm's registered address, pulled from their website.</w:t>
      </w:r>
    </w:p>
    <w:p>
      <w:pPr>
        <w:pStyle w:val="ListParagraph"/>
        <w:numPr>
          <w:ilvl w:val="0"/>
          <w:numId w:val="2"/>
        </w:numPr>
        <w:spacing w:after="80" w:line="290"/>
      </w:pPr>
      <w:r>
        <w:t xml:space="preserve">[Legal name to be confirmed — corporate entity if CAC-registered; individual applicant otherwise] — your own decision, per Deliverable 3 Section 2.2.</w:t>
      </w:r>
    </w:p>
    <w:p>
      <w:pPr>
        <w:pStyle w:val="ListParagraph"/>
        <w:numPr>
          <w:ilvl w:val="0"/>
          <w:numId w:val="2"/>
        </w:numPr>
        <w:spacing w:after="80" w:line="290"/>
      </w:pPr>
      <w:r>
        <w:t xml:space="preserve">[to be confirmed by Firm] in the Register Code line — leave as a placeholder; the firm fills this in on return.</w:t>
      </w:r>
    </w:p>
    <w:p>
      <w:pPr>
        <w:pStyle w:val="ListParagraph"/>
        <w:numPr>
          <w:ilvl w:val="0"/>
          <w:numId w:val="2"/>
        </w:numPr>
        <w:spacing w:after="80" w:line="290"/>
      </w:pPr>
      <w:r>
        <w:t xml:space="preserve">[₦X per class for filing; ₦X total…] — leave as a placeholder; you are explicitly requesting the firm to populate this.</w:t>
      </w:r>
    </w:p>
    <w:p>
      <w:pPr>
        <w:spacing w:after="80"/>
      </w:pPr>
      <w:r>
        <w:t xml:space="preserve"/>
      </w:r>
    </w:p>
    <w:p>
      <w:pPr>
        <w:pStyle w:val="Heading2"/>
        <w:spacing w:after="100" w:before="220"/>
      </w:pPr>
      <w:r>
        <w:rPr>
          <w:b/>
          <w:bCs/>
          <w:color w:val="2E7D46"/>
          <w:sz w:val="22"/>
          <w:szCs w:val="22"/>
        </w:rPr>
        <w:t xml:space="preserve">Suggested addressee for each primary shortlisted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Firm</w:t>
            </w:r>
          </w:p>
        </w:tc>
        <w:tc>
          <w:tcPr>
            <w:tcW w:type="dxa" w:w="328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Suggested addressee</w:t>
            </w:r>
          </w:p>
        </w:tc>
        <w:tc>
          <w:tcPr>
            <w:tcW w:type="dxa" w:w="328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Address</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Adeola Oyinlade &amp; Co</w:t>
            </w:r>
          </w:p>
        </w:tc>
        <w:tc>
          <w:tcPr>
            <w:tcW w:type="dxa" w:w="32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The Head of Intellectual Property Practice</w:t>
            </w:r>
          </w:p>
        </w:tc>
        <w:tc>
          <w:tcPr>
            <w:tcW w:type="dxa" w:w="32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Yaba, Lagos State, Nigeria</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Aspire Solicitors</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The Head of Trademark / IP Practice</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Lagos, Nigeria (confirm via website)</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Hectagon &amp; Shields Solicitors</w:t>
            </w:r>
          </w:p>
        </w:tc>
        <w:tc>
          <w:tcPr>
            <w:tcW w:type="dxa" w:w="32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The Senior IP Partner</w:t>
            </w:r>
          </w:p>
        </w:tc>
        <w:tc>
          <w:tcPr>
            <w:tcW w:type="dxa" w:w="32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Abuja, Nigeria</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Jackson, Etti &amp; Edu</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The Head of Brand Protection Practice</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Lagos, Nigeria</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Banwo &amp; Ighodalo</w:t>
            </w:r>
          </w:p>
        </w:tc>
        <w:tc>
          <w:tcPr>
            <w:tcW w:type="dxa" w:w="32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Partner, Intellectual Property &amp; Technology Group</w:t>
            </w:r>
          </w:p>
        </w:tc>
        <w:tc>
          <w:tcPr>
            <w:tcW w:type="dxa" w:w="32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48 Awolowo Road, South-West Ikoyi, Lagos</w:t>
            </w:r>
          </w:p>
        </w:tc>
      </w:tr>
    </w:tbl>
    <w:p>
      <w:pPr>
        <w:spacing w:after="80"/>
      </w:pPr>
      <w:r>
        <w:t xml:space="preserve"/>
      </w:r>
    </w:p>
    <w:p>
      <w:pPr>
        <w:pStyle w:val="Heading2"/>
        <w:spacing w:after="100" w:before="220"/>
      </w:pPr>
      <w:r>
        <w:rPr>
          <w:b/>
          <w:bCs/>
          <w:color w:val="2E7D46"/>
          <w:sz w:val="22"/>
          <w:szCs w:val="22"/>
        </w:rPr>
        <w:t xml:space="preserve">Sending protocol</w:t>
      </w:r>
    </w:p>
    <w:p>
      <w:pPr>
        <w:pStyle w:val="ListParagraph"/>
        <w:numPr>
          <w:ilvl w:val="0"/>
          <w:numId w:val="2"/>
        </w:numPr>
        <w:spacing w:after="80" w:line="290"/>
      </w:pPr>
      <w:r>
        <w:t xml:space="preserve">Send the LOI as a PDF attachment to a covering email (use Template A from Deliverable 2 Section 3.1 as the email body).</w:t>
      </w:r>
    </w:p>
    <w:p>
      <w:pPr>
        <w:pStyle w:val="ListParagraph"/>
        <w:numPr>
          <w:ilvl w:val="0"/>
          <w:numId w:val="2"/>
        </w:numPr>
        <w:spacing w:after="80" w:line="290"/>
      </w:pPr>
      <w:r>
        <w:t xml:space="preserve">Send to all three primary candidates (Adeola Oyinlade &amp; Co, Aspire Solicitors, Hectagon &amp; Shields) in parallel — not sequentially. Parallel outreach is disclosed in Section 7 (Exclusivity and term).</w:t>
      </w:r>
    </w:p>
    <w:p>
      <w:pPr>
        <w:pStyle w:val="ListParagraph"/>
        <w:numPr>
          <w:ilvl w:val="0"/>
          <w:numId w:val="2"/>
        </w:numPr>
        <w:spacing w:after="80" w:line="290"/>
      </w:pPr>
      <w:r>
        <w:t xml:space="preserve">Hold off sending to JEE and Banwo &amp; Ighodalo until the three primary candidates have responded. If none of the primary candidates can commit to the 26 April date or the budget, send the LOI to the premium firms on Thursday 23 April as a second wave.</w:t>
      </w:r>
    </w:p>
    <w:p>
      <w:pPr>
        <w:pStyle w:val="ListParagraph"/>
        <w:numPr>
          <w:ilvl w:val="0"/>
          <w:numId w:val="2"/>
        </w:numPr>
        <w:spacing w:after="80" w:line="290"/>
      </w:pPr>
      <w:r>
        <w:t xml:space="preserve">Keep a log of when each LOI was sent and when each firm responded — this is useful for the engagement-letter negotiation and for diligence material later.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LOI — AgroYield Network — Trademark Prosecution Mandate</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2C"/>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2E7D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AgroYield Network — Letter of Intent — Trademark Prosecution Mandate</dc:title>
  <dc:creator>AgroYield Network</dc:creator>
  <dc:description>Non-binding LOI to be shared with shortlisted Nigerian IP agent firms</dc:description>
  <cp:lastModifiedBy>Un-named</cp:lastModifiedBy>
  <cp:revision>1</cp:revision>
  <dcterms:created xsi:type="dcterms:W3CDTF">2026-04-21T07:25:32.607Z</dcterms:created>
  <dcterms:modified xsi:type="dcterms:W3CDTF">2026-04-21T07:25:32.607Z</dcterms:modified>
</cp:coreProperties>
</file>

<file path=docProps/custom.xml><?xml version="1.0" encoding="utf-8"?>
<Properties xmlns="http://schemas.openxmlformats.org/officeDocument/2006/custom-properties" xmlns:vt="http://schemas.openxmlformats.org/officeDocument/2006/docPropsVTypes"/>
</file>