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0FA04" w14:textId="77777777" w:rsidR="00FA01A1" w:rsidRPr="006F7344" w:rsidRDefault="00FA01A1" w:rsidP="00FA01A1">
      <w:pPr>
        <w:pStyle w:val="CHAPsStyle14ptBoldCentered"/>
      </w:pPr>
      <w:bookmarkStart w:id="0" w:name="_Toc118302789"/>
      <w:bookmarkStart w:id="1" w:name="_Toc121200598"/>
      <w:r w:rsidRPr="006F7344">
        <w:t xml:space="preserve">CHAPTER VI </w:t>
      </w:r>
      <w:r>
        <w:br/>
      </w:r>
      <w:r w:rsidRPr="006F7344">
        <w:t>A PSEUDO SECULAR STATE UNDER ANTI-BLASPHEMY LAW REGIME HARVEST AN ILUSSION OF RELIGIOUS FREEDOM</w:t>
      </w:r>
      <w:bookmarkEnd w:id="0"/>
      <w:bookmarkEnd w:id="1"/>
    </w:p>
    <w:p w14:paraId="60F45207" w14:textId="77777777" w:rsidR="00FA01A1" w:rsidRPr="006F7344" w:rsidRDefault="00FA01A1" w:rsidP="00FA01A1">
      <w:pPr>
        <w:pStyle w:val="ListParagraph"/>
        <w:keepNext/>
        <w:keepLines/>
        <w:numPr>
          <w:ilvl w:val="0"/>
          <w:numId w:val="2"/>
        </w:numPr>
        <w:spacing w:before="480"/>
        <w:ind w:left="0"/>
        <w:contextualSpacing w:val="0"/>
        <w:jc w:val="center"/>
        <w:outlineLvl w:val="0"/>
        <w:rPr>
          <w:rFonts w:cs="Times New Roman"/>
          <w:b/>
          <w:bCs/>
          <w:caps/>
          <w:vanish/>
          <w:sz w:val="28"/>
          <w:szCs w:val="28"/>
        </w:rPr>
      </w:pPr>
    </w:p>
    <w:p w14:paraId="17FBC9EF" w14:textId="77777777" w:rsidR="00FA01A1" w:rsidRPr="006F7344" w:rsidRDefault="00FA01A1" w:rsidP="00FA01A1">
      <w:pPr>
        <w:pStyle w:val="Heading2"/>
        <w:numPr>
          <w:ilvl w:val="0"/>
          <w:numId w:val="0"/>
        </w:numPr>
        <w:ind w:left="432" w:hanging="432"/>
      </w:pPr>
      <w:bookmarkStart w:id="2" w:name="_Toc118302790"/>
      <w:bookmarkStart w:id="3" w:name="_Toc121200599"/>
      <w:r w:rsidRPr="006F7344">
        <w:t>6.1 Introduction</w:t>
      </w:r>
      <w:bookmarkEnd w:id="2"/>
      <w:bookmarkEnd w:id="3"/>
    </w:p>
    <w:p w14:paraId="317EA52D" w14:textId="77777777" w:rsidR="00FA01A1" w:rsidRPr="006F7344" w:rsidRDefault="00FA01A1" w:rsidP="00FA01A1">
      <w:pPr>
        <w:pStyle w:val="ParagraphNormal"/>
      </w:pPr>
      <w:r w:rsidRPr="006F7344">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w:t>
      </w:r>
      <w:commentRangeStart w:id="4"/>
      <w:r w:rsidRPr="006F7344">
        <w:t>trend seen by the international community in accordance with International Human Rights Law is a pattern of interactions in which the state is religiously neutral</w:t>
      </w:r>
      <w:commentRangeEnd w:id="4"/>
      <w:r>
        <w:rPr>
          <w:rStyle w:val="CommentReference"/>
        </w:rPr>
        <w:commentReference w:id="4"/>
      </w:r>
      <w:r w:rsidRPr="006F7344">
        <w:t xml:space="preserve">. </w:t>
      </w:r>
      <w:proofErr w:type="gramStart"/>
      <w:r w:rsidRPr="006F7344">
        <w:t>In order to</w:t>
      </w:r>
      <w:proofErr w:type="gramEnd"/>
      <w:r w:rsidRPr="006F7344">
        <w:t xml:space="preserve">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F7344">
        <w:t>Proselytism</w:t>
      </w:r>
      <w:proofErr w:type="spellEnd"/>
      <w:r w:rsidRPr="006F7344">
        <w:t xml:space="preserve"> Law. In Austria and Belgium, only a few religions were recognized as official, while others were not.</w:t>
      </w:r>
    </w:p>
    <w:p w14:paraId="62937089" w14:textId="77777777" w:rsidR="00FA01A1" w:rsidRPr="006F7344" w:rsidRDefault="00FA01A1" w:rsidP="00FA01A1">
      <w:pPr>
        <w:pStyle w:val="ParagraphNormal"/>
      </w:pPr>
      <w:r w:rsidRPr="006F7344">
        <w:t xml:space="preserve">Nonetheless, </w:t>
      </w:r>
      <w:proofErr w:type="gramStart"/>
      <w:r w:rsidRPr="006F7344">
        <w:t>as a result of</w:t>
      </w:r>
      <w:proofErr w:type="gramEnd"/>
      <w:r w:rsidRPr="006F7344">
        <w:t xml:space="preserve">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proofErr w:type="spellStart"/>
      <w:r w:rsidRPr="006F7344">
        <w:t>Niuwenhuis</w:t>
      </w:r>
      <w:proofErr w:type="spellEnd"/>
      <w:r w:rsidRPr="006F7344">
        <w:t>, 2012: p.153). An-</w:t>
      </w:r>
      <w:proofErr w:type="spellStart"/>
      <w:r w:rsidRPr="006F7344">
        <w:t>Na'im</w:t>
      </w:r>
      <w:proofErr w:type="spellEnd"/>
      <w:r w:rsidRPr="006F7344">
        <w:t xml:space="preserve">, a Muslim scholar and specialist on human rights who </w:t>
      </w:r>
      <w:proofErr w:type="spellStart"/>
      <w:r w:rsidRPr="006F7344">
        <w:t>analyzes</w:t>
      </w:r>
      <w:proofErr w:type="spellEnd"/>
      <w:r w:rsidRPr="006F7344">
        <w:t xml:space="preserve"> state and religious relations in Muslim countries such as Turkey, India, and Indonesia, </w:t>
      </w:r>
      <w:commentRangeStart w:id="5"/>
      <w:r w:rsidRPr="006F7344">
        <w:t xml:space="preserve">supported </w:t>
      </w:r>
      <w:proofErr w:type="spellStart"/>
      <w:r w:rsidRPr="006F7344">
        <w:t>Niuwenhuis's</w:t>
      </w:r>
      <w:proofErr w:type="spellEnd"/>
      <w:r w:rsidRPr="006F7344">
        <w:t xml:space="preserve"> proposal</w:t>
      </w:r>
      <w:commentRangeEnd w:id="5"/>
      <w:r>
        <w:rPr>
          <w:rStyle w:val="CommentReference"/>
        </w:rPr>
        <w:commentReference w:id="5"/>
      </w:r>
      <w:r w:rsidRPr="006F7344">
        <w:t>. An-</w:t>
      </w:r>
      <w:proofErr w:type="spellStart"/>
      <w:r w:rsidRPr="006F7344">
        <w:t>Na'im</w:t>
      </w:r>
      <w:proofErr w:type="spellEnd"/>
      <w:r w:rsidRPr="006F7344">
        <w:t xml:space="preserve"> thoughts that Muslim countries should reconsider the close link between state and religion (Islam) </w:t>
      </w:r>
      <w:proofErr w:type="gramStart"/>
      <w:r w:rsidRPr="006F7344">
        <w:t>in order to</w:t>
      </w:r>
      <w:proofErr w:type="gramEnd"/>
      <w:r w:rsidRPr="006F7344">
        <w:t xml:space="preserve"> better preserve the right to religious freedom.</w:t>
      </w:r>
    </w:p>
    <w:p w14:paraId="4D5112A8" w14:textId="77777777" w:rsidR="00FA01A1" w:rsidRPr="006F7344" w:rsidRDefault="00FA01A1" w:rsidP="00FA01A1">
      <w:pPr>
        <w:pStyle w:val="ParagraphNormal"/>
      </w:pPr>
      <w:r w:rsidRPr="006F7344">
        <w:lastRenderedPageBreak/>
        <w:t xml:space="preserve">This chapter investigates in further detail how the Anti-Blasphemy Law gives an </w:t>
      </w:r>
      <w:commentRangeStart w:id="6"/>
      <w:r w:rsidRPr="006F7344">
        <w:t>overview of the pattern of relations between religion and state in Indonesia</w:t>
      </w:r>
      <w:commentRangeEnd w:id="6"/>
      <w:r>
        <w:rPr>
          <w:rStyle w:val="CommentReference"/>
        </w:rPr>
        <w:commentReference w:id="6"/>
      </w:r>
      <w:r w:rsidRPr="006F7344">
        <w:t xml:space="preserve">, </w:t>
      </w:r>
      <w:proofErr w:type="gramStart"/>
      <w:r w:rsidRPr="006F7344">
        <w:t>despite the fact that</w:t>
      </w:r>
      <w:proofErr w:type="gramEnd"/>
      <w:r w:rsidRPr="006F7344">
        <w:t xml:space="preserve">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w:t>
      </w:r>
      <w:proofErr w:type="gramStart"/>
      <w:r w:rsidRPr="006F7344">
        <w:t>particular religious</w:t>
      </w:r>
      <w:proofErr w:type="gramEnd"/>
      <w:r w:rsidRPr="006F7344">
        <w:t xml:space="preserve">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w:t>
      </w:r>
      <w:commentRangeStart w:id="7"/>
      <w:r w:rsidRPr="006F7344">
        <w:t xml:space="preserve">to a true relationship </w:t>
      </w:r>
      <w:commentRangeEnd w:id="7"/>
      <w:r>
        <w:rPr>
          <w:rStyle w:val="CommentReference"/>
        </w:rPr>
        <w:commentReference w:id="7"/>
      </w:r>
      <w:r w:rsidRPr="006F7344">
        <w:t>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A459D89" w14:textId="77777777" w:rsidR="00FA01A1" w:rsidRPr="006F7344" w:rsidRDefault="00FA01A1" w:rsidP="00FA01A1">
      <w:pPr>
        <w:pStyle w:val="ParagraphNormal"/>
      </w:pPr>
      <w:r w:rsidRPr="006F7344">
        <w:t xml:space="preserve">The application of the anti-blasphemy law in the cases of </w:t>
      </w:r>
      <w:proofErr w:type="spellStart"/>
      <w:r w:rsidRPr="006F7344">
        <w:rPr>
          <w:i/>
          <w:iCs/>
        </w:rPr>
        <w:t>Ahok</w:t>
      </w:r>
      <w:proofErr w:type="spellEnd"/>
      <w:r w:rsidRPr="006F7344">
        <w:rPr>
          <w:i/>
          <w:iCs/>
        </w:rPr>
        <w:t xml:space="preserve">, </w:t>
      </w:r>
      <w:proofErr w:type="spellStart"/>
      <w:r w:rsidRPr="006F7344">
        <w:rPr>
          <w:i/>
          <w:iCs/>
        </w:rPr>
        <w:t>Gafatar</w:t>
      </w:r>
      <w:proofErr w:type="spellEnd"/>
      <w:r w:rsidRPr="006F7344">
        <w:rPr>
          <w:i/>
          <w:iCs/>
        </w:rPr>
        <w:t xml:space="preserve">, </w:t>
      </w:r>
      <w:proofErr w:type="spellStart"/>
      <w:r w:rsidRPr="006F7344">
        <w:rPr>
          <w:i/>
          <w:iCs/>
        </w:rPr>
        <w:t>Meiliana</w:t>
      </w:r>
      <w:proofErr w:type="spellEnd"/>
      <w:r w:rsidRPr="006F7344">
        <w:rPr>
          <w:i/>
          <w:iCs/>
        </w:rPr>
        <w:t>, and Ahmadiyya</w:t>
      </w:r>
      <w:r w:rsidRPr="006F7344">
        <w:t xml:space="preserve"> provides a more comprehensive explanation of why </w:t>
      </w:r>
      <w:commentRangeStart w:id="8"/>
      <w:r w:rsidRPr="006F7344">
        <w:t xml:space="preserve">pseudo-secularity between </w:t>
      </w:r>
      <w:commentRangeEnd w:id="8"/>
      <w:r>
        <w:rPr>
          <w:rStyle w:val="CommentReference"/>
        </w:rPr>
        <w:commentReference w:id="8"/>
      </w:r>
      <w:r w:rsidRPr="006F7344">
        <w:t>State and Religions under the regime of Indonesia Anti's Blasphemy Law is strengthening and endangering the right to freedom of religion.</w:t>
      </w:r>
    </w:p>
    <w:p w14:paraId="1BB956D4" w14:textId="77777777" w:rsidR="00FA01A1" w:rsidRPr="006F7344" w:rsidRDefault="00FA01A1" w:rsidP="00FA01A1">
      <w:pPr>
        <w:pStyle w:val="ParagraphNormal"/>
      </w:pPr>
      <w:r w:rsidRPr="006F7344">
        <w:t xml:space="preserve">The scholarship on the connection between the state and religion in Indonesia focuses mostly on normative historical research. Ota Atsushi, Oka-moto Masaaki, and Ahmad </w:t>
      </w:r>
      <w:proofErr w:type="spellStart"/>
      <w:r w:rsidRPr="006F7344">
        <w:t>Suaedy</w:t>
      </w:r>
      <w:proofErr w:type="spellEnd"/>
      <w:r w:rsidRPr="006F7344">
        <w:t xml:space="preserve"> (2010), for instance, highlight how Islam has hegemonized its relationship with Indonesia via the implementation of sharia norms, the establishment of a compilation of Islamic law as family law for Muslims in Indonesia.</w:t>
      </w:r>
      <w:r w:rsidRPr="006F7344">
        <w:rPr>
          <w:rStyle w:val="FootnoteReference"/>
        </w:rPr>
        <w:t xml:space="preserve"> </w:t>
      </w:r>
      <w:r w:rsidRPr="00E82028">
        <w:rPr>
          <w:rStyle w:val="FootnoteReference"/>
        </w:rPr>
        <w:footnoteReference w:id="1"/>
      </w:r>
      <w:r w:rsidRPr="006F7344">
        <w:t xml:space="preserve">  Consequently, this chapter does not explore </w:t>
      </w:r>
      <w:r w:rsidRPr="006F7344">
        <w:lastRenderedPageBreak/>
        <w:t xml:space="preserve">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w:t>
      </w:r>
      <w:proofErr w:type="gramStart"/>
      <w:r w:rsidRPr="006F7344">
        <w:t>As a result of</w:t>
      </w:r>
      <w:proofErr w:type="gramEnd"/>
      <w:r w:rsidRPr="006F7344">
        <w:t xml:space="preserve"> the application of the anti-blasphemy law, however, it is essential to utilize this chapter as a study guide while documenting the evolution of interactions between the state and religion.</w:t>
      </w:r>
    </w:p>
    <w:p w14:paraId="3044D67D" w14:textId="77777777" w:rsidR="00FA01A1" w:rsidRPr="006F7344" w:rsidRDefault="00FA01A1" w:rsidP="00FA01A1">
      <w:pPr>
        <w:pStyle w:val="ParagraphNormal"/>
      </w:pPr>
      <w:r w:rsidRPr="006F7344">
        <w:t>Second, Abdul Karim (2005)</w:t>
      </w:r>
      <w:r w:rsidRPr="00E82028">
        <w:rPr>
          <w:rStyle w:val="FootnoteReference"/>
        </w:rPr>
        <w:footnoteReference w:id="2"/>
      </w:r>
      <w:r w:rsidRPr="006F7344">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5BE53A39" w14:textId="77777777" w:rsidR="00FA01A1" w:rsidRPr="006F7344" w:rsidRDefault="00FA01A1" w:rsidP="00FA01A1">
      <w:pPr>
        <w:pStyle w:val="Quote"/>
      </w:pPr>
      <w:r w:rsidRPr="006F7344">
        <w:t>“In the reform era, the ambiguity of the "gender identity" of our constitution is getting worse. This indication began when the demands for amendments to the 1945 Constitution were failed to be carried out by law and policy makers”.</w:t>
      </w:r>
    </w:p>
    <w:p w14:paraId="03F77B1F" w14:textId="77777777" w:rsidR="00FA01A1" w:rsidRPr="006F7344" w:rsidRDefault="00FA01A1" w:rsidP="00FA01A1">
      <w:pPr>
        <w:pStyle w:val="ParagraphNormal"/>
      </w:pPr>
      <w:r w:rsidRPr="006F7344">
        <w:t xml:space="preserve">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w:t>
      </w:r>
      <w:proofErr w:type="gramStart"/>
      <w:r w:rsidRPr="006F7344">
        <w:t>more clear</w:t>
      </w:r>
      <w:proofErr w:type="gramEnd"/>
      <w:r w:rsidRPr="006F7344">
        <w:t xml:space="preserve"> picture of </w:t>
      </w:r>
      <w:commentRangeStart w:id="9"/>
      <w:r w:rsidRPr="006F7344">
        <w:t xml:space="preserve">whether the argument that Indonesia is not a religious state, but a religious state, </w:t>
      </w:r>
      <w:commentRangeEnd w:id="9"/>
      <w:r>
        <w:rPr>
          <w:rStyle w:val="CommentReference"/>
        </w:rPr>
        <w:commentReference w:id="9"/>
      </w:r>
      <w:r w:rsidRPr="006F7344">
        <w:t>is accurate or not.</w:t>
      </w:r>
    </w:p>
    <w:p w14:paraId="483B02A4" w14:textId="77777777" w:rsidR="00FA01A1" w:rsidRPr="006F7344" w:rsidRDefault="00FA01A1" w:rsidP="00FA01A1">
      <w:pPr>
        <w:pStyle w:val="ParagraphNormal"/>
      </w:pPr>
      <w:r w:rsidRPr="006F7344">
        <w:t xml:space="preserve">This chapter examines the extent to </w:t>
      </w:r>
      <w:commentRangeStart w:id="10"/>
      <w:r w:rsidRPr="006F7344">
        <w:t xml:space="preserve">which the execution of the Anti-Blasphemy Law reflects the state's support for the established faiths in Indonesia. </w:t>
      </w:r>
      <w:commentRangeEnd w:id="10"/>
      <w:r>
        <w:rPr>
          <w:rStyle w:val="CommentReference"/>
        </w:rPr>
        <w:commentReference w:id="10"/>
      </w:r>
      <w:r w:rsidRPr="006F7344">
        <w:t xml:space="preserve">The connection between the State and Religion under the regime of the Blasphemy Law will be evaluated using a </w:t>
      </w:r>
      <w:r w:rsidRPr="006F7344">
        <w:lastRenderedPageBreak/>
        <w:t xml:space="preserve">variety of indicators. The first section will examine how the established orthodox religions enjoy main governmental protection and how the legislation targets religious minorities. The second section will elaborate on why </w:t>
      </w:r>
      <w:commentRangeStart w:id="11"/>
      <w:r w:rsidRPr="006F7344">
        <w:t xml:space="preserve">the state's neutrality </w:t>
      </w:r>
      <w:commentRangeEnd w:id="11"/>
      <w:r>
        <w:rPr>
          <w:rStyle w:val="CommentReference"/>
        </w:rPr>
        <w:commentReference w:id="11"/>
      </w:r>
      <w:r w:rsidRPr="006F7344">
        <w:t>toward religions is problematic, citing instances in which the government has controlled religious life and established rules about deviant faiths. The final section investigates the relationship between official control of religion and judicial judgments to penalize other religious organizations. The fourth section describes how the State or government supported religious intolerance among the majority.</w:t>
      </w:r>
    </w:p>
    <w:p w14:paraId="1AE13821" w14:textId="77777777" w:rsidR="00FA01A1" w:rsidRPr="006F7344" w:rsidRDefault="00FA01A1" w:rsidP="00FA01A1">
      <w:pPr>
        <w:pStyle w:val="Heading2"/>
        <w:numPr>
          <w:ilvl w:val="1"/>
          <w:numId w:val="5"/>
        </w:numPr>
      </w:pPr>
      <w:bookmarkStart w:id="12" w:name="_Toc121200600"/>
      <w:bookmarkStart w:id="13" w:name="_Toc118302791"/>
      <w:r w:rsidRPr="006F7344">
        <w:t>Theory and Conceptual Framework</w:t>
      </w:r>
      <w:bookmarkEnd w:id="12"/>
    </w:p>
    <w:p w14:paraId="4D3308B4" w14:textId="77777777" w:rsidR="00FA01A1" w:rsidRPr="00734F87" w:rsidRDefault="00FA01A1" w:rsidP="00FA01A1">
      <w:pPr>
        <w:pStyle w:val="ListParagraph"/>
        <w:keepNext/>
        <w:keepLines/>
        <w:numPr>
          <w:ilvl w:val="0"/>
          <w:numId w:val="1"/>
        </w:numPr>
        <w:spacing w:before="480"/>
        <w:ind w:left="0"/>
        <w:contextualSpacing w:val="0"/>
        <w:jc w:val="center"/>
        <w:outlineLvl w:val="0"/>
        <w:rPr>
          <w:rFonts w:cs="Times New Roman"/>
          <w:b/>
          <w:bCs/>
          <w:caps/>
          <w:vanish/>
          <w:sz w:val="28"/>
          <w:szCs w:val="28"/>
        </w:rPr>
      </w:pPr>
    </w:p>
    <w:p w14:paraId="39E1BC81" w14:textId="77777777" w:rsidR="00FA01A1" w:rsidRPr="00734F87" w:rsidRDefault="00FA01A1" w:rsidP="00FA01A1">
      <w:pPr>
        <w:pStyle w:val="ListParagraph"/>
        <w:keepNext/>
        <w:numPr>
          <w:ilvl w:val="1"/>
          <w:numId w:val="1"/>
        </w:numPr>
        <w:tabs>
          <w:tab w:val="left" w:pos="426"/>
        </w:tabs>
        <w:spacing w:before="480" w:after="240"/>
        <w:ind w:left="432"/>
        <w:contextualSpacing w:val="0"/>
        <w:jc w:val="both"/>
        <w:outlineLvl w:val="1"/>
        <w:rPr>
          <w:rFonts w:cs="Times New Roman"/>
          <w:b/>
          <w:bCs/>
          <w:vanish/>
          <w:szCs w:val="28"/>
        </w:rPr>
      </w:pPr>
    </w:p>
    <w:p w14:paraId="240975E9" w14:textId="77777777" w:rsidR="00FA01A1" w:rsidRPr="00734F87" w:rsidRDefault="00FA01A1" w:rsidP="00FA01A1">
      <w:pPr>
        <w:pStyle w:val="ListParagraph"/>
        <w:keepNext/>
        <w:numPr>
          <w:ilvl w:val="1"/>
          <w:numId w:val="1"/>
        </w:numPr>
        <w:tabs>
          <w:tab w:val="left" w:pos="426"/>
        </w:tabs>
        <w:spacing w:before="480" w:after="240"/>
        <w:ind w:left="432"/>
        <w:contextualSpacing w:val="0"/>
        <w:jc w:val="both"/>
        <w:outlineLvl w:val="1"/>
        <w:rPr>
          <w:rFonts w:cs="Times New Roman"/>
          <w:b/>
          <w:bCs/>
          <w:vanish/>
          <w:szCs w:val="28"/>
        </w:rPr>
      </w:pPr>
    </w:p>
    <w:p w14:paraId="19FD2558" w14:textId="77777777" w:rsidR="00FA01A1" w:rsidRPr="006F7344" w:rsidRDefault="00FA01A1" w:rsidP="00FA01A1">
      <w:pPr>
        <w:pStyle w:val="Heading3"/>
      </w:pPr>
      <w:bookmarkStart w:id="14" w:name="_Toc121200601"/>
      <w:r w:rsidRPr="006F7344">
        <w:t>Relationship between State and Religion</w:t>
      </w:r>
      <w:bookmarkEnd w:id="13"/>
      <w:r w:rsidRPr="006F7344">
        <w:t>.</w:t>
      </w:r>
      <w:bookmarkEnd w:id="14"/>
    </w:p>
    <w:p w14:paraId="1F8E4F34" w14:textId="77777777" w:rsidR="00FA01A1" w:rsidRPr="006F7344" w:rsidRDefault="00FA01A1" w:rsidP="00FA01A1">
      <w:pPr>
        <w:pStyle w:val="ParagraphafSubheader"/>
      </w:pPr>
      <w:commentRangeStart w:id="15"/>
      <w:r w:rsidRPr="006F7344">
        <w:t xml:space="preserve">This study examines the link between religion and politics from a theoretical standpoint. </w:t>
      </w:r>
      <w:commentRangeEnd w:id="15"/>
      <w:r w:rsidR="003477DD">
        <w:rPr>
          <w:rStyle w:val="CommentReference"/>
        </w:rPr>
        <w:commentReference w:id="15"/>
      </w:r>
      <w:r w:rsidRPr="006F7344">
        <w:t>This notion is also known as the relationship between church and the state in certain publications (An-</w:t>
      </w:r>
      <w:proofErr w:type="spellStart"/>
      <w:r w:rsidRPr="006F7344">
        <w:t>Na'im</w:t>
      </w:r>
      <w:proofErr w:type="spellEnd"/>
      <w:r w:rsidRPr="006F7344">
        <w:t xml:space="preserve">, 2008; Durham and </w:t>
      </w:r>
      <w:proofErr w:type="spellStart"/>
      <w:r w:rsidRPr="006F7344">
        <w:t>Scharffs</w:t>
      </w:r>
      <w:proofErr w:type="spellEnd"/>
      <w:r w:rsidRPr="006F7344">
        <w:t xml:space="preserve">, 2010; Salim and </w:t>
      </w:r>
      <w:proofErr w:type="spellStart"/>
      <w:r w:rsidRPr="006F7344">
        <w:t>Azzra</w:t>
      </w:r>
      <w:proofErr w:type="spellEnd"/>
      <w:r w:rsidRPr="006F7344">
        <w:t xml:space="preserve">, 2020). Durham and </w:t>
      </w:r>
      <w:proofErr w:type="spellStart"/>
      <w:r w:rsidRPr="006F7344">
        <w:t>Scharffs</w:t>
      </w:r>
      <w:proofErr w:type="spellEnd"/>
      <w:r w:rsidRPr="006F7344">
        <w:t xml:space="preserve"> (2010: 121-175) categorize the relationship between religion and the state as follows: theocratic states, established religion states, religious status system states, endowed religion states, states with a preferred set of religions, cooperation between states and religion, states accommodating religions, separation between states and religions, </w:t>
      </w:r>
      <w:proofErr w:type="spellStart"/>
      <w:r w:rsidRPr="006F7344">
        <w:t>lacité</w:t>
      </w:r>
      <w:proofErr w:type="spellEnd"/>
      <w:r w:rsidRPr="006F7344">
        <w:t>, secular control regimes, and abolitionist regimes. Authors underline that the form of state-religion relations influences the degree of religious freedom in a country (p.123).</w:t>
      </w:r>
    </w:p>
    <w:p w14:paraId="31813424" w14:textId="77777777" w:rsidR="00FA01A1" w:rsidRPr="006F7344" w:rsidRDefault="00FA01A1" w:rsidP="00FA01A1">
      <w:pPr>
        <w:pStyle w:val="ParagraphNormal"/>
      </w:pPr>
      <w:r w:rsidRPr="006F7344">
        <w:t>Some institutional structures are less likely to encourage religious freedom than others, while some are completely incompatible with it (p. 121). The structure of the relationship between religion and the state is defined using a loop, allowing for a more precise identification of its impact on the right to religious freedom. Durham and Brett demonstrate the range of options, from complete or positive identification through non-identification and on to negative identification, when persecution or antagonism towards religion prevails, in figure 2. Positive identification (such as recognizing just one religion) reduces religious liberty for other faiths. Negative identification in which State animosity towards religion leads in the absence of religious liberty.</w:t>
      </w:r>
    </w:p>
    <w:p w14:paraId="44BA1009" w14:textId="77777777" w:rsidR="00FA01A1" w:rsidRPr="006F7344" w:rsidRDefault="00FA01A1" w:rsidP="00FA01A1">
      <w:pPr>
        <w:pStyle w:val="ParagraphNormal"/>
      </w:pPr>
      <w:r w:rsidRPr="006F7344">
        <w:lastRenderedPageBreak/>
        <w:t>This loop diagram illustrates the category of state-religion connection, the attitudes of the state toward religion, and the level of religious freedom in each category.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w:t>
      </w:r>
    </w:p>
    <w:p w14:paraId="310603A2" w14:textId="77777777" w:rsidR="00FA01A1" w:rsidRPr="006F7344" w:rsidRDefault="00FA01A1" w:rsidP="00FA01A1">
      <w:pPr>
        <w:pStyle w:val="ParagraphNormal"/>
      </w:pPr>
      <w:r w:rsidRPr="006F7344">
        <w:t xml:space="preserve">People often believe that a high degree of religious freedom corresponds with a low degree of religion-state identity or a low degree of religious freedom correlates with a high degree of religion-state identification (Durham and </w:t>
      </w:r>
      <w:proofErr w:type="spellStart"/>
      <w:r w:rsidRPr="006F7344">
        <w:t>Scharffs</w:t>
      </w:r>
      <w:proofErr w:type="spellEnd"/>
      <w:r w:rsidRPr="006F7344">
        <w:t xml:space="preserve">, 2010). Durham and </w:t>
      </w:r>
      <w:proofErr w:type="spellStart"/>
      <w:r w:rsidRPr="006F7344">
        <w:t>Scharffs</w:t>
      </w:r>
      <w:proofErr w:type="spellEnd"/>
      <w:r w:rsidRPr="006F7344">
        <w:t xml:space="preserve"> claim that separation between state and religion does not necessarily lead to a high degree of </w:t>
      </w:r>
      <w:proofErr w:type="spellStart"/>
      <w:r w:rsidRPr="006F7344">
        <w:t>FoRB</w:t>
      </w:r>
      <w:proofErr w:type="spellEnd"/>
      <w:r w:rsidRPr="006F7344">
        <w:t xml:space="preserve">, and vice versa, because the structure of religion-state interactions is never static (2010, p.121). A high degree of religious freedom corresponds with a low degree of religion-state identity (recognition); nevertheless, it is not necessarily the case that a low degree of religious freedom correlates with a high degree of religion-state identification. </w:t>
      </w:r>
      <w:proofErr w:type="gramStart"/>
      <w:r w:rsidRPr="006F7344">
        <w:t>Some nations,</w:t>
      </w:r>
      <w:proofErr w:type="gramEnd"/>
      <w:r w:rsidRPr="006F7344">
        <w:t xml:space="preserve"> like as Norway, Finland, and the United Kingdom, have total identification or religious institutions while retaining a high level of religious freedom. A country has non-identification or non-establishment of religion, on the other hand. They have little religious freedom, such as the Soviet era of Russia and Albania (p.122). In conclusion,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is influenced by political manipulation of religions and populism </w:t>
      </w:r>
      <w:proofErr w:type="gramStart"/>
      <w:r w:rsidRPr="006F7344">
        <w:t>has an effect on</w:t>
      </w:r>
      <w:proofErr w:type="gramEnd"/>
      <w:r w:rsidRPr="006F7344">
        <w:t xml:space="preserve"> violations of the right to religious freedom.</w:t>
      </w:r>
    </w:p>
    <w:p w14:paraId="4EC639F0" w14:textId="77777777" w:rsidR="00FA01A1" w:rsidRPr="006F7344" w:rsidRDefault="00FA01A1" w:rsidP="00FA01A1">
      <w:pPr>
        <w:pStyle w:val="Heading3"/>
        <w:spacing w:before="0" w:after="0" w:line="360" w:lineRule="auto"/>
      </w:pPr>
      <w:bookmarkStart w:id="16" w:name="_Toc118302792"/>
      <w:bookmarkStart w:id="17" w:name="_Toc121200602"/>
      <w:r w:rsidRPr="006F7344">
        <w:t>Implication of Relationship towards Religious Freedom</w:t>
      </w:r>
      <w:bookmarkEnd w:id="16"/>
      <w:bookmarkEnd w:id="17"/>
    </w:p>
    <w:p w14:paraId="25A98F18" w14:textId="77777777" w:rsidR="00FA01A1" w:rsidRPr="006F7344" w:rsidRDefault="00FA01A1" w:rsidP="00FA01A1">
      <w:pPr>
        <w:pStyle w:val="ParagraphafSubheader"/>
      </w:pPr>
      <w:r w:rsidRPr="006F7344">
        <w:t>Abdul-</w:t>
      </w:r>
      <w:proofErr w:type="spellStart"/>
      <w:r w:rsidRPr="006F7344">
        <w:t>lah</w:t>
      </w:r>
      <w:proofErr w:type="spellEnd"/>
      <w:r w:rsidRPr="006F7344">
        <w:t xml:space="preserve"> An-</w:t>
      </w:r>
      <w:proofErr w:type="spellStart"/>
      <w:r w:rsidRPr="006F7344">
        <w:t>Na'im</w:t>
      </w:r>
      <w:proofErr w:type="spellEnd"/>
      <w:r w:rsidRPr="006F7344">
        <w:t>, one of the foremost Muslim intellectuals and specialists in Law and Human Rights, says that it is crucial for the Muslim community to apply secularism in the twenty-first century. An-</w:t>
      </w:r>
      <w:proofErr w:type="spellStart"/>
      <w:r w:rsidRPr="006F7344">
        <w:t>Na'im</w:t>
      </w:r>
      <w:proofErr w:type="spellEnd"/>
      <w:r w:rsidRPr="006F7344">
        <w:t xml:space="preserve">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w:t>
      </w:r>
      <w:proofErr w:type="spellStart"/>
      <w:r w:rsidRPr="006F7344">
        <w:lastRenderedPageBreak/>
        <w:t>Na'im's</w:t>
      </w:r>
      <w:proofErr w:type="spellEnd"/>
      <w:r w:rsidRPr="006F7344">
        <w:t xml:space="preserve"> of the notion of building an Islamic state, as the Qur'an itself states that "religious compulsion is forbidden." Therefore, An-</w:t>
      </w:r>
      <w:proofErr w:type="spellStart"/>
      <w:r w:rsidRPr="006F7344">
        <w:t>Na'im</w:t>
      </w:r>
      <w:proofErr w:type="spellEnd"/>
      <w:r w:rsidRPr="006F7344">
        <w:t xml:space="preserve"> underlined that secularism is a step forward for the future of Muslim-majority nations.</w:t>
      </w:r>
    </w:p>
    <w:p w14:paraId="74E35C90" w14:textId="77777777" w:rsidR="00FA01A1" w:rsidRPr="006F7344" w:rsidRDefault="00FA01A1" w:rsidP="00FA01A1">
      <w:pPr>
        <w:pStyle w:val="ParagraphNormal"/>
      </w:pPr>
      <w:commentRangeStart w:id="18"/>
      <w:r w:rsidRPr="006F7344">
        <w:t xml:space="preserve">However, the terms secularism and secularity are sometimes misunderstood. </w:t>
      </w:r>
      <w:commentRangeEnd w:id="18"/>
      <w:r w:rsidR="003477DD">
        <w:rPr>
          <w:rStyle w:val="CommentReference"/>
        </w:rPr>
        <w:commentReference w:id="18"/>
      </w:r>
      <w:r w:rsidRPr="006F7344">
        <w:t xml:space="preserve">Secularism emphasizes the notion of the separation of state and religious connections. In this environment,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 Therefore, the term secularism is perceived as a threat to religious life or the right to religious freedom. This differs from secularism in that secularity, as an adjective, focuses on the nature of the state's relationship with religion, which neutralizes the state's position on religion or accommodates the interests of religious adherents without </w:t>
      </w:r>
      <w:proofErr w:type="spellStart"/>
      <w:r w:rsidRPr="006F7344">
        <w:t>favoring</w:t>
      </w:r>
      <w:proofErr w:type="spellEnd"/>
      <w:r w:rsidRPr="006F7344">
        <w:t xml:space="preserve"> one religion or forbidding others.</w:t>
      </w:r>
    </w:p>
    <w:p w14:paraId="51630024" w14:textId="77777777" w:rsidR="00FA01A1" w:rsidRPr="006F7344" w:rsidRDefault="00FA01A1" w:rsidP="00FA01A1">
      <w:pPr>
        <w:pStyle w:val="ParagraphNormal"/>
      </w:pPr>
      <w:r w:rsidRPr="006F7344">
        <w:t xml:space="preserve">This publication refers to the idea of Durham and </w:t>
      </w:r>
      <w:proofErr w:type="spellStart"/>
      <w:r w:rsidRPr="006F7344">
        <w:t>Scharffs</w:t>
      </w:r>
      <w:proofErr w:type="spellEnd"/>
      <w:r w:rsidRPr="006F7344">
        <w:t xml:space="preserve"> using the term secularity rather than secularism. </w:t>
      </w:r>
      <w:proofErr w:type="spellStart"/>
      <w:r w:rsidRPr="006F7344">
        <w:t>Scharffs</w:t>
      </w:r>
      <w:proofErr w:type="spellEnd"/>
      <w:r w:rsidRPr="006F7344">
        <w:t xml:space="preserve"> recalled that secularism and secularity are distinct because, both theoretically and practically, they differ in terms of meaning, character, and degrees of freedom, as shown in Table </w:t>
      </w:r>
      <w:r>
        <w:t>10</w:t>
      </w:r>
      <w:r w:rsidRPr="006F7344">
        <w:t>.</w:t>
      </w:r>
    </w:p>
    <w:p w14:paraId="5E093A6C" w14:textId="77777777" w:rsidR="00FA01A1" w:rsidRPr="006F7344" w:rsidRDefault="00FA01A1" w:rsidP="00FA01A1">
      <w:pPr>
        <w:pStyle w:val="Caption"/>
        <w:keepNext/>
      </w:pPr>
      <w:commentRangeStart w:id="19"/>
      <w:r w:rsidRPr="006F7344">
        <w:t xml:space="preserve">Table </w:t>
      </w:r>
      <w:r w:rsidRPr="006F7344">
        <w:fldChar w:fldCharType="begin"/>
      </w:r>
      <w:r w:rsidRPr="006F7344">
        <w:instrText xml:space="preserve"> SEQ Table \* ARABIC </w:instrText>
      </w:r>
      <w:r w:rsidRPr="006F7344">
        <w:fldChar w:fldCharType="separate"/>
      </w:r>
      <w:r>
        <w:rPr>
          <w:noProof/>
        </w:rPr>
        <w:t>10</w:t>
      </w:r>
      <w:r w:rsidRPr="006F7344">
        <w:rPr>
          <w:noProof/>
        </w:rPr>
        <w:fldChar w:fldCharType="end"/>
      </w:r>
      <w:r w:rsidRPr="006F7344">
        <w:t>. Distinction Between Secularity and Secularism</w:t>
      </w:r>
      <w:commentRangeEnd w:id="19"/>
      <w:r w:rsidR="003477DD">
        <w:rPr>
          <w:rStyle w:val="CommentReference"/>
          <w:i w:val="0"/>
          <w:iCs w:val="0"/>
          <w:color w:val="auto"/>
        </w:rPr>
        <w:commentReference w:id="19"/>
      </w:r>
    </w:p>
    <w:tbl>
      <w:tblPr>
        <w:tblStyle w:val="PlainTable5"/>
        <w:tblW w:w="0" w:type="auto"/>
        <w:tblLook w:val="04A0" w:firstRow="1" w:lastRow="0" w:firstColumn="1" w:lastColumn="0" w:noHBand="0" w:noVBand="1"/>
      </w:tblPr>
      <w:tblGrid>
        <w:gridCol w:w="1320"/>
        <w:gridCol w:w="3580"/>
        <w:gridCol w:w="3464"/>
      </w:tblGrid>
      <w:tr w:rsidR="00FA01A1" w:rsidRPr="006F7344" w14:paraId="6B5EBF69" w14:textId="77777777" w:rsidTr="00FA01A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231316CE" w14:textId="77777777" w:rsidR="00FA01A1" w:rsidRPr="006F7344" w:rsidRDefault="00FA01A1" w:rsidP="00FA01A1">
            <w:pPr>
              <w:jc w:val="both"/>
              <w:rPr>
                <w:bCs/>
                <w:sz w:val="20"/>
                <w:szCs w:val="20"/>
              </w:rPr>
            </w:pPr>
            <w:r w:rsidRPr="006F7344">
              <w:rPr>
                <w:bCs/>
                <w:sz w:val="20"/>
                <w:szCs w:val="20"/>
              </w:rPr>
              <w:t>Distinction</w:t>
            </w:r>
          </w:p>
        </w:tc>
        <w:tc>
          <w:tcPr>
            <w:tcW w:w="3580" w:type="dxa"/>
            <w:tcBorders>
              <w:top w:val="single" w:sz="4" w:space="0" w:color="auto"/>
            </w:tcBorders>
          </w:tcPr>
          <w:p w14:paraId="2E5EA0F2" w14:textId="77777777" w:rsidR="00FA01A1" w:rsidRPr="006F7344" w:rsidRDefault="00FA01A1" w:rsidP="00FA01A1">
            <w:pPr>
              <w:jc w:val="both"/>
              <w:cnfStyle w:val="100000000000" w:firstRow="1" w:lastRow="0" w:firstColumn="0" w:lastColumn="0" w:oddVBand="0" w:evenVBand="0" w:oddHBand="0" w:evenHBand="0" w:firstRowFirstColumn="0" w:firstRowLastColumn="0" w:lastRowFirstColumn="0" w:lastRowLastColumn="0"/>
              <w:rPr>
                <w:bCs/>
                <w:sz w:val="20"/>
                <w:szCs w:val="20"/>
              </w:rPr>
            </w:pPr>
            <w:r w:rsidRPr="006F7344">
              <w:rPr>
                <w:bCs/>
                <w:sz w:val="20"/>
                <w:szCs w:val="20"/>
              </w:rPr>
              <w:t>Secularity</w:t>
            </w:r>
          </w:p>
        </w:tc>
        <w:tc>
          <w:tcPr>
            <w:tcW w:w="3464" w:type="dxa"/>
            <w:tcBorders>
              <w:top w:val="single" w:sz="4" w:space="0" w:color="auto"/>
            </w:tcBorders>
          </w:tcPr>
          <w:p w14:paraId="7F514205" w14:textId="77777777" w:rsidR="00FA01A1" w:rsidRPr="006F7344" w:rsidRDefault="00FA01A1" w:rsidP="00FA01A1">
            <w:pPr>
              <w:jc w:val="both"/>
              <w:cnfStyle w:val="100000000000" w:firstRow="1" w:lastRow="0" w:firstColumn="0" w:lastColumn="0" w:oddVBand="0" w:evenVBand="0" w:oddHBand="0" w:evenHBand="0" w:firstRowFirstColumn="0" w:firstRowLastColumn="0" w:lastRowFirstColumn="0" w:lastRowLastColumn="0"/>
              <w:rPr>
                <w:bCs/>
                <w:sz w:val="20"/>
                <w:szCs w:val="20"/>
              </w:rPr>
            </w:pPr>
            <w:r w:rsidRPr="006F7344">
              <w:rPr>
                <w:bCs/>
                <w:sz w:val="20"/>
                <w:szCs w:val="20"/>
              </w:rPr>
              <w:t>Secularism</w:t>
            </w:r>
          </w:p>
        </w:tc>
      </w:tr>
      <w:tr w:rsidR="00FA01A1" w:rsidRPr="006F7344" w14:paraId="6FC59035" w14:textId="77777777" w:rsidTr="00FA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CE21A41" w14:textId="77777777" w:rsidR="00FA01A1" w:rsidRPr="006F7344" w:rsidRDefault="00FA01A1" w:rsidP="00FA01A1">
            <w:pPr>
              <w:jc w:val="both"/>
              <w:rPr>
                <w:bCs/>
                <w:sz w:val="20"/>
                <w:szCs w:val="20"/>
              </w:rPr>
            </w:pPr>
            <w:r w:rsidRPr="006F7344">
              <w:rPr>
                <w:bCs/>
                <w:sz w:val="20"/>
                <w:szCs w:val="20"/>
              </w:rPr>
              <w:t>Definition</w:t>
            </w:r>
          </w:p>
        </w:tc>
        <w:tc>
          <w:tcPr>
            <w:tcW w:w="3580" w:type="dxa"/>
          </w:tcPr>
          <w:p w14:paraId="7915F3DF" w14:textId="77777777" w:rsidR="00FA01A1" w:rsidRPr="006F7344" w:rsidRDefault="00FA01A1" w:rsidP="00FA01A1">
            <w:pPr>
              <w:ind w:left="34"/>
              <w:jc w:val="both"/>
              <w:cnfStyle w:val="000000100000" w:firstRow="0" w:lastRow="0" w:firstColumn="0" w:lastColumn="0" w:oddVBand="0" w:evenVBand="0" w:oddHBand="1" w:evenHBand="0" w:firstRowFirstColumn="0" w:firstRowLastColumn="0" w:lastRowFirstColumn="0" w:lastRowLastColumn="0"/>
              <w:rPr>
                <w:bCs/>
                <w:sz w:val="20"/>
                <w:szCs w:val="20"/>
              </w:rPr>
            </w:pPr>
            <w:r w:rsidRPr="006F7344">
              <w:rPr>
                <w:bCs/>
                <w:sz w:val="20"/>
                <w:szCs w:val="20"/>
              </w:rPr>
              <w:t>“Secularity is an approach to religion-state relations that avoids identification of the state with any particular religion or ideology (including secularism itself) and endeavours to provide a neutral framework capable of accommodating a broad range of religions and beliefs”</w:t>
            </w:r>
          </w:p>
          <w:p w14:paraId="5A399E0F" w14:textId="77777777" w:rsidR="00FA01A1" w:rsidRPr="006F7344" w:rsidRDefault="00FA01A1" w:rsidP="00FA01A1">
            <w:pPr>
              <w:jc w:val="both"/>
              <w:cnfStyle w:val="000000100000" w:firstRow="0" w:lastRow="0" w:firstColumn="0" w:lastColumn="0" w:oddVBand="0" w:evenVBand="0" w:oddHBand="1" w:evenHBand="0" w:firstRowFirstColumn="0" w:firstRowLastColumn="0" w:lastRowFirstColumn="0" w:lastRowLastColumn="0"/>
              <w:rPr>
                <w:bCs/>
                <w:sz w:val="20"/>
                <w:szCs w:val="20"/>
              </w:rPr>
            </w:pPr>
          </w:p>
        </w:tc>
        <w:tc>
          <w:tcPr>
            <w:tcW w:w="3464" w:type="dxa"/>
          </w:tcPr>
          <w:p w14:paraId="6F717C97" w14:textId="77777777" w:rsidR="00FA01A1" w:rsidRPr="006F7344" w:rsidRDefault="00FA01A1" w:rsidP="00FA01A1">
            <w:pPr>
              <w:jc w:val="both"/>
              <w:cnfStyle w:val="000000100000" w:firstRow="0" w:lastRow="0" w:firstColumn="0" w:lastColumn="0" w:oddVBand="0" w:evenVBand="0" w:oddHBand="1" w:evenHBand="0" w:firstRowFirstColumn="0" w:firstRowLastColumn="0" w:lastRowFirstColumn="0" w:lastRowLastColumn="0"/>
              <w:rPr>
                <w:bCs/>
                <w:sz w:val="20"/>
                <w:szCs w:val="20"/>
              </w:rPr>
            </w:pPr>
            <w:r w:rsidRPr="006F7344">
              <w:rPr>
                <w:bCs/>
                <w:sz w:val="20"/>
                <w:szCs w:val="20"/>
              </w:rPr>
              <w:t xml:space="preserve">“secularism is an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FA01A1" w:rsidRPr="006F7344" w14:paraId="77B2C62C" w14:textId="77777777" w:rsidTr="00FA01A1">
        <w:tc>
          <w:tcPr>
            <w:cnfStyle w:val="001000000000" w:firstRow="0" w:lastRow="0" w:firstColumn="1" w:lastColumn="0" w:oddVBand="0" w:evenVBand="0" w:oddHBand="0" w:evenHBand="0" w:firstRowFirstColumn="0" w:firstRowLastColumn="0" w:lastRowFirstColumn="0" w:lastRowLastColumn="0"/>
            <w:tcW w:w="1320" w:type="dxa"/>
          </w:tcPr>
          <w:p w14:paraId="093A3C11" w14:textId="77777777" w:rsidR="00FA01A1" w:rsidRPr="006F7344" w:rsidRDefault="00FA01A1" w:rsidP="00FA01A1">
            <w:pPr>
              <w:jc w:val="both"/>
              <w:rPr>
                <w:bCs/>
                <w:sz w:val="20"/>
                <w:szCs w:val="20"/>
              </w:rPr>
            </w:pPr>
            <w:r w:rsidRPr="006F7344">
              <w:rPr>
                <w:bCs/>
                <w:sz w:val="20"/>
                <w:szCs w:val="20"/>
              </w:rPr>
              <w:t>State position</w:t>
            </w:r>
          </w:p>
        </w:tc>
        <w:tc>
          <w:tcPr>
            <w:tcW w:w="3580" w:type="dxa"/>
          </w:tcPr>
          <w:p w14:paraId="1A1F0091" w14:textId="77777777" w:rsidR="00FA01A1" w:rsidRPr="006F7344" w:rsidRDefault="00FA01A1" w:rsidP="00FA01A1">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6F7344">
              <w:rPr>
                <w:bCs/>
                <w:sz w:val="20"/>
                <w:szCs w:val="20"/>
              </w:rPr>
              <w:t>Secularity will be inclined towards negative liberty. States are avoiding to interference freedom of other people.</w:t>
            </w:r>
          </w:p>
        </w:tc>
        <w:tc>
          <w:tcPr>
            <w:tcW w:w="3464" w:type="dxa"/>
          </w:tcPr>
          <w:p w14:paraId="32656A7B" w14:textId="77777777" w:rsidR="00FA01A1" w:rsidRPr="006F7344" w:rsidRDefault="00FA01A1" w:rsidP="00FA01A1">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6F7344">
              <w:rPr>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FA01A1" w:rsidRPr="006F7344" w14:paraId="6C16C4B1" w14:textId="77777777" w:rsidTr="00FA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20698FDB" w14:textId="77777777" w:rsidR="00FA01A1" w:rsidRPr="006F7344" w:rsidRDefault="00FA01A1" w:rsidP="00FA01A1">
            <w:pPr>
              <w:jc w:val="both"/>
              <w:rPr>
                <w:bCs/>
                <w:sz w:val="20"/>
                <w:szCs w:val="20"/>
              </w:rPr>
            </w:pPr>
            <w:r w:rsidRPr="006F7344">
              <w:rPr>
                <w:bCs/>
                <w:sz w:val="20"/>
                <w:szCs w:val="20"/>
              </w:rPr>
              <w:lastRenderedPageBreak/>
              <w:t>Upholding certain values</w:t>
            </w:r>
          </w:p>
        </w:tc>
        <w:tc>
          <w:tcPr>
            <w:tcW w:w="3580" w:type="dxa"/>
            <w:tcBorders>
              <w:bottom w:val="single" w:sz="4" w:space="0" w:color="auto"/>
            </w:tcBorders>
          </w:tcPr>
          <w:p w14:paraId="0CC0806E" w14:textId="77777777" w:rsidR="00FA01A1" w:rsidRPr="006F7344" w:rsidRDefault="00FA01A1" w:rsidP="00FA01A1">
            <w:pPr>
              <w:jc w:val="both"/>
              <w:cnfStyle w:val="000000100000" w:firstRow="0" w:lastRow="0" w:firstColumn="0" w:lastColumn="0" w:oddVBand="0" w:evenVBand="0" w:oddHBand="1" w:evenHBand="0" w:firstRowFirstColumn="0" w:firstRowLastColumn="0" w:lastRowFirstColumn="0" w:lastRowLastColumn="0"/>
              <w:rPr>
                <w:bCs/>
                <w:sz w:val="20"/>
                <w:szCs w:val="20"/>
              </w:rPr>
            </w:pPr>
            <w:r w:rsidRPr="006F7344">
              <w:rPr>
                <w:bCs/>
                <w:sz w:val="20"/>
                <w:szCs w:val="20"/>
              </w:rPr>
              <w:t>Secularity upholds multiple, plural, and ultimately incommensurable.</w:t>
            </w:r>
          </w:p>
        </w:tc>
        <w:tc>
          <w:tcPr>
            <w:tcW w:w="3464" w:type="dxa"/>
            <w:tcBorders>
              <w:bottom w:val="single" w:sz="4" w:space="0" w:color="auto"/>
            </w:tcBorders>
          </w:tcPr>
          <w:p w14:paraId="500BB475" w14:textId="77777777" w:rsidR="00FA01A1" w:rsidRPr="006F7344" w:rsidRDefault="00FA01A1" w:rsidP="00FA01A1">
            <w:pPr>
              <w:jc w:val="both"/>
              <w:cnfStyle w:val="000000100000" w:firstRow="0" w:lastRow="0" w:firstColumn="0" w:lastColumn="0" w:oddVBand="0" w:evenVBand="0" w:oddHBand="1" w:evenHBand="0" w:firstRowFirstColumn="0" w:firstRowLastColumn="0" w:lastRowFirstColumn="0" w:lastRowLastColumn="0"/>
              <w:rPr>
                <w:bCs/>
                <w:sz w:val="20"/>
                <w:szCs w:val="20"/>
              </w:rPr>
            </w:pPr>
            <w:r w:rsidRPr="006F7344">
              <w:rPr>
                <w:bCs/>
                <w:sz w:val="20"/>
                <w:szCs w:val="20"/>
              </w:rPr>
              <w:t>Secularism allows criminalization towards certain religions.</w:t>
            </w:r>
          </w:p>
        </w:tc>
      </w:tr>
    </w:tbl>
    <w:p w14:paraId="4084B27C" w14:textId="77777777" w:rsidR="00FA01A1" w:rsidRPr="006F7344" w:rsidRDefault="00FA01A1" w:rsidP="00FA01A1">
      <w:pPr>
        <w:pStyle w:val="ParagraphNormal"/>
        <w:ind w:firstLine="0"/>
        <w:rPr>
          <w:sz w:val="20"/>
          <w:szCs w:val="20"/>
        </w:rPr>
      </w:pPr>
      <w:r w:rsidRPr="006F7344">
        <w:rPr>
          <w:sz w:val="20"/>
          <w:szCs w:val="20"/>
        </w:rPr>
        <w:t xml:space="preserve">Source: Cited from Durham &amp; Brett </w:t>
      </w:r>
      <w:proofErr w:type="spellStart"/>
      <w:r w:rsidRPr="006F7344">
        <w:rPr>
          <w:sz w:val="20"/>
          <w:szCs w:val="20"/>
        </w:rPr>
        <w:t>Scharffs</w:t>
      </w:r>
      <w:proofErr w:type="spellEnd"/>
      <w:r w:rsidRPr="006F7344">
        <w:rPr>
          <w:sz w:val="20"/>
          <w:szCs w:val="20"/>
        </w:rPr>
        <w:t xml:space="preserve"> (2010).</w:t>
      </w:r>
    </w:p>
    <w:p w14:paraId="3DC02660" w14:textId="77777777" w:rsidR="00FA01A1" w:rsidRPr="006F7344" w:rsidRDefault="00FA01A1" w:rsidP="00FA01A1">
      <w:pPr>
        <w:pStyle w:val="ParagraphNormal"/>
      </w:pPr>
      <w:r w:rsidRPr="006F7344">
        <w:t xml:space="preserve">According to Durham and </w:t>
      </w:r>
      <w:proofErr w:type="spellStart"/>
      <w:r w:rsidRPr="006F7344">
        <w:t>Scharffs</w:t>
      </w:r>
      <w:proofErr w:type="spellEnd"/>
      <w:r w:rsidRPr="006F7344">
        <w:t xml:space="preserve"> (2010), the relationship between state and religion determines the </w:t>
      </w:r>
      <w:commentRangeStart w:id="20"/>
      <w:r w:rsidRPr="006F7344">
        <w:t xml:space="preserve">degree to which the right to freedom of religion is realized. </w:t>
      </w:r>
      <w:commentRangeEnd w:id="20"/>
      <w:r w:rsidR="003477DD">
        <w:rPr>
          <w:rStyle w:val="CommentReference"/>
        </w:rPr>
        <w:commentReference w:id="20"/>
      </w:r>
      <w:r w:rsidRPr="006F7344">
        <w:t>In Diagram 6.1, the connection between the two might be very dynamic or undergo a transition from a positive identification posture in which the state dominates people' religious matters. Such a relationship can evolve into a state that is tolerant of all religions practiced by its citizens, a neutral state relationship to religion in which the state maintains its distance from the religious choices of its citizens and treats all religions equally, or a state that completely separates its affairs. religion with the state (secularity) so that the state does not need to recognize the faiths or beliefs of its residents and allows it to flourish according to the community's wish.</w:t>
      </w:r>
    </w:p>
    <w:p w14:paraId="0F8CF6DC" w14:textId="77777777" w:rsidR="00FA01A1" w:rsidRPr="006F7344" w:rsidRDefault="00FA01A1" w:rsidP="00FA01A1">
      <w:pPr>
        <w:pStyle w:val="ParagraphNormal"/>
        <w:rPr>
          <w:noProof/>
        </w:rPr>
      </w:pPr>
      <w:r w:rsidRPr="006F7344">
        <w:rPr>
          <w:noProof/>
        </w:rPr>
        <w:drawing>
          <wp:anchor distT="0" distB="0" distL="114300" distR="114300" simplePos="0" relativeHeight="251665408" behindDoc="0" locked="0" layoutInCell="1" allowOverlap="1" wp14:anchorId="289A119E" wp14:editId="39A29B49">
            <wp:simplePos x="0" y="0"/>
            <wp:positionH relativeFrom="margin">
              <wp:posOffset>0</wp:posOffset>
            </wp:positionH>
            <wp:positionV relativeFrom="paragraph">
              <wp:posOffset>256540</wp:posOffset>
            </wp:positionV>
            <wp:extent cx="5060950" cy="3072130"/>
            <wp:effectExtent l="0" t="0" r="635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060950" cy="3072130"/>
                    </a:xfrm>
                    <a:prstGeom prst="rect">
                      <a:avLst/>
                    </a:prstGeom>
                    <a:ln/>
                  </pic:spPr>
                </pic:pic>
              </a:graphicData>
            </a:graphic>
            <wp14:sizeRelH relativeFrom="page">
              <wp14:pctWidth>0</wp14:pctWidth>
            </wp14:sizeRelH>
            <wp14:sizeRelV relativeFrom="page">
              <wp14:pctHeight>0</wp14:pctHeight>
            </wp14:sizeRelV>
          </wp:anchor>
        </w:drawing>
      </w:r>
    </w:p>
    <w:p w14:paraId="2DE7226D" w14:textId="77777777" w:rsidR="00FA01A1" w:rsidRPr="006F7344" w:rsidRDefault="00FA01A1" w:rsidP="00FA01A1">
      <w:pPr>
        <w:pStyle w:val="ParagraphNormal"/>
        <w:rPr>
          <w:noProof/>
        </w:rPr>
      </w:pPr>
      <w:r w:rsidRPr="006F7344">
        <w:rPr>
          <w:noProof/>
        </w:rPr>
        <mc:AlternateContent>
          <mc:Choice Requires="wps">
            <w:drawing>
              <wp:anchor distT="0" distB="0" distL="114300" distR="114300" simplePos="0" relativeHeight="251666432" behindDoc="0" locked="0" layoutInCell="1" allowOverlap="1" wp14:anchorId="2E2C24E6" wp14:editId="6E905C2D">
                <wp:simplePos x="0" y="0"/>
                <wp:positionH relativeFrom="margin">
                  <wp:align>right</wp:align>
                </wp:positionH>
                <wp:positionV relativeFrom="paragraph">
                  <wp:posOffset>3251835</wp:posOffset>
                </wp:positionV>
                <wp:extent cx="5060950" cy="257175"/>
                <wp:effectExtent l="0" t="0" r="6350" b="9525"/>
                <wp:wrapTopAndBottom/>
                <wp:docPr id="39" name="Text Box 39"/>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58691EAE" w14:textId="77777777" w:rsidR="00FA01A1" w:rsidRPr="001C5516" w:rsidRDefault="00FA01A1" w:rsidP="00FA01A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C24E6" id="_x0000_t202" coordsize="21600,21600" o:spt="202" path="m,l,21600r21600,l21600,xe">
                <v:stroke joinstyle="miter"/>
                <v:path gradientshapeok="t" o:connecttype="rect"/>
              </v:shapetype>
              <v:shape id="Text Box 39" o:spid="_x0000_s1026" type="#_x0000_t202" style="position:absolute;left:0;text-align:left;margin-left:347.3pt;margin-top:256.05pt;width:398.5pt;height:20.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" stroked="f">
                <v:textbox style="mso-fit-shape-to-text:t" inset="0,0,0,0">
                  <w:txbxContent>
                    <w:p w14:paraId="58691EAE" w14:textId="77777777" w:rsidR="00FA01A1" w:rsidRPr="001C5516" w:rsidRDefault="00FA01A1" w:rsidP="00FA01A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17207489" w14:textId="77777777" w:rsidR="00FA01A1" w:rsidRPr="006F7344" w:rsidRDefault="00FA01A1" w:rsidP="00FA01A1">
      <w:pPr>
        <w:pStyle w:val="ParagraphNormal"/>
        <w:rPr>
          <w:noProof/>
        </w:rPr>
      </w:pPr>
      <w:r w:rsidRPr="006F7344">
        <w:rPr>
          <w:noProof/>
        </w:rPr>
        <w:t xml:space="preserve">This concept of neutrality can also lead to negative identification if secularity moves towards insensitivity or if the state is less sensitive to the religion of its citizens, or it can lead to secularism if the state begins to restrict religion in state life by prohibiting the use of </w:t>
      </w:r>
      <w:r w:rsidRPr="006F7344">
        <w:rPr>
          <w:noProof/>
        </w:rPr>
        <w:lastRenderedPageBreak/>
        <w:t xml:space="preserve">religious symbols in public spaces. </w:t>
      </w:r>
      <w:bookmarkStart w:id="21" w:name="_Toc118302793"/>
      <w:r w:rsidRPr="006F7344">
        <w:rPr>
          <w:noProof/>
        </w:rPr>
        <w:t xml:space="preserve">Extreme secularism can eventually lead to official intolerance of religion, culminating in conflict that ultimately leads to state persecution of religious followers. </w:t>
      </w:r>
      <w:commentRangeStart w:id="22"/>
      <w:r w:rsidRPr="006F7344">
        <w:rPr>
          <w:noProof/>
        </w:rPr>
        <w:t>This theory is used to analyze the genuine connection between the state and religion in Indonesia while the Anti-Blasphemy of Religion Law was maintained and implemented, and how this affected the situation of the right to religious freedom in Indonesia.</w:t>
      </w:r>
      <w:commentRangeEnd w:id="22"/>
      <w:r w:rsidR="003477DD">
        <w:rPr>
          <w:rStyle w:val="CommentReference"/>
        </w:rPr>
        <w:commentReference w:id="22"/>
      </w:r>
    </w:p>
    <w:p w14:paraId="53236371" w14:textId="77777777" w:rsidR="00FA01A1" w:rsidRPr="006F7344" w:rsidRDefault="00FA01A1" w:rsidP="00FA01A1">
      <w:pPr>
        <w:pStyle w:val="ParagraphNormal"/>
        <w:rPr>
          <w:noProof/>
        </w:rPr>
      </w:pPr>
      <w:r w:rsidRPr="006F7344">
        <w:rPr>
          <w:noProof/>
        </w:rPr>
        <w:t>Referring to figure 14, the relationship between the state and religion in Indonesia oscillates like a yo-yo, at times displaying the face of a separate state and religion, at other times supporting established religions, or favoring only the six major religions, and at other times controlling religion - existing religions. When seen from a normative perspective, the Indonesian Constitution recognizes and protects the right to freedom of religion, although explicitly stating that Indonesia is not a religious state, but rather a state based on law. According to the Durham and Schaarffs diagram, Indonesia appears to have established a distinct connection between the state and religion. Additionally, the constitution does not specify the names of faiths accepted in Indonesia (established religion). Article 1 of the Anti-Blasphemy Law provides that Indonesia does not restrict the existence and development of religions or other beliefs. Religions, however, define a person's standing (reli-gious status system), and Indonesian nationals are required to list their faith on their identity cards. Obviously</w:t>
      </w:r>
      <w:commentRangeStart w:id="23"/>
      <w:r w:rsidRPr="006F7344">
        <w:rPr>
          <w:noProof/>
        </w:rPr>
        <w:t xml:space="preserve">, ha-line </w:t>
      </w:r>
      <w:commentRangeEnd w:id="23"/>
      <w:r w:rsidR="003477DD">
        <w:rPr>
          <w:rStyle w:val="CommentReference"/>
        </w:rPr>
        <w:commentReference w:id="23"/>
      </w:r>
      <w:r w:rsidRPr="006F7344">
        <w:rPr>
          <w:noProof/>
        </w:rPr>
        <w:t>has far-reaching consequences for a person's life if their faith is not listed on their identification card. Later, the Constitutional Court declared that Indonesian nationals who adhered to a religious belief were not required to mention their faith on their identification cards.</w:t>
      </w:r>
    </w:p>
    <w:p w14:paraId="0FAABE52" w14:textId="77777777" w:rsidR="00FA01A1" w:rsidRPr="006F7344" w:rsidRDefault="00FA01A1" w:rsidP="00FA01A1">
      <w:pPr>
        <w:pStyle w:val="ParagraphNormal"/>
        <w:rPr>
          <w:noProof/>
        </w:rPr>
      </w:pPr>
      <w:r w:rsidRPr="006F7344">
        <w:rPr>
          <w:noProof/>
        </w:rPr>
        <w:t>In the meanwhile, Indonesia continues to maintain the Ministry of Religion, which serves as the government's official endorsement of religious organisations. The Indonesian government may also be classified as a state with a preferred set of faiths, where the state gives more attention to the six religions practiced in Indonesia than to other religions or beliefs. In the case of state-determined religious holidays, for instance, only religious holidays of the six affiliated faiths are considered, whereas other religions outside of the six belonged religions are of no interest to the state.</w:t>
      </w:r>
    </w:p>
    <w:p w14:paraId="24540238" w14:textId="77777777" w:rsidR="00FA01A1" w:rsidRPr="006F7344" w:rsidRDefault="00FA01A1" w:rsidP="00FA01A1">
      <w:pPr>
        <w:pStyle w:val="ParagraphNormal"/>
        <w:rPr>
          <w:noProof/>
        </w:rPr>
      </w:pPr>
      <w:r w:rsidRPr="006F7344">
        <w:rPr>
          <w:noProof/>
        </w:rPr>
        <w:t xml:space="preserve">Sociologically, the positive identification of religion in Indonesia might lead to tolerance of religious life, although it is not unusual for the state to regard the six faiths or beliefs </w:t>
      </w:r>
      <w:r w:rsidRPr="006F7344">
        <w:rPr>
          <w:noProof/>
        </w:rPr>
        <w:lastRenderedPageBreak/>
        <w:t xml:space="preserve">subscribed to and those not devoted to less equally. State protection of religion is limited to the six faiths prevalent in Indonesia and tends to overlook or restrict the presence of religions or other beliefs outside of these six. In this regard, the Anti-Defamation Law has become a tool </w:t>
      </w:r>
      <w:commentRangeStart w:id="24"/>
      <w:r w:rsidRPr="006F7344">
        <w:rPr>
          <w:noProof/>
        </w:rPr>
        <w:t xml:space="preserve">for the state to persecute religions </w:t>
      </w:r>
      <w:commentRangeEnd w:id="24"/>
      <w:r w:rsidR="003477DD">
        <w:rPr>
          <w:rStyle w:val="CommentReference"/>
        </w:rPr>
        <w:commentReference w:id="24"/>
      </w:r>
      <w:r w:rsidRPr="006F7344">
        <w:rPr>
          <w:noProof/>
        </w:rPr>
        <w:t>or beliefs outside the six religions, either by issuing public policies declaring certain religions or beliefs "heretic" or by punishing leaders or followers of these religions or beliefs as perpetrators of religious blasphemy.</w:t>
      </w:r>
    </w:p>
    <w:p w14:paraId="45E5DB2F" w14:textId="77777777" w:rsidR="00FA01A1" w:rsidRPr="006F7344" w:rsidRDefault="00FA01A1" w:rsidP="00FA01A1">
      <w:pPr>
        <w:pStyle w:val="ParagraphNormal"/>
        <w:rPr>
          <w:noProof/>
        </w:rPr>
      </w:pPr>
      <w:r w:rsidRPr="006F7344">
        <w:rPr>
          <w:noProof/>
        </w:rPr>
        <w:t xml:space="preserve">Therefore, it is still impossible to classify Indonesia as a country that can ideally uphold the right to religious freedom. Indonesia tends to conform to the Religious Status System, Endorsed Religion, and Preferred Set of Faiths with regard to the six religions it has embraced. Indonesia, on the other hand, positions itself between secular control regimes and abolitionist regimes for faiths or beliefs other than the six acknowledged religions. </w:t>
      </w:r>
      <w:commentRangeStart w:id="25"/>
      <w:r w:rsidRPr="006F7344">
        <w:rPr>
          <w:noProof/>
        </w:rPr>
        <w:t>The uncertainty of the state's approach towards religions has impeded the equitable treatment of all faiths or beliefs, therefore the right to freedom of religion, particularly for religions or beliefs other than the six declared, remains a significant concern for Indonesia</w:t>
      </w:r>
      <w:commentRangeEnd w:id="25"/>
      <w:r w:rsidR="003477DD">
        <w:rPr>
          <w:rStyle w:val="CommentReference"/>
        </w:rPr>
        <w:commentReference w:id="25"/>
      </w:r>
      <w:r w:rsidRPr="006F7344">
        <w:rPr>
          <w:noProof/>
        </w:rPr>
        <w:t>.</w:t>
      </w:r>
    </w:p>
    <w:p w14:paraId="1E1686CC" w14:textId="77777777" w:rsidR="00FA01A1" w:rsidRPr="006F7344" w:rsidRDefault="00FA01A1" w:rsidP="00FA01A1">
      <w:pPr>
        <w:pStyle w:val="ParagraphNormal"/>
        <w:rPr>
          <w:noProof/>
        </w:rPr>
      </w:pPr>
      <w:commentRangeStart w:id="26"/>
      <w:r w:rsidRPr="006F7344">
        <w:rPr>
          <w:noProof/>
        </w:rPr>
        <w:t xml:space="preserve">Culture is produced and evolved under the influence of different factors, such as values, </w:t>
      </w:r>
      <w:commentRangeEnd w:id="26"/>
      <w:r w:rsidR="003477DD">
        <w:rPr>
          <w:rStyle w:val="CommentReference"/>
        </w:rPr>
        <w:commentReference w:id="26"/>
      </w:r>
      <w:r w:rsidRPr="006F7344">
        <w:rPr>
          <w:noProof/>
        </w:rPr>
        <w:t>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(Schaarffs, 2010).</w:t>
      </w:r>
    </w:p>
    <w:p w14:paraId="613E0916" w14:textId="77777777" w:rsidR="00FA01A1" w:rsidRPr="006F7344" w:rsidRDefault="00FA01A1" w:rsidP="00FA01A1">
      <w:pPr>
        <w:pStyle w:val="ParagraphNormal"/>
        <w:rPr>
          <w:noProof/>
        </w:rPr>
      </w:pPr>
      <w:r w:rsidRPr="006F7344">
        <w:rPr>
          <w:noProof/>
        </w:rPr>
        <w:t xml:space="preserve">Since the majority of BLs are implemented by Muslim-dominated nations, several analysts believed that the restrictions of the FoRB exist due of the tight relationship between state and religion. </w:t>
      </w:r>
      <w:commentRangeStart w:id="27"/>
      <w:r w:rsidRPr="006F7344">
        <w:rPr>
          <w:noProof/>
        </w:rPr>
        <w:t xml:space="preserve">This section discusses whether the concept of separation between state and religion is likely to occur, particularly in Muslim-majority nations, and if it warrants further discussion. </w:t>
      </w:r>
      <w:commentRangeEnd w:id="27"/>
      <w:r w:rsidR="000D0D22">
        <w:rPr>
          <w:rStyle w:val="CommentReference"/>
        </w:rPr>
        <w:commentReference w:id="27"/>
      </w:r>
      <w:r w:rsidRPr="006F7344">
        <w:rPr>
          <w:noProof/>
        </w:rPr>
        <w:t xml:space="preserve">Professor An-Naim, an expert in Islamic law and human rights, is among those who advocate for secularism as a means to lessen the state's authority over religion. </w:t>
      </w:r>
      <w:r w:rsidRPr="006F7344">
        <w:rPr>
          <w:noProof/>
        </w:rPr>
        <w:lastRenderedPageBreak/>
        <w:t>An-Naim (2017) persuades Shariah-compliant nations to consider converting to a secular state on the grounds that only secularism would allow Sharia to grow and endure in the future. Secularism permits an individual to choose his religion freely, without official coercion and in line with his personal convictions. Contrary to the concept of "no coercion in religion" as stated in Art.18 of the ICCPR and the principle of "no-compulsion in religion" that is explicitly acknowledged by the Qur'an, An-critical Naim's thinking asserts that Islamic regimes tend to implement Sharia Law on all its inhabitants. Therefore, he was persuaded by the concept of separation between Islam and the state or a secular state in which the government is neutral regarding religious beliefs and public policies and supports religious observance, but may control the link between Islam and politics. Unfortunately, An-Naim does not specify the form of secularism that is appropriate for an Islamic state. An-Naim overlooked the fact that most nations with BL adhere to cultural relativism (Afshari, 1994). Referring to Article 18 (3) and Article 19 (3) of the ICCPR, it is permissible for them to limit FoE based on the state's discretion stipulated in their national legislation, even if countries such as Pakistan and Malaysia have not yet ratified the ICCPR. The concept of An-Naim with the above-mentioned qualities of secularism is ideal, but it can only be realized in Islamic nations by a public vote and constitution amendment, followed by social and legal change. For instance, the secularization of Turkey began in 1928 when the term "Islam is the official religion" was removed from the Constitution. Then, few years later, by the Constitutional Amendment of 1937, the concepts of secularism were made official. This fundamental transition requires strong government leadership and political resolve, as well as public backing (Dever, 1969: p.58). Otherwise, this concept is pure imagination.</w:t>
      </w:r>
    </w:p>
    <w:p w14:paraId="23EF8E0D" w14:textId="77777777" w:rsidR="00FA01A1" w:rsidRPr="006F7344" w:rsidRDefault="00FA01A1" w:rsidP="00FA01A1">
      <w:pPr>
        <w:pStyle w:val="ParagraphNormal"/>
        <w:rPr>
          <w:noProof/>
        </w:rPr>
      </w:pPr>
      <w:r w:rsidRPr="006F7344">
        <w:rPr>
          <w:noProof/>
        </w:rPr>
        <w:t xml:space="preserve">Second, secularism is harder to establish in countries where cultural relativism is prevalent. According to Donnelly (1984), culture relativism is "the fundamental wellspring of moral justice and rule's validity" (p. 401). In other words, human rights are relative and contingent on how a community interprets them and the extent to which cultural variances are tolerated. Donnelly emphasized, however, that radical or strong culture relativism is "misguided" due to its rejection of human dignity. While extreme universalism also denies local knowledge and national sovereignty (p.402). Donnelly thinks that we must strike a balance between culture relativist and universalist perspectives by admitting the universality of human rights on the one hand and culture as a source of limitation and </w:t>
      </w:r>
      <w:r w:rsidRPr="006F7344">
        <w:rPr>
          <w:noProof/>
        </w:rPr>
        <w:lastRenderedPageBreak/>
        <w:t xml:space="preserve">exception on the other. The equilibrium between cultural relativist and universalist approaches is applicable to the fundamental human rights treaties, such as the UDHR and the other two covenants, such as the ICCPR and the ICESCR (p.402). To defend the right to FoRB and FoE enshrined in Articles 18 to 21 of the ICCPR, for instance, the States must uphold the concept of individual autonomy (Art.1) and the principles of equality and nondiscrimination (Art.2 and 4 of the UDHR). These values are internationally recognized and should not be diminished by the states in the sake of cultural relativism. Therefore, restrictions on FoRB and FoE are acceptable under Art.18 (3) or 19 (3) of the ICCPR so long as they do not contradict the rights provided by Art.1, 2, and 4 of the ICCPR. </w:t>
      </w:r>
      <w:commentRangeStart w:id="28"/>
      <w:r w:rsidRPr="006F7344">
        <w:rPr>
          <w:noProof/>
        </w:rPr>
        <w:t>For example, the implementation of BL may be acceptable from the standpoint of a weak culture relativism, but it would be problematic if the enforcement of such a rule excluded or discriminated against particular groups of individuals on the basis of their religion or belief that differs from the majority</w:t>
      </w:r>
      <w:commentRangeEnd w:id="28"/>
      <w:r w:rsidR="000D0D22">
        <w:rPr>
          <w:rStyle w:val="CommentReference"/>
        </w:rPr>
        <w:commentReference w:id="28"/>
      </w:r>
      <w:r w:rsidRPr="006F7344">
        <w:rPr>
          <w:noProof/>
        </w:rPr>
        <w:t>.</w:t>
      </w:r>
    </w:p>
    <w:p w14:paraId="38294245" w14:textId="77777777" w:rsidR="00FA01A1" w:rsidRPr="006F7344" w:rsidRDefault="00FA01A1" w:rsidP="00FA01A1">
      <w:pPr>
        <w:pStyle w:val="ParagraphNormal"/>
        <w:rPr>
          <w:noProof/>
        </w:rPr>
      </w:pPr>
      <w:r w:rsidRPr="006F7344">
        <w:rPr>
          <w:noProof/>
        </w:rPr>
        <w:t xml:space="preserve">In Chapter 4 of the book titled </w:t>
      </w:r>
      <w:r w:rsidRPr="000D0D22">
        <w:rPr>
          <w:i/>
          <w:iCs/>
          <w:noProof/>
          <w:rPrChange w:id="29" w:author="MICHAEL GEORGE HAYES" w:date="2023-03-24T13:49:00Z">
            <w:rPr>
              <w:noProof/>
            </w:rPr>
          </w:rPrChange>
        </w:rPr>
        <w:t>Law and Religion: National, International, and Comparative Perspective</w:t>
      </w:r>
      <w:r w:rsidRPr="006F7344">
        <w:rPr>
          <w:noProof/>
        </w:rPr>
        <w:t xml:space="preserve">, Professors Cole Durham and Brett Scharffs argue that separation between state and religion does not always result in a high degree of religious freedom and vice versa because the system of religion-state relationship is never static (p.121). </w:t>
      </w:r>
      <w:commentRangeStart w:id="30"/>
      <w:r w:rsidRPr="006F7344">
        <w:rPr>
          <w:noProof/>
        </w:rPr>
        <w:t xml:space="preserve">Many individuals believe that a high level of religious freedom corresponds with a low level of religion-state identity (recognition) and that a low level of religious freedom correlates with a high level of religion-state identification. </w:t>
      </w:r>
      <w:commentRangeEnd w:id="30"/>
      <w:r w:rsidR="000D0D22">
        <w:rPr>
          <w:rStyle w:val="CommentReference"/>
        </w:rPr>
        <w:commentReference w:id="30"/>
      </w:r>
      <w:r w:rsidRPr="006F7344">
        <w:rPr>
          <w:noProof/>
        </w:rPr>
        <w:t>However, there are nations with total identification or religious institution, such as Norway, Finland, and the United Kingdom, that also have a high level of religious freedom. On the other side, countries like as Soviet-era Russia and Albania, which have non-identification or non-establishment religions, have a limited degree of religious freedom (p.122). I</w:t>
      </w:r>
      <w:commentRangeStart w:id="31"/>
      <w:r w:rsidRPr="006F7344">
        <w:rPr>
          <w:noProof/>
        </w:rPr>
        <w:t xml:space="preserve">n conclusion, secularism is not the sole condition that ensures a high level of religious freedom. </w:t>
      </w:r>
      <w:commentRangeEnd w:id="31"/>
      <w:r w:rsidR="000D0D22">
        <w:rPr>
          <w:rStyle w:val="CommentReference"/>
        </w:rPr>
        <w:commentReference w:id="31"/>
      </w:r>
      <w:r w:rsidRPr="006F7344">
        <w:rPr>
          <w:noProof/>
        </w:rPr>
        <w:t>Other aspects, such as political and economic concerns and the flexibility with which societies interpret religious law, must also be studied.</w:t>
      </w:r>
    </w:p>
    <w:p w14:paraId="21E017BA" w14:textId="77777777" w:rsidR="00FA01A1" w:rsidRPr="006F7344" w:rsidRDefault="00FA01A1" w:rsidP="00FA01A1">
      <w:pPr>
        <w:pStyle w:val="ParagraphNormal"/>
        <w:rPr>
          <w:noProof/>
        </w:rPr>
      </w:pPr>
      <w:r w:rsidRPr="006F7344">
        <w:rPr>
          <w:noProof/>
        </w:rPr>
        <w:t xml:space="preserve">However, Islamic nations such as Pakistan, Malaysia, and Brunei cannot qualify as true democracies (Rothstein and Broms, 2011). Consequently, it is improbable that the universality of human rights would be completely applied. If what An-Naim (2011) implies is that governments accept the ideals of a secular state without modifying its institution, then Indonesia has met An-expectations Naim's with its decision. </w:t>
      </w:r>
      <w:commentRangeStart w:id="32"/>
      <w:r w:rsidRPr="006F7344">
        <w:rPr>
          <w:noProof/>
        </w:rPr>
        <w:t xml:space="preserve">Indonesia is a mostly Muslim </w:t>
      </w:r>
      <w:r w:rsidRPr="006F7344">
        <w:rPr>
          <w:noProof/>
        </w:rPr>
        <w:lastRenderedPageBreak/>
        <w:t>country, although it has never been designated an Islamic state. Rather, it is a state built on the rule of law, which upholds the Pancasila philosophy and adheres to the ideal of secularism (Sheo, 2012). Nevertheless, the BL remains difficult.</w:t>
      </w:r>
      <w:commentRangeEnd w:id="32"/>
      <w:r w:rsidR="000D0D22">
        <w:rPr>
          <w:rStyle w:val="CommentReference"/>
        </w:rPr>
        <w:commentReference w:id="32"/>
      </w:r>
    </w:p>
    <w:p w14:paraId="2CFAF910" w14:textId="77777777" w:rsidR="00FA01A1" w:rsidRPr="006F7344" w:rsidRDefault="00FA01A1" w:rsidP="00FA01A1">
      <w:pPr>
        <w:pStyle w:val="ParagraphNormal"/>
        <w:ind w:firstLine="0"/>
        <w:rPr>
          <w:b/>
          <w:bCs/>
        </w:rPr>
      </w:pPr>
      <w:r w:rsidRPr="006F7344">
        <w:rPr>
          <w:b/>
          <w:bCs/>
        </w:rPr>
        <w:t xml:space="preserve">6.2.3 </w:t>
      </w:r>
      <w:bookmarkEnd w:id="21"/>
      <w:r w:rsidRPr="006F7344">
        <w:rPr>
          <w:b/>
          <w:bCs/>
        </w:rPr>
        <w:t>Unfinished debate of Indonesia-State and religion</w:t>
      </w:r>
    </w:p>
    <w:p w14:paraId="3331A105" w14:textId="77777777" w:rsidR="00FA01A1" w:rsidRPr="006F7344" w:rsidRDefault="00FA01A1" w:rsidP="00FA01A1">
      <w:pPr>
        <w:pStyle w:val="ParagraphafSubheader"/>
      </w:pPr>
      <w:r w:rsidRPr="006F7344">
        <w:t xml:space="preserve">Anti-Blasphemy Law has strengthened Indonesia's state-religion connection. Because of the insufficient debate of state and religion at the time the Indonesian state was created, a law was born to direct the connection between the two. Indonesia's constitution does not expressly establish how the state and religion are intertwined, unlike other </w:t>
      </w:r>
      <w:proofErr w:type="gramStart"/>
      <w:r w:rsidRPr="006F7344">
        <w:t>countries'</w:t>
      </w:r>
      <w:proofErr w:type="gramEnd"/>
      <w:r w:rsidRPr="006F7344">
        <w:t xml:space="preserve">. This isn't without justification, but the author believes the debate is insufficient, leaving room for interpretation. The state-religion relationship in Indonesia is elastic, depending on the national leadership and socio-dynamic situation. As the largest religion, Islam may substantially affect Indonesia's path, yet it can also stay away from political power. During pre-independence, the state's religiosity waned. From 1800 until 1942, the Dutch Colonial Government implemented </w:t>
      </w:r>
      <w:proofErr w:type="spellStart"/>
      <w:r w:rsidRPr="006F7344">
        <w:t>Snouck</w:t>
      </w:r>
      <w:proofErr w:type="spellEnd"/>
      <w:r w:rsidRPr="006F7344">
        <w:t xml:space="preserve"> </w:t>
      </w:r>
      <w:proofErr w:type="spellStart"/>
      <w:r w:rsidRPr="006F7344">
        <w:t>Hurgronje's</w:t>
      </w:r>
      <w:proofErr w:type="spellEnd"/>
      <w:r w:rsidRPr="006F7344">
        <w:t xml:space="preserve"> principles to modernize, secularize, and westernize, meaning it did not govern or meddle in the religious matters of Dutch East Indies inhabitants. The Netherlands' Government Regulation 119 Year 8154 prohibits religious groups from engaging in practical politics.</w:t>
      </w:r>
    </w:p>
    <w:p w14:paraId="11FB1E3A" w14:textId="77777777" w:rsidR="00FA01A1" w:rsidRPr="006F7344" w:rsidRDefault="00FA01A1" w:rsidP="00FA01A1">
      <w:pPr>
        <w:pStyle w:val="ParagraphNormal"/>
      </w:pPr>
      <w:r w:rsidRPr="006F7344">
        <w:t xml:space="preserve">The Dutch colonial administration excluded religious groups from practical politics by creating the Office of Indigenous Affairs (Het </w:t>
      </w:r>
      <w:proofErr w:type="spellStart"/>
      <w:r w:rsidRPr="006F7344">
        <w:t>Kantoor</w:t>
      </w:r>
      <w:proofErr w:type="spellEnd"/>
      <w:r w:rsidRPr="006F7344">
        <w:t xml:space="preserve"> for </w:t>
      </w:r>
      <w:proofErr w:type="spellStart"/>
      <w:r w:rsidRPr="006F7344">
        <w:t>Inlandsche</w:t>
      </w:r>
      <w:proofErr w:type="spellEnd"/>
      <w:r w:rsidRPr="006F7344">
        <w:t xml:space="preserve"> </w:t>
      </w:r>
      <w:proofErr w:type="spellStart"/>
      <w:r w:rsidRPr="006F7344">
        <w:t>zaken</w:t>
      </w:r>
      <w:proofErr w:type="spellEnd"/>
      <w:r w:rsidRPr="006F7344">
        <w:t xml:space="preserve">), or the Ministry of Religious Affairs. This ministry oversaw Muslim marriage, education, and political activities during Dutch colonial rule. From the Dutch colonial era until 1942-1945, the Ministry of Religion retained its existence, even strengthening it by constructing an administrative work unit, </w:t>
      </w:r>
      <w:proofErr w:type="spellStart"/>
      <w:r w:rsidRPr="006F7344">
        <w:t>Shumubu</w:t>
      </w:r>
      <w:proofErr w:type="spellEnd"/>
      <w:r w:rsidRPr="006F7344">
        <w:t xml:space="preserve"> or the Office of Religious Affairs (KUA). Pre-independence, the state regulated marriage, education, and political activities to protect Muslim interests.</w:t>
      </w:r>
    </w:p>
    <w:p w14:paraId="69C34FA4" w14:textId="77777777" w:rsidR="00FA01A1" w:rsidRPr="006F7344" w:rsidRDefault="00FA01A1" w:rsidP="00FA01A1">
      <w:pPr>
        <w:pStyle w:val="ParagraphNormal"/>
      </w:pPr>
      <w:r w:rsidRPr="006F7344">
        <w:t>Muslims were only separated into Islamist and Islamic-Nationalist factions after independence. Islamist organizations seek to establish an Islamic state with Islam as the official religion. The Islamist organization established the Jakarta Charter by adding seven words to Pancasila's "Belief in One Supreme God" to make it "Belief in God with the commitment to implement Sharia for its members." With these seven phrases, it is hoped that Indonesia would become an Islamic nation-state, so that the state and religion are one.</w:t>
      </w:r>
    </w:p>
    <w:p w14:paraId="04D325BE" w14:textId="77777777" w:rsidR="00FA01A1" w:rsidRPr="006F7344" w:rsidRDefault="00FA01A1" w:rsidP="00FA01A1">
      <w:pPr>
        <w:pStyle w:val="ParagraphNormal"/>
      </w:pPr>
      <w:commentRangeStart w:id="33"/>
      <w:r w:rsidRPr="006F7344">
        <w:lastRenderedPageBreak/>
        <w:t xml:space="preserve">Islamic-nationalist movements oppose this ideology and desire national unity, </w:t>
      </w:r>
      <w:commentRangeEnd w:id="33"/>
      <w:r w:rsidR="000D0D22">
        <w:rPr>
          <w:rStyle w:val="CommentReference"/>
        </w:rPr>
        <w:commentReference w:id="33"/>
      </w:r>
      <w:r w:rsidRPr="006F7344">
        <w:t xml:space="preserve">democracy, and justice. Soekarno, the first president of Indonesia, backed Nationalist Islam and launched Pancasila on June 1, 1945. He listed five state principles: (1) Indonesian nationality, (2) internationalism or humanity, (3) consensus or democracy, (4) social welfare, and (5) Divinity. Islamic Nationalists, who desire state and religion to remain separate, opposed modifying </w:t>
      </w:r>
      <w:proofErr w:type="spellStart"/>
      <w:r w:rsidRPr="006F7344">
        <w:t>Sila</w:t>
      </w:r>
      <w:proofErr w:type="spellEnd"/>
      <w:r w:rsidRPr="006F7344">
        <w:t xml:space="preserve"> I Pancasila's editorial. The Committee for the Preparation of Indonesian Independence (PPKI) eliminated the seven words on August 18, 1945. This is translated as Indonesia's decision in setting the connection between the state and religion: Indonesia is not a state (religion/Islam), but a country founded on "God Almighty."</w:t>
      </w:r>
    </w:p>
    <w:p w14:paraId="335B915D" w14:textId="77777777" w:rsidR="00FA01A1" w:rsidRPr="006F7344" w:rsidRDefault="00FA01A1" w:rsidP="00FA01A1">
      <w:pPr>
        <w:pStyle w:val="ParagraphNormal"/>
      </w:pPr>
      <w:commentRangeStart w:id="34"/>
      <w:r w:rsidRPr="006F7344">
        <w:t xml:space="preserve">Indonesia has had four Constitutions: the 1945 Constitution, the 1949 RIS Constitution, </w:t>
      </w:r>
      <w:commentRangeEnd w:id="34"/>
      <w:r w:rsidR="000D0D22">
        <w:rPr>
          <w:rStyle w:val="CommentReference"/>
        </w:rPr>
        <w:commentReference w:id="34"/>
      </w:r>
      <w:r w:rsidRPr="006F7344">
        <w:t>the 1950 Provincial Constitution, and the 1945 Constitution (amended four times) or Post Amendment of 1945 Constitution. In the four constitutions, no provision specifically governs the state-religion relationship. Because the constitution does not regulate the connection between state and religion, it can be regarded by the authorities as a swing that can be moved by the present leadership pattern. Soekarno's government enacted Indonesia's 1945 Constitution. "Article 29 states..." The article doesn't list the protected religions. The State must protect a citizen's faith. Soekarno nominated himself President for life under a guided democracy, therefore Sukarno issued Law no. 1/PNPS/1965, the Anti-Blasphemy Law.</w:t>
      </w:r>
    </w:p>
    <w:p w14:paraId="5AE45E1F" w14:textId="77777777" w:rsidR="00FA01A1" w:rsidRPr="006F7344" w:rsidRDefault="00FA01A1" w:rsidP="00FA01A1">
      <w:pPr>
        <w:pStyle w:val="ParagraphNormal"/>
      </w:pPr>
      <w:r w:rsidRPr="006F7344">
        <w:t>Since the Anti-Blasphemy Law was issued in 1965, the concept of religion has narrowed since Article 1 of the Law exclusively protects the 5 official religions and not others. At first, this law wasn't controversial. Anti-Defamation Legislation became a death law that was never enacted.</w:t>
      </w:r>
    </w:p>
    <w:p w14:paraId="05FBB417" w14:textId="77777777" w:rsidR="00FA01A1" w:rsidRPr="006F7344" w:rsidRDefault="00FA01A1" w:rsidP="00FA01A1">
      <w:pPr>
        <w:pStyle w:val="ParagraphNormal"/>
      </w:pPr>
      <w:r w:rsidRPr="006F7344">
        <w:t>Second, the 1949 RIS Constitution did not prominently examine the connection between the state and religion since it was superseded by the 1950 Provincial Constitution. Soekarno's Guided Democracy resulted to the invalidation of the 1950 Provisional Constitution and a restoration to the 1945 Constitution. Indonesia's Reformation began in 1999. Four times, the 1945 Constitution was changed. No articles on state-religion relations were added in the four updates. Changes have strengthened religious freedom. Constitutions do not control the state-religion relationship.</w:t>
      </w:r>
    </w:p>
    <w:p w14:paraId="24388E41" w14:textId="77777777" w:rsidR="00FA01A1" w:rsidRPr="006F7344" w:rsidRDefault="00FA01A1" w:rsidP="00FA01A1">
      <w:pPr>
        <w:pStyle w:val="ParagraphNormal"/>
      </w:pPr>
      <w:r w:rsidRPr="006F7344">
        <w:t xml:space="preserve">Now that the 1945 Constitution has been changed to preserve religious freedom, the Anti-Blasphemy Law causes complications when applied narrowly. Faiths not included in </w:t>
      </w:r>
      <w:r w:rsidRPr="006F7344">
        <w:lastRenderedPageBreak/>
        <w:t xml:space="preserve">Article 1 of the Law are being reported as deviant religions as religious prosecution spreads. This happened to </w:t>
      </w:r>
      <w:proofErr w:type="spellStart"/>
      <w:r w:rsidRPr="006F7344">
        <w:t>Gafatar</w:t>
      </w:r>
      <w:proofErr w:type="spellEnd"/>
      <w:r w:rsidRPr="006F7344">
        <w:t>, Ahmadiyya, etc. followers. In its current development, after more than 7 decades of independence, the Constitutional Court as the legal interpreter of the constitution affirms that: "Godhead in the One and Only God as the basis of the Indonesian state, religion as a way of life bestowed by Allah, the Almighty God must receive attention in the life of the nation and state." The government must not disregard or oppose religion.</w:t>
      </w:r>
    </w:p>
    <w:p w14:paraId="28B61A6C" w14:textId="77777777" w:rsidR="00FA01A1" w:rsidRPr="006F7344" w:rsidRDefault="00FA01A1" w:rsidP="00FA01A1">
      <w:pPr>
        <w:pStyle w:val="Quote"/>
      </w:pPr>
      <w:r w:rsidRPr="006F7344">
        <w:t>“Godhead in the One and Only God as the basis of the Indonesian state, religion as a way of life bestowed by Allah, the Almighty God must receive attention in the life of the nation and state. The administration of the state must not ignore religion or must not conflict with religion.”</w:t>
      </w:r>
    </w:p>
    <w:p w14:paraId="6D206DA9" w14:textId="77777777" w:rsidR="00FA01A1" w:rsidRPr="006F7344" w:rsidRDefault="00FA01A1" w:rsidP="00FA01A1">
      <w:pPr>
        <w:pStyle w:val="ParagraphNormal"/>
      </w:pPr>
      <w:r w:rsidRPr="006F7344">
        <w:t xml:space="preserve">Unfinished talks on </w:t>
      </w:r>
      <w:commentRangeStart w:id="35"/>
      <w:r w:rsidRPr="006F7344">
        <w:t xml:space="preserve">the state-religion connection </w:t>
      </w:r>
      <w:commentRangeEnd w:id="35"/>
      <w:r w:rsidR="000D0D22">
        <w:rPr>
          <w:rStyle w:val="CommentReference"/>
        </w:rPr>
        <w:commentReference w:id="35"/>
      </w:r>
      <w:r w:rsidRPr="006F7344">
        <w:t xml:space="preserve">have left it ambiguous and influenced by the ruling power. This affects how the state helps established faiths. A moderate administration won't stigmatize specific religious groups, but a repressive government will use the Blasphemy Law to punish anyone who oppose it. </w:t>
      </w:r>
    </w:p>
    <w:p w14:paraId="101BD0BA" w14:textId="77777777" w:rsidR="00FA01A1" w:rsidRPr="006F7344" w:rsidRDefault="00FA01A1" w:rsidP="00FA01A1">
      <w:pPr>
        <w:pStyle w:val="Heading2"/>
        <w:numPr>
          <w:ilvl w:val="2"/>
          <w:numId w:val="3"/>
        </w:numPr>
      </w:pPr>
      <w:bookmarkStart w:id="36" w:name="_Toc118302794"/>
      <w:bookmarkStart w:id="37" w:name="_Toc121200603"/>
      <w:r w:rsidRPr="006F7344">
        <w:t>Anti-Blasphemy Law allows the state to interfere in the religious affairs</w:t>
      </w:r>
      <w:bookmarkEnd w:id="36"/>
      <w:bookmarkEnd w:id="37"/>
    </w:p>
    <w:p w14:paraId="16232B71" w14:textId="77777777" w:rsidR="00FA01A1" w:rsidRPr="006F7344" w:rsidRDefault="00FA01A1" w:rsidP="00FA01A1">
      <w:pPr>
        <w:pStyle w:val="ParagraphafSubheader"/>
      </w:pPr>
      <w:r w:rsidRPr="006F7344">
        <w:t>Article 18 of the UDHR and Article 18 of the ICCPR require states to respect and preserve religious freedom. Since Indonesia joined the ICCPR in 2005, Article 29 and 28E of the 1945 Constitution safeguard and preserve the right to religious freedom as outlined in Article 18 of the ICCPR. Paragraph 1 of Article 28I states that every citizen's right to religious freedom cannot be restricted. Since the strengthening of the right to religious freedom, the old-order Anti-Defamation Law has not modified. Article 1 of the Anti-Defamation Law, which permits a person to be penalized for accepting a belief different from Indonesia's 6 main faiths, continues to legitimize governmental apparatus and public intolerant acts against religious organizations or minority beliefs.</w:t>
      </w:r>
    </w:p>
    <w:p w14:paraId="5E46468C" w14:textId="77777777" w:rsidR="00FA01A1" w:rsidRPr="006F7344" w:rsidRDefault="00FA01A1" w:rsidP="00FA01A1">
      <w:pPr>
        <w:pStyle w:val="ParagraphNormal"/>
      </w:pPr>
      <w:r w:rsidRPr="006F7344">
        <w:t>This study's statistics on religious or belief adherents criminalized before and after the 1945 Constitutional amendment reveals a considerable surge. Both have Anti-Blasphemy Laws. Before the Constitution was changed, the Blasphemy Law criminalized religion just once. Ironically, under the same Anti-Blasphemy Law regime, criminalization of religion has increased.</w:t>
      </w:r>
    </w:p>
    <w:p w14:paraId="490D410D" w14:textId="77777777" w:rsidR="00FA01A1" w:rsidRPr="006F7344" w:rsidRDefault="00FA01A1" w:rsidP="00FA01A1">
      <w:pPr>
        <w:pStyle w:val="Caption"/>
        <w:keepNext/>
      </w:pPr>
      <w:r w:rsidRPr="006F7344">
        <w:lastRenderedPageBreak/>
        <w:t xml:space="preserve">Table </w:t>
      </w:r>
      <w:r w:rsidRPr="006F7344">
        <w:fldChar w:fldCharType="begin"/>
      </w:r>
      <w:r w:rsidRPr="006F7344">
        <w:instrText xml:space="preserve"> SEQ Table \* ARABIC </w:instrText>
      </w:r>
      <w:r w:rsidRPr="006F7344">
        <w:fldChar w:fldCharType="separate"/>
      </w:r>
      <w:r>
        <w:rPr>
          <w:noProof/>
        </w:rPr>
        <w:t>11</w:t>
      </w:r>
      <w:r w:rsidRPr="006F7344">
        <w:rPr>
          <w:noProof/>
        </w:rPr>
        <w:fldChar w:fldCharType="end"/>
      </w:r>
      <w:r w:rsidRPr="006F7344">
        <w:t>. Criminalization of Adherents of Religion or Minority Beliefs Before and After the Amendment of the 1945 Constitution under the Anti-Blasphemy Law regime.</w:t>
      </w:r>
    </w:p>
    <w:tbl>
      <w:tblPr>
        <w:tblStyle w:val="TableGrid"/>
        <w:tblW w:w="7328" w:type="dxa"/>
        <w:tblInd w:w="587" w:type="dxa"/>
        <w:tblLook w:val="04A0" w:firstRow="1" w:lastRow="0" w:firstColumn="1" w:lastColumn="0" w:noHBand="0" w:noVBand="1"/>
      </w:tblPr>
      <w:tblGrid>
        <w:gridCol w:w="1838"/>
        <w:gridCol w:w="2430"/>
        <w:gridCol w:w="3060"/>
      </w:tblGrid>
      <w:tr w:rsidR="00FA01A1" w:rsidRPr="006F7344" w14:paraId="4B867854" w14:textId="77777777" w:rsidTr="00FA01A1">
        <w:tc>
          <w:tcPr>
            <w:tcW w:w="1838" w:type="dxa"/>
          </w:tcPr>
          <w:p w14:paraId="1C85618C" w14:textId="77777777" w:rsidR="00FA01A1" w:rsidRPr="006F7344" w:rsidRDefault="00FA01A1" w:rsidP="00FA01A1">
            <w:pPr>
              <w:jc w:val="center"/>
              <w:rPr>
                <w:bCs/>
                <w:sz w:val="20"/>
                <w:szCs w:val="20"/>
              </w:rPr>
            </w:pPr>
          </w:p>
        </w:tc>
        <w:tc>
          <w:tcPr>
            <w:tcW w:w="2430" w:type="dxa"/>
          </w:tcPr>
          <w:p w14:paraId="43FBF8D3" w14:textId="77777777" w:rsidR="00FA01A1" w:rsidRPr="006F7344" w:rsidRDefault="00FA01A1" w:rsidP="00FA01A1">
            <w:pPr>
              <w:jc w:val="center"/>
              <w:rPr>
                <w:bCs/>
                <w:sz w:val="20"/>
                <w:szCs w:val="20"/>
              </w:rPr>
            </w:pPr>
            <w:r w:rsidRPr="006F7344">
              <w:rPr>
                <w:bCs/>
                <w:sz w:val="20"/>
                <w:szCs w:val="20"/>
              </w:rPr>
              <w:t>Before Amendment of the 1945 Constitution</w:t>
            </w:r>
          </w:p>
          <w:p w14:paraId="34857CA3" w14:textId="77777777" w:rsidR="00FA01A1" w:rsidRPr="006F7344" w:rsidRDefault="00FA01A1" w:rsidP="00FA01A1">
            <w:pPr>
              <w:jc w:val="center"/>
              <w:rPr>
                <w:bCs/>
                <w:sz w:val="20"/>
                <w:szCs w:val="20"/>
              </w:rPr>
            </w:pPr>
            <w:r w:rsidRPr="006F7344">
              <w:rPr>
                <w:bCs/>
                <w:sz w:val="20"/>
                <w:szCs w:val="20"/>
              </w:rPr>
              <w:t>(1945 to 1998)</w:t>
            </w:r>
          </w:p>
        </w:tc>
        <w:tc>
          <w:tcPr>
            <w:tcW w:w="3060" w:type="dxa"/>
          </w:tcPr>
          <w:p w14:paraId="000B45B9" w14:textId="77777777" w:rsidR="00FA01A1" w:rsidRPr="006F7344" w:rsidRDefault="00FA01A1" w:rsidP="00FA01A1">
            <w:pPr>
              <w:jc w:val="center"/>
              <w:rPr>
                <w:bCs/>
                <w:sz w:val="20"/>
                <w:szCs w:val="20"/>
              </w:rPr>
            </w:pPr>
            <w:r w:rsidRPr="006F7344">
              <w:rPr>
                <w:bCs/>
                <w:sz w:val="20"/>
                <w:szCs w:val="20"/>
              </w:rPr>
              <w:t>After the Amendment of 1945 Constitution</w:t>
            </w:r>
          </w:p>
          <w:p w14:paraId="4B7E68C7" w14:textId="77777777" w:rsidR="00FA01A1" w:rsidRPr="006F7344" w:rsidRDefault="00FA01A1" w:rsidP="00FA01A1">
            <w:pPr>
              <w:jc w:val="center"/>
              <w:rPr>
                <w:bCs/>
                <w:sz w:val="20"/>
                <w:szCs w:val="20"/>
              </w:rPr>
            </w:pPr>
            <w:r w:rsidRPr="006F7344">
              <w:rPr>
                <w:bCs/>
                <w:sz w:val="20"/>
                <w:szCs w:val="20"/>
              </w:rPr>
              <w:t>(1998 to 2021)</w:t>
            </w:r>
          </w:p>
        </w:tc>
      </w:tr>
      <w:tr w:rsidR="00FA01A1" w:rsidRPr="006F7344" w14:paraId="7346D3D6" w14:textId="77777777" w:rsidTr="00FA01A1">
        <w:tc>
          <w:tcPr>
            <w:tcW w:w="1838" w:type="dxa"/>
          </w:tcPr>
          <w:p w14:paraId="00C3146C" w14:textId="77777777" w:rsidR="00FA01A1" w:rsidRPr="006F7344" w:rsidRDefault="00FA01A1" w:rsidP="00FA01A1">
            <w:pPr>
              <w:rPr>
                <w:bCs/>
                <w:sz w:val="20"/>
                <w:szCs w:val="20"/>
              </w:rPr>
            </w:pPr>
            <w:r w:rsidRPr="006F7344">
              <w:rPr>
                <w:bCs/>
                <w:sz w:val="20"/>
                <w:szCs w:val="20"/>
              </w:rPr>
              <w:t xml:space="preserve">Number of Criminalization of blasphemy case </w:t>
            </w:r>
          </w:p>
        </w:tc>
        <w:tc>
          <w:tcPr>
            <w:tcW w:w="2430" w:type="dxa"/>
          </w:tcPr>
          <w:p w14:paraId="56F327E8" w14:textId="77777777" w:rsidR="00FA01A1" w:rsidRPr="006F7344" w:rsidRDefault="00FA01A1" w:rsidP="00FA01A1">
            <w:pPr>
              <w:rPr>
                <w:bCs/>
                <w:sz w:val="20"/>
                <w:szCs w:val="20"/>
              </w:rPr>
            </w:pPr>
            <w:r w:rsidRPr="006F7344">
              <w:rPr>
                <w:bCs/>
                <w:sz w:val="20"/>
                <w:szCs w:val="20"/>
              </w:rPr>
              <w:t xml:space="preserve">             </w:t>
            </w:r>
          </w:p>
          <w:p w14:paraId="494EE3B9" w14:textId="77777777" w:rsidR="00FA01A1" w:rsidRPr="006F7344" w:rsidRDefault="00FA01A1" w:rsidP="00FA01A1">
            <w:pPr>
              <w:jc w:val="center"/>
              <w:rPr>
                <w:bCs/>
                <w:sz w:val="20"/>
                <w:szCs w:val="20"/>
              </w:rPr>
            </w:pPr>
            <w:r w:rsidRPr="006F7344">
              <w:rPr>
                <w:bCs/>
                <w:sz w:val="20"/>
                <w:szCs w:val="20"/>
              </w:rPr>
              <w:t>3</w:t>
            </w:r>
          </w:p>
          <w:p w14:paraId="7282F97C" w14:textId="77777777" w:rsidR="00FA01A1" w:rsidRPr="006F7344" w:rsidRDefault="00FA01A1" w:rsidP="00FA01A1">
            <w:pPr>
              <w:rPr>
                <w:bCs/>
                <w:sz w:val="20"/>
                <w:szCs w:val="20"/>
              </w:rPr>
            </w:pPr>
          </w:p>
          <w:p w14:paraId="25A9FC9D" w14:textId="77777777" w:rsidR="00FA01A1" w:rsidRPr="006F7344" w:rsidRDefault="00FA01A1" w:rsidP="00FA01A1">
            <w:pPr>
              <w:rPr>
                <w:bCs/>
                <w:sz w:val="20"/>
                <w:szCs w:val="20"/>
              </w:rPr>
            </w:pPr>
          </w:p>
        </w:tc>
        <w:tc>
          <w:tcPr>
            <w:tcW w:w="3060" w:type="dxa"/>
          </w:tcPr>
          <w:p w14:paraId="054CE28A" w14:textId="77777777" w:rsidR="00FA01A1" w:rsidRPr="006F7344" w:rsidRDefault="00FA01A1" w:rsidP="00FA01A1">
            <w:pPr>
              <w:rPr>
                <w:bCs/>
                <w:sz w:val="20"/>
                <w:szCs w:val="20"/>
              </w:rPr>
            </w:pPr>
            <w:r w:rsidRPr="006F7344">
              <w:rPr>
                <w:bCs/>
                <w:sz w:val="20"/>
                <w:szCs w:val="20"/>
              </w:rPr>
              <w:t xml:space="preserve">  </w:t>
            </w:r>
          </w:p>
          <w:p w14:paraId="719B70E4" w14:textId="77777777" w:rsidR="00FA01A1" w:rsidRPr="006F7344" w:rsidRDefault="00FA01A1" w:rsidP="00FA01A1">
            <w:pPr>
              <w:jc w:val="center"/>
              <w:rPr>
                <w:bCs/>
                <w:sz w:val="20"/>
                <w:szCs w:val="20"/>
              </w:rPr>
            </w:pPr>
            <w:r w:rsidRPr="006F7344">
              <w:rPr>
                <w:bCs/>
                <w:sz w:val="20"/>
                <w:szCs w:val="20"/>
              </w:rPr>
              <w:t>67</w:t>
            </w:r>
          </w:p>
        </w:tc>
      </w:tr>
    </w:tbl>
    <w:p w14:paraId="7F39A011" w14:textId="77777777" w:rsidR="00FA01A1" w:rsidRPr="009001A6" w:rsidRDefault="00FA01A1" w:rsidP="00FA01A1">
      <w:pPr>
        <w:pStyle w:val="ParagraphNormal"/>
        <w:rPr>
          <w:sz w:val="20"/>
          <w:szCs w:val="28"/>
        </w:rPr>
      </w:pPr>
      <w:r w:rsidRPr="009001A6">
        <w:rPr>
          <w:sz w:val="20"/>
          <w:szCs w:val="28"/>
        </w:rPr>
        <w:t>Sources: Cited from various sources.</w:t>
      </w:r>
    </w:p>
    <w:p w14:paraId="60BE9898" w14:textId="77777777" w:rsidR="00FA01A1" w:rsidRPr="006F7344" w:rsidRDefault="00FA01A1" w:rsidP="00FA01A1">
      <w:pPr>
        <w:pStyle w:val="ParagraphNormal"/>
      </w:pPr>
      <w:bookmarkStart w:id="38" w:name="_Toc118302795"/>
      <w:r w:rsidRPr="006F7344">
        <w:t xml:space="preserve">The data above illustrates that although the </w:t>
      </w:r>
      <w:commentRangeStart w:id="39"/>
      <w:r w:rsidRPr="006F7344">
        <w:t xml:space="preserve">1945 Constitution specifies that Indonesia is not a religion-based government (Islam), the Anti-Blasphemy Law has enhanced the state's role in intervening with citizens' religious issues, </w:t>
      </w:r>
      <w:commentRangeEnd w:id="39"/>
      <w:r w:rsidR="000D0D22">
        <w:rPr>
          <w:rStyle w:val="CommentReference"/>
        </w:rPr>
        <w:commentReference w:id="39"/>
      </w:r>
      <w:r w:rsidRPr="006F7344">
        <w:t xml:space="preserve">including punishing heretical religionists. The Anti-Blasphemy Law, which was seldom utilized to punish religious groups, has intensified since the Constitution guaranteed the right to religious freedom. Police are receiving more blasphemy reports. The Anti-Blasphemy Law's multi-interpretational provisions are used by law enforcement to follow up on reports until the trial and sentencing. </w:t>
      </w:r>
      <w:proofErr w:type="spellStart"/>
      <w:r w:rsidRPr="006F7344">
        <w:t>Hardline</w:t>
      </w:r>
      <w:proofErr w:type="spellEnd"/>
      <w:r w:rsidRPr="006F7344">
        <w:t xml:space="preserve"> Islamic organizations' protests, huge gatherings, and vigilante acts have caused official authorities to label faiths heretical. Law enforcement became helpless and unable to decide cases independently. The constitution doesn't specifically control the relationship between the state and religion, therefore the ruling administration can freely interpret it. Under the Anti-Defamation Law regime, </w:t>
      </w:r>
      <w:commentRangeStart w:id="40"/>
      <w:r w:rsidRPr="006F7344">
        <w:t>the criminalization of religion and numerous government policies reveal that state institutions and law enforcement regulate or intervene in the religious matters of its residents</w:t>
      </w:r>
      <w:commentRangeEnd w:id="40"/>
      <w:r w:rsidR="000D0D22">
        <w:rPr>
          <w:rStyle w:val="CommentReference"/>
        </w:rPr>
        <w:commentReference w:id="40"/>
      </w:r>
      <w:r w:rsidRPr="006F7344">
        <w:t>.</w:t>
      </w:r>
    </w:p>
    <w:p w14:paraId="0AF0F921" w14:textId="77777777" w:rsidR="00FA01A1" w:rsidRPr="006F7344" w:rsidRDefault="00FA01A1" w:rsidP="00FA01A1">
      <w:pPr>
        <w:pStyle w:val="ParagraphNormal"/>
      </w:pPr>
      <w:r w:rsidRPr="006F7344">
        <w:t xml:space="preserve">In Durham and </w:t>
      </w:r>
      <w:proofErr w:type="spellStart"/>
      <w:r w:rsidRPr="006F7344">
        <w:t>Scharffs</w:t>
      </w:r>
      <w:proofErr w:type="spellEnd"/>
      <w:r w:rsidRPr="006F7344">
        <w:t xml:space="preserve">' (2010) diagram, Indonesia is between a theocratic and a religious state. This empowers certain faiths to monopoly the truth and persecute wrongdoers. Such a connection threatens religious freedom since someone who chooses and believes in his faith and religious teachings might be branded heretical and punished. </w:t>
      </w:r>
    </w:p>
    <w:p w14:paraId="59922EC5" w14:textId="77777777" w:rsidR="00FA01A1" w:rsidRPr="006F7344" w:rsidRDefault="00FA01A1" w:rsidP="00FA01A1">
      <w:pPr>
        <w:pStyle w:val="ParagraphNormal"/>
        <w:ind w:firstLine="0"/>
        <w:rPr>
          <w:b/>
          <w:bCs/>
        </w:rPr>
      </w:pPr>
      <w:r w:rsidRPr="006F7344">
        <w:rPr>
          <w:b/>
          <w:bCs/>
        </w:rPr>
        <w:t xml:space="preserve">6.3.2 Anti-Blasphemy Law Favours to Established religions </w:t>
      </w:r>
      <w:bookmarkEnd w:id="38"/>
    </w:p>
    <w:p w14:paraId="581915DB" w14:textId="77777777" w:rsidR="00FA01A1" w:rsidRPr="006F7344" w:rsidRDefault="00FA01A1" w:rsidP="00FA01A1">
      <w:pPr>
        <w:pStyle w:val="ParagraphNormal"/>
      </w:pPr>
      <w:r w:rsidRPr="006F7344">
        <w:t xml:space="preserve">From its conception to its current implementation, the </w:t>
      </w:r>
      <w:commentRangeStart w:id="41"/>
      <w:r w:rsidRPr="006F7344">
        <w:t xml:space="preserve">Indonesia’s Anti-Blasphemy Law (IABL) continues to help established religions receive official backing. </w:t>
      </w:r>
      <w:commentRangeEnd w:id="41"/>
      <w:r w:rsidR="003C5346">
        <w:rPr>
          <w:rStyle w:val="CommentReference"/>
        </w:rPr>
        <w:commentReference w:id="41"/>
      </w:r>
      <w:r w:rsidRPr="006F7344">
        <w:t xml:space="preserve">Assistance in this situation is not limited to financial support to existing religious groups, but also in giving legal protection to its members in creating religious organizations and worshiping according </w:t>
      </w:r>
      <w:r w:rsidRPr="006F7344">
        <w:lastRenderedPageBreak/>
        <w:t>to their faith and beliefs. Ironically, this study indicates that the Anti Blasphemy Law not only offers the big faiths more legal standing, but it is also utilized to punish religious members.</w:t>
      </w:r>
    </w:p>
    <w:p w14:paraId="556847AD" w14:textId="77777777" w:rsidR="00FA01A1" w:rsidRPr="006F7344" w:rsidRDefault="00FA01A1" w:rsidP="00FA01A1">
      <w:pPr>
        <w:pStyle w:val="ParagraphNormal"/>
      </w:pPr>
      <w:commentRangeStart w:id="42"/>
      <w:r w:rsidRPr="006F7344">
        <w:t>President Soekarno signed the IABL in 1965.</w:t>
      </w:r>
      <w:r w:rsidRPr="006F7344">
        <w:rPr>
          <w:rStyle w:val="FootnoteReference"/>
        </w:rPr>
        <w:t xml:space="preserve"> </w:t>
      </w:r>
      <w:r w:rsidRPr="00E82028">
        <w:rPr>
          <w:rStyle w:val="FootnoteReference"/>
        </w:rPr>
        <w:footnoteReference w:id="3"/>
      </w:r>
      <w:r w:rsidRPr="006F7344">
        <w:t xml:space="preserve"> It was designed to decrease social friction </w:t>
      </w:r>
      <w:commentRangeEnd w:id="42"/>
      <w:r w:rsidR="003C7223">
        <w:rPr>
          <w:rStyle w:val="CommentReference"/>
        </w:rPr>
        <w:commentReference w:id="42"/>
      </w:r>
      <w:r w:rsidRPr="006F7344">
        <w:t>between conservative people and non-religious belief groups and atheists</w:t>
      </w:r>
      <w:r w:rsidRPr="00E82028">
        <w:rPr>
          <w:rStyle w:val="FootnoteReference"/>
        </w:rPr>
        <w:footnoteReference w:id="4"/>
      </w:r>
      <w:r w:rsidRPr="006F7344">
        <w:t xml:space="preserve">  who were in opposition to Pancasila and posed a threat to the protected religion, national security, and national disintegration.</w:t>
      </w:r>
      <w:r w:rsidRPr="006F7344">
        <w:rPr>
          <w:rStyle w:val="FootnoteReference"/>
        </w:rPr>
        <w:t xml:space="preserve"> </w:t>
      </w:r>
      <w:r w:rsidRPr="00E82028">
        <w:rPr>
          <w:rStyle w:val="FootnoteReference"/>
        </w:rPr>
        <w:footnoteReference w:id="5"/>
      </w:r>
      <w:r w:rsidRPr="006F7344">
        <w:t xml:space="preserve">  The events of the communist revolution of 1965 became a terrible chapter in Indonesian history, and the people did not want a similar catastrophe to occur again.</w:t>
      </w:r>
      <w:r w:rsidRPr="006F7344">
        <w:rPr>
          <w:rStyle w:val="FootnoteReference"/>
        </w:rPr>
        <w:t xml:space="preserve"> </w:t>
      </w:r>
      <w:r w:rsidRPr="00E82028">
        <w:rPr>
          <w:rStyle w:val="FootnoteReference"/>
        </w:rPr>
        <w:footnoteReference w:id="6"/>
      </w:r>
      <w:r w:rsidRPr="006F7344">
        <w:t xml:space="preserve"> Following this dreadful occurrence, the House of Representatives issued the Provisional People's Consultative Assembly of the Republic of Indonesia No. XXV/MPRS/1966, which outlawed communism, Leninism, and Marxism.</w:t>
      </w:r>
      <w:r w:rsidRPr="006F7344">
        <w:rPr>
          <w:rStyle w:val="FootnoteReference"/>
        </w:rPr>
        <w:t xml:space="preserve"> </w:t>
      </w:r>
      <w:r w:rsidRPr="00E82028">
        <w:rPr>
          <w:rStyle w:val="FootnoteReference"/>
        </w:rPr>
        <w:footnoteReference w:id="7"/>
      </w:r>
      <w:r w:rsidRPr="006F7344">
        <w:t xml:space="preserve">  The 1965 revolution movement urged Soekarno to step down and provided </w:t>
      </w:r>
      <w:proofErr w:type="spellStart"/>
      <w:r w:rsidRPr="006F7344">
        <w:t>Soeharto</w:t>
      </w:r>
      <w:proofErr w:type="spellEnd"/>
      <w:r w:rsidRPr="006F7344">
        <w:t xml:space="preserve"> the mandate to succeed him. The administration legislation under President </w:t>
      </w:r>
      <w:proofErr w:type="spellStart"/>
      <w:r w:rsidRPr="006F7344">
        <w:t>Soeharto</w:t>
      </w:r>
      <w:proofErr w:type="spellEnd"/>
      <w:r w:rsidRPr="006F7344">
        <w:t xml:space="preserve"> during the so-called "New Order" period was altered at that time.</w:t>
      </w:r>
      <w:r w:rsidRPr="006F7344">
        <w:rPr>
          <w:rStyle w:val="FootnoteReference"/>
        </w:rPr>
        <w:t xml:space="preserve"> </w:t>
      </w:r>
      <w:r w:rsidRPr="00E82028">
        <w:rPr>
          <w:rStyle w:val="FootnoteReference"/>
        </w:rPr>
        <w:footnoteReference w:id="8"/>
      </w:r>
    </w:p>
    <w:p w14:paraId="1C929EE0" w14:textId="77777777" w:rsidR="00FA01A1" w:rsidRPr="006F7344" w:rsidRDefault="00FA01A1" w:rsidP="00FA01A1">
      <w:pPr>
        <w:pStyle w:val="ParagraphNormal"/>
      </w:pPr>
      <w:commentRangeStart w:id="43"/>
      <w:r w:rsidRPr="006F7344">
        <w:t>As stated previously, Soekarno signed the President Stipulation in 1965,</w:t>
      </w:r>
      <w:r w:rsidRPr="00E82028">
        <w:rPr>
          <w:rStyle w:val="FootnoteReference"/>
        </w:rPr>
        <w:footnoteReference w:id="9"/>
      </w:r>
      <w:r w:rsidRPr="006F7344">
        <w:t xml:space="preserve"> </w:t>
      </w:r>
      <w:commentRangeEnd w:id="43"/>
      <w:r w:rsidR="003C7223">
        <w:rPr>
          <w:rStyle w:val="CommentReference"/>
        </w:rPr>
        <w:commentReference w:id="43"/>
      </w:r>
      <w:r w:rsidRPr="006F7344">
        <w:t xml:space="preserve">because he wanted to protect the established religions and beliefs </w:t>
      </w:r>
      <w:proofErr w:type="gramStart"/>
      <w:r w:rsidRPr="006F7344">
        <w:t>in order to</w:t>
      </w:r>
      <w:proofErr w:type="gramEnd"/>
      <w:r w:rsidRPr="006F7344">
        <w:t xml:space="preserve"> prevent the people's </w:t>
      </w:r>
      <w:r w:rsidRPr="006F7344">
        <w:lastRenderedPageBreak/>
        <w:t>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w:t>
      </w:r>
      <w:r w:rsidRPr="006F7344">
        <w:rPr>
          <w:rStyle w:val="FootnoteReference"/>
        </w:rPr>
        <w:t xml:space="preserve"> </w:t>
      </w:r>
      <w:r w:rsidRPr="00E82028">
        <w:rPr>
          <w:rStyle w:val="FootnoteReference"/>
        </w:rPr>
        <w:footnoteReference w:id="10"/>
      </w:r>
      <w:r w:rsidRPr="006F7344">
        <w:t xml:space="preserve">  In accordance with the explanation of Article 1 of the President Stipulation of 1956, Indonesia recognizes Islam, Protestant Christianity, Catholicism, Hinduism, and Buddhism.</w:t>
      </w:r>
      <w:r w:rsidRPr="006F7344">
        <w:rPr>
          <w:rStyle w:val="FootnoteReference"/>
        </w:rPr>
        <w:t xml:space="preserve"> </w:t>
      </w:r>
      <w:r w:rsidRPr="00E82028">
        <w:rPr>
          <w:rStyle w:val="FootnoteReference"/>
        </w:rPr>
        <w:footnoteReference w:id="11"/>
      </w:r>
      <w:r w:rsidRPr="006F7344">
        <w:t xml:space="preserve">  However, this does not imply that the government prohibits Baha'i, Shinto, Jewish, and other religions. After the Reformation Period, under the presidency of Gus Dur, these five recognized faiths become six with the addition of Confucianism.</w:t>
      </w:r>
    </w:p>
    <w:p w14:paraId="3FE5C7D9" w14:textId="77777777" w:rsidR="00FA01A1" w:rsidRPr="006F7344" w:rsidRDefault="00FA01A1" w:rsidP="00FA01A1">
      <w:pPr>
        <w:pStyle w:val="ParagraphNormal"/>
      </w:pPr>
      <w:commentRangeStart w:id="44"/>
      <w:r w:rsidRPr="006F7344">
        <w:t xml:space="preserve">Furthermore, the IABL demonstrates that governmental protection for established </w:t>
      </w:r>
      <w:commentRangeEnd w:id="44"/>
      <w:r w:rsidR="003C7223">
        <w:rPr>
          <w:rStyle w:val="CommentReference"/>
        </w:rPr>
        <w:commentReference w:id="44"/>
      </w:r>
      <w:r w:rsidRPr="006F7344">
        <w:t>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w:t>
      </w:r>
      <w:r w:rsidRPr="006F7344">
        <w:rPr>
          <w:rStyle w:val="FootnoteReference"/>
        </w:rPr>
        <w:t xml:space="preserve"> </w:t>
      </w:r>
      <w:r w:rsidRPr="00E82028">
        <w:rPr>
          <w:rStyle w:val="FootnoteReference"/>
        </w:rPr>
        <w:footnoteReference w:id="12"/>
      </w:r>
      <w:r w:rsidRPr="006F7344">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6F7344">
        <w:t>Nalle</w:t>
      </w:r>
      <w:proofErr w:type="spellEnd"/>
      <w:r w:rsidRPr="006F7344">
        <w:t xml:space="preserve"> explains that Islamic groups such as </w:t>
      </w:r>
      <w:proofErr w:type="spellStart"/>
      <w:r w:rsidRPr="006F7344">
        <w:t>Sarekat</w:t>
      </w:r>
      <w:proofErr w:type="spellEnd"/>
      <w:r w:rsidRPr="006F7344">
        <w:t xml:space="preserve"> Islam (Islamic Union) and Muhammadiyah (the followers of Muhammad) played a significant part in the Dutch colonial's suppression in 1929.</w:t>
      </w:r>
      <w:r w:rsidRPr="00E82028">
        <w:rPr>
          <w:rStyle w:val="FootnoteReference"/>
        </w:rPr>
        <w:footnoteReference w:id="13"/>
      </w:r>
      <w:r w:rsidRPr="006F7344">
        <w:t xml:space="preserve"> Many Muslim leaders, like Mohammad Hatta, </w:t>
      </w:r>
      <w:proofErr w:type="spellStart"/>
      <w:r w:rsidRPr="006F7344">
        <w:t>Sutan</w:t>
      </w:r>
      <w:proofErr w:type="spellEnd"/>
      <w:r w:rsidRPr="006F7344">
        <w:t xml:space="preserve"> </w:t>
      </w:r>
      <w:proofErr w:type="spellStart"/>
      <w:r w:rsidRPr="006F7344">
        <w:t>Sjahrir</w:t>
      </w:r>
      <w:proofErr w:type="spellEnd"/>
      <w:r w:rsidRPr="006F7344">
        <w:t xml:space="preserve">, and Mohammad </w:t>
      </w:r>
      <w:proofErr w:type="spellStart"/>
      <w:r w:rsidRPr="006F7344">
        <w:t>Yamin</w:t>
      </w:r>
      <w:proofErr w:type="spellEnd"/>
      <w:r w:rsidRPr="006F7344">
        <w:t xml:space="preserve">, backed the National Indonesia Party created by Soekarno. They have successfully announced </w:t>
      </w:r>
      <w:r w:rsidRPr="006F7344">
        <w:lastRenderedPageBreak/>
        <w:t>Indonesia's unity. Therefore, on 1 June 1945, Soekarno articulated Pancasila,</w:t>
      </w:r>
      <w:r w:rsidRPr="006F7344">
        <w:rPr>
          <w:rStyle w:val="FootnoteReference"/>
        </w:rPr>
        <w:t xml:space="preserve"> </w:t>
      </w:r>
      <w:r w:rsidRPr="00E82028">
        <w:rPr>
          <w:rStyle w:val="FootnoteReference"/>
        </w:rPr>
        <w:footnoteReference w:id="14"/>
      </w:r>
      <w:r w:rsidRPr="006F7344">
        <w:t xml:space="preserve">  which consists of the five principles, as a basic national standard. The five principles are: (1) the beliefs of God the Almighty; (2) fairness and civility among peoples; (3) the unity of Indonesia; and (5) socioeconomic justice for everyone. Taking into account the aspirations of the Muslim population to form an Islamic state, Soekarno established the first principle as the foundation for all other principles.</w:t>
      </w:r>
      <w:r w:rsidRPr="006F7344">
        <w:rPr>
          <w:rStyle w:val="FootnoteReference"/>
        </w:rPr>
        <w:t xml:space="preserve"> </w:t>
      </w:r>
      <w:r w:rsidRPr="00E82028">
        <w:rPr>
          <w:rStyle w:val="FootnoteReference"/>
        </w:rPr>
        <w:footnoteReference w:id="15"/>
      </w:r>
      <w:r w:rsidRPr="006F7344">
        <w:t xml:space="preserve"> </w:t>
      </w:r>
      <w:r w:rsidRPr="006F7344">
        <w:rPr>
          <w:rStyle w:val="FootnoteReference"/>
        </w:rPr>
        <w:t xml:space="preserve"> </w:t>
      </w:r>
      <w:r w:rsidRPr="006F7344">
        <w:t xml:space="preserve">In the final text of Pancasila, the Belief in God with the commitment to implement the </w:t>
      </w:r>
      <w:proofErr w:type="spellStart"/>
      <w:r w:rsidRPr="006F7344">
        <w:t>Shari'ah</w:t>
      </w:r>
      <w:proofErr w:type="spellEnd"/>
      <w:r w:rsidRPr="006F7344">
        <w:t xml:space="preserve"> for Muslims, also known as the Jakarta Charter, has been removed.</w:t>
      </w:r>
      <w:r w:rsidRPr="006F7344">
        <w:rPr>
          <w:rStyle w:val="FootnoteReference"/>
        </w:rPr>
        <w:t xml:space="preserve"> </w:t>
      </w:r>
      <w:r w:rsidRPr="006F7344">
        <w:t>The judgment strikes a compromise between safeguarding the established faith and recognizing the majority Muslim community.</w:t>
      </w:r>
    </w:p>
    <w:p w14:paraId="6D30ACD1" w14:textId="77777777" w:rsidR="00FA01A1" w:rsidRPr="006F7344" w:rsidRDefault="00FA01A1" w:rsidP="00FA01A1">
      <w:pPr>
        <w:pStyle w:val="ParagraphNormal"/>
      </w:pPr>
      <w:r w:rsidRPr="006F7344">
        <w:t xml:space="preserve">During the new order period, the IABL </w:t>
      </w:r>
      <w:commentRangeStart w:id="45"/>
      <w:r w:rsidRPr="006F7344">
        <w:t xml:space="preserve">was maintained by the </w:t>
      </w:r>
      <w:proofErr w:type="spellStart"/>
      <w:r w:rsidRPr="006F7344">
        <w:t>Soeharto</w:t>
      </w:r>
      <w:proofErr w:type="spellEnd"/>
      <w:r w:rsidRPr="006F7344">
        <w:t xml:space="preserve"> Administration </w:t>
      </w:r>
      <w:commentRangeEnd w:id="45"/>
      <w:r w:rsidR="003C7223">
        <w:rPr>
          <w:rStyle w:val="CommentReference"/>
        </w:rPr>
        <w:commentReference w:id="45"/>
      </w:r>
      <w:r w:rsidRPr="006F7344">
        <w:t xml:space="preserve">because President </w:t>
      </w:r>
      <w:proofErr w:type="spellStart"/>
      <w:r w:rsidRPr="006F7344">
        <w:t>Soeharto</w:t>
      </w:r>
      <w:proofErr w:type="spellEnd"/>
      <w:r w:rsidRPr="006F7344">
        <w:t xml:space="preserve"> wanted national stability, avoided horizontal conflicts that would affect the running of the government. Under President </w:t>
      </w:r>
      <w:proofErr w:type="spellStart"/>
      <w:r w:rsidRPr="006F7344">
        <w:t>Soeharto</w:t>
      </w:r>
      <w:proofErr w:type="spellEnd"/>
      <w:r w:rsidRPr="006F7344">
        <w:t xml:space="preserve">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7F62B7B9" w14:textId="77777777" w:rsidR="00FA01A1" w:rsidRPr="006F7344" w:rsidRDefault="00FA01A1" w:rsidP="00FA01A1">
      <w:pPr>
        <w:pStyle w:val="ParagraphNormal"/>
      </w:pPr>
      <w:r w:rsidRPr="006F7344">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socio-political situations in Indonesia continue to need this law. Unfortunately, </w:t>
      </w:r>
      <w:r w:rsidRPr="006F7344">
        <w:lastRenderedPageBreak/>
        <w:t>since the government approved Law No. 11 of 2008 about Electronic Information and Transactions (hereafter the Law of EIT), the IABL has become more restrictive of the right to freedom of expression.</w:t>
      </w:r>
    </w:p>
    <w:p w14:paraId="092F2055" w14:textId="77777777" w:rsidR="00FA01A1" w:rsidRPr="006F7344" w:rsidRDefault="00FA01A1" w:rsidP="00FA01A1">
      <w:pPr>
        <w:pStyle w:val="ParagraphNormal"/>
      </w:pPr>
      <w:commentRangeStart w:id="46"/>
      <w:r w:rsidRPr="006F7344">
        <w:t xml:space="preserve">Many groups believe that the Anti-Defamation Law in Indonesia exclusively protects </w:t>
      </w:r>
      <w:commentRangeEnd w:id="46"/>
      <w:r w:rsidR="003C7223">
        <w:rPr>
          <w:rStyle w:val="CommentReference"/>
        </w:rPr>
        <w:commentReference w:id="46"/>
      </w:r>
      <w:r w:rsidRPr="006F7344">
        <w:t xml:space="preserve">six major religions. According to the data presented in the table above, </w:t>
      </w:r>
      <w:proofErr w:type="gramStart"/>
      <w:r w:rsidRPr="006F7344">
        <w:t>the majority of</w:t>
      </w:r>
      <w:proofErr w:type="gramEnd"/>
      <w:r w:rsidRPr="006F7344">
        <w:t xml:space="preserve"> community members who encounter violence or criminalization are members of religious minorities. However, the general population is unaware that the Anti-Defamation Law also poses a threat to followers of the six major faiths practiced in Indonesia. </w:t>
      </w:r>
      <w:proofErr w:type="spellStart"/>
      <w:r w:rsidRPr="006F7344">
        <w:t>Ahok</w:t>
      </w:r>
      <w:proofErr w:type="spellEnd"/>
      <w:r w:rsidRPr="006F7344">
        <w:t xml:space="preserve"> identifies himself a Christian. Christianity is one of Indonesia's six predominant faiths. However, </w:t>
      </w:r>
      <w:proofErr w:type="gramStart"/>
      <w:r w:rsidRPr="006F7344">
        <w:t>as a result of</w:t>
      </w:r>
      <w:proofErr w:type="gramEnd"/>
      <w:r w:rsidRPr="006F7344">
        <w:t xml:space="preserve"> animosity, the Anti-Defamation Law has been utilized as a political instrument to punish </w:t>
      </w:r>
      <w:proofErr w:type="spellStart"/>
      <w:r w:rsidRPr="006F7344">
        <w:t>Ahok</w:t>
      </w:r>
      <w:proofErr w:type="spellEnd"/>
      <w:r w:rsidRPr="006F7344">
        <w:t xml:space="preserve">. </w:t>
      </w:r>
      <w:proofErr w:type="spellStart"/>
      <w:r w:rsidRPr="006F7344">
        <w:t>Meiliana</w:t>
      </w:r>
      <w:proofErr w:type="spellEnd"/>
      <w:r w:rsidRPr="006F7344">
        <w:t xml:space="preserve"> is also a Buddhist, which is one of the six major faiths practiced in Indo-</w:t>
      </w:r>
      <w:proofErr w:type="spellStart"/>
      <w:r w:rsidRPr="006F7344">
        <w:t>nesia</w:t>
      </w:r>
      <w:proofErr w:type="spellEnd"/>
      <w:r w:rsidRPr="006F7344">
        <w:t xml:space="preserve">. </w:t>
      </w:r>
      <w:proofErr w:type="spellStart"/>
      <w:r w:rsidRPr="006F7344">
        <w:t>Meiliana</w:t>
      </w:r>
      <w:proofErr w:type="spellEnd"/>
      <w:r w:rsidRPr="006F7344">
        <w:t xml:space="preserve"> is likewise a target of blasphemy law enforcement, like </w:t>
      </w:r>
      <w:proofErr w:type="spellStart"/>
      <w:r w:rsidRPr="006F7344">
        <w:t>Ahok</w:t>
      </w:r>
      <w:proofErr w:type="spellEnd"/>
      <w:r w:rsidRPr="006F7344">
        <w:t>.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6FF8148C" w14:textId="77777777" w:rsidR="00FA01A1" w:rsidRPr="006F7344" w:rsidRDefault="00FA01A1" w:rsidP="00FA01A1">
      <w:pPr>
        <w:pStyle w:val="ParagraphNormal"/>
      </w:pPr>
      <w:r w:rsidRPr="006F7344">
        <w:t>Although the ICCPR has become a positive law in Indonesia on par with the IBLs, many legal officials lack the rudimentary skills necessary to execute the law. T</w:t>
      </w:r>
      <w:commentRangeStart w:id="47"/>
      <w:r w:rsidRPr="006F7344">
        <w:t xml:space="preserve">he 1945 Indonesian Constitution and the Human Rights Law provide freedom of religion and belief as well as freedom of expression. </w:t>
      </w:r>
      <w:commentRangeEnd w:id="47"/>
      <w:r w:rsidR="003C7223">
        <w:rPr>
          <w:rStyle w:val="CommentReference"/>
        </w:rPr>
        <w:commentReference w:id="47"/>
      </w:r>
      <w:r w:rsidRPr="006F7344">
        <w:t xml:space="preserve">However, the government, court, and police utilized IBLs against defamation and blasphemy more frequently </w:t>
      </w:r>
      <w:proofErr w:type="gramStart"/>
      <w:r w:rsidRPr="006F7344">
        <w:t>in order to</w:t>
      </w:r>
      <w:proofErr w:type="gramEnd"/>
      <w:r w:rsidRPr="006F7344">
        <w:t xml:space="preserve"> curtail those freedoms.</w:t>
      </w:r>
      <w:r w:rsidRPr="006F7344">
        <w:rPr>
          <w:rStyle w:val="FootnoteReference"/>
        </w:rPr>
        <w:t xml:space="preserve"> </w:t>
      </w:r>
      <w:r w:rsidRPr="00E82028">
        <w:rPr>
          <w:rStyle w:val="FootnoteReference"/>
        </w:rPr>
        <w:footnoteReference w:id="16"/>
      </w:r>
      <w:r w:rsidRPr="006F7344">
        <w:t xml:space="preserve"> In a number of instances, the Court has understood that sect membership constitutes defamation of the state's recognized faiths, which is contrary to the goals of General Comment No. 34 of the ICCPR and the Ra-bat Action Plan.</w:t>
      </w:r>
    </w:p>
    <w:p w14:paraId="1B393D7E" w14:textId="77777777" w:rsidR="00FA01A1" w:rsidRPr="006F7344" w:rsidRDefault="00FA01A1" w:rsidP="00FA01A1">
      <w:pPr>
        <w:pStyle w:val="ParagraphNormal"/>
      </w:pPr>
      <w:r w:rsidRPr="006F7344">
        <w:lastRenderedPageBreak/>
        <w:t xml:space="preserve">In the instance of </w:t>
      </w:r>
      <w:proofErr w:type="spellStart"/>
      <w:r w:rsidRPr="006F7344">
        <w:t>Gafatar</w:t>
      </w:r>
      <w:proofErr w:type="spellEnd"/>
      <w:r w:rsidRPr="006F7344">
        <w:t>,</w:t>
      </w:r>
      <w:r w:rsidRPr="006F7344">
        <w:rPr>
          <w:rStyle w:val="FootnoteReference"/>
        </w:rPr>
        <w:t xml:space="preserve"> </w:t>
      </w:r>
      <w:r w:rsidRPr="00E82028">
        <w:rPr>
          <w:rStyle w:val="FootnoteReference"/>
        </w:rPr>
        <w:footnoteReference w:id="17"/>
      </w:r>
      <w:r w:rsidRPr="006F7344">
        <w:t xml:space="preserve"> three leaders of the religious sect were detained in Jakarta on May 26 for blasphemy because, according to the </w:t>
      </w:r>
      <w:commentRangeStart w:id="48"/>
      <w:r w:rsidRPr="006F7344">
        <w:t>Authorities</w:t>
      </w:r>
      <w:commentRangeEnd w:id="48"/>
      <w:r w:rsidR="003C7223">
        <w:rPr>
          <w:rStyle w:val="CommentReference"/>
        </w:rPr>
        <w:commentReference w:id="48"/>
      </w:r>
      <w:r w:rsidRPr="006F7344">
        <w:t xml:space="preserve">, </w:t>
      </w:r>
      <w:proofErr w:type="spellStart"/>
      <w:r w:rsidRPr="006F7344">
        <w:t>Gafatar's</w:t>
      </w:r>
      <w:proofErr w:type="spellEnd"/>
      <w:r w:rsidRPr="006F7344">
        <w:t xml:space="preserve"> teachings blend Islam, Christianity, and Judaism in a manner that is incompatible with recognized faiths doctrines. In March, the Ministry of Religious Affairs, the Ministry of Home Affairs, and the Attorney General's Office announce a combined decree banning </w:t>
      </w:r>
      <w:proofErr w:type="spellStart"/>
      <w:r w:rsidRPr="006F7344">
        <w:t>Gafatar</w:t>
      </w:r>
      <w:proofErr w:type="spellEnd"/>
      <w:r w:rsidRPr="006F7344">
        <w:t xml:space="preserve"> and any connected groups. Since the Minister of Religious Affairs never granted it legal status, the </w:t>
      </w:r>
      <w:proofErr w:type="spellStart"/>
      <w:r w:rsidRPr="006F7344">
        <w:t>Gafatar</w:t>
      </w:r>
      <w:proofErr w:type="spellEnd"/>
      <w:r w:rsidRPr="006F7344">
        <w:t xml:space="preserve"> has no legal standing as a civil body. Before the court ruled that the </w:t>
      </w:r>
      <w:proofErr w:type="spellStart"/>
      <w:r w:rsidRPr="006F7344">
        <w:t>Gafatar</w:t>
      </w:r>
      <w:proofErr w:type="spellEnd"/>
      <w:r w:rsidRPr="006F7344">
        <w:t xml:space="preserve"> is guilty of violating the blasphemy statute, the government had previously classified them as an unlawful organization. In this regard, it was unclear what legal basis the government would employ to restrict the religious freedom of </w:t>
      </w:r>
      <w:proofErr w:type="spellStart"/>
      <w:r w:rsidRPr="006F7344">
        <w:t>Gafatar</w:t>
      </w:r>
      <w:proofErr w:type="spellEnd"/>
      <w:r w:rsidRPr="006F7344">
        <w:t xml:space="preserve"> members.</w:t>
      </w:r>
    </w:p>
    <w:p w14:paraId="7DF8BD59" w14:textId="77777777" w:rsidR="00FA01A1" w:rsidRPr="006F7344" w:rsidRDefault="00FA01A1" w:rsidP="00FA01A1">
      <w:pPr>
        <w:pStyle w:val="ParagraphNormal"/>
      </w:pPr>
      <w:r w:rsidRPr="006F7344">
        <w:t xml:space="preserve">In the same month, the East Jakarta District Court sentenced the three top leaders of the outlawed </w:t>
      </w:r>
      <w:proofErr w:type="spellStart"/>
      <w:r w:rsidRPr="006F7344">
        <w:t>Gafatar</w:t>
      </w:r>
      <w:proofErr w:type="spellEnd"/>
      <w:r w:rsidRPr="006F7344">
        <w:t xml:space="preserve"> religious cult to between three and five years in prison for blasphemy.</w:t>
      </w:r>
      <w:r w:rsidRPr="006F7344">
        <w:rPr>
          <w:rStyle w:val="FootnoteReference"/>
        </w:rPr>
        <w:t xml:space="preserve"> </w:t>
      </w:r>
      <w:r w:rsidRPr="00E82028">
        <w:rPr>
          <w:rStyle w:val="FootnoteReference"/>
        </w:rPr>
        <w:footnoteReference w:id="18"/>
      </w:r>
      <w:r w:rsidRPr="006F7344">
        <w:t xml:space="preserve"> </w:t>
      </w:r>
      <w:proofErr w:type="spellStart"/>
      <w:r w:rsidRPr="006F7344">
        <w:t>Gafatar</w:t>
      </w:r>
      <w:proofErr w:type="spellEnd"/>
      <w:r w:rsidRPr="006F7344">
        <w:t xml:space="preserve"> is not protected by the IABLs since the government defines a religion as having a prophet, sacred book, and divinity, as well as being globally acknowledged. The court determined that, unlike the six recognized faiths mentioned in the IBL, </w:t>
      </w:r>
      <w:proofErr w:type="spellStart"/>
      <w:r w:rsidRPr="006F7344">
        <w:t>Gafatar</w:t>
      </w:r>
      <w:proofErr w:type="spellEnd"/>
      <w:r w:rsidRPr="006F7344">
        <w:t xml:space="preserve"> did not meet these standards. The Court restricts the </w:t>
      </w:r>
      <w:proofErr w:type="spellStart"/>
      <w:r w:rsidRPr="006F7344">
        <w:t>Gafatar's</w:t>
      </w:r>
      <w:proofErr w:type="spellEnd"/>
      <w:r w:rsidRPr="006F7344">
        <w:t xml:space="preserve"> freedom of expression </w:t>
      </w:r>
      <w:proofErr w:type="gramStart"/>
      <w:r w:rsidRPr="006F7344">
        <w:t>in order to</w:t>
      </w:r>
      <w:proofErr w:type="gramEnd"/>
      <w:r w:rsidRPr="006F7344">
        <w:t xml:space="preserve"> preserve the six recognized faiths, rather than for the other purposes listed in the ICCPR. The </w:t>
      </w:r>
      <w:proofErr w:type="spellStart"/>
      <w:r w:rsidRPr="006F7344">
        <w:t>Gafatar's</w:t>
      </w:r>
      <w:proofErr w:type="spellEnd"/>
      <w:r w:rsidRPr="006F7344">
        <w:t xml:space="preserve"> ruling breaches the ICCPR's guarantees of freedom of religion and speech.</w:t>
      </w:r>
    </w:p>
    <w:p w14:paraId="4A84F079" w14:textId="77777777" w:rsidR="00FA01A1" w:rsidRPr="006F7344" w:rsidRDefault="00FA01A1" w:rsidP="00FA01A1">
      <w:pPr>
        <w:pStyle w:val="ParagraphNormal"/>
      </w:pPr>
      <w:proofErr w:type="spellStart"/>
      <w:r w:rsidRPr="006F7344">
        <w:t>Ustad</w:t>
      </w:r>
      <w:proofErr w:type="spellEnd"/>
      <w:r w:rsidRPr="006F7344">
        <w:t xml:space="preserve"> Abdul </w:t>
      </w:r>
      <w:proofErr w:type="spellStart"/>
      <w:r w:rsidRPr="006F7344">
        <w:t>Somad</w:t>
      </w:r>
      <w:proofErr w:type="spellEnd"/>
      <w:r w:rsidRPr="006F7344">
        <w:t xml:space="preserve">, a religious leader with thousands of followers in Indonesia, faced this situation. Due to the uncertainty of the criteria in the Blasphemy Law, </w:t>
      </w:r>
      <w:proofErr w:type="spellStart"/>
      <w:r w:rsidRPr="006F7344">
        <w:t>Ustad</w:t>
      </w:r>
      <w:proofErr w:type="spellEnd"/>
      <w:r w:rsidRPr="006F7344">
        <w:t xml:space="preserve"> </w:t>
      </w:r>
      <w:proofErr w:type="spellStart"/>
      <w:r w:rsidRPr="006F7344">
        <w:t>Somad</w:t>
      </w:r>
      <w:proofErr w:type="spellEnd"/>
      <w:r w:rsidRPr="006F7344">
        <w:t xml:space="preserve"> was also charged of blasphemy as a follower of the predominant faith of the majority [Islam]. Similar experiences were shared by other prominent Muslim national personalities, as seen in Table 10.</w:t>
      </w:r>
    </w:p>
    <w:p w14:paraId="690A3695" w14:textId="77777777" w:rsidR="00FA01A1" w:rsidRPr="006F7344" w:rsidRDefault="00FA01A1" w:rsidP="00FA01A1">
      <w:pPr>
        <w:pStyle w:val="ParagraphNormal"/>
      </w:pPr>
    </w:p>
    <w:p w14:paraId="47DCF028" w14:textId="77777777" w:rsidR="00FA01A1" w:rsidRPr="006F7344" w:rsidRDefault="00FA01A1" w:rsidP="00FA01A1">
      <w:pPr>
        <w:pStyle w:val="Caption"/>
        <w:keepNext/>
      </w:pPr>
      <w:r w:rsidRPr="006F7344">
        <w:t xml:space="preserve">Table </w:t>
      </w:r>
      <w:r w:rsidRPr="006F7344">
        <w:fldChar w:fldCharType="begin"/>
      </w:r>
      <w:r w:rsidRPr="006F7344">
        <w:instrText xml:space="preserve"> SEQ Table \* ARABIC </w:instrText>
      </w:r>
      <w:r w:rsidRPr="006F7344">
        <w:fldChar w:fldCharType="separate"/>
      </w:r>
      <w:r>
        <w:rPr>
          <w:noProof/>
        </w:rPr>
        <w:t>12</w:t>
      </w:r>
      <w:r w:rsidRPr="006F7344">
        <w:rPr>
          <w:noProof/>
        </w:rPr>
        <w:fldChar w:fldCharType="end"/>
      </w:r>
      <w:r w:rsidRPr="006F7344">
        <w:t xml:space="preserve">. The Criminalization of Blasphemy Cases Based on the IABL Junto Article 156a Indonesia Criminal Code </w:t>
      </w:r>
      <w:commentRangeStart w:id="49"/>
      <w:r w:rsidRPr="006F7344">
        <w:t xml:space="preserve">with </w:t>
      </w:r>
      <w:commentRangeEnd w:id="49"/>
      <w:r w:rsidR="003C7223">
        <w:rPr>
          <w:rStyle w:val="CommentReference"/>
          <w:i w:val="0"/>
          <w:iCs w:val="0"/>
          <w:color w:val="auto"/>
        </w:rPr>
        <w:commentReference w:id="49"/>
      </w:r>
      <w:r w:rsidRPr="006F7344">
        <w:t>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2"/>
        <w:gridCol w:w="1204"/>
        <w:gridCol w:w="991"/>
        <w:gridCol w:w="1526"/>
        <w:gridCol w:w="1477"/>
        <w:gridCol w:w="1148"/>
        <w:gridCol w:w="1392"/>
      </w:tblGrid>
      <w:tr w:rsidR="00FA01A1" w:rsidRPr="00257AD3" w14:paraId="47602207" w14:textId="77777777" w:rsidTr="00FA01A1">
        <w:trPr>
          <w:trHeight w:val="525"/>
          <w:tblHeader/>
        </w:trPr>
        <w:tc>
          <w:tcPr>
            <w:tcW w:w="530" w:type="dxa"/>
            <w:shd w:val="clear" w:color="auto" w:fill="D0CECE" w:themeFill="background2" w:themeFillShade="E6"/>
          </w:tcPr>
          <w:p w14:paraId="01F61C4E" w14:textId="77777777" w:rsidR="00FA01A1" w:rsidRPr="00257AD3" w:rsidRDefault="00FA01A1" w:rsidP="00FA01A1">
            <w:pPr>
              <w:ind w:right="-525" w:firstLine="150"/>
              <w:rPr>
                <w:rFonts w:cs="Linux Libertine"/>
                <w:sz w:val="18"/>
                <w:szCs w:val="18"/>
              </w:rPr>
            </w:pPr>
            <w:r w:rsidRPr="00257AD3">
              <w:rPr>
                <w:rFonts w:cs="Linux Libertine"/>
                <w:sz w:val="18"/>
                <w:szCs w:val="18"/>
              </w:rPr>
              <w:t>No.</w:t>
            </w:r>
          </w:p>
        </w:tc>
        <w:tc>
          <w:tcPr>
            <w:tcW w:w="1374" w:type="dxa"/>
            <w:shd w:val="clear" w:color="auto" w:fill="D0CECE" w:themeFill="background2" w:themeFillShade="E6"/>
          </w:tcPr>
          <w:p w14:paraId="59A893C8" w14:textId="77777777" w:rsidR="00FA01A1" w:rsidRPr="00257AD3" w:rsidRDefault="00FA01A1" w:rsidP="00FA01A1">
            <w:pPr>
              <w:ind w:left="109"/>
              <w:rPr>
                <w:rFonts w:cs="Linux Libertine"/>
                <w:sz w:val="18"/>
                <w:szCs w:val="18"/>
              </w:rPr>
            </w:pPr>
            <w:r w:rsidRPr="00257AD3">
              <w:rPr>
                <w:rFonts w:cs="Linux Libertine"/>
                <w:sz w:val="18"/>
                <w:szCs w:val="18"/>
              </w:rPr>
              <w:t xml:space="preserve">The Court </w:t>
            </w:r>
          </w:p>
        </w:tc>
        <w:tc>
          <w:tcPr>
            <w:tcW w:w="795" w:type="dxa"/>
            <w:shd w:val="clear" w:color="auto" w:fill="D0CECE" w:themeFill="background2" w:themeFillShade="E6"/>
          </w:tcPr>
          <w:p w14:paraId="333A4962" w14:textId="77777777" w:rsidR="00FA01A1" w:rsidRPr="00257AD3" w:rsidRDefault="00FA01A1" w:rsidP="00FA01A1">
            <w:pPr>
              <w:ind w:left="190" w:right="198"/>
              <w:jc w:val="both"/>
              <w:rPr>
                <w:rFonts w:cs="Linux Libertine"/>
                <w:sz w:val="18"/>
                <w:szCs w:val="18"/>
              </w:rPr>
            </w:pPr>
            <w:r w:rsidRPr="00257AD3">
              <w:rPr>
                <w:rFonts w:cs="Linux Libertine"/>
                <w:sz w:val="18"/>
                <w:szCs w:val="18"/>
              </w:rPr>
              <w:t>Year</w:t>
            </w:r>
          </w:p>
        </w:tc>
        <w:tc>
          <w:tcPr>
            <w:tcW w:w="1611" w:type="dxa"/>
            <w:shd w:val="clear" w:color="auto" w:fill="D0CECE" w:themeFill="background2" w:themeFillShade="E6"/>
          </w:tcPr>
          <w:p w14:paraId="5E1E0A65" w14:textId="77777777" w:rsidR="00FA01A1" w:rsidRPr="00257AD3" w:rsidRDefault="00FA01A1" w:rsidP="00FA01A1">
            <w:pPr>
              <w:ind w:left="190" w:right="198"/>
              <w:jc w:val="both"/>
              <w:rPr>
                <w:rFonts w:cs="Linux Libertine"/>
                <w:sz w:val="18"/>
                <w:szCs w:val="18"/>
              </w:rPr>
            </w:pPr>
            <w:r w:rsidRPr="00257AD3">
              <w:rPr>
                <w:rFonts w:cs="Linux Libertine"/>
                <w:sz w:val="18"/>
                <w:szCs w:val="18"/>
              </w:rPr>
              <w:t>Defendant’s Name</w:t>
            </w:r>
          </w:p>
        </w:tc>
        <w:tc>
          <w:tcPr>
            <w:tcW w:w="1260" w:type="dxa"/>
            <w:shd w:val="clear" w:color="auto" w:fill="D0CECE" w:themeFill="background2" w:themeFillShade="E6"/>
          </w:tcPr>
          <w:p w14:paraId="41819DB5" w14:textId="77777777" w:rsidR="00FA01A1" w:rsidRPr="00257AD3" w:rsidRDefault="00FA01A1" w:rsidP="00FA01A1">
            <w:pPr>
              <w:jc w:val="center"/>
              <w:rPr>
                <w:rFonts w:cs="Linux Libertine"/>
                <w:sz w:val="18"/>
                <w:szCs w:val="18"/>
              </w:rPr>
            </w:pPr>
            <w:commentRangeStart w:id="50"/>
            <w:r w:rsidRPr="00257AD3">
              <w:rPr>
                <w:rFonts w:cs="Linux Libertine"/>
                <w:sz w:val="18"/>
                <w:szCs w:val="18"/>
              </w:rPr>
              <w:t>Defendant’s Religion</w:t>
            </w:r>
            <w:commentRangeEnd w:id="50"/>
            <w:r w:rsidR="003C7223">
              <w:rPr>
                <w:rStyle w:val="CommentReference"/>
              </w:rPr>
              <w:commentReference w:id="50"/>
            </w:r>
          </w:p>
        </w:tc>
        <w:tc>
          <w:tcPr>
            <w:tcW w:w="1260" w:type="dxa"/>
            <w:shd w:val="clear" w:color="auto" w:fill="D0CECE" w:themeFill="background2" w:themeFillShade="E6"/>
          </w:tcPr>
          <w:p w14:paraId="248BFA81" w14:textId="77777777" w:rsidR="00FA01A1" w:rsidRPr="00257AD3" w:rsidRDefault="00FA01A1" w:rsidP="00FA01A1">
            <w:pPr>
              <w:ind w:firstLine="76"/>
              <w:rPr>
                <w:rFonts w:cs="Linux Libertine"/>
                <w:sz w:val="18"/>
                <w:szCs w:val="18"/>
              </w:rPr>
            </w:pPr>
            <w:r w:rsidRPr="00257AD3">
              <w:rPr>
                <w:rFonts w:cs="Linux Libertine"/>
                <w:sz w:val="18"/>
                <w:szCs w:val="18"/>
              </w:rPr>
              <w:t>Indictment</w:t>
            </w:r>
          </w:p>
        </w:tc>
        <w:tc>
          <w:tcPr>
            <w:tcW w:w="1530" w:type="dxa"/>
            <w:shd w:val="clear" w:color="auto" w:fill="D0CECE" w:themeFill="background2" w:themeFillShade="E6"/>
          </w:tcPr>
          <w:p w14:paraId="2915E0DC" w14:textId="77777777" w:rsidR="00FA01A1" w:rsidRPr="00257AD3" w:rsidRDefault="00FA01A1" w:rsidP="00FA01A1">
            <w:pPr>
              <w:ind w:left="77" w:right="161"/>
              <w:rPr>
                <w:rFonts w:cs="Linux Libertine"/>
                <w:sz w:val="18"/>
                <w:szCs w:val="18"/>
              </w:rPr>
            </w:pPr>
            <w:r w:rsidRPr="00257AD3">
              <w:rPr>
                <w:rFonts w:cs="Linux Libertine"/>
                <w:sz w:val="18"/>
                <w:szCs w:val="18"/>
              </w:rPr>
              <w:t>Punishment</w:t>
            </w:r>
          </w:p>
        </w:tc>
      </w:tr>
      <w:tr w:rsidR="00FA01A1" w:rsidRPr="00257AD3" w14:paraId="3AFFA966" w14:textId="77777777" w:rsidTr="00FA01A1">
        <w:trPr>
          <w:trHeight w:val="525"/>
        </w:trPr>
        <w:tc>
          <w:tcPr>
            <w:tcW w:w="530" w:type="dxa"/>
          </w:tcPr>
          <w:p w14:paraId="4E0632AB" w14:textId="77777777" w:rsidR="00FA01A1" w:rsidRPr="00257AD3" w:rsidRDefault="00FA01A1" w:rsidP="00FA01A1">
            <w:pPr>
              <w:ind w:right="-525" w:firstLine="150"/>
              <w:rPr>
                <w:rFonts w:cs="Linux Libertine"/>
                <w:sz w:val="18"/>
                <w:szCs w:val="18"/>
              </w:rPr>
            </w:pPr>
            <w:r w:rsidRPr="00257AD3">
              <w:rPr>
                <w:rFonts w:cs="Linux Libertine"/>
                <w:sz w:val="18"/>
                <w:szCs w:val="18"/>
              </w:rPr>
              <w:t>1</w:t>
            </w:r>
          </w:p>
        </w:tc>
        <w:tc>
          <w:tcPr>
            <w:tcW w:w="1374" w:type="dxa"/>
          </w:tcPr>
          <w:p w14:paraId="5ED2B8F0" w14:textId="77777777" w:rsidR="00FA01A1" w:rsidRPr="00257AD3" w:rsidRDefault="00FA01A1" w:rsidP="00FA01A1">
            <w:pPr>
              <w:ind w:left="109"/>
              <w:rPr>
                <w:rFonts w:cs="Linux Libertine"/>
                <w:sz w:val="18"/>
                <w:szCs w:val="18"/>
              </w:rPr>
            </w:pPr>
            <w:r w:rsidRPr="00257AD3">
              <w:rPr>
                <w:rFonts w:cs="Linux Libertine"/>
                <w:sz w:val="18"/>
                <w:szCs w:val="18"/>
              </w:rPr>
              <w:t>Medan District Court</w:t>
            </w:r>
          </w:p>
        </w:tc>
        <w:tc>
          <w:tcPr>
            <w:tcW w:w="795" w:type="dxa"/>
          </w:tcPr>
          <w:p w14:paraId="550DC1D4" w14:textId="77777777" w:rsidR="00FA01A1" w:rsidRPr="00257AD3" w:rsidRDefault="00FA01A1" w:rsidP="00FA01A1">
            <w:pPr>
              <w:ind w:left="190" w:right="198"/>
              <w:jc w:val="both"/>
              <w:rPr>
                <w:rFonts w:cs="Linux Libertine"/>
                <w:sz w:val="18"/>
                <w:szCs w:val="18"/>
              </w:rPr>
            </w:pPr>
            <w:r w:rsidRPr="00257AD3">
              <w:rPr>
                <w:rFonts w:cs="Linux Libertine"/>
                <w:sz w:val="18"/>
                <w:szCs w:val="18"/>
              </w:rPr>
              <w:t>1968</w:t>
            </w:r>
          </w:p>
        </w:tc>
        <w:tc>
          <w:tcPr>
            <w:tcW w:w="1611" w:type="dxa"/>
          </w:tcPr>
          <w:p w14:paraId="0BD1B869" w14:textId="77777777" w:rsidR="00FA01A1" w:rsidRPr="00257AD3" w:rsidRDefault="00FA01A1" w:rsidP="00FA01A1">
            <w:pPr>
              <w:ind w:left="190" w:right="198"/>
              <w:jc w:val="both"/>
              <w:rPr>
                <w:rFonts w:cs="Linux Libertine"/>
                <w:sz w:val="18"/>
                <w:szCs w:val="18"/>
              </w:rPr>
            </w:pPr>
            <w:r w:rsidRPr="00257AD3">
              <w:rPr>
                <w:rFonts w:cs="Linux Libertine"/>
                <w:sz w:val="18"/>
                <w:szCs w:val="18"/>
              </w:rPr>
              <w:t xml:space="preserve">HB. </w:t>
            </w:r>
            <w:proofErr w:type="spellStart"/>
            <w:r w:rsidRPr="00257AD3">
              <w:rPr>
                <w:rFonts w:cs="Linux Libertine"/>
                <w:sz w:val="18"/>
                <w:szCs w:val="18"/>
              </w:rPr>
              <w:t>Jassin</w:t>
            </w:r>
            <w:proofErr w:type="spellEnd"/>
            <w:r w:rsidRPr="00257AD3">
              <w:rPr>
                <w:rFonts w:cs="Linux Libertine"/>
                <w:sz w:val="18"/>
                <w:szCs w:val="18"/>
              </w:rPr>
              <w:t xml:space="preserve"> </w:t>
            </w:r>
          </w:p>
          <w:p w14:paraId="079C582F" w14:textId="77777777" w:rsidR="00FA01A1" w:rsidRPr="00257AD3" w:rsidRDefault="00FA01A1" w:rsidP="00FA01A1">
            <w:pPr>
              <w:ind w:left="190" w:right="198"/>
              <w:jc w:val="both"/>
              <w:rPr>
                <w:rFonts w:cs="Linux Libertine"/>
                <w:sz w:val="18"/>
                <w:szCs w:val="18"/>
              </w:rPr>
            </w:pPr>
          </w:p>
        </w:tc>
        <w:tc>
          <w:tcPr>
            <w:tcW w:w="1260" w:type="dxa"/>
          </w:tcPr>
          <w:p w14:paraId="13EFB3DB" w14:textId="77777777" w:rsidR="00FA01A1" w:rsidRPr="00257AD3" w:rsidRDefault="00FA01A1" w:rsidP="00FA01A1">
            <w:pPr>
              <w:rPr>
                <w:rFonts w:cs="Linux Libertine"/>
                <w:sz w:val="18"/>
                <w:szCs w:val="18"/>
              </w:rPr>
            </w:pPr>
            <w:r w:rsidRPr="00257AD3">
              <w:rPr>
                <w:rFonts w:cs="Linux Libertine"/>
                <w:sz w:val="18"/>
                <w:szCs w:val="18"/>
              </w:rPr>
              <w:t>Muslim who made</w:t>
            </w:r>
          </w:p>
          <w:p w14:paraId="6DD3958C" w14:textId="77777777" w:rsidR="00FA01A1" w:rsidRPr="00257AD3" w:rsidRDefault="00FA01A1" w:rsidP="00FA01A1">
            <w:pPr>
              <w:rPr>
                <w:rFonts w:cs="Linux Libertine"/>
                <w:sz w:val="18"/>
                <w:szCs w:val="18"/>
              </w:rPr>
            </w:pPr>
            <w:r w:rsidRPr="00257AD3">
              <w:rPr>
                <w:rFonts w:cs="Linux Libertine"/>
                <w:sz w:val="18"/>
                <w:szCs w:val="18"/>
              </w:rPr>
              <w:lastRenderedPageBreak/>
              <w:t>short story "The sky is getting cloudy" (1968)</w:t>
            </w:r>
          </w:p>
        </w:tc>
        <w:tc>
          <w:tcPr>
            <w:tcW w:w="1260" w:type="dxa"/>
          </w:tcPr>
          <w:p w14:paraId="691D1684" w14:textId="77777777" w:rsidR="00FA01A1" w:rsidRPr="00257AD3" w:rsidRDefault="00FA01A1" w:rsidP="00FA01A1">
            <w:pPr>
              <w:ind w:firstLine="61"/>
              <w:rPr>
                <w:rFonts w:cs="Linux Libertine"/>
                <w:sz w:val="18"/>
                <w:szCs w:val="18"/>
              </w:rPr>
            </w:pPr>
            <w:r w:rsidRPr="00257AD3">
              <w:rPr>
                <w:rFonts w:cs="Linux Libertine"/>
                <w:sz w:val="18"/>
                <w:szCs w:val="18"/>
              </w:rPr>
              <w:lastRenderedPageBreak/>
              <w:t>156a CC</w:t>
            </w:r>
          </w:p>
        </w:tc>
        <w:tc>
          <w:tcPr>
            <w:tcW w:w="1530" w:type="dxa"/>
          </w:tcPr>
          <w:p w14:paraId="1BF5AD22" w14:textId="77777777" w:rsidR="00FA01A1" w:rsidRPr="00257AD3" w:rsidRDefault="00FA01A1" w:rsidP="00FA01A1">
            <w:pPr>
              <w:ind w:left="77" w:right="161"/>
              <w:rPr>
                <w:rFonts w:cs="Linux Libertine"/>
                <w:sz w:val="18"/>
                <w:szCs w:val="18"/>
              </w:rPr>
            </w:pPr>
            <w:r w:rsidRPr="00257AD3">
              <w:rPr>
                <w:rFonts w:cs="Linux Libertine"/>
                <w:sz w:val="18"/>
                <w:szCs w:val="18"/>
              </w:rPr>
              <w:t>1-year sentence with 2-year probation</w:t>
            </w:r>
          </w:p>
        </w:tc>
      </w:tr>
      <w:tr w:rsidR="00FA01A1" w:rsidRPr="00257AD3" w14:paraId="3074E980" w14:textId="77777777" w:rsidTr="00FA01A1">
        <w:trPr>
          <w:trHeight w:val="505"/>
        </w:trPr>
        <w:tc>
          <w:tcPr>
            <w:tcW w:w="530" w:type="dxa"/>
          </w:tcPr>
          <w:p w14:paraId="7D1282CC" w14:textId="77777777" w:rsidR="00FA01A1" w:rsidRPr="00257AD3" w:rsidRDefault="00FA01A1" w:rsidP="00FA01A1">
            <w:pPr>
              <w:ind w:right="-525" w:firstLine="150"/>
              <w:rPr>
                <w:rFonts w:cs="Linux Libertine"/>
                <w:sz w:val="18"/>
                <w:szCs w:val="18"/>
              </w:rPr>
            </w:pPr>
            <w:r w:rsidRPr="00257AD3">
              <w:rPr>
                <w:rFonts w:cs="Linux Libertine"/>
                <w:sz w:val="18"/>
                <w:szCs w:val="18"/>
              </w:rPr>
              <w:t>2</w:t>
            </w:r>
          </w:p>
        </w:tc>
        <w:tc>
          <w:tcPr>
            <w:tcW w:w="1374" w:type="dxa"/>
          </w:tcPr>
          <w:p w14:paraId="4A30B6A8"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Polewali</w:t>
            </w:r>
            <w:proofErr w:type="spellEnd"/>
            <w:r w:rsidRPr="00257AD3">
              <w:rPr>
                <w:rFonts w:cs="Linux Libertine"/>
                <w:sz w:val="18"/>
                <w:szCs w:val="18"/>
              </w:rPr>
              <w:t xml:space="preserve"> Mandar District Court</w:t>
            </w:r>
          </w:p>
        </w:tc>
        <w:tc>
          <w:tcPr>
            <w:tcW w:w="795" w:type="dxa"/>
          </w:tcPr>
          <w:p w14:paraId="49DC3042"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2005</w:t>
            </w:r>
          </w:p>
        </w:tc>
        <w:tc>
          <w:tcPr>
            <w:tcW w:w="1611" w:type="dxa"/>
          </w:tcPr>
          <w:p w14:paraId="1F343D07"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Sumardin</w:t>
            </w:r>
            <w:proofErr w:type="spellEnd"/>
            <w:r w:rsidRPr="00257AD3">
              <w:rPr>
                <w:rFonts w:cs="Linux Libertine"/>
                <w:sz w:val="18"/>
                <w:szCs w:val="18"/>
              </w:rPr>
              <w:t xml:space="preserve"> </w:t>
            </w:r>
            <w:proofErr w:type="spellStart"/>
            <w:r w:rsidRPr="00257AD3">
              <w:rPr>
                <w:rFonts w:cs="Linux Libertine"/>
                <w:sz w:val="18"/>
                <w:szCs w:val="18"/>
              </w:rPr>
              <w:t>Tappayya</w:t>
            </w:r>
            <w:proofErr w:type="spellEnd"/>
          </w:p>
          <w:p w14:paraId="32160258" w14:textId="77777777" w:rsidR="00FA01A1" w:rsidRPr="00257AD3" w:rsidRDefault="00FA01A1" w:rsidP="00FA01A1">
            <w:pPr>
              <w:ind w:left="190" w:right="198"/>
              <w:jc w:val="both"/>
              <w:rPr>
                <w:rFonts w:cs="Linux Libertine"/>
                <w:sz w:val="18"/>
                <w:szCs w:val="18"/>
              </w:rPr>
            </w:pPr>
          </w:p>
        </w:tc>
        <w:tc>
          <w:tcPr>
            <w:tcW w:w="1260" w:type="dxa"/>
          </w:tcPr>
          <w:p w14:paraId="1164CAC7" w14:textId="77777777" w:rsidR="00FA01A1" w:rsidRPr="00257AD3" w:rsidRDefault="00FA01A1" w:rsidP="00FA01A1">
            <w:pPr>
              <w:rPr>
                <w:rFonts w:cs="Linux Libertine"/>
                <w:sz w:val="18"/>
                <w:szCs w:val="18"/>
              </w:rPr>
            </w:pPr>
            <w:r w:rsidRPr="00257AD3">
              <w:rPr>
                <w:rFonts w:cs="Linux Libertine"/>
                <w:sz w:val="18"/>
                <w:szCs w:val="18"/>
              </w:rPr>
              <w:t>Village Leader who Praying by Whistling (2005)</w:t>
            </w:r>
          </w:p>
        </w:tc>
        <w:tc>
          <w:tcPr>
            <w:tcW w:w="1260" w:type="dxa"/>
          </w:tcPr>
          <w:p w14:paraId="62C401D8"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1487953C" w14:textId="77777777" w:rsidR="00FA01A1" w:rsidRPr="00257AD3" w:rsidRDefault="00FA01A1" w:rsidP="00FA01A1">
            <w:pPr>
              <w:ind w:left="77" w:right="161"/>
              <w:rPr>
                <w:rFonts w:cs="Linux Libertine"/>
                <w:sz w:val="18"/>
                <w:szCs w:val="18"/>
              </w:rPr>
            </w:pPr>
            <w:r w:rsidRPr="00257AD3">
              <w:rPr>
                <w:rFonts w:cs="Linux Libertine"/>
                <w:sz w:val="18"/>
                <w:szCs w:val="18"/>
              </w:rPr>
              <w:t>6 months sentence with 1-year probation</w:t>
            </w:r>
          </w:p>
        </w:tc>
      </w:tr>
      <w:tr w:rsidR="00FA01A1" w:rsidRPr="00257AD3" w14:paraId="0DC257C7" w14:textId="77777777" w:rsidTr="00FA01A1">
        <w:trPr>
          <w:trHeight w:val="933"/>
        </w:trPr>
        <w:tc>
          <w:tcPr>
            <w:tcW w:w="530" w:type="dxa"/>
          </w:tcPr>
          <w:p w14:paraId="102EB104" w14:textId="77777777" w:rsidR="00FA01A1" w:rsidRPr="00257AD3" w:rsidRDefault="00FA01A1" w:rsidP="00FA01A1">
            <w:pPr>
              <w:ind w:right="-525" w:firstLine="150"/>
              <w:rPr>
                <w:rFonts w:cs="Linux Libertine"/>
                <w:sz w:val="18"/>
                <w:szCs w:val="18"/>
              </w:rPr>
            </w:pPr>
            <w:r w:rsidRPr="00257AD3">
              <w:rPr>
                <w:rFonts w:cs="Linux Libertine"/>
                <w:sz w:val="18"/>
                <w:szCs w:val="18"/>
              </w:rPr>
              <w:t>3</w:t>
            </w:r>
          </w:p>
        </w:tc>
        <w:tc>
          <w:tcPr>
            <w:tcW w:w="1374" w:type="dxa"/>
          </w:tcPr>
          <w:p w14:paraId="6A498DF0" w14:textId="77777777" w:rsidR="00FA01A1" w:rsidRPr="00257AD3" w:rsidRDefault="00FA01A1" w:rsidP="00FA01A1">
            <w:pPr>
              <w:ind w:left="109"/>
              <w:rPr>
                <w:rFonts w:cs="Linux Libertine"/>
                <w:sz w:val="18"/>
                <w:szCs w:val="18"/>
              </w:rPr>
            </w:pPr>
            <w:r w:rsidRPr="00257AD3">
              <w:rPr>
                <w:rFonts w:cs="Linux Libertine"/>
                <w:sz w:val="18"/>
                <w:szCs w:val="18"/>
              </w:rPr>
              <w:t>Makassar District Court</w:t>
            </w:r>
          </w:p>
        </w:tc>
        <w:tc>
          <w:tcPr>
            <w:tcW w:w="795" w:type="dxa"/>
          </w:tcPr>
          <w:p w14:paraId="22D725D4"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2008</w:t>
            </w:r>
          </w:p>
        </w:tc>
        <w:tc>
          <w:tcPr>
            <w:tcW w:w="1611" w:type="dxa"/>
          </w:tcPr>
          <w:p w14:paraId="32D2F03C"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Hikmat</w:t>
            </w:r>
            <w:proofErr w:type="spellEnd"/>
            <w:r w:rsidRPr="00257AD3">
              <w:rPr>
                <w:rFonts w:cs="Linux Libertine"/>
                <w:sz w:val="18"/>
                <w:szCs w:val="18"/>
              </w:rPr>
              <w:t xml:space="preserve"> </w:t>
            </w:r>
            <w:proofErr w:type="spellStart"/>
            <w:r w:rsidRPr="00257AD3">
              <w:rPr>
                <w:rFonts w:cs="Linux Libertine"/>
                <w:sz w:val="18"/>
                <w:szCs w:val="18"/>
              </w:rPr>
              <w:t>Faturiddin</w:t>
            </w:r>
            <w:proofErr w:type="spellEnd"/>
            <w:r w:rsidRPr="00257AD3">
              <w:rPr>
                <w:rFonts w:cs="Linux Libertine"/>
                <w:sz w:val="18"/>
                <w:szCs w:val="18"/>
              </w:rPr>
              <w:t xml:space="preserve">, Abdul </w:t>
            </w:r>
            <w:proofErr w:type="spellStart"/>
            <w:r w:rsidRPr="00257AD3">
              <w:rPr>
                <w:rFonts w:cs="Linux Libertine"/>
                <w:sz w:val="18"/>
                <w:szCs w:val="18"/>
              </w:rPr>
              <w:t>Qadri</w:t>
            </w:r>
            <w:proofErr w:type="spellEnd"/>
            <w:r w:rsidRPr="00257AD3">
              <w:rPr>
                <w:rFonts w:cs="Linux Libertine"/>
                <w:sz w:val="18"/>
                <w:szCs w:val="18"/>
              </w:rPr>
              <w:t xml:space="preserve">, </w:t>
            </w:r>
            <w:proofErr w:type="spellStart"/>
            <w:r w:rsidRPr="00257AD3">
              <w:rPr>
                <w:rFonts w:cs="Linux Libertine"/>
                <w:sz w:val="18"/>
                <w:szCs w:val="18"/>
              </w:rPr>
              <w:t>Fadli</w:t>
            </w:r>
            <w:proofErr w:type="spellEnd"/>
            <w:r w:rsidRPr="00257AD3">
              <w:rPr>
                <w:rFonts w:cs="Linux Libertine"/>
                <w:sz w:val="18"/>
                <w:szCs w:val="18"/>
              </w:rPr>
              <w:t xml:space="preserve">, </w:t>
            </w:r>
            <w:proofErr w:type="spellStart"/>
            <w:r w:rsidRPr="00257AD3">
              <w:rPr>
                <w:rFonts w:cs="Linux Libertine"/>
                <w:sz w:val="18"/>
                <w:szCs w:val="18"/>
              </w:rPr>
              <w:t>Maulid</w:t>
            </w:r>
            <w:proofErr w:type="spellEnd"/>
            <w:r w:rsidRPr="00257AD3">
              <w:rPr>
                <w:rFonts w:cs="Linux Libertine"/>
                <w:sz w:val="18"/>
                <w:szCs w:val="18"/>
              </w:rPr>
              <w:t xml:space="preserve"> </w:t>
            </w:r>
            <w:proofErr w:type="spellStart"/>
            <w:r w:rsidRPr="00257AD3">
              <w:rPr>
                <w:rFonts w:cs="Linux Libertine"/>
                <w:sz w:val="18"/>
                <w:szCs w:val="18"/>
              </w:rPr>
              <w:t>Syawal</w:t>
            </w:r>
            <w:proofErr w:type="spellEnd"/>
            <w:r w:rsidRPr="00257AD3">
              <w:rPr>
                <w:rFonts w:cs="Linux Libertine"/>
                <w:sz w:val="18"/>
                <w:szCs w:val="18"/>
              </w:rPr>
              <w:t xml:space="preserve"> and </w:t>
            </w:r>
            <w:proofErr w:type="spellStart"/>
            <w:r w:rsidRPr="00257AD3">
              <w:rPr>
                <w:rFonts w:cs="Linux Libertine"/>
                <w:sz w:val="18"/>
                <w:szCs w:val="18"/>
              </w:rPr>
              <w:t>Asrul</w:t>
            </w:r>
            <w:proofErr w:type="spellEnd"/>
            <w:r w:rsidRPr="00257AD3">
              <w:rPr>
                <w:rFonts w:cs="Linux Libertine"/>
                <w:sz w:val="18"/>
                <w:szCs w:val="18"/>
              </w:rPr>
              <w:t xml:space="preserve"> AB</w:t>
            </w:r>
          </w:p>
        </w:tc>
        <w:tc>
          <w:tcPr>
            <w:tcW w:w="1260" w:type="dxa"/>
          </w:tcPr>
          <w:p w14:paraId="61570CCE" w14:textId="77777777" w:rsidR="00FA01A1" w:rsidRPr="00257AD3" w:rsidRDefault="00FA01A1" w:rsidP="00FA01A1">
            <w:pPr>
              <w:rPr>
                <w:rFonts w:cs="Linux Libertine"/>
                <w:sz w:val="18"/>
                <w:szCs w:val="18"/>
              </w:rPr>
            </w:pPr>
            <w:r w:rsidRPr="00257AD3">
              <w:rPr>
                <w:rFonts w:cs="Linux Libertine"/>
                <w:sz w:val="18"/>
                <w:szCs w:val="18"/>
              </w:rPr>
              <w:t>Follower of Al-</w:t>
            </w:r>
            <w:proofErr w:type="spellStart"/>
            <w:r w:rsidRPr="00257AD3">
              <w:rPr>
                <w:rFonts w:cs="Linux Libertine"/>
                <w:sz w:val="18"/>
                <w:szCs w:val="18"/>
              </w:rPr>
              <w:t>Qiyadah</w:t>
            </w:r>
            <w:proofErr w:type="spellEnd"/>
            <w:r w:rsidRPr="00257AD3">
              <w:rPr>
                <w:rFonts w:cs="Linux Libertine"/>
                <w:sz w:val="18"/>
                <w:szCs w:val="18"/>
              </w:rPr>
              <w:t xml:space="preserve"> belief (2008)</w:t>
            </w:r>
          </w:p>
        </w:tc>
        <w:tc>
          <w:tcPr>
            <w:tcW w:w="1260" w:type="dxa"/>
          </w:tcPr>
          <w:p w14:paraId="639320F6"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1E646D50" w14:textId="77777777" w:rsidR="00FA01A1" w:rsidRPr="00257AD3" w:rsidRDefault="00FA01A1" w:rsidP="00FA01A1">
            <w:pPr>
              <w:ind w:left="77" w:right="161"/>
              <w:rPr>
                <w:rFonts w:cs="Linux Libertine"/>
                <w:sz w:val="18"/>
                <w:szCs w:val="18"/>
              </w:rPr>
            </w:pPr>
            <w:r w:rsidRPr="00257AD3">
              <w:rPr>
                <w:rFonts w:cs="Linux Libertine"/>
                <w:sz w:val="18"/>
                <w:szCs w:val="18"/>
              </w:rPr>
              <w:t>4 months sentence with 6 months’ probation</w:t>
            </w:r>
          </w:p>
        </w:tc>
      </w:tr>
      <w:tr w:rsidR="00FA01A1" w:rsidRPr="00257AD3" w14:paraId="0FDE9DC0" w14:textId="77777777" w:rsidTr="00FA01A1">
        <w:trPr>
          <w:trHeight w:val="494"/>
        </w:trPr>
        <w:tc>
          <w:tcPr>
            <w:tcW w:w="530" w:type="dxa"/>
          </w:tcPr>
          <w:p w14:paraId="73AE2C3B" w14:textId="77777777" w:rsidR="00FA01A1" w:rsidRPr="00257AD3" w:rsidRDefault="00FA01A1" w:rsidP="00FA01A1">
            <w:pPr>
              <w:ind w:right="-525" w:firstLine="150"/>
              <w:rPr>
                <w:rFonts w:cs="Linux Libertine"/>
                <w:sz w:val="18"/>
                <w:szCs w:val="18"/>
              </w:rPr>
            </w:pPr>
            <w:r w:rsidRPr="00257AD3">
              <w:rPr>
                <w:rFonts w:cs="Linux Libertine"/>
                <w:sz w:val="18"/>
                <w:szCs w:val="18"/>
              </w:rPr>
              <w:t>4</w:t>
            </w:r>
          </w:p>
        </w:tc>
        <w:tc>
          <w:tcPr>
            <w:tcW w:w="1374" w:type="dxa"/>
          </w:tcPr>
          <w:p w14:paraId="7BE3C373"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Kupang</w:t>
            </w:r>
            <w:proofErr w:type="spellEnd"/>
            <w:r w:rsidRPr="00257AD3">
              <w:rPr>
                <w:rFonts w:cs="Linux Libertine"/>
                <w:sz w:val="18"/>
                <w:szCs w:val="18"/>
              </w:rPr>
              <w:t xml:space="preserve"> District Court</w:t>
            </w:r>
          </w:p>
        </w:tc>
        <w:tc>
          <w:tcPr>
            <w:tcW w:w="795" w:type="dxa"/>
          </w:tcPr>
          <w:p w14:paraId="6BCE01E5"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2009</w:t>
            </w:r>
          </w:p>
        </w:tc>
        <w:tc>
          <w:tcPr>
            <w:tcW w:w="1611" w:type="dxa"/>
          </w:tcPr>
          <w:p w14:paraId="592B966A"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Nimrot</w:t>
            </w:r>
            <w:proofErr w:type="spellEnd"/>
            <w:r w:rsidRPr="00257AD3">
              <w:rPr>
                <w:rFonts w:cs="Linux Libertine"/>
                <w:sz w:val="18"/>
                <w:szCs w:val="18"/>
              </w:rPr>
              <w:t xml:space="preserve"> </w:t>
            </w:r>
            <w:proofErr w:type="spellStart"/>
            <w:r w:rsidRPr="00257AD3">
              <w:rPr>
                <w:rFonts w:cs="Linux Libertine"/>
                <w:sz w:val="18"/>
                <w:szCs w:val="18"/>
              </w:rPr>
              <w:t>Lasbaun</w:t>
            </w:r>
            <w:proofErr w:type="spellEnd"/>
            <w:r w:rsidRPr="00257AD3">
              <w:rPr>
                <w:rFonts w:cs="Linux Libertine"/>
                <w:sz w:val="18"/>
                <w:szCs w:val="18"/>
              </w:rPr>
              <w:t xml:space="preserve"> and Friends</w:t>
            </w:r>
          </w:p>
          <w:p w14:paraId="783653D2" w14:textId="77777777" w:rsidR="00FA01A1" w:rsidRPr="00257AD3" w:rsidRDefault="00FA01A1" w:rsidP="00FA01A1">
            <w:pPr>
              <w:ind w:left="190" w:right="198"/>
              <w:jc w:val="both"/>
              <w:rPr>
                <w:rFonts w:cs="Linux Libertine"/>
                <w:sz w:val="18"/>
                <w:szCs w:val="18"/>
              </w:rPr>
            </w:pPr>
          </w:p>
        </w:tc>
        <w:tc>
          <w:tcPr>
            <w:tcW w:w="1260" w:type="dxa"/>
          </w:tcPr>
          <w:p w14:paraId="573A8E08" w14:textId="77777777" w:rsidR="00FA01A1" w:rsidRPr="00257AD3" w:rsidRDefault="00FA01A1" w:rsidP="00FA01A1">
            <w:pPr>
              <w:rPr>
                <w:rFonts w:cs="Linux Libertine"/>
                <w:sz w:val="18"/>
                <w:szCs w:val="18"/>
              </w:rPr>
            </w:pPr>
            <w:r w:rsidRPr="00257AD3">
              <w:rPr>
                <w:rFonts w:cs="Linux Libertine"/>
                <w:sz w:val="18"/>
                <w:szCs w:val="18"/>
              </w:rPr>
              <w:t>Christianity who believes Sion as the city of God (2009)</w:t>
            </w:r>
          </w:p>
        </w:tc>
        <w:tc>
          <w:tcPr>
            <w:tcW w:w="1260" w:type="dxa"/>
          </w:tcPr>
          <w:p w14:paraId="7C67B4BA"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318D2C06" w14:textId="77777777" w:rsidR="00FA01A1" w:rsidRPr="00257AD3" w:rsidRDefault="00FA01A1" w:rsidP="00FA01A1">
            <w:pPr>
              <w:ind w:left="77" w:right="161"/>
              <w:rPr>
                <w:rFonts w:cs="Linux Libertine"/>
                <w:sz w:val="18"/>
                <w:szCs w:val="18"/>
              </w:rPr>
            </w:pPr>
            <w:r w:rsidRPr="00257AD3">
              <w:rPr>
                <w:rFonts w:cs="Linux Libertine"/>
                <w:sz w:val="18"/>
                <w:szCs w:val="18"/>
              </w:rPr>
              <w:t>6 months sentence</w:t>
            </w:r>
          </w:p>
        </w:tc>
      </w:tr>
      <w:tr w:rsidR="00FA01A1" w:rsidRPr="00257AD3" w14:paraId="39E1D4F1" w14:textId="77777777" w:rsidTr="00FA01A1">
        <w:trPr>
          <w:trHeight w:val="522"/>
        </w:trPr>
        <w:tc>
          <w:tcPr>
            <w:tcW w:w="530" w:type="dxa"/>
          </w:tcPr>
          <w:p w14:paraId="6A5691BC" w14:textId="77777777" w:rsidR="00FA01A1" w:rsidRPr="00257AD3" w:rsidRDefault="00FA01A1" w:rsidP="00FA01A1">
            <w:pPr>
              <w:ind w:right="-525" w:firstLine="150"/>
              <w:rPr>
                <w:rFonts w:cs="Linux Libertine"/>
                <w:sz w:val="18"/>
                <w:szCs w:val="18"/>
              </w:rPr>
            </w:pPr>
            <w:r w:rsidRPr="00257AD3">
              <w:rPr>
                <w:rFonts w:cs="Linux Libertine"/>
                <w:sz w:val="18"/>
                <w:szCs w:val="18"/>
              </w:rPr>
              <w:t>5</w:t>
            </w:r>
          </w:p>
        </w:tc>
        <w:tc>
          <w:tcPr>
            <w:tcW w:w="1374" w:type="dxa"/>
          </w:tcPr>
          <w:p w14:paraId="1621C1F9" w14:textId="77777777" w:rsidR="00FA01A1" w:rsidRPr="00257AD3" w:rsidRDefault="00FA01A1" w:rsidP="00FA01A1">
            <w:pPr>
              <w:ind w:left="109"/>
              <w:rPr>
                <w:rFonts w:cs="Linux Libertine"/>
                <w:sz w:val="18"/>
                <w:szCs w:val="18"/>
              </w:rPr>
            </w:pPr>
            <w:r w:rsidRPr="00257AD3">
              <w:rPr>
                <w:rFonts w:cs="Linux Libertine"/>
                <w:sz w:val="18"/>
                <w:szCs w:val="18"/>
              </w:rPr>
              <w:t>District Court Ambon</w:t>
            </w:r>
          </w:p>
        </w:tc>
        <w:tc>
          <w:tcPr>
            <w:tcW w:w="795" w:type="dxa"/>
          </w:tcPr>
          <w:p w14:paraId="281B3DC8"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2009</w:t>
            </w:r>
          </w:p>
        </w:tc>
        <w:tc>
          <w:tcPr>
            <w:tcW w:w="1611" w:type="dxa"/>
          </w:tcPr>
          <w:p w14:paraId="381DF0B5" w14:textId="77777777" w:rsidR="00FA01A1" w:rsidRPr="00257AD3" w:rsidRDefault="00FA01A1" w:rsidP="00FA01A1">
            <w:pPr>
              <w:ind w:left="190" w:right="198"/>
              <w:jc w:val="both"/>
              <w:rPr>
                <w:rFonts w:cs="Linux Libertine"/>
                <w:sz w:val="18"/>
                <w:szCs w:val="18"/>
              </w:rPr>
            </w:pPr>
            <w:r w:rsidRPr="00257AD3">
              <w:rPr>
                <w:rFonts w:cs="Linux Libertine"/>
                <w:sz w:val="18"/>
                <w:szCs w:val="18"/>
              </w:rPr>
              <w:t xml:space="preserve">Wilhelmina </w:t>
            </w:r>
            <w:proofErr w:type="spellStart"/>
            <w:r w:rsidRPr="00257AD3">
              <w:rPr>
                <w:rFonts w:cs="Linux Libertine"/>
                <w:sz w:val="18"/>
                <w:szCs w:val="18"/>
              </w:rPr>
              <w:t>Holle</w:t>
            </w:r>
            <w:proofErr w:type="spellEnd"/>
            <w:r w:rsidRPr="00257AD3">
              <w:rPr>
                <w:rFonts w:cs="Linux Libertine"/>
                <w:sz w:val="18"/>
                <w:szCs w:val="18"/>
              </w:rPr>
              <w:t xml:space="preserve"> / </w:t>
            </w:r>
          </w:p>
          <w:p w14:paraId="6FA81B6E"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Musohi</w:t>
            </w:r>
            <w:proofErr w:type="spellEnd"/>
            <w:r w:rsidRPr="00257AD3">
              <w:rPr>
                <w:rFonts w:cs="Linux Libertine"/>
                <w:sz w:val="18"/>
                <w:szCs w:val="18"/>
              </w:rPr>
              <w:t xml:space="preserve"> - Maluku Public Unrest</w:t>
            </w:r>
          </w:p>
        </w:tc>
        <w:tc>
          <w:tcPr>
            <w:tcW w:w="1260" w:type="dxa"/>
          </w:tcPr>
          <w:p w14:paraId="1F313656" w14:textId="77777777" w:rsidR="00FA01A1" w:rsidRPr="00257AD3" w:rsidRDefault="00FA01A1" w:rsidP="00FA01A1">
            <w:pPr>
              <w:rPr>
                <w:rFonts w:cs="Linux Libertine"/>
                <w:sz w:val="18"/>
                <w:szCs w:val="18"/>
              </w:rPr>
            </w:pPr>
            <w:r w:rsidRPr="00257AD3">
              <w:rPr>
                <w:rFonts w:cs="Linux Libertine"/>
                <w:sz w:val="18"/>
                <w:szCs w:val="18"/>
              </w:rPr>
              <w:t>Islam</w:t>
            </w:r>
          </w:p>
        </w:tc>
        <w:tc>
          <w:tcPr>
            <w:tcW w:w="1260" w:type="dxa"/>
          </w:tcPr>
          <w:p w14:paraId="3DFE3FF5"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5DE8751D" w14:textId="77777777" w:rsidR="00FA01A1" w:rsidRPr="00257AD3" w:rsidRDefault="00FA01A1" w:rsidP="00FA01A1">
            <w:pPr>
              <w:ind w:left="77" w:right="161"/>
              <w:rPr>
                <w:rFonts w:cs="Linux Libertine"/>
                <w:sz w:val="18"/>
                <w:szCs w:val="18"/>
              </w:rPr>
            </w:pPr>
            <w:r w:rsidRPr="00257AD3">
              <w:rPr>
                <w:rFonts w:cs="Linux Libertine"/>
                <w:sz w:val="18"/>
                <w:szCs w:val="18"/>
              </w:rPr>
              <w:t>1-year sentence</w:t>
            </w:r>
          </w:p>
        </w:tc>
      </w:tr>
      <w:tr w:rsidR="00FA01A1" w:rsidRPr="00257AD3" w14:paraId="6347B93A" w14:textId="77777777" w:rsidTr="00FA01A1">
        <w:trPr>
          <w:trHeight w:val="780"/>
        </w:trPr>
        <w:tc>
          <w:tcPr>
            <w:tcW w:w="530" w:type="dxa"/>
          </w:tcPr>
          <w:p w14:paraId="27B3019C" w14:textId="77777777" w:rsidR="00FA01A1" w:rsidRPr="00257AD3" w:rsidRDefault="00FA01A1" w:rsidP="00FA01A1">
            <w:pPr>
              <w:ind w:right="-525" w:firstLine="150"/>
              <w:rPr>
                <w:rFonts w:cs="Linux Libertine"/>
                <w:sz w:val="18"/>
                <w:szCs w:val="18"/>
              </w:rPr>
            </w:pPr>
            <w:r w:rsidRPr="00257AD3">
              <w:rPr>
                <w:rFonts w:cs="Linux Libertine"/>
                <w:sz w:val="18"/>
                <w:szCs w:val="18"/>
              </w:rPr>
              <w:t>6</w:t>
            </w:r>
          </w:p>
        </w:tc>
        <w:tc>
          <w:tcPr>
            <w:tcW w:w="1374" w:type="dxa"/>
          </w:tcPr>
          <w:p w14:paraId="19519245"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Blitar</w:t>
            </w:r>
            <w:proofErr w:type="spellEnd"/>
            <w:r w:rsidRPr="00257AD3">
              <w:rPr>
                <w:rFonts w:cs="Linux Libertine"/>
                <w:sz w:val="18"/>
                <w:szCs w:val="18"/>
              </w:rPr>
              <w:t xml:space="preserve"> District Court</w:t>
            </w:r>
          </w:p>
        </w:tc>
        <w:tc>
          <w:tcPr>
            <w:tcW w:w="795" w:type="dxa"/>
          </w:tcPr>
          <w:p w14:paraId="69651750"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2011</w:t>
            </w:r>
          </w:p>
        </w:tc>
        <w:tc>
          <w:tcPr>
            <w:tcW w:w="1611" w:type="dxa"/>
          </w:tcPr>
          <w:p w14:paraId="663C4562"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Miftakhur</w:t>
            </w:r>
            <w:proofErr w:type="spellEnd"/>
            <w:r w:rsidRPr="00257AD3">
              <w:rPr>
                <w:rFonts w:cs="Linux Libertine"/>
                <w:sz w:val="18"/>
                <w:szCs w:val="18"/>
              </w:rPr>
              <w:t xml:space="preserve"> </w:t>
            </w:r>
            <w:proofErr w:type="spellStart"/>
            <w:r w:rsidRPr="00257AD3">
              <w:rPr>
                <w:rFonts w:cs="Linux Libertine"/>
                <w:sz w:val="18"/>
                <w:szCs w:val="18"/>
              </w:rPr>
              <w:t>Rosyidin</w:t>
            </w:r>
            <w:proofErr w:type="spellEnd"/>
            <w:r w:rsidRPr="00257AD3">
              <w:rPr>
                <w:rFonts w:cs="Linux Libertine"/>
                <w:sz w:val="18"/>
                <w:szCs w:val="18"/>
              </w:rPr>
              <w:t xml:space="preserve"> bin </w:t>
            </w:r>
            <w:proofErr w:type="spellStart"/>
            <w:r w:rsidRPr="00257AD3">
              <w:rPr>
                <w:rFonts w:cs="Linux Libertine"/>
                <w:sz w:val="18"/>
                <w:szCs w:val="18"/>
              </w:rPr>
              <w:t>Winarko</w:t>
            </w:r>
            <w:proofErr w:type="spellEnd"/>
            <w:r w:rsidRPr="00257AD3">
              <w:rPr>
                <w:rFonts w:cs="Linux Libertine"/>
                <w:sz w:val="18"/>
                <w:szCs w:val="18"/>
              </w:rPr>
              <w:t xml:space="preserve"> (RIP) </w:t>
            </w:r>
          </w:p>
        </w:tc>
        <w:tc>
          <w:tcPr>
            <w:tcW w:w="1260" w:type="dxa"/>
          </w:tcPr>
          <w:p w14:paraId="313E9AF7" w14:textId="77777777" w:rsidR="00FA01A1" w:rsidRPr="00257AD3" w:rsidRDefault="00FA01A1" w:rsidP="00FA01A1">
            <w:pPr>
              <w:rPr>
                <w:rFonts w:cs="Linux Libertine"/>
                <w:sz w:val="18"/>
                <w:szCs w:val="18"/>
              </w:rPr>
            </w:pPr>
            <w:r w:rsidRPr="00257AD3">
              <w:rPr>
                <w:rFonts w:cs="Linux Libertine"/>
                <w:sz w:val="18"/>
                <w:szCs w:val="18"/>
              </w:rPr>
              <w:t>Muslim who imaged Cross in a mosque.</w:t>
            </w:r>
          </w:p>
        </w:tc>
        <w:tc>
          <w:tcPr>
            <w:tcW w:w="1260" w:type="dxa"/>
          </w:tcPr>
          <w:p w14:paraId="49CBD1D1"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2B3D21D5" w14:textId="77777777" w:rsidR="00FA01A1" w:rsidRPr="00257AD3" w:rsidRDefault="00FA01A1" w:rsidP="00FA01A1">
            <w:pPr>
              <w:ind w:left="77" w:right="161"/>
              <w:rPr>
                <w:rFonts w:cs="Linux Libertine"/>
                <w:sz w:val="18"/>
                <w:szCs w:val="18"/>
              </w:rPr>
            </w:pPr>
            <w:r w:rsidRPr="00257AD3">
              <w:rPr>
                <w:rFonts w:cs="Linux Libertine"/>
                <w:sz w:val="18"/>
                <w:szCs w:val="18"/>
              </w:rPr>
              <w:t>4 months sentence</w:t>
            </w:r>
          </w:p>
        </w:tc>
      </w:tr>
      <w:tr w:rsidR="00FA01A1" w:rsidRPr="00257AD3" w14:paraId="4F43C21B" w14:textId="77777777" w:rsidTr="00FA01A1">
        <w:trPr>
          <w:trHeight w:val="652"/>
        </w:trPr>
        <w:tc>
          <w:tcPr>
            <w:tcW w:w="530" w:type="dxa"/>
          </w:tcPr>
          <w:p w14:paraId="5199BF89" w14:textId="77777777" w:rsidR="00FA01A1" w:rsidRPr="00257AD3" w:rsidRDefault="00FA01A1" w:rsidP="00FA01A1">
            <w:pPr>
              <w:ind w:right="-525" w:firstLine="150"/>
              <w:rPr>
                <w:rFonts w:cs="Linux Libertine"/>
                <w:sz w:val="18"/>
                <w:szCs w:val="18"/>
              </w:rPr>
            </w:pPr>
            <w:r w:rsidRPr="00257AD3">
              <w:rPr>
                <w:rFonts w:cs="Linux Libertine"/>
                <w:sz w:val="18"/>
                <w:szCs w:val="18"/>
              </w:rPr>
              <w:t>7</w:t>
            </w:r>
          </w:p>
        </w:tc>
        <w:tc>
          <w:tcPr>
            <w:tcW w:w="1374" w:type="dxa"/>
          </w:tcPr>
          <w:p w14:paraId="1255BFF7"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Garut</w:t>
            </w:r>
            <w:proofErr w:type="spellEnd"/>
            <w:r w:rsidRPr="00257AD3">
              <w:rPr>
                <w:rFonts w:cs="Linux Libertine"/>
                <w:sz w:val="18"/>
                <w:szCs w:val="18"/>
              </w:rPr>
              <w:t xml:space="preserve"> District Court -2012</w:t>
            </w:r>
          </w:p>
        </w:tc>
        <w:tc>
          <w:tcPr>
            <w:tcW w:w="795" w:type="dxa"/>
          </w:tcPr>
          <w:p w14:paraId="7EB22E5C"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2012</w:t>
            </w:r>
          </w:p>
        </w:tc>
        <w:tc>
          <w:tcPr>
            <w:tcW w:w="1611" w:type="dxa"/>
          </w:tcPr>
          <w:p w14:paraId="14A97224"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Sensen</w:t>
            </w:r>
            <w:proofErr w:type="spellEnd"/>
            <w:r w:rsidRPr="00257AD3">
              <w:rPr>
                <w:rFonts w:cs="Linux Libertine"/>
                <w:sz w:val="18"/>
                <w:szCs w:val="18"/>
              </w:rPr>
              <w:t xml:space="preserve"> </w:t>
            </w:r>
            <w:proofErr w:type="spellStart"/>
            <w:r w:rsidRPr="00257AD3">
              <w:rPr>
                <w:rFonts w:cs="Linux Libertine"/>
                <w:sz w:val="18"/>
                <w:szCs w:val="18"/>
              </w:rPr>
              <w:t>Komara</w:t>
            </w:r>
            <w:proofErr w:type="spellEnd"/>
            <w:r w:rsidRPr="00257AD3">
              <w:rPr>
                <w:rFonts w:cs="Linux Libertine"/>
                <w:sz w:val="18"/>
                <w:szCs w:val="18"/>
              </w:rPr>
              <w:t xml:space="preserve"> </w:t>
            </w:r>
          </w:p>
        </w:tc>
        <w:tc>
          <w:tcPr>
            <w:tcW w:w="1260" w:type="dxa"/>
          </w:tcPr>
          <w:p w14:paraId="438C8627" w14:textId="77777777" w:rsidR="00FA01A1" w:rsidRPr="00257AD3" w:rsidRDefault="00FA01A1" w:rsidP="00FA01A1">
            <w:pPr>
              <w:rPr>
                <w:rFonts w:cs="Linux Libertine"/>
                <w:sz w:val="18"/>
                <w:szCs w:val="18"/>
              </w:rPr>
            </w:pPr>
            <w:r w:rsidRPr="00257AD3">
              <w:rPr>
                <w:rFonts w:cs="Linux Libertine"/>
                <w:sz w:val="18"/>
                <w:szCs w:val="18"/>
              </w:rPr>
              <w:t>A follower of Indonesian Islamic Nation.</w:t>
            </w:r>
          </w:p>
        </w:tc>
        <w:tc>
          <w:tcPr>
            <w:tcW w:w="1260" w:type="dxa"/>
          </w:tcPr>
          <w:p w14:paraId="01034D0E"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76AFBF1D" w14:textId="77777777" w:rsidR="00FA01A1" w:rsidRPr="00257AD3" w:rsidRDefault="00FA01A1" w:rsidP="00FA01A1">
            <w:pPr>
              <w:ind w:left="77" w:right="161"/>
              <w:rPr>
                <w:rFonts w:cs="Linux Libertine"/>
                <w:sz w:val="18"/>
                <w:szCs w:val="18"/>
              </w:rPr>
            </w:pPr>
            <w:r w:rsidRPr="00257AD3">
              <w:rPr>
                <w:rFonts w:cs="Linux Libertine"/>
                <w:sz w:val="18"/>
                <w:szCs w:val="18"/>
              </w:rPr>
              <w:t>1-year treatment in mental Institution</w:t>
            </w:r>
          </w:p>
        </w:tc>
      </w:tr>
      <w:tr w:rsidR="00FA01A1" w:rsidRPr="00257AD3" w14:paraId="5AA778A1" w14:textId="77777777" w:rsidTr="00FA01A1">
        <w:trPr>
          <w:trHeight w:val="527"/>
        </w:trPr>
        <w:tc>
          <w:tcPr>
            <w:tcW w:w="530" w:type="dxa"/>
          </w:tcPr>
          <w:p w14:paraId="757A73E0" w14:textId="77777777" w:rsidR="00FA01A1" w:rsidRPr="00257AD3" w:rsidRDefault="00FA01A1" w:rsidP="00FA01A1">
            <w:pPr>
              <w:ind w:right="-525" w:firstLine="150"/>
              <w:rPr>
                <w:rFonts w:cs="Linux Libertine"/>
                <w:sz w:val="18"/>
                <w:szCs w:val="18"/>
              </w:rPr>
            </w:pPr>
            <w:r w:rsidRPr="00257AD3">
              <w:rPr>
                <w:rFonts w:cs="Linux Libertine"/>
                <w:sz w:val="18"/>
                <w:szCs w:val="18"/>
              </w:rPr>
              <w:t>8</w:t>
            </w:r>
          </w:p>
        </w:tc>
        <w:tc>
          <w:tcPr>
            <w:tcW w:w="1374" w:type="dxa"/>
          </w:tcPr>
          <w:p w14:paraId="75BC520E"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Sampang</w:t>
            </w:r>
            <w:proofErr w:type="spellEnd"/>
            <w:r w:rsidRPr="00257AD3">
              <w:rPr>
                <w:rFonts w:cs="Linux Libertine"/>
                <w:sz w:val="18"/>
                <w:szCs w:val="18"/>
              </w:rPr>
              <w:t xml:space="preserve"> District Court</w:t>
            </w:r>
          </w:p>
        </w:tc>
        <w:tc>
          <w:tcPr>
            <w:tcW w:w="795" w:type="dxa"/>
          </w:tcPr>
          <w:p w14:paraId="54A4E2B0"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2012</w:t>
            </w:r>
          </w:p>
        </w:tc>
        <w:tc>
          <w:tcPr>
            <w:tcW w:w="1611" w:type="dxa"/>
          </w:tcPr>
          <w:p w14:paraId="549960AA"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Tajul</w:t>
            </w:r>
            <w:proofErr w:type="spellEnd"/>
            <w:r w:rsidRPr="00257AD3">
              <w:rPr>
                <w:rFonts w:cs="Linux Libertine"/>
                <w:sz w:val="18"/>
                <w:szCs w:val="18"/>
              </w:rPr>
              <w:t xml:space="preserve"> </w:t>
            </w:r>
            <w:proofErr w:type="spellStart"/>
            <w:r w:rsidRPr="00257AD3">
              <w:rPr>
                <w:rFonts w:cs="Linux Libertine"/>
                <w:sz w:val="18"/>
                <w:szCs w:val="18"/>
              </w:rPr>
              <w:t>Muluk</w:t>
            </w:r>
            <w:proofErr w:type="spellEnd"/>
            <w:r w:rsidRPr="00257AD3">
              <w:rPr>
                <w:rFonts w:cs="Linux Libertine"/>
                <w:sz w:val="18"/>
                <w:szCs w:val="18"/>
              </w:rPr>
              <w:t xml:space="preserve"> </w:t>
            </w:r>
          </w:p>
        </w:tc>
        <w:tc>
          <w:tcPr>
            <w:tcW w:w="1260" w:type="dxa"/>
          </w:tcPr>
          <w:p w14:paraId="1B1E34B9" w14:textId="77777777" w:rsidR="00FA01A1" w:rsidRPr="00257AD3" w:rsidRDefault="00FA01A1" w:rsidP="00FA01A1">
            <w:pPr>
              <w:rPr>
                <w:rFonts w:cs="Linux Libertine"/>
                <w:sz w:val="18"/>
                <w:szCs w:val="18"/>
              </w:rPr>
            </w:pPr>
            <w:r w:rsidRPr="00257AD3">
              <w:rPr>
                <w:rFonts w:cs="Linux Libertine"/>
                <w:sz w:val="18"/>
                <w:szCs w:val="18"/>
              </w:rPr>
              <w:t>A Shia leader</w:t>
            </w:r>
          </w:p>
        </w:tc>
        <w:tc>
          <w:tcPr>
            <w:tcW w:w="1260" w:type="dxa"/>
          </w:tcPr>
          <w:p w14:paraId="70D96450"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5EEA395C" w14:textId="77777777" w:rsidR="00FA01A1" w:rsidRPr="00257AD3" w:rsidRDefault="00FA01A1" w:rsidP="00FA01A1">
            <w:pPr>
              <w:ind w:left="77" w:right="161"/>
              <w:rPr>
                <w:rFonts w:cs="Linux Libertine"/>
                <w:sz w:val="18"/>
                <w:szCs w:val="18"/>
              </w:rPr>
            </w:pPr>
            <w:r w:rsidRPr="00257AD3">
              <w:rPr>
                <w:rFonts w:cs="Linux Libertine"/>
                <w:sz w:val="18"/>
                <w:szCs w:val="18"/>
              </w:rPr>
              <w:t>1-year sentence and 4 years sentence by High Court</w:t>
            </w:r>
          </w:p>
        </w:tc>
      </w:tr>
      <w:tr w:rsidR="00FA01A1" w:rsidRPr="00257AD3" w14:paraId="0CD0973A" w14:textId="77777777" w:rsidTr="00FA01A1">
        <w:trPr>
          <w:trHeight w:val="616"/>
        </w:trPr>
        <w:tc>
          <w:tcPr>
            <w:tcW w:w="530" w:type="dxa"/>
          </w:tcPr>
          <w:p w14:paraId="65CB9C24" w14:textId="77777777" w:rsidR="00FA01A1" w:rsidRPr="00257AD3" w:rsidRDefault="00FA01A1" w:rsidP="00FA01A1">
            <w:pPr>
              <w:ind w:right="-525" w:firstLine="150"/>
              <w:rPr>
                <w:rFonts w:cs="Linux Libertine"/>
                <w:sz w:val="18"/>
                <w:szCs w:val="18"/>
              </w:rPr>
            </w:pPr>
            <w:r w:rsidRPr="00257AD3">
              <w:rPr>
                <w:rFonts w:cs="Linux Libertine"/>
                <w:sz w:val="18"/>
                <w:szCs w:val="18"/>
              </w:rPr>
              <w:t>9</w:t>
            </w:r>
          </w:p>
        </w:tc>
        <w:tc>
          <w:tcPr>
            <w:tcW w:w="1374" w:type="dxa"/>
          </w:tcPr>
          <w:p w14:paraId="4F32013F"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Dompu</w:t>
            </w:r>
            <w:proofErr w:type="spellEnd"/>
            <w:r w:rsidRPr="00257AD3">
              <w:rPr>
                <w:rFonts w:cs="Linux Libertine"/>
                <w:sz w:val="18"/>
                <w:szCs w:val="18"/>
              </w:rPr>
              <w:t xml:space="preserve"> District Court</w:t>
            </w:r>
          </w:p>
        </w:tc>
        <w:tc>
          <w:tcPr>
            <w:tcW w:w="795" w:type="dxa"/>
          </w:tcPr>
          <w:p w14:paraId="4C66A481"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2012</w:t>
            </w:r>
          </w:p>
        </w:tc>
        <w:tc>
          <w:tcPr>
            <w:tcW w:w="1611" w:type="dxa"/>
          </w:tcPr>
          <w:p w14:paraId="18C1C1CE" w14:textId="77777777" w:rsidR="00FA01A1" w:rsidRPr="00257AD3" w:rsidRDefault="00FA01A1" w:rsidP="00FA01A1">
            <w:pPr>
              <w:ind w:left="190" w:right="198"/>
              <w:jc w:val="both"/>
              <w:rPr>
                <w:rFonts w:cs="Linux Libertine"/>
                <w:sz w:val="18"/>
                <w:szCs w:val="18"/>
              </w:rPr>
            </w:pPr>
            <w:r w:rsidRPr="00257AD3">
              <w:rPr>
                <w:rFonts w:cs="Linux Libertine"/>
                <w:sz w:val="18"/>
                <w:szCs w:val="18"/>
              </w:rPr>
              <w:t xml:space="preserve">Charles </w:t>
            </w:r>
            <w:proofErr w:type="spellStart"/>
            <w:r w:rsidRPr="00257AD3">
              <w:rPr>
                <w:rFonts w:cs="Linux Libertine"/>
                <w:sz w:val="18"/>
                <w:szCs w:val="18"/>
              </w:rPr>
              <w:t>Sitorus</w:t>
            </w:r>
            <w:proofErr w:type="spellEnd"/>
            <w:r w:rsidRPr="00257AD3">
              <w:rPr>
                <w:rFonts w:cs="Linux Libertine"/>
                <w:sz w:val="18"/>
                <w:szCs w:val="18"/>
              </w:rPr>
              <w:t xml:space="preserve"> / </w:t>
            </w:r>
          </w:p>
        </w:tc>
        <w:tc>
          <w:tcPr>
            <w:tcW w:w="1260" w:type="dxa"/>
          </w:tcPr>
          <w:p w14:paraId="5C34C69D" w14:textId="77777777" w:rsidR="00FA01A1" w:rsidRPr="00257AD3" w:rsidRDefault="00FA01A1" w:rsidP="00FA01A1">
            <w:pPr>
              <w:rPr>
                <w:rFonts w:cs="Linux Libertine"/>
                <w:sz w:val="18"/>
                <w:szCs w:val="18"/>
              </w:rPr>
            </w:pPr>
            <w:r w:rsidRPr="00257AD3">
              <w:rPr>
                <w:rFonts w:cs="Linux Libertine"/>
                <w:sz w:val="18"/>
                <w:szCs w:val="18"/>
              </w:rPr>
              <w:t>Christianity Teaching of Kindness Books distribution (2012)</w:t>
            </w:r>
          </w:p>
        </w:tc>
        <w:tc>
          <w:tcPr>
            <w:tcW w:w="1260" w:type="dxa"/>
          </w:tcPr>
          <w:p w14:paraId="6FB45983" w14:textId="77777777" w:rsidR="00FA01A1" w:rsidRPr="00257AD3" w:rsidRDefault="00FA01A1" w:rsidP="00FA01A1">
            <w:pPr>
              <w:ind w:firstLine="61"/>
              <w:rPr>
                <w:rFonts w:cs="Linux Libertine"/>
                <w:sz w:val="18"/>
                <w:szCs w:val="18"/>
              </w:rPr>
            </w:pPr>
            <w:r w:rsidRPr="00257AD3">
              <w:rPr>
                <w:rFonts w:cs="Linux Libertine"/>
                <w:sz w:val="18"/>
                <w:szCs w:val="18"/>
              </w:rPr>
              <w:t>156a CC</w:t>
            </w:r>
          </w:p>
        </w:tc>
        <w:tc>
          <w:tcPr>
            <w:tcW w:w="1530" w:type="dxa"/>
          </w:tcPr>
          <w:p w14:paraId="74DAE6AE" w14:textId="77777777" w:rsidR="00FA01A1" w:rsidRPr="00257AD3" w:rsidRDefault="00FA01A1" w:rsidP="00FA01A1">
            <w:pPr>
              <w:ind w:left="77" w:right="161"/>
              <w:rPr>
                <w:rFonts w:cs="Linux Libertine"/>
                <w:sz w:val="18"/>
                <w:szCs w:val="18"/>
              </w:rPr>
            </w:pPr>
            <w:r w:rsidRPr="00257AD3">
              <w:rPr>
                <w:rFonts w:cs="Linux Libertine"/>
                <w:sz w:val="18"/>
                <w:szCs w:val="18"/>
              </w:rPr>
              <w:t>1 year and 2 months sentence</w:t>
            </w:r>
          </w:p>
        </w:tc>
      </w:tr>
      <w:tr w:rsidR="00FA01A1" w:rsidRPr="00257AD3" w14:paraId="53015082" w14:textId="77777777" w:rsidTr="00FA01A1">
        <w:trPr>
          <w:trHeight w:val="811"/>
        </w:trPr>
        <w:tc>
          <w:tcPr>
            <w:tcW w:w="530" w:type="dxa"/>
          </w:tcPr>
          <w:p w14:paraId="394642D8" w14:textId="77777777" w:rsidR="00FA01A1" w:rsidRPr="00257AD3" w:rsidRDefault="00FA01A1" w:rsidP="00FA01A1">
            <w:pPr>
              <w:ind w:right="-525" w:firstLine="150"/>
              <w:rPr>
                <w:rFonts w:cs="Linux Libertine"/>
                <w:sz w:val="18"/>
                <w:szCs w:val="18"/>
              </w:rPr>
            </w:pPr>
            <w:r w:rsidRPr="00257AD3">
              <w:rPr>
                <w:rFonts w:cs="Linux Libertine"/>
                <w:sz w:val="18"/>
                <w:szCs w:val="18"/>
              </w:rPr>
              <w:t>10</w:t>
            </w:r>
          </w:p>
        </w:tc>
        <w:tc>
          <w:tcPr>
            <w:tcW w:w="1374" w:type="dxa"/>
          </w:tcPr>
          <w:p w14:paraId="577F29D7" w14:textId="77777777" w:rsidR="00FA01A1" w:rsidRPr="00257AD3" w:rsidRDefault="00FA01A1" w:rsidP="00FA01A1">
            <w:pPr>
              <w:ind w:left="109"/>
              <w:rPr>
                <w:rFonts w:cs="Linux Libertine"/>
                <w:sz w:val="18"/>
                <w:szCs w:val="18"/>
              </w:rPr>
            </w:pPr>
            <w:r w:rsidRPr="00257AD3">
              <w:rPr>
                <w:rFonts w:cs="Linux Libertine"/>
                <w:sz w:val="18"/>
                <w:szCs w:val="18"/>
              </w:rPr>
              <w:t>Pontianak District Court</w:t>
            </w:r>
          </w:p>
        </w:tc>
        <w:tc>
          <w:tcPr>
            <w:tcW w:w="795" w:type="dxa"/>
          </w:tcPr>
          <w:p w14:paraId="447500FC"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2012</w:t>
            </w:r>
          </w:p>
        </w:tc>
        <w:tc>
          <w:tcPr>
            <w:tcW w:w="1611" w:type="dxa"/>
          </w:tcPr>
          <w:p w14:paraId="57B3A241" w14:textId="77777777" w:rsidR="00FA01A1" w:rsidRPr="00257AD3" w:rsidRDefault="00FA01A1" w:rsidP="00FA01A1">
            <w:pPr>
              <w:ind w:left="190" w:right="198"/>
              <w:jc w:val="both"/>
              <w:rPr>
                <w:rFonts w:cs="Linux Libertine"/>
                <w:sz w:val="18"/>
                <w:szCs w:val="18"/>
              </w:rPr>
            </w:pPr>
            <w:r w:rsidRPr="00257AD3">
              <w:rPr>
                <w:rFonts w:cs="Linux Libertine"/>
                <w:sz w:val="18"/>
                <w:szCs w:val="18"/>
              </w:rPr>
              <w:t xml:space="preserve">Sandi Hartono as son of </w:t>
            </w:r>
            <w:proofErr w:type="spellStart"/>
            <w:r w:rsidRPr="00257AD3">
              <w:rPr>
                <w:rFonts w:cs="Linux Libertine"/>
                <w:sz w:val="18"/>
                <w:szCs w:val="18"/>
              </w:rPr>
              <w:t>Khu</w:t>
            </w:r>
            <w:proofErr w:type="spellEnd"/>
            <w:r w:rsidRPr="00257AD3">
              <w:rPr>
                <w:rFonts w:cs="Linux Libertine"/>
                <w:sz w:val="18"/>
                <w:szCs w:val="18"/>
              </w:rPr>
              <w:t xml:space="preserve"> </w:t>
            </w:r>
            <w:proofErr w:type="spellStart"/>
            <w:r w:rsidRPr="00257AD3">
              <w:rPr>
                <w:rFonts w:cs="Linux Libertine"/>
                <w:sz w:val="18"/>
                <w:szCs w:val="18"/>
              </w:rPr>
              <w:t>Khim</w:t>
            </w:r>
            <w:proofErr w:type="spellEnd"/>
            <w:r w:rsidRPr="00257AD3">
              <w:rPr>
                <w:rFonts w:cs="Linux Libertine"/>
                <w:sz w:val="18"/>
                <w:szCs w:val="18"/>
              </w:rPr>
              <w:t xml:space="preserve"> </w:t>
            </w:r>
            <w:proofErr w:type="spellStart"/>
            <w:r w:rsidRPr="00257AD3">
              <w:rPr>
                <w:rFonts w:cs="Linux Libertine"/>
                <w:sz w:val="18"/>
                <w:szCs w:val="18"/>
              </w:rPr>
              <w:t>Chiung</w:t>
            </w:r>
            <w:proofErr w:type="spellEnd"/>
            <w:r w:rsidRPr="00257AD3">
              <w:rPr>
                <w:rFonts w:cs="Linux Libertine"/>
                <w:sz w:val="18"/>
                <w:szCs w:val="18"/>
              </w:rPr>
              <w:t xml:space="preserve"> (2012)</w:t>
            </w:r>
          </w:p>
        </w:tc>
        <w:tc>
          <w:tcPr>
            <w:tcW w:w="1260" w:type="dxa"/>
          </w:tcPr>
          <w:p w14:paraId="2164883C" w14:textId="77777777" w:rsidR="00FA01A1" w:rsidRPr="00257AD3" w:rsidRDefault="00FA01A1" w:rsidP="00FA01A1">
            <w:pPr>
              <w:rPr>
                <w:rFonts w:cs="Linux Libertine"/>
                <w:sz w:val="18"/>
                <w:szCs w:val="18"/>
              </w:rPr>
            </w:pPr>
            <w:r w:rsidRPr="00257AD3">
              <w:rPr>
                <w:rFonts w:cs="Linux Libertine"/>
                <w:sz w:val="18"/>
                <w:szCs w:val="18"/>
              </w:rPr>
              <w:t>Islam</w:t>
            </w:r>
          </w:p>
        </w:tc>
        <w:tc>
          <w:tcPr>
            <w:tcW w:w="1260" w:type="dxa"/>
          </w:tcPr>
          <w:p w14:paraId="28CB1980" w14:textId="77777777" w:rsidR="00FA01A1" w:rsidRPr="00257AD3" w:rsidRDefault="00FA01A1" w:rsidP="00FA01A1">
            <w:pPr>
              <w:ind w:firstLine="61"/>
              <w:jc w:val="center"/>
              <w:rPr>
                <w:rFonts w:cs="Linux Libertine"/>
                <w:sz w:val="18"/>
                <w:szCs w:val="18"/>
              </w:rPr>
            </w:pPr>
            <w:r w:rsidRPr="00257AD3">
              <w:rPr>
                <w:rFonts w:cs="Linux Libertine"/>
                <w:sz w:val="18"/>
                <w:szCs w:val="18"/>
              </w:rPr>
              <w:t>IET Law No.11/2008</w:t>
            </w:r>
          </w:p>
        </w:tc>
        <w:tc>
          <w:tcPr>
            <w:tcW w:w="1530" w:type="dxa"/>
          </w:tcPr>
          <w:p w14:paraId="129E03B7" w14:textId="77777777" w:rsidR="00FA01A1" w:rsidRPr="00257AD3" w:rsidRDefault="00FA01A1" w:rsidP="00FA01A1">
            <w:pPr>
              <w:ind w:left="77" w:right="161"/>
              <w:rPr>
                <w:rFonts w:cs="Linux Libertine"/>
                <w:sz w:val="18"/>
                <w:szCs w:val="18"/>
              </w:rPr>
            </w:pPr>
            <w:r w:rsidRPr="00257AD3">
              <w:rPr>
                <w:rFonts w:cs="Linux Libertine"/>
                <w:sz w:val="18"/>
                <w:szCs w:val="18"/>
              </w:rPr>
              <w:t>6 months sentence and 500 million rupiah fine</w:t>
            </w:r>
          </w:p>
        </w:tc>
      </w:tr>
      <w:tr w:rsidR="00FA01A1" w:rsidRPr="00257AD3" w14:paraId="72E4AB60" w14:textId="77777777" w:rsidTr="00FA01A1">
        <w:trPr>
          <w:trHeight w:val="782"/>
        </w:trPr>
        <w:tc>
          <w:tcPr>
            <w:tcW w:w="530" w:type="dxa"/>
          </w:tcPr>
          <w:p w14:paraId="747A5A93" w14:textId="77777777" w:rsidR="00FA01A1" w:rsidRPr="00257AD3" w:rsidRDefault="00FA01A1" w:rsidP="00FA01A1">
            <w:pPr>
              <w:ind w:right="-525" w:firstLine="150"/>
              <w:rPr>
                <w:rFonts w:cs="Linux Libertine"/>
                <w:sz w:val="18"/>
                <w:szCs w:val="18"/>
              </w:rPr>
            </w:pPr>
            <w:r w:rsidRPr="00257AD3">
              <w:rPr>
                <w:rFonts w:cs="Linux Libertine"/>
                <w:sz w:val="18"/>
                <w:szCs w:val="18"/>
              </w:rPr>
              <w:t>11</w:t>
            </w:r>
          </w:p>
        </w:tc>
        <w:tc>
          <w:tcPr>
            <w:tcW w:w="1374" w:type="dxa"/>
          </w:tcPr>
          <w:p w14:paraId="14F1A0F5" w14:textId="77777777" w:rsidR="00FA01A1" w:rsidRPr="00257AD3" w:rsidRDefault="00FA01A1" w:rsidP="00FA01A1">
            <w:pPr>
              <w:ind w:left="109"/>
              <w:rPr>
                <w:rFonts w:cs="Linux Libertine"/>
                <w:sz w:val="18"/>
                <w:szCs w:val="18"/>
              </w:rPr>
            </w:pPr>
            <w:proofErr w:type="spellStart"/>
            <w:r w:rsidRPr="00257AD3">
              <w:rPr>
                <w:rFonts w:cs="Linux Libertine"/>
                <w:sz w:val="18"/>
                <w:szCs w:val="18"/>
              </w:rPr>
              <w:t>Kalabahi</w:t>
            </w:r>
            <w:proofErr w:type="spellEnd"/>
            <w:r w:rsidRPr="00257AD3">
              <w:rPr>
                <w:rFonts w:cs="Linux Libertine"/>
                <w:sz w:val="18"/>
                <w:szCs w:val="18"/>
              </w:rPr>
              <w:t xml:space="preserve"> District Court</w:t>
            </w:r>
          </w:p>
        </w:tc>
        <w:tc>
          <w:tcPr>
            <w:tcW w:w="795" w:type="dxa"/>
          </w:tcPr>
          <w:p w14:paraId="14B88BAE"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2013</w:t>
            </w:r>
          </w:p>
        </w:tc>
        <w:tc>
          <w:tcPr>
            <w:tcW w:w="1611" w:type="dxa"/>
          </w:tcPr>
          <w:p w14:paraId="06D3604A" w14:textId="77777777" w:rsidR="00FA01A1" w:rsidRPr="00257AD3" w:rsidRDefault="00FA01A1" w:rsidP="00FA01A1">
            <w:pPr>
              <w:ind w:left="190" w:right="198"/>
              <w:jc w:val="both"/>
              <w:rPr>
                <w:rFonts w:cs="Linux Libertine"/>
                <w:sz w:val="18"/>
                <w:szCs w:val="18"/>
              </w:rPr>
            </w:pPr>
            <w:r w:rsidRPr="00257AD3">
              <w:rPr>
                <w:rFonts w:cs="Linux Libertine"/>
                <w:sz w:val="18"/>
                <w:szCs w:val="18"/>
              </w:rPr>
              <w:t xml:space="preserve">Alfred </w:t>
            </w:r>
            <w:proofErr w:type="spellStart"/>
            <w:r w:rsidRPr="00257AD3">
              <w:rPr>
                <w:rFonts w:cs="Linux Libertine"/>
                <w:sz w:val="18"/>
                <w:szCs w:val="18"/>
              </w:rPr>
              <w:t>Waang</w:t>
            </w:r>
            <w:proofErr w:type="spellEnd"/>
            <w:r w:rsidRPr="00257AD3">
              <w:rPr>
                <w:rFonts w:cs="Linux Libertine"/>
                <w:sz w:val="18"/>
                <w:szCs w:val="18"/>
              </w:rPr>
              <w:t xml:space="preserve"> </w:t>
            </w:r>
          </w:p>
        </w:tc>
        <w:tc>
          <w:tcPr>
            <w:tcW w:w="1260" w:type="dxa"/>
          </w:tcPr>
          <w:p w14:paraId="7621B4B2" w14:textId="77777777" w:rsidR="00FA01A1" w:rsidRPr="00257AD3" w:rsidRDefault="00FA01A1" w:rsidP="00FA01A1">
            <w:pPr>
              <w:rPr>
                <w:rFonts w:cs="Linux Libertine"/>
                <w:sz w:val="18"/>
                <w:szCs w:val="18"/>
              </w:rPr>
            </w:pPr>
            <w:r w:rsidRPr="00257AD3">
              <w:rPr>
                <w:rFonts w:cs="Linux Libertine"/>
                <w:sz w:val="18"/>
                <w:szCs w:val="18"/>
              </w:rPr>
              <w:t xml:space="preserve">Islam who forced a kid to eat pork meat </w:t>
            </w:r>
          </w:p>
        </w:tc>
        <w:tc>
          <w:tcPr>
            <w:tcW w:w="1260" w:type="dxa"/>
          </w:tcPr>
          <w:p w14:paraId="061E0B40" w14:textId="77777777" w:rsidR="00FA01A1" w:rsidRPr="00257AD3" w:rsidRDefault="00FA01A1" w:rsidP="00FA01A1">
            <w:pPr>
              <w:ind w:firstLine="61"/>
              <w:jc w:val="center"/>
              <w:rPr>
                <w:rFonts w:cs="Linux Libertine"/>
                <w:sz w:val="18"/>
                <w:szCs w:val="18"/>
              </w:rPr>
            </w:pPr>
            <w:r w:rsidRPr="00257AD3">
              <w:rPr>
                <w:rFonts w:cs="Linux Libertine"/>
                <w:sz w:val="18"/>
                <w:szCs w:val="18"/>
              </w:rPr>
              <w:t>156a CC</w:t>
            </w:r>
          </w:p>
        </w:tc>
        <w:tc>
          <w:tcPr>
            <w:tcW w:w="1530" w:type="dxa"/>
          </w:tcPr>
          <w:p w14:paraId="49A25005" w14:textId="77777777" w:rsidR="00FA01A1" w:rsidRPr="00257AD3" w:rsidRDefault="00FA01A1" w:rsidP="00FA01A1">
            <w:pPr>
              <w:ind w:left="77" w:right="161"/>
              <w:rPr>
                <w:rFonts w:cs="Linux Libertine"/>
                <w:sz w:val="18"/>
                <w:szCs w:val="18"/>
              </w:rPr>
            </w:pPr>
            <w:r w:rsidRPr="00257AD3">
              <w:rPr>
                <w:rFonts w:cs="Linux Libertine"/>
                <w:sz w:val="18"/>
                <w:szCs w:val="18"/>
              </w:rPr>
              <w:t>1-year sentence</w:t>
            </w:r>
          </w:p>
        </w:tc>
      </w:tr>
      <w:tr w:rsidR="00FA01A1" w:rsidRPr="00257AD3" w14:paraId="1DD49C96" w14:textId="77777777" w:rsidTr="00FA01A1">
        <w:trPr>
          <w:trHeight w:val="650"/>
        </w:trPr>
        <w:tc>
          <w:tcPr>
            <w:tcW w:w="530" w:type="dxa"/>
          </w:tcPr>
          <w:p w14:paraId="498F80BA" w14:textId="77777777" w:rsidR="00FA01A1" w:rsidRPr="00257AD3" w:rsidRDefault="00FA01A1" w:rsidP="00FA01A1">
            <w:pPr>
              <w:ind w:right="-525" w:firstLine="150"/>
              <w:rPr>
                <w:rFonts w:cs="Linux Libertine"/>
                <w:sz w:val="18"/>
                <w:szCs w:val="18"/>
              </w:rPr>
            </w:pPr>
            <w:r w:rsidRPr="00257AD3">
              <w:rPr>
                <w:rFonts w:cs="Linux Libertine"/>
                <w:sz w:val="18"/>
                <w:szCs w:val="18"/>
              </w:rPr>
              <w:t>12</w:t>
            </w:r>
          </w:p>
        </w:tc>
        <w:tc>
          <w:tcPr>
            <w:tcW w:w="1374" w:type="dxa"/>
          </w:tcPr>
          <w:p w14:paraId="214A4D58" w14:textId="77777777" w:rsidR="00FA01A1" w:rsidRPr="00257AD3" w:rsidRDefault="00FA01A1" w:rsidP="00FA01A1">
            <w:pPr>
              <w:ind w:left="109"/>
              <w:rPr>
                <w:rFonts w:cs="Linux Libertine"/>
                <w:sz w:val="18"/>
                <w:szCs w:val="18"/>
              </w:rPr>
            </w:pPr>
            <w:r w:rsidRPr="00257AD3">
              <w:rPr>
                <w:rFonts w:cs="Linux Libertine"/>
                <w:sz w:val="18"/>
                <w:szCs w:val="18"/>
              </w:rPr>
              <w:t xml:space="preserve">District Court of </w:t>
            </w:r>
            <w:proofErr w:type="spellStart"/>
            <w:r w:rsidRPr="00257AD3">
              <w:rPr>
                <w:rFonts w:cs="Linux Libertine"/>
                <w:sz w:val="18"/>
                <w:szCs w:val="18"/>
              </w:rPr>
              <w:t>Trenggalek</w:t>
            </w:r>
            <w:proofErr w:type="spellEnd"/>
          </w:p>
        </w:tc>
        <w:tc>
          <w:tcPr>
            <w:tcW w:w="795" w:type="dxa"/>
          </w:tcPr>
          <w:p w14:paraId="3A85E06B"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2013</w:t>
            </w:r>
          </w:p>
        </w:tc>
        <w:tc>
          <w:tcPr>
            <w:tcW w:w="1611" w:type="dxa"/>
          </w:tcPr>
          <w:p w14:paraId="3CFF2C3B"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Agus</w:t>
            </w:r>
            <w:proofErr w:type="spellEnd"/>
            <w:r w:rsidRPr="00257AD3">
              <w:rPr>
                <w:rFonts w:cs="Linux Libertine"/>
                <w:sz w:val="18"/>
                <w:szCs w:val="18"/>
              </w:rPr>
              <w:t xml:space="preserve"> </w:t>
            </w:r>
            <w:proofErr w:type="spellStart"/>
            <w:r w:rsidRPr="00257AD3">
              <w:rPr>
                <w:rFonts w:cs="Linux Libertine"/>
                <w:sz w:val="18"/>
                <w:szCs w:val="18"/>
              </w:rPr>
              <w:t>Santoso</w:t>
            </w:r>
            <w:proofErr w:type="spellEnd"/>
            <w:r w:rsidRPr="00257AD3">
              <w:rPr>
                <w:rFonts w:cs="Linux Libertine"/>
                <w:sz w:val="18"/>
                <w:szCs w:val="18"/>
              </w:rPr>
              <w:t xml:space="preserve"> or </w:t>
            </w:r>
            <w:proofErr w:type="spellStart"/>
            <w:r w:rsidRPr="00257AD3">
              <w:rPr>
                <w:rFonts w:cs="Linux Libertine"/>
                <w:sz w:val="18"/>
                <w:szCs w:val="18"/>
              </w:rPr>
              <w:t>Tesy</w:t>
            </w:r>
            <w:proofErr w:type="spellEnd"/>
            <w:r w:rsidRPr="00257AD3">
              <w:rPr>
                <w:rFonts w:cs="Linux Libertine"/>
                <w:sz w:val="18"/>
                <w:szCs w:val="18"/>
              </w:rPr>
              <w:t xml:space="preserve"> bin </w:t>
            </w:r>
            <w:proofErr w:type="spellStart"/>
            <w:r w:rsidRPr="00257AD3">
              <w:rPr>
                <w:rFonts w:cs="Linux Libertine"/>
                <w:sz w:val="18"/>
                <w:szCs w:val="18"/>
              </w:rPr>
              <w:t>Kijaelani</w:t>
            </w:r>
            <w:proofErr w:type="spellEnd"/>
            <w:r w:rsidRPr="00257AD3">
              <w:rPr>
                <w:rFonts w:cs="Linux Libertine"/>
                <w:sz w:val="18"/>
                <w:szCs w:val="18"/>
              </w:rPr>
              <w:t xml:space="preserve"> </w:t>
            </w:r>
          </w:p>
        </w:tc>
        <w:tc>
          <w:tcPr>
            <w:tcW w:w="1260" w:type="dxa"/>
          </w:tcPr>
          <w:p w14:paraId="2450B897" w14:textId="77777777" w:rsidR="00FA01A1" w:rsidRPr="00257AD3" w:rsidRDefault="00FA01A1" w:rsidP="00FA01A1">
            <w:pPr>
              <w:rPr>
                <w:rFonts w:cs="Linux Libertine"/>
                <w:sz w:val="18"/>
                <w:szCs w:val="18"/>
              </w:rPr>
            </w:pPr>
            <w:r w:rsidRPr="00257AD3">
              <w:rPr>
                <w:rFonts w:cs="Linux Libertine"/>
                <w:sz w:val="18"/>
                <w:szCs w:val="18"/>
              </w:rPr>
              <w:t>Islam</w:t>
            </w:r>
          </w:p>
        </w:tc>
        <w:tc>
          <w:tcPr>
            <w:tcW w:w="1260" w:type="dxa"/>
          </w:tcPr>
          <w:p w14:paraId="47C63493" w14:textId="77777777" w:rsidR="00FA01A1" w:rsidRPr="00257AD3" w:rsidRDefault="00FA01A1" w:rsidP="00FA01A1">
            <w:pPr>
              <w:ind w:firstLine="61"/>
              <w:jc w:val="center"/>
              <w:rPr>
                <w:rFonts w:cs="Linux Libertine"/>
                <w:sz w:val="18"/>
                <w:szCs w:val="18"/>
              </w:rPr>
            </w:pPr>
            <w:r w:rsidRPr="00257AD3">
              <w:rPr>
                <w:rFonts w:cs="Linux Libertine"/>
                <w:sz w:val="18"/>
                <w:szCs w:val="18"/>
              </w:rPr>
              <w:t>156a CC, 335 (1) CC</w:t>
            </w:r>
          </w:p>
        </w:tc>
        <w:tc>
          <w:tcPr>
            <w:tcW w:w="1530" w:type="dxa"/>
          </w:tcPr>
          <w:p w14:paraId="19DBBC54" w14:textId="77777777" w:rsidR="00FA01A1" w:rsidRPr="00257AD3" w:rsidRDefault="00FA01A1" w:rsidP="00FA01A1">
            <w:pPr>
              <w:ind w:left="77" w:right="161"/>
              <w:rPr>
                <w:rFonts w:cs="Linux Libertine"/>
                <w:sz w:val="18"/>
                <w:szCs w:val="18"/>
              </w:rPr>
            </w:pPr>
            <w:r w:rsidRPr="00257AD3">
              <w:rPr>
                <w:rFonts w:cs="Linux Libertine"/>
                <w:sz w:val="18"/>
                <w:szCs w:val="18"/>
              </w:rPr>
              <w:t>4 months sentence</w:t>
            </w:r>
          </w:p>
        </w:tc>
      </w:tr>
      <w:tr w:rsidR="00FA01A1" w:rsidRPr="00257AD3" w14:paraId="534CD612" w14:textId="77777777" w:rsidTr="00FA01A1">
        <w:trPr>
          <w:trHeight w:val="518"/>
        </w:trPr>
        <w:tc>
          <w:tcPr>
            <w:tcW w:w="530" w:type="dxa"/>
          </w:tcPr>
          <w:p w14:paraId="0087F792" w14:textId="77777777" w:rsidR="00FA01A1" w:rsidRPr="00257AD3" w:rsidRDefault="00FA01A1" w:rsidP="00FA01A1">
            <w:pPr>
              <w:ind w:right="-525" w:firstLine="150"/>
              <w:rPr>
                <w:rFonts w:cs="Linux Libertine"/>
                <w:sz w:val="18"/>
                <w:szCs w:val="18"/>
              </w:rPr>
            </w:pPr>
            <w:r w:rsidRPr="00257AD3">
              <w:rPr>
                <w:rFonts w:cs="Linux Libertine"/>
                <w:sz w:val="18"/>
                <w:szCs w:val="18"/>
              </w:rPr>
              <w:t>13</w:t>
            </w:r>
          </w:p>
        </w:tc>
        <w:tc>
          <w:tcPr>
            <w:tcW w:w="1374" w:type="dxa"/>
          </w:tcPr>
          <w:p w14:paraId="7B313DAE" w14:textId="77777777" w:rsidR="00FA01A1" w:rsidRPr="00257AD3" w:rsidRDefault="00FA01A1" w:rsidP="00FA01A1">
            <w:pPr>
              <w:ind w:left="109"/>
              <w:rPr>
                <w:rFonts w:cs="Linux Libertine"/>
                <w:sz w:val="18"/>
                <w:szCs w:val="18"/>
              </w:rPr>
            </w:pPr>
            <w:r w:rsidRPr="00257AD3">
              <w:rPr>
                <w:rFonts w:cs="Linux Libertine"/>
                <w:sz w:val="18"/>
                <w:szCs w:val="18"/>
              </w:rPr>
              <w:t>District Court Denpasar</w:t>
            </w:r>
          </w:p>
        </w:tc>
        <w:tc>
          <w:tcPr>
            <w:tcW w:w="795" w:type="dxa"/>
          </w:tcPr>
          <w:p w14:paraId="2B182B68"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2013</w:t>
            </w:r>
          </w:p>
        </w:tc>
        <w:tc>
          <w:tcPr>
            <w:tcW w:w="1611" w:type="dxa"/>
          </w:tcPr>
          <w:p w14:paraId="59460913"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Rusgiani</w:t>
            </w:r>
            <w:proofErr w:type="spellEnd"/>
            <w:r w:rsidRPr="00257AD3">
              <w:rPr>
                <w:rFonts w:cs="Linux Libertine"/>
                <w:sz w:val="18"/>
                <w:szCs w:val="18"/>
              </w:rPr>
              <w:t xml:space="preserve"> </w:t>
            </w:r>
          </w:p>
        </w:tc>
        <w:tc>
          <w:tcPr>
            <w:tcW w:w="1260" w:type="dxa"/>
          </w:tcPr>
          <w:p w14:paraId="6ED70500" w14:textId="77777777" w:rsidR="00FA01A1" w:rsidRPr="00257AD3" w:rsidRDefault="00FA01A1" w:rsidP="00FA01A1">
            <w:pPr>
              <w:rPr>
                <w:rFonts w:cs="Linux Libertine"/>
                <w:sz w:val="18"/>
                <w:szCs w:val="18"/>
              </w:rPr>
            </w:pPr>
            <w:r w:rsidRPr="00257AD3">
              <w:rPr>
                <w:rFonts w:cs="Linux Libertine"/>
                <w:sz w:val="18"/>
                <w:szCs w:val="18"/>
              </w:rPr>
              <w:t>Hinduism</w:t>
            </w:r>
          </w:p>
        </w:tc>
        <w:tc>
          <w:tcPr>
            <w:tcW w:w="1260" w:type="dxa"/>
          </w:tcPr>
          <w:p w14:paraId="49E7CECE" w14:textId="77777777" w:rsidR="00FA01A1" w:rsidRPr="00257AD3" w:rsidRDefault="00FA01A1" w:rsidP="00FA01A1">
            <w:pPr>
              <w:ind w:firstLine="61"/>
              <w:jc w:val="center"/>
              <w:rPr>
                <w:rFonts w:cs="Linux Libertine"/>
                <w:sz w:val="18"/>
                <w:szCs w:val="18"/>
              </w:rPr>
            </w:pPr>
            <w:r w:rsidRPr="00257AD3">
              <w:rPr>
                <w:rFonts w:cs="Linux Libertine"/>
                <w:sz w:val="18"/>
                <w:szCs w:val="18"/>
              </w:rPr>
              <w:t>156a CC</w:t>
            </w:r>
          </w:p>
        </w:tc>
        <w:tc>
          <w:tcPr>
            <w:tcW w:w="1530" w:type="dxa"/>
          </w:tcPr>
          <w:p w14:paraId="5CF58DC6" w14:textId="77777777" w:rsidR="00FA01A1" w:rsidRPr="00257AD3" w:rsidRDefault="00FA01A1" w:rsidP="00FA01A1">
            <w:pPr>
              <w:ind w:left="77" w:right="161"/>
              <w:rPr>
                <w:rFonts w:cs="Linux Libertine"/>
                <w:sz w:val="18"/>
                <w:szCs w:val="18"/>
              </w:rPr>
            </w:pPr>
            <w:r w:rsidRPr="00257AD3">
              <w:rPr>
                <w:rFonts w:cs="Linux Libertine"/>
                <w:sz w:val="18"/>
                <w:szCs w:val="18"/>
              </w:rPr>
              <w:t>1 year and 2 months sentence</w:t>
            </w:r>
          </w:p>
        </w:tc>
      </w:tr>
      <w:tr w:rsidR="00FA01A1" w:rsidRPr="00257AD3" w14:paraId="589D2171" w14:textId="77777777" w:rsidTr="00FA01A1">
        <w:trPr>
          <w:trHeight w:val="797"/>
        </w:trPr>
        <w:tc>
          <w:tcPr>
            <w:tcW w:w="530" w:type="dxa"/>
          </w:tcPr>
          <w:p w14:paraId="45BD5505" w14:textId="77777777" w:rsidR="00FA01A1" w:rsidRPr="00257AD3" w:rsidRDefault="00FA01A1" w:rsidP="00FA01A1">
            <w:pPr>
              <w:ind w:right="-525" w:firstLine="150"/>
              <w:rPr>
                <w:rFonts w:cs="Linux Libertine"/>
                <w:sz w:val="18"/>
                <w:szCs w:val="18"/>
              </w:rPr>
            </w:pPr>
            <w:r w:rsidRPr="00257AD3">
              <w:rPr>
                <w:rFonts w:cs="Linux Libertine"/>
                <w:sz w:val="18"/>
                <w:szCs w:val="18"/>
              </w:rPr>
              <w:lastRenderedPageBreak/>
              <w:t>14</w:t>
            </w:r>
          </w:p>
        </w:tc>
        <w:tc>
          <w:tcPr>
            <w:tcW w:w="1374" w:type="dxa"/>
          </w:tcPr>
          <w:p w14:paraId="0B736A8D" w14:textId="77777777" w:rsidR="00FA01A1" w:rsidRPr="00257AD3" w:rsidRDefault="00FA01A1" w:rsidP="00FA01A1">
            <w:pPr>
              <w:ind w:left="109"/>
              <w:rPr>
                <w:rFonts w:cs="Linux Libertine"/>
                <w:sz w:val="18"/>
                <w:szCs w:val="18"/>
              </w:rPr>
            </w:pPr>
            <w:r w:rsidRPr="00257AD3">
              <w:rPr>
                <w:rFonts w:cs="Linux Libertine"/>
                <w:sz w:val="18"/>
                <w:szCs w:val="18"/>
              </w:rPr>
              <w:t>Medan District Court</w:t>
            </w:r>
          </w:p>
        </w:tc>
        <w:tc>
          <w:tcPr>
            <w:tcW w:w="795" w:type="dxa"/>
          </w:tcPr>
          <w:p w14:paraId="65CB4C82" w14:textId="77777777" w:rsidR="00FA01A1" w:rsidRPr="00257AD3" w:rsidRDefault="00FA01A1" w:rsidP="00FA01A1">
            <w:pPr>
              <w:ind w:left="190" w:right="198"/>
              <w:jc w:val="both"/>
              <w:rPr>
                <w:rFonts w:cs="Linux Libertine"/>
                <w:sz w:val="18"/>
                <w:szCs w:val="18"/>
              </w:rPr>
            </w:pPr>
            <w:r w:rsidRPr="00257AD3">
              <w:rPr>
                <w:rFonts w:cs="Linux Libertine"/>
                <w:sz w:val="18"/>
                <w:szCs w:val="18"/>
              </w:rPr>
              <w:t>2018</w:t>
            </w:r>
          </w:p>
        </w:tc>
        <w:tc>
          <w:tcPr>
            <w:tcW w:w="1611" w:type="dxa"/>
          </w:tcPr>
          <w:p w14:paraId="4342F44A" w14:textId="77777777" w:rsidR="00FA01A1" w:rsidRPr="00257AD3" w:rsidRDefault="00FA01A1" w:rsidP="00FA01A1">
            <w:pPr>
              <w:ind w:left="190" w:right="198"/>
              <w:jc w:val="both"/>
              <w:rPr>
                <w:rFonts w:cs="Linux Libertine"/>
                <w:sz w:val="18"/>
                <w:szCs w:val="18"/>
              </w:rPr>
            </w:pPr>
            <w:proofErr w:type="spellStart"/>
            <w:r w:rsidRPr="00257AD3">
              <w:rPr>
                <w:rFonts w:cs="Linux Libertine"/>
                <w:sz w:val="18"/>
                <w:szCs w:val="18"/>
              </w:rPr>
              <w:t>Meiliana</w:t>
            </w:r>
            <w:proofErr w:type="spellEnd"/>
          </w:p>
        </w:tc>
        <w:tc>
          <w:tcPr>
            <w:tcW w:w="1260" w:type="dxa"/>
          </w:tcPr>
          <w:p w14:paraId="7AA28549" w14:textId="77777777" w:rsidR="00FA01A1" w:rsidRPr="00257AD3" w:rsidRDefault="00FA01A1" w:rsidP="00FA01A1">
            <w:pPr>
              <w:rPr>
                <w:rFonts w:cs="Linux Libertine"/>
                <w:sz w:val="18"/>
                <w:szCs w:val="18"/>
              </w:rPr>
            </w:pPr>
            <w:proofErr w:type="spellStart"/>
            <w:r w:rsidRPr="00257AD3">
              <w:rPr>
                <w:rFonts w:cs="Linux Libertine"/>
                <w:sz w:val="18"/>
                <w:szCs w:val="18"/>
              </w:rPr>
              <w:t>Budhism</w:t>
            </w:r>
            <w:proofErr w:type="spellEnd"/>
            <w:r w:rsidRPr="00257AD3">
              <w:rPr>
                <w:rFonts w:cs="Linux Libertine"/>
                <w:sz w:val="18"/>
                <w:szCs w:val="18"/>
              </w:rPr>
              <w:t xml:space="preserve"> who complain </w:t>
            </w:r>
            <w:proofErr w:type="spellStart"/>
            <w:r w:rsidRPr="00257AD3">
              <w:rPr>
                <w:rFonts w:cs="Linux Libertine"/>
                <w:sz w:val="18"/>
                <w:szCs w:val="18"/>
              </w:rPr>
              <w:t>adzan</w:t>
            </w:r>
            <w:proofErr w:type="spellEnd"/>
            <w:r w:rsidRPr="00257AD3">
              <w:rPr>
                <w:rFonts w:cs="Linux Libertine"/>
                <w:sz w:val="18"/>
                <w:szCs w:val="18"/>
              </w:rPr>
              <w:t xml:space="preserve">/ call for prayer volume </w:t>
            </w:r>
          </w:p>
        </w:tc>
        <w:tc>
          <w:tcPr>
            <w:tcW w:w="1260" w:type="dxa"/>
          </w:tcPr>
          <w:p w14:paraId="47E02985" w14:textId="77777777" w:rsidR="00FA01A1" w:rsidRPr="00257AD3" w:rsidRDefault="00FA01A1" w:rsidP="00FA01A1">
            <w:pPr>
              <w:ind w:firstLine="61"/>
              <w:jc w:val="center"/>
              <w:rPr>
                <w:rFonts w:cs="Linux Libertine"/>
                <w:sz w:val="18"/>
                <w:szCs w:val="18"/>
              </w:rPr>
            </w:pPr>
            <w:r w:rsidRPr="00257AD3">
              <w:rPr>
                <w:rFonts w:cs="Linux Libertine"/>
                <w:sz w:val="18"/>
                <w:szCs w:val="18"/>
              </w:rPr>
              <w:t>156a CC</w:t>
            </w:r>
          </w:p>
        </w:tc>
        <w:tc>
          <w:tcPr>
            <w:tcW w:w="1530" w:type="dxa"/>
          </w:tcPr>
          <w:p w14:paraId="7DA5B1A6" w14:textId="77777777" w:rsidR="00FA01A1" w:rsidRPr="00257AD3" w:rsidRDefault="00FA01A1" w:rsidP="00FA01A1">
            <w:pPr>
              <w:ind w:left="77" w:right="161"/>
              <w:rPr>
                <w:rFonts w:cs="Linux Libertine"/>
                <w:sz w:val="18"/>
                <w:szCs w:val="18"/>
              </w:rPr>
            </w:pPr>
            <w:r w:rsidRPr="00257AD3">
              <w:rPr>
                <w:rFonts w:cs="Linux Libertine"/>
                <w:sz w:val="18"/>
                <w:szCs w:val="18"/>
              </w:rPr>
              <w:t>1 year and 6 months sentence</w:t>
            </w:r>
          </w:p>
        </w:tc>
      </w:tr>
      <w:tr w:rsidR="00FA01A1" w:rsidRPr="00257AD3" w14:paraId="1791694B" w14:textId="77777777" w:rsidTr="00FA01A1">
        <w:trPr>
          <w:trHeight w:val="485"/>
        </w:trPr>
        <w:tc>
          <w:tcPr>
            <w:tcW w:w="8360" w:type="dxa"/>
            <w:gridSpan w:val="7"/>
          </w:tcPr>
          <w:p w14:paraId="1F18DADF" w14:textId="77777777" w:rsidR="00FA01A1" w:rsidRPr="00257AD3" w:rsidRDefault="00FA01A1" w:rsidP="00FA01A1">
            <w:pPr>
              <w:ind w:left="77" w:right="161"/>
              <w:rPr>
                <w:rFonts w:cs="Linux Libertine"/>
                <w:sz w:val="18"/>
                <w:szCs w:val="18"/>
              </w:rPr>
            </w:pPr>
            <w:r w:rsidRPr="00257AD3">
              <w:rPr>
                <w:rFonts w:cs="Linux Libertine"/>
                <w:sz w:val="18"/>
                <w:szCs w:val="18"/>
              </w:rPr>
              <w:t>Sources: Cited from Court Decision Directory at Indonesia Supreme Court and Categorized by Author</w:t>
            </w:r>
          </w:p>
        </w:tc>
      </w:tr>
    </w:tbl>
    <w:p w14:paraId="40811247" w14:textId="77777777" w:rsidR="00FA01A1" w:rsidRPr="006F7344" w:rsidRDefault="00FA01A1" w:rsidP="00FA01A1">
      <w:pPr>
        <w:pStyle w:val="ParagraphNormal"/>
      </w:pPr>
    </w:p>
    <w:p w14:paraId="32A6F1D4" w14:textId="77777777" w:rsidR="00FA01A1" w:rsidRPr="006F7344" w:rsidRDefault="00FA01A1" w:rsidP="00FA01A1">
      <w:pPr>
        <w:pStyle w:val="Caption"/>
        <w:keepNext/>
      </w:pPr>
      <w:r w:rsidRPr="006F7344">
        <w:t xml:space="preserve">Table </w:t>
      </w:r>
      <w:r w:rsidRPr="006F7344">
        <w:fldChar w:fldCharType="begin"/>
      </w:r>
      <w:r w:rsidRPr="006F7344">
        <w:instrText xml:space="preserve"> SEQ Table \* ARABIC </w:instrText>
      </w:r>
      <w:r w:rsidRPr="006F7344">
        <w:fldChar w:fldCharType="separate"/>
      </w:r>
      <w:r>
        <w:rPr>
          <w:noProof/>
        </w:rPr>
        <w:t>13</w:t>
      </w:r>
      <w:r w:rsidRPr="006F7344">
        <w:rPr>
          <w:noProof/>
        </w:rPr>
        <w:fldChar w:fldCharType="end"/>
      </w:r>
      <w:r w:rsidRPr="006F7344">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810"/>
        <w:gridCol w:w="1620"/>
        <w:gridCol w:w="1260"/>
        <w:gridCol w:w="1260"/>
        <w:gridCol w:w="1450"/>
      </w:tblGrid>
      <w:tr w:rsidR="00FA01A1" w:rsidRPr="00257AD3" w14:paraId="552D31B6" w14:textId="77777777" w:rsidTr="00FA01A1">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49982928"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D6FC6E2" w14:textId="77777777" w:rsidR="00FA01A1" w:rsidRPr="00257AD3" w:rsidRDefault="00FA01A1" w:rsidP="00FA01A1">
            <w:pPr>
              <w:ind w:left="54" w:right="68"/>
              <w:jc w:val="both"/>
              <w:rPr>
                <w:rFonts w:cs="Linux Libertine"/>
                <w:sz w:val="18"/>
                <w:szCs w:val="18"/>
              </w:rPr>
            </w:pPr>
            <w:r w:rsidRPr="00257AD3">
              <w:rPr>
                <w:rFonts w:cs="Linux Libertine"/>
                <w:sz w:val="18"/>
                <w:szCs w:val="18"/>
              </w:rPr>
              <w:t xml:space="preserve">The Court </w:t>
            </w:r>
          </w:p>
        </w:tc>
        <w:tc>
          <w:tcPr>
            <w:tcW w:w="81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742DC6C2" w14:textId="77777777" w:rsidR="00FA01A1" w:rsidRPr="00257AD3" w:rsidRDefault="00FA01A1" w:rsidP="00FA01A1">
            <w:pPr>
              <w:ind w:left="74" w:right="145"/>
              <w:jc w:val="both"/>
              <w:rPr>
                <w:rFonts w:cs="Linux Libertine"/>
                <w:sz w:val="18"/>
                <w:szCs w:val="18"/>
              </w:rPr>
            </w:pPr>
            <w:r w:rsidRPr="00257AD3">
              <w:rPr>
                <w:rFonts w:cs="Linux Libertine"/>
                <w:sz w:val="18"/>
                <w:szCs w:val="18"/>
              </w:rPr>
              <w:t>Year</w:t>
            </w:r>
          </w:p>
        </w:tc>
        <w:tc>
          <w:tcPr>
            <w:tcW w:w="162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1B2EE7A8" w14:textId="77777777" w:rsidR="00FA01A1" w:rsidRPr="00257AD3" w:rsidRDefault="00FA01A1" w:rsidP="00FA01A1">
            <w:pPr>
              <w:ind w:left="74" w:right="145"/>
              <w:jc w:val="both"/>
              <w:rPr>
                <w:rFonts w:cs="Linux Libertine"/>
                <w:sz w:val="18"/>
                <w:szCs w:val="18"/>
              </w:rPr>
            </w:pPr>
            <w:r w:rsidRPr="00257AD3">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179D026" w14:textId="77777777" w:rsidR="00FA01A1" w:rsidRPr="00257AD3" w:rsidRDefault="00FA01A1" w:rsidP="00FA01A1">
            <w:pPr>
              <w:ind w:right="87"/>
              <w:rPr>
                <w:rFonts w:cs="Linux Libertine"/>
                <w:sz w:val="18"/>
                <w:szCs w:val="18"/>
              </w:rPr>
            </w:pPr>
            <w:r w:rsidRPr="00257AD3">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93343E1"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EBFF52A" w14:textId="77777777" w:rsidR="00FA01A1" w:rsidRPr="00257AD3" w:rsidRDefault="00FA01A1" w:rsidP="00FA01A1">
            <w:pPr>
              <w:ind w:left="48" w:right="161"/>
              <w:jc w:val="both"/>
              <w:rPr>
                <w:rFonts w:cs="Linux Libertine"/>
                <w:sz w:val="18"/>
                <w:szCs w:val="18"/>
              </w:rPr>
            </w:pPr>
            <w:r w:rsidRPr="00257AD3">
              <w:rPr>
                <w:rFonts w:cs="Linux Libertine"/>
                <w:sz w:val="18"/>
                <w:szCs w:val="18"/>
              </w:rPr>
              <w:t>Punishment</w:t>
            </w:r>
          </w:p>
        </w:tc>
      </w:tr>
      <w:tr w:rsidR="00FA01A1" w:rsidRPr="00257AD3" w14:paraId="33A45A46"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D8EADC"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B6C84C" w14:textId="77777777" w:rsidR="00FA01A1" w:rsidRPr="00257AD3" w:rsidRDefault="00FA01A1" w:rsidP="00FA01A1">
            <w:pPr>
              <w:ind w:left="54" w:right="68"/>
              <w:jc w:val="both"/>
              <w:rPr>
                <w:rFonts w:cs="Linux Libertine"/>
                <w:sz w:val="18"/>
                <w:szCs w:val="18"/>
              </w:rPr>
            </w:pPr>
            <w:r w:rsidRPr="00257AD3">
              <w:rPr>
                <w:rFonts w:cs="Linux Libertine"/>
                <w:sz w:val="18"/>
                <w:szCs w:val="18"/>
              </w:rPr>
              <w:t>District Court Central Jakarta</w:t>
            </w:r>
          </w:p>
        </w:tc>
        <w:tc>
          <w:tcPr>
            <w:tcW w:w="810" w:type="dxa"/>
            <w:tcBorders>
              <w:top w:val="single" w:sz="8" w:space="0" w:color="9E9E9E"/>
              <w:left w:val="single" w:sz="8" w:space="0" w:color="9E9E9E"/>
              <w:bottom w:val="single" w:sz="8" w:space="0" w:color="9E9E9E"/>
              <w:right w:val="single" w:sz="8" w:space="0" w:color="9E9E9E"/>
            </w:tcBorders>
          </w:tcPr>
          <w:p w14:paraId="342EE54D" w14:textId="77777777" w:rsidR="00FA01A1" w:rsidRPr="00257AD3" w:rsidRDefault="00FA01A1" w:rsidP="00FA01A1">
            <w:pPr>
              <w:ind w:left="74" w:right="145"/>
              <w:jc w:val="both"/>
              <w:rPr>
                <w:rFonts w:cs="Linux Libertine"/>
                <w:sz w:val="18"/>
                <w:szCs w:val="18"/>
              </w:rPr>
            </w:pPr>
            <w:r w:rsidRPr="00257AD3">
              <w:rPr>
                <w:rFonts w:cs="Linux Libertine"/>
                <w:sz w:val="18"/>
                <w:szCs w:val="18"/>
              </w:rPr>
              <w:t>1990</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1F7EB6"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Aswendo</w:t>
            </w:r>
            <w:proofErr w:type="spellEnd"/>
            <w:r w:rsidRPr="00257AD3">
              <w:rPr>
                <w:rFonts w:cs="Linux Libertine"/>
                <w:sz w:val="18"/>
                <w:szCs w:val="18"/>
              </w:rPr>
              <w:t xml:space="preserve"> </w:t>
            </w:r>
            <w:proofErr w:type="spellStart"/>
            <w:r w:rsidRPr="00257AD3">
              <w:rPr>
                <w:rFonts w:cs="Linux Libertine"/>
                <w:sz w:val="18"/>
                <w:szCs w:val="18"/>
              </w:rPr>
              <w:t>Atmowiloto</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4CC764" w14:textId="77777777" w:rsidR="00FA01A1" w:rsidRPr="00257AD3" w:rsidRDefault="00FA01A1" w:rsidP="00FA01A1">
            <w:pPr>
              <w:ind w:right="87"/>
              <w:rPr>
                <w:rFonts w:cs="Linux Libertine"/>
                <w:sz w:val="18"/>
                <w:szCs w:val="18"/>
              </w:rPr>
            </w:pPr>
            <w:r w:rsidRPr="00257AD3">
              <w:rPr>
                <w:rFonts w:cs="Linux Libertine"/>
                <w:sz w:val="18"/>
                <w:szCs w:val="18"/>
              </w:rPr>
              <w:t xml:space="preserve">Muslim who published a survey the </w:t>
            </w:r>
            <w:proofErr w:type="spellStart"/>
            <w:r w:rsidRPr="00257AD3">
              <w:rPr>
                <w:rFonts w:cs="Linux Libertine"/>
                <w:sz w:val="18"/>
                <w:szCs w:val="18"/>
              </w:rPr>
              <w:t>favorite</w:t>
            </w:r>
            <w:proofErr w:type="spellEnd"/>
            <w:r w:rsidRPr="00257AD3">
              <w:rPr>
                <w:rFonts w:cs="Linux Libertine"/>
                <w:sz w:val="18"/>
                <w:szCs w:val="18"/>
              </w:rPr>
              <w:t xml:space="preserv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89EE70"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8D37D9" w14:textId="77777777" w:rsidR="00FA01A1" w:rsidRPr="00257AD3" w:rsidRDefault="00FA01A1" w:rsidP="00FA01A1">
            <w:pPr>
              <w:ind w:left="48" w:right="161"/>
              <w:rPr>
                <w:rFonts w:cs="Linux Libertine"/>
                <w:sz w:val="18"/>
                <w:szCs w:val="18"/>
              </w:rPr>
            </w:pPr>
            <w:r w:rsidRPr="00257AD3">
              <w:rPr>
                <w:rFonts w:cs="Linux Libertine"/>
                <w:sz w:val="18"/>
                <w:szCs w:val="18"/>
              </w:rPr>
              <w:t>5 years sentence</w:t>
            </w:r>
          </w:p>
        </w:tc>
      </w:tr>
      <w:tr w:rsidR="00FA01A1" w:rsidRPr="00257AD3" w14:paraId="57C377FA"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27EC1F"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9A400B" w14:textId="77777777" w:rsidR="00FA01A1" w:rsidRPr="00257AD3" w:rsidRDefault="00FA01A1" w:rsidP="00FA01A1">
            <w:pPr>
              <w:ind w:left="54" w:right="68"/>
              <w:jc w:val="both"/>
              <w:rPr>
                <w:rFonts w:cs="Linux Libertine"/>
                <w:sz w:val="18"/>
                <w:szCs w:val="18"/>
              </w:rPr>
            </w:pPr>
            <w:r w:rsidRPr="00257AD3">
              <w:rPr>
                <w:rFonts w:cs="Linux Libertine"/>
                <w:sz w:val="18"/>
                <w:szCs w:val="18"/>
              </w:rPr>
              <w:t xml:space="preserve">District Court </w:t>
            </w:r>
            <w:proofErr w:type="spellStart"/>
            <w:r w:rsidRPr="00257AD3">
              <w:rPr>
                <w:rFonts w:cs="Linux Libertine"/>
                <w:sz w:val="18"/>
                <w:szCs w:val="18"/>
              </w:rPr>
              <w:t>Situbondo</w:t>
            </w:r>
            <w:proofErr w:type="spellEnd"/>
          </w:p>
        </w:tc>
        <w:tc>
          <w:tcPr>
            <w:tcW w:w="810" w:type="dxa"/>
            <w:tcBorders>
              <w:top w:val="single" w:sz="8" w:space="0" w:color="9E9E9E"/>
              <w:left w:val="single" w:sz="8" w:space="0" w:color="9E9E9E"/>
              <w:bottom w:val="single" w:sz="8" w:space="0" w:color="9E9E9E"/>
              <w:right w:val="single" w:sz="8" w:space="0" w:color="9E9E9E"/>
            </w:tcBorders>
          </w:tcPr>
          <w:p w14:paraId="5197DD95" w14:textId="77777777" w:rsidR="00FA01A1" w:rsidRPr="00257AD3" w:rsidRDefault="00FA01A1" w:rsidP="00FA01A1">
            <w:pPr>
              <w:ind w:left="74" w:right="145"/>
              <w:jc w:val="both"/>
              <w:rPr>
                <w:rFonts w:cs="Linux Libertine"/>
                <w:sz w:val="18"/>
                <w:szCs w:val="18"/>
              </w:rPr>
            </w:pPr>
            <w:r w:rsidRPr="00257AD3">
              <w:rPr>
                <w:rFonts w:cs="Linux Libertine"/>
                <w:sz w:val="18"/>
                <w:szCs w:val="18"/>
              </w:rPr>
              <w:t>1996</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1C7312"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77607E" w14:textId="77777777" w:rsidR="00FA01A1" w:rsidRPr="00257AD3" w:rsidRDefault="00FA01A1" w:rsidP="00FA01A1">
            <w:pPr>
              <w:ind w:right="87"/>
              <w:rPr>
                <w:rFonts w:cs="Linux Libertine"/>
                <w:sz w:val="18"/>
                <w:szCs w:val="18"/>
              </w:rPr>
            </w:pPr>
            <w:r w:rsidRPr="00257AD3">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BD8B47"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89503E7" w14:textId="77777777" w:rsidR="00FA01A1" w:rsidRPr="00257AD3" w:rsidRDefault="00FA01A1" w:rsidP="00FA01A1">
            <w:pPr>
              <w:ind w:left="48" w:right="161"/>
              <w:rPr>
                <w:rFonts w:cs="Linux Libertine"/>
                <w:sz w:val="18"/>
                <w:szCs w:val="18"/>
              </w:rPr>
            </w:pPr>
            <w:r w:rsidRPr="00257AD3">
              <w:rPr>
                <w:rFonts w:cs="Linux Libertine"/>
                <w:sz w:val="18"/>
                <w:szCs w:val="18"/>
              </w:rPr>
              <w:t>5 years sentence</w:t>
            </w:r>
          </w:p>
        </w:tc>
      </w:tr>
      <w:tr w:rsidR="00FA01A1" w:rsidRPr="00257AD3" w14:paraId="4E5DE8B8"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DEA178"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E51E6E" w14:textId="77777777" w:rsidR="00FA01A1" w:rsidRPr="00257AD3" w:rsidRDefault="00FA01A1" w:rsidP="00FA01A1">
            <w:pPr>
              <w:ind w:left="54" w:right="68"/>
              <w:jc w:val="both"/>
              <w:rPr>
                <w:rFonts w:cs="Linux Libertine"/>
                <w:sz w:val="18"/>
                <w:szCs w:val="18"/>
              </w:rPr>
            </w:pPr>
            <w:proofErr w:type="spellStart"/>
            <w:r w:rsidRPr="00257AD3">
              <w:rPr>
                <w:rFonts w:cs="Linux Libertine"/>
                <w:sz w:val="18"/>
                <w:szCs w:val="18"/>
              </w:rPr>
              <w:t>Kalabahi</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2BCD57C0"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2004</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AC3471"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Ir. </w:t>
            </w:r>
            <w:proofErr w:type="spellStart"/>
            <w:r w:rsidRPr="00257AD3">
              <w:rPr>
                <w:rFonts w:cs="Linux Libertine"/>
                <w:sz w:val="18"/>
                <w:szCs w:val="18"/>
              </w:rPr>
              <w:t>Charisal</w:t>
            </w:r>
            <w:proofErr w:type="spellEnd"/>
            <w:r w:rsidRPr="00257AD3">
              <w:rPr>
                <w:rFonts w:cs="Linux Libertine"/>
                <w:sz w:val="18"/>
                <w:szCs w:val="18"/>
              </w:rPr>
              <w:t xml:space="preserve"> </w:t>
            </w:r>
            <w:proofErr w:type="spellStart"/>
            <w:r w:rsidRPr="00257AD3">
              <w:rPr>
                <w:rFonts w:cs="Linux Libertine"/>
                <w:sz w:val="18"/>
                <w:szCs w:val="18"/>
              </w:rPr>
              <w:t>Matsen</w:t>
            </w:r>
            <w:proofErr w:type="spellEnd"/>
            <w:r w:rsidRPr="00257AD3">
              <w:rPr>
                <w:rFonts w:cs="Linux Libertine"/>
                <w:sz w:val="18"/>
                <w:szCs w:val="18"/>
              </w:rPr>
              <w:t xml:space="preserve">, </w:t>
            </w:r>
            <w:proofErr w:type="spellStart"/>
            <w:r w:rsidRPr="00257AD3">
              <w:rPr>
                <w:rFonts w:cs="Linux Libertine"/>
                <w:sz w:val="18"/>
                <w:szCs w:val="18"/>
              </w:rPr>
              <w:t>Agustinus</w:t>
            </w:r>
            <w:proofErr w:type="spellEnd"/>
            <w:r w:rsidRPr="00257AD3">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64CF23" w14:textId="77777777" w:rsidR="00FA01A1" w:rsidRPr="00257AD3" w:rsidRDefault="00FA01A1" w:rsidP="00FA01A1">
            <w:pPr>
              <w:ind w:right="87"/>
              <w:rPr>
                <w:rFonts w:cs="Linux Libertine"/>
                <w:sz w:val="18"/>
                <w:szCs w:val="18"/>
              </w:rPr>
            </w:pPr>
            <w:r w:rsidRPr="00257AD3">
              <w:rPr>
                <w:rFonts w:cs="Linux Libertine"/>
                <w:sz w:val="18"/>
                <w:szCs w:val="18"/>
              </w:rPr>
              <w:t>Muslim who made a Book cover design of "</w:t>
            </w:r>
            <w:proofErr w:type="spellStart"/>
            <w:r w:rsidRPr="00257AD3">
              <w:rPr>
                <w:rFonts w:cs="Linux Libertine"/>
                <w:sz w:val="18"/>
                <w:szCs w:val="18"/>
              </w:rPr>
              <w:t>Alor</w:t>
            </w:r>
            <w:proofErr w:type="spellEnd"/>
            <w:r w:rsidRPr="00257AD3">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6B1D67"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3A7EC" w14:textId="77777777" w:rsidR="00FA01A1" w:rsidRPr="00257AD3" w:rsidRDefault="00FA01A1" w:rsidP="00FA01A1">
            <w:pPr>
              <w:ind w:left="48" w:right="161"/>
              <w:rPr>
                <w:rFonts w:cs="Linux Libertine"/>
                <w:sz w:val="18"/>
                <w:szCs w:val="18"/>
              </w:rPr>
            </w:pPr>
            <w:r w:rsidRPr="00257AD3">
              <w:rPr>
                <w:rFonts w:cs="Linux Libertine"/>
                <w:sz w:val="18"/>
                <w:szCs w:val="18"/>
              </w:rPr>
              <w:t>2 years sentence</w:t>
            </w:r>
          </w:p>
        </w:tc>
      </w:tr>
      <w:tr w:rsidR="00FA01A1" w:rsidRPr="00257AD3" w14:paraId="5B609508"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B5A879"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0CE453" w14:textId="77777777" w:rsidR="00FA01A1" w:rsidRPr="00257AD3" w:rsidRDefault="00FA01A1" w:rsidP="00FA01A1">
            <w:pPr>
              <w:ind w:left="54" w:right="68"/>
              <w:jc w:val="both"/>
              <w:rPr>
                <w:rFonts w:cs="Linux Libertine"/>
                <w:sz w:val="18"/>
                <w:szCs w:val="18"/>
              </w:rPr>
            </w:pPr>
            <w:r w:rsidRPr="00257AD3">
              <w:rPr>
                <w:rFonts w:cs="Linux Libertine"/>
                <w:sz w:val="18"/>
                <w:szCs w:val="18"/>
              </w:rPr>
              <w:t xml:space="preserve">District Court Bale </w:t>
            </w:r>
            <w:proofErr w:type="spellStart"/>
            <w:r w:rsidRPr="00257AD3">
              <w:rPr>
                <w:rFonts w:cs="Linux Libertine"/>
                <w:sz w:val="18"/>
                <w:szCs w:val="18"/>
              </w:rPr>
              <w:t>Endah</w:t>
            </w:r>
            <w:proofErr w:type="spellEnd"/>
          </w:p>
        </w:tc>
        <w:tc>
          <w:tcPr>
            <w:tcW w:w="810" w:type="dxa"/>
            <w:tcBorders>
              <w:top w:val="single" w:sz="8" w:space="0" w:color="9E9E9E"/>
              <w:left w:val="single" w:sz="8" w:space="0" w:color="9E9E9E"/>
              <w:bottom w:val="single" w:sz="8" w:space="0" w:color="9E9E9E"/>
              <w:right w:val="single" w:sz="8" w:space="0" w:color="9E9E9E"/>
            </w:tcBorders>
          </w:tcPr>
          <w:p w14:paraId="68A03119"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2004</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886A1D"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Mangapin</w:t>
            </w:r>
            <w:proofErr w:type="spellEnd"/>
            <w:r w:rsidRPr="00257AD3">
              <w:rPr>
                <w:rFonts w:cs="Linux Libertine"/>
                <w:sz w:val="18"/>
                <w:szCs w:val="18"/>
              </w:rPr>
              <w:t xml:space="preserve"> </w:t>
            </w:r>
            <w:proofErr w:type="spellStart"/>
            <w:r w:rsidRPr="00257AD3">
              <w:rPr>
                <w:rFonts w:cs="Linux Libertine"/>
                <w:sz w:val="18"/>
                <w:szCs w:val="18"/>
              </w:rPr>
              <w:t>Sibuea</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5BD92A" w14:textId="77777777" w:rsidR="00FA01A1" w:rsidRPr="00257AD3" w:rsidRDefault="00FA01A1" w:rsidP="00FA01A1">
            <w:pPr>
              <w:ind w:right="87"/>
              <w:rPr>
                <w:rFonts w:cs="Linux Libertine"/>
                <w:sz w:val="18"/>
                <w:szCs w:val="18"/>
              </w:rPr>
            </w:pPr>
            <w:r w:rsidRPr="00257AD3">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A6F90C"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AD2491" w14:textId="77777777" w:rsidR="00FA01A1" w:rsidRPr="00257AD3" w:rsidRDefault="00FA01A1" w:rsidP="00FA01A1">
            <w:pPr>
              <w:ind w:left="48" w:right="161"/>
              <w:rPr>
                <w:rFonts w:cs="Linux Libertine"/>
                <w:sz w:val="18"/>
                <w:szCs w:val="18"/>
              </w:rPr>
            </w:pPr>
            <w:r w:rsidRPr="00257AD3">
              <w:rPr>
                <w:rFonts w:cs="Linux Libertine"/>
                <w:sz w:val="18"/>
                <w:szCs w:val="18"/>
              </w:rPr>
              <w:t>2 years sentence</w:t>
            </w:r>
          </w:p>
        </w:tc>
      </w:tr>
      <w:tr w:rsidR="00FA01A1" w:rsidRPr="00257AD3" w14:paraId="47919BE0"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424340"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1AC4F1" w14:textId="77777777" w:rsidR="00FA01A1" w:rsidRPr="00257AD3" w:rsidRDefault="00FA01A1" w:rsidP="00FA01A1">
            <w:pPr>
              <w:ind w:left="54" w:right="68"/>
              <w:jc w:val="both"/>
              <w:rPr>
                <w:rFonts w:cs="Linux Libertine"/>
                <w:sz w:val="18"/>
                <w:szCs w:val="18"/>
              </w:rPr>
            </w:pPr>
            <w:proofErr w:type="spellStart"/>
            <w:r w:rsidRPr="00257AD3">
              <w:rPr>
                <w:rFonts w:cs="Linux Libertine"/>
                <w:sz w:val="18"/>
                <w:szCs w:val="18"/>
              </w:rPr>
              <w:t>Probolinggo</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5E023175"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2005</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304287"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Ardi</w:t>
            </w:r>
            <w:proofErr w:type="spellEnd"/>
            <w:r w:rsidRPr="00257AD3">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74F388" w14:textId="77777777" w:rsidR="00FA01A1" w:rsidRPr="00257AD3" w:rsidRDefault="00FA01A1" w:rsidP="00FA01A1">
            <w:pPr>
              <w:ind w:right="87"/>
              <w:rPr>
                <w:rFonts w:cs="Linux Libertine"/>
                <w:sz w:val="18"/>
                <w:szCs w:val="18"/>
              </w:rPr>
            </w:pPr>
            <w:r w:rsidRPr="00257AD3">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AF94FA"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F31C4D"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and 6 months sentence</w:t>
            </w:r>
          </w:p>
        </w:tc>
      </w:tr>
      <w:tr w:rsidR="00FA01A1" w:rsidRPr="00257AD3" w14:paraId="43AA3BB0"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15BB6A"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39F96" w14:textId="77777777" w:rsidR="00FA01A1" w:rsidRPr="00257AD3" w:rsidRDefault="00FA01A1" w:rsidP="00FA01A1">
            <w:pPr>
              <w:ind w:left="54" w:right="68"/>
              <w:jc w:val="both"/>
              <w:rPr>
                <w:rFonts w:cs="Linux Libertine"/>
                <w:sz w:val="18"/>
                <w:szCs w:val="18"/>
              </w:rPr>
            </w:pPr>
            <w:r w:rsidRPr="00257AD3">
              <w:rPr>
                <w:rFonts w:cs="Linux Libertine"/>
                <w:sz w:val="18"/>
                <w:szCs w:val="18"/>
              </w:rPr>
              <w:t>District Court Jakarta</w:t>
            </w:r>
          </w:p>
        </w:tc>
        <w:tc>
          <w:tcPr>
            <w:tcW w:w="810" w:type="dxa"/>
            <w:tcBorders>
              <w:top w:val="single" w:sz="8" w:space="0" w:color="9E9E9E"/>
              <w:left w:val="single" w:sz="8" w:space="0" w:color="9E9E9E"/>
              <w:bottom w:val="single" w:sz="8" w:space="0" w:color="9E9E9E"/>
              <w:right w:val="single" w:sz="8" w:space="0" w:color="9E9E9E"/>
            </w:tcBorders>
          </w:tcPr>
          <w:p w14:paraId="4FCDFB4F"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2006</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2ED9EC"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Lia </w:t>
            </w:r>
            <w:proofErr w:type="spellStart"/>
            <w:r w:rsidRPr="00257AD3">
              <w:rPr>
                <w:rFonts w:cs="Linux Libertine"/>
                <w:sz w:val="18"/>
                <w:szCs w:val="18"/>
              </w:rPr>
              <w:t>Aminuddin</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6AEC82" w14:textId="77777777" w:rsidR="00FA01A1" w:rsidRPr="00257AD3" w:rsidRDefault="00FA01A1" w:rsidP="00FA01A1">
            <w:pPr>
              <w:ind w:right="87"/>
              <w:rPr>
                <w:rFonts w:cs="Linux Libertine"/>
                <w:sz w:val="18"/>
                <w:szCs w:val="18"/>
              </w:rPr>
            </w:pPr>
            <w:r w:rsidRPr="00257AD3">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FFEC6D" w14:textId="77777777" w:rsidR="00FA01A1" w:rsidRPr="00257AD3" w:rsidRDefault="00FA01A1" w:rsidP="00FA01A1">
            <w:pPr>
              <w:ind w:left="145" w:right="275"/>
              <w:jc w:val="center"/>
              <w:rPr>
                <w:rFonts w:cs="Linux Libertine"/>
                <w:sz w:val="18"/>
                <w:szCs w:val="18"/>
              </w:rPr>
            </w:pPr>
            <w:r w:rsidRPr="00257AD3">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1DEA17" w14:textId="77777777" w:rsidR="00FA01A1" w:rsidRPr="00257AD3" w:rsidRDefault="00FA01A1" w:rsidP="00FA01A1">
            <w:pPr>
              <w:ind w:left="48" w:right="161"/>
              <w:rPr>
                <w:rFonts w:cs="Linux Libertine"/>
                <w:sz w:val="18"/>
                <w:szCs w:val="18"/>
              </w:rPr>
            </w:pPr>
            <w:r w:rsidRPr="00257AD3">
              <w:rPr>
                <w:rFonts w:cs="Linux Libertine"/>
                <w:sz w:val="18"/>
                <w:szCs w:val="18"/>
              </w:rPr>
              <w:t>2 years sentence</w:t>
            </w:r>
          </w:p>
        </w:tc>
      </w:tr>
      <w:tr w:rsidR="00FA01A1" w:rsidRPr="00257AD3" w14:paraId="7AACEF9E"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C0A5C7"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A4B124" w14:textId="77777777" w:rsidR="00FA01A1" w:rsidRPr="00257AD3" w:rsidRDefault="00FA01A1" w:rsidP="00FA01A1">
            <w:pPr>
              <w:ind w:left="54" w:right="68"/>
              <w:jc w:val="both"/>
              <w:rPr>
                <w:rFonts w:cs="Linux Libertine"/>
                <w:sz w:val="18"/>
                <w:szCs w:val="18"/>
              </w:rPr>
            </w:pPr>
            <w:r w:rsidRPr="00257AD3">
              <w:rPr>
                <w:rFonts w:cs="Linux Libertine"/>
                <w:sz w:val="18"/>
                <w:szCs w:val="18"/>
              </w:rPr>
              <w:t>District court Central Jakarta</w:t>
            </w:r>
          </w:p>
        </w:tc>
        <w:tc>
          <w:tcPr>
            <w:tcW w:w="810" w:type="dxa"/>
            <w:tcBorders>
              <w:top w:val="single" w:sz="8" w:space="0" w:color="9E9E9E"/>
              <w:left w:val="single" w:sz="8" w:space="0" w:color="9E9E9E"/>
              <w:bottom w:val="single" w:sz="8" w:space="0" w:color="9E9E9E"/>
              <w:right w:val="single" w:sz="8" w:space="0" w:color="9E9E9E"/>
            </w:tcBorders>
          </w:tcPr>
          <w:p w14:paraId="522C70A4"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2006</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EA371F"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Abdul </w:t>
            </w:r>
            <w:proofErr w:type="spellStart"/>
            <w:r w:rsidRPr="00257AD3">
              <w:rPr>
                <w:rFonts w:cs="Linux Libertine"/>
                <w:sz w:val="18"/>
                <w:szCs w:val="18"/>
              </w:rPr>
              <w:t>Rachman</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51572F" w14:textId="77777777" w:rsidR="00FA01A1" w:rsidRPr="00257AD3" w:rsidRDefault="00FA01A1" w:rsidP="00FA01A1">
            <w:pPr>
              <w:ind w:right="87"/>
              <w:rPr>
                <w:rFonts w:cs="Linux Libertine"/>
                <w:sz w:val="18"/>
                <w:szCs w:val="18"/>
              </w:rPr>
            </w:pPr>
            <w:r w:rsidRPr="00257AD3">
              <w:rPr>
                <w:rFonts w:cs="Linux Libertine"/>
                <w:sz w:val="18"/>
                <w:szCs w:val="18"/>
              </w:rPr>
              <w:t xml:space="preserve">A   </w:t>
            </w:r>
            <w:proofErr w:type="spellStart"/>
            <w:r w:rsidRPr="00257AD3">
              <w:rPr>
                <w:rFonts w:cs="Linux Libertine"/>
                <w:sz w:val="18"/>
                <w:szCs w:val="18"/>
              </w:rPr>
              <w:t>Salamullah</w:t>
            </w:r>
            <w:proofErr w:type="spellEnd"/>
            <w:r w:rsidRPr="00257AD3">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8A8562"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2BDC3D" w14:textId="77777777" w:rsidR="00FA01A1" w:rsidRPr="00257AD3" w:rsidRDefault="00FA01A1" w:rsidP="00FA01A1">
            <w:pPr>
              <w:ind w:left="48" w:right="161"/>
              <w:rPr>
                <w:rFonts w:cs="Linux Libertine"/>
                <w:sz w:val="18"/>
                <w:szCs w:val="18"/>
              </w:rPr>
            </w:pPr>
            <w:r w:rsidRPr="00257AD3">
              <w:rPr>
                <w:rFonts w:cs="Linux Libertine"/>
                <w:sz w:val="18"/>
                <w:szCs w:val="18"/>
              </w:rPr>
              <w:t>3 years sentence</w:t>
            </w:r>
          </w:p>
        </w:tc>
      </w:tr>
      <w:tr w:rsidR="00FA01A1" w:rsidRPr="00257AD3" w14:paraId="4F12D532"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7169F9"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FB4CC0" w14:textId="77777777" w:rsidR="00FA01A1" w:rsidRPr="00257AD3" w:rsidRDefault="00FA01A1" w:rsidP="00FA01A1">
            <w:pPr>
              <w:ind w:left="54" w:right="68"/>
              <w:jc w:val="both"/>
              <w:rPr>
                <w:rFonts w:cs="Linux Libertine"/>
                <w:sz w:val="18"/>
                <w:szCs w:val="18"/>
              </w:rPr>
            </w:pPr>
            <w:r w:rsidRPr="00257AD3">
              <w:rPr>
                <w:rFonts w:cs="Linux Libertine"/>
                <w:sz w:val="18"/>
                <w:szCs w:val="18"/>
              </w:rPr>
              <w:t>District Court Central Jakarta</w:t>
            </w:r>
          </w:p>
        </w:tc>
        <w:tc>
          <w:tcPr>
            <w:tcW w:w="810" w:type="dxa"/>
            <w:tcBorders>
              <w:top w:val="single" w:sz="8" w:space="0" w:color="9E9E9E"/>
              <w:left w:val="single" w:sz="8" w:space="0" w:color="9E9E9E"/>
              <w:bottom w:val="single" w:sz="8" w:space="0" w:color="9E9E9E"/>
              <w:right w:val="single" w:sz="8" w:space="0" w:color="9E9E9E"/>
            </w:tcBorders>
          </w:tcPr>
          <w:p w14:paraId="27BC2CAE"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2007</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0ADB43"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Ahmad </w:t>
            </w:r>
            <w:proofErr w:type="spellStart"/>
            <w:r w:rsidRPr="00257AD3">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8A8131" w14:textId="77777777" w:rsidR="00FA01A1" w:rsidRPr="00257AD3" w:rsidRDefault="00FA01A1" w:rsidP="00FA01A1">
            <w:pPr>
              <w:ind w:right="87"/>
              <w:rPr>
                <w:rFonts w:cs="Linux Libertine"/>
                <w:sz w:val="18"/>
                <w:szCs w:val="18"/>
              </w:rPr>
            </w:pPr>
            <w:r w:rsidRPr="00257AD3">
              <w:rPr>
                <w:rFonts w:cs="Linux Libertine"/>
                <w:sz w:val="18"/>
                <w:szCs w:val="18"/>
              </w:rPr>
              <w:t xml:space="preserve">A follower of </w:t>
            </w:r>
            <w:proofErr w:type="spellStart"/>
            <w:r w:rsidRPr="00257AD3">
              <w:rPr>
                <w:rFonts w:cs="Linux Libertine"/>
                <w:sz w:val="18"/>
                <w:szCs w:val="18"/>
              </w:rPr>
              <w:t>Alqiyadah</w:t>
            </w:r>
            <w:proofErr w:type="spellEnd"/>
            <w:r w:rsidRPr="00257AD3">
              <w:rPr>
                <w:rFonts w:cs="Linux Libertine"/>
                <w:sz w:val="18"/>
                <w:szCs w:val="18"/>
              </w:rPr>
              <w:t xml:space="preserve"> Al Islamiyah and the leader of </w:t>
            </w:r>
            <w:proofErr w:type="spellStart"/>
            <w:r w:rsidRPr="00257AD3">
              <w:rPr>
                <w:rFonts w:cs="Linux Libertine"/>
                <w:sz w:val="18"/>
                <w:szCs w:val="18"/>
              </w:rPr>
              <w:t>Gafatar</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8B0559"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590B4A" w14:textId="77777777" w:rsidR="00FA01A1" w:rsidRPr="00257AD3" w:rsidRDefault="00FA01A1" w:rsidP="00FA01A1">
            <w:pPr>
              <w:ind w:left="48" w:right="161"/>
              <w:rPr>
                <w:rFonts w:cs="Linux Libertine"/>
                <w:sz w:val="18"/>
                <w:szCs w:val="18"/>
              </w:rPr>
            </w:pPr>
            <w:r w:rsidRPr="00257AD3">
              <w:rPr>
                <w:rFonts w:cs="Linux Libertine"/>
                <w:sz w:val="18"/>
                <w:szCs w:val="18"/>
              </w:rPr>
              <w:t>4 years sentence</w:t>
            </w:r>
          </w:p>
        </w:tc>
      </w:tr>
      <w:tr w:rsidR="00FA01A1" w:rsidRPr="00257AD3" w14:paraId="3112DB58"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089CBAA"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56ECD5" w14:textId="77777777" w:rsidR="00FA01A1" w:rsidRPr="00257AD3" w:rsidRDefault="00FA01A1" w:rsidP="00FA01A1">
            <w:pPr>
              <w:ind w:left="54" w:right="68"/>
              <w:jc w:val="both"/>
              <w:rPr>
                <w:rFonts w:cs="Linux Libertine"/>
                <w:sz w:val="18"/>
                <w:szCs w:val="18"/>
              </w:rPr>
            </w:pPr>
            <w:r w:rsidRPr="00257AD3">
              <w:rPr>
                <w:rFonts w:cs="Linux Libertine"/>
                <w:sz w:val="18"/>
                <w:szCs w:val="18"/>
              </w:rPr>
              <w:t>Malang District Court</w:t>
            </w:r>
          </w:p>
        </w:tc>
        <w:tc>
          <w:tcPr>
            <w:tcW w:w="810" w:type="dxa"/>
            <w:tcBorders>
              <w:top w:val="single" w:sz="8" w:space="0" w:color="9E9E9E"/>
              <w:left w:val="single" w:sz="8" w:space="0" w:color="9E9E9E"/>
              <w:bottom w:val="single" w:sz="8" w:space="0" w:color="9E9E9E"/>
              <w:right w:val="single" w:sz="8" w:space="0" w:color="9E9E9E"/>
            </w:tcBorders>
          </w:tcPr>
          <w:p w14:paraId="5EC88A6F"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2007</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73A31C" w14:textId="77777777" w:rsidR="00FA01A1" w:rsidRPr="00257AD3" w:rsidRDefault="00FA01A1" w:rsidP="00FA01A1">
            <w:pPr>
              <w:ind w:left="74" w:right="145"/>
              <w:jc w:val="both"/>
              <w:rPr>
                <w:rFonts w:cs="Linux Libertine"/>
                <w:sz w:val="18"/>
                <w:szCs w:val="18"/>
              </w:rPr>
            </w:pPr>
            <w:r w:rsidRPr="00257AD3">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453A65" w14:textId="77777777" w:rsidR="00FA01A1" w:rsidRPr="00257AD3" w:rsidRDefault="00FA01A1" w:rsidP="00FA01A1">
            <w:pPr>
              <w:ind w:right="87"/>
              <w:rPr>
                <w:rFonts w:cs="Linux Libertine"/>
                <w:sz w:val="18"/>
                <w:szCs w:val="18"/>
              </w:rPr>
            </w:pPr>
            <w:r w:rsidRPr="00257AD3">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DE0AA3"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4ACFCD" w14:textId="77777777" w:rsidR="00FA01A1" w:rsidRPr="00257AD3" w:rsidRDefault="00FA01A1" w:rsidP="00FA01A1">
            <w:pPr>
              <w:ind w:left="48" w:right="161"/>
              <w:rPr>
                <w:rFonts w:cs="Linux Libertine"/>
                <w:sz w:val="18"/>
                <w:szCs w:val="18"/>
              </w:rPr>
            </w:pPr>
            <w:r w:rsidRPr="00257AD3">
              <w:rPr>
                <w:rFonts w:cs="Linux Libertine"/>
                <w:sz w:val="18"/>
                <w:szCs w:val="18"/>
              </w:rPr>
              <w:t>3 years and 6 months sentence</w:t>
            </w:r>
          </w:p>
        </w:tc>
      </w:tr>
      <w:tr w:rsidR="00FA01A1" w:rsidRPr="00257AD3" w14:paraId="64D4444C"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7579B7"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CB248B" w14:textId="77777777" w:rsidR="00FA01A1" w:rsidRPr="00257AD3" w:rsidRDefault="00FA01A1" w:rsidP="00FA01A1">
            <w:pPr>
              <w:ind w:left="54" w:right="68"/>
              <w:jc w:val="both"/>
              <w:rPr>
                <w:rFonts w:cs="Linux Libertine"/>
                <w:sz w:val="18"/>
                <w:szCs w:val="18"/>
              </w:rPr>
            </w:pPr>
            <w:r w:rsidRPr="00257AD3">
              <w:rPr>
                <w:rFonts w:cs="Linux Libertine"/>
                <w:sz w:val="18"/>
                <w:szCs w:val="18"/>
              </w:rPr>
              <w:t>District Court Padang</w:t>
            </w:r>
          </w:p>
        </w:tc>
        <w:tc>
          <w:tcPr>
            <w:tcW w:w="810" w:type="dxa"/>
            <w:tcBorders>
              <w:top w:val="single" w:sz="8" w:space="0" w:color="9E9E9E"/>
              <w:left w:val="single" w:sz="8" w:space="0" w:color="9E9E9E"/>
              <w:bottom w:val="single" w:sz="8" w:space="0" w:color="9E9E9E"/>
              <w:right w:val="single" w:sz="8" w:space="0" w:color="9E9E9E"/>
            </w:tcBorders>
          </w:tcPr>
          <w:p w14:paraId="2045B1C7"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2007</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C1EB7F"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Dedi</w:t>
            </w:r>
            <w:proofErr w:type="spellEnd"/>
            <w:r w:rsidRPr="00257AD3">
              <w:rPr>
                <w:rFonts w:cs="Linux Libertine"/>
                <w:sz w:val="18"/>
                <w:szCs w:val="18"/>
              </w:rPr>
              <w:t xml:space="preserve"> </w:t>
            </w:r>
            <w:proofErr w:type="spellStart"/>
            <w:r w:rsidRPr="00257AD3">
              <w:rPr>
                <w:rFonts w:cs="Linux Libertine"/>
                <w:sz w:val="18"/>
                <w:szCs w:val="18"/>
              </w:rPr>
              <w:t>Priadi</w:t>
            </w:r>
            <w:proofErr w:type="spellEnd"/>
            <w:r w:rsidRPr="00257AD3">
              <w:rPr>
                <w:rFonts w:cs="Linux Libertine"/>
                <w:sz w:val="18"/>
                <w:szCs w:val="18"/>
              </w:rPr>
              <w:t xml:space="preserve"> and Garry Lutfi </w:t>
            </w:r>
            <w:proofErr w:type="spellStart"/>
            <w:r w:rsidRPr="00257AD3">
              <w:rPr>
                <w:rFonts w:cs="Linux Libertine"/>
                <w:sz w:val="18"/>
                <w:szCs w:val="18"/>
              </w:rPr>
              <w:t>Yudistira</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743690" w14:textId="77777777" w:rsidR="00FA01A1" w:rsidRPr="00257AD3" w:rsidRDefault="00FA01A1" w:rsidP="00FA01A1">
            <w:pPr>
              <w:ind w:right="87"/>
              <w:rPr>
                <w:rFonts w:cs="Linux Libertine"/>
                <w:sz w:val="18"/>
                <w:szCs w:val="18"/>
              </w:rPr>
            </w:pPr>
            <w:r w:rsidRPr="00257AD3">
              <w:rPr>
                <w:rFonts w:cs="Linux Libertine"/>
                <w:sz w:val="18"/>
                <w:szCs w:val="18"/>
              </w:rPr>
              <w:t>Al-</w:t>
            </w:r>
            <w:proofErr w:type="spellStart"/>
            <w:r w:rsidRPr="00257AD3">
              <w:rPr>
                <w:rFonts w:cs="Linux Libertine"/>
                <w:sz w:val="18"/>
                <w:szCs w:val="18"/>
              </w:rPr>
              <w:t>Qiyadah</w:t>
            </w:r>
            <w:proofErr w:type="spellEnd"/>
            <w:r w:rsidRPr="00257AD3">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5DFA78"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EA45C" w14:textId="77777777" w:rsidR="00FA01A1" w:rsidRPr="00257AD3" w:rsidRDefault="00FA01A1" w:rsidP="00FA01A1">
            <w:pPr>
              <w:ind w:left="48" w:right="161"/>
              <w:rPr>
                <w:rFonts w:cs="Linux Libertine"/>
                <w:sz w:val="18"/>
                <w:szCs w:val="18"/>
              </w:rPr>
            </w:pPr>
            <w:r w:rsidRPr="00257AD3">
              <w:rPr>
                <w:rFonts w:cs="Linux Libertine"/>
                <w:sz w:val="18"/>
                <w:szCs w:val="18"/>
              </w:rPr>
              <w:t>3 years sentence</w:t>
            </w:r>
          </w:p>
        </w:tc>
      </w:tr>
      <w:tr w:rsidR="00FA01A1" w:rsidRPr="00257AD3" w14:paraId="48913E62"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4D0082"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196075" w14:textId="77777777" w:rsidR="00FA01A1" w:rsidRPr="00257AD3" w:rsidRDefault="00FA01A1" w:rsidP="00FA01A1">
            <w:pPr>
              <w:ind w:left="54" w:right="68"/>
              <w:jc w:val="both"/>
              <w:rPr>
                <w:rFonts w:cs="Linux Libertine"/>
                <w:sz w:val="18"/>
                <w:szCs w:val="18"/>
              </w:rPr>
            </w:pPr>
            <w:r w:rsidRPr="00257AD3">
              <w:rPr>
                <w:rFonts w:cs="Linux Libertine"/>
                <w:sz w:val="18"/>
                <w:szCs w:val="18"/>
              </w:rPr>
              <w:t>Jambi District Court</w:t>
            </w:r>
          </w:p>
        </w:tc>
        <w:tc>
          <w:tcPr>
            <w:tcW w:w="810" w:type="dxa"/>
            <w:tcBorders>
              <w:top w:val="single" w:sz="8" w:space="0" w:color="9E9E9E"/>
              <w:left w:val="single" w:sz="8" w:space="0" w:color="9E9E9E"/>
              <w:bottom w:val="single" w:sz="8" w:space="0" w:color="9E9E9E"/>
              <w:right w:val="single" w:sz="8" w:space="0" w:color="9E9E9E"/>
            </w:tcBorders>
          </w:tcPr>
          <w:p w14:paraId="07962B32"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2008</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03C39B"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Edi Ridwan, Amir, </w:t>
            </w:r>
            <w:proofErr w:type="spellStart"/>
            <w:r w:rsidRPr="00257AD3">
              <w:rPr>
                <w:rFonts w:cs="Linux Libertine"/>
                <w:sz w:val="18"/>
                <w:szCs w:val="18"/>
              </w:rPr>
              <w:t>Sudibyo</w:t>
            </w:r>
            <w:proofErr w:type="spellEnd"/>
            <w:r w:rsidRPr="00257AD3">
              <w:rPr>
                <w:rFonts w:cs="Linux Libertine"/>
                <w:sz w:val="18"/>
                <w:szCs w:val="18"/>
              </w:rPr>
              <w:t xml:space="preserve"> and </w:t>
            </w:r>
            <w:proofErr w:type="spellStart"/>
            <w:r w:rsidRPr="00257AD3">
              <w:rPr>
                <w:rFonts w:cs="Linux Libertine"/>
                <w:sz w:val="18"/>
                <w:szCs w:val="18"/>
              </w:rPr>
              <w:t>Warsito</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73CBC0" w14:textId="77777777" w:rsidR="00FA01A1" w:rsidRPr="00257AD3" w:rsidRDefault="00FA01A1" w:rsidP="00FA01A1">
            <w:pPr>
              <w:ind w:right="87"/>
              <w:rPr>
                <w:rFonts w:cs="Linux Libertine"/>
                <w:sz w:val="18"/>
                <w:szCs w:val="18"/>
              </w:rPr>
            </w:pPr>
            <w:r w:rsidRPr="00257AD3">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78AA"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8DEB85" w14:textId="77777777" w:rsidR="00FA01A1" w:rsidRPr="00257AD3" w:rsidRDefault="00FA01A1" w:rsidP="00FA01A1">
            <w:pPr>
              <w:ind w:left="48" w:right="161"/>
              <w:rPr>
                <w:rFonts w:cs="Linux Libertine"/>
                <w:sz w:val="18"/>
                <w:szCs w:val="18"/>
              </w:rPr>
            </w:pPr>
            <w:r w:rsidRPr="00257AD3">
              <w:rPr>
                <w:rFonts w:cs="Linux Libertine"/>
                <w:sz w:val="18"/>
                <w:szCs w:val="18"/>
              </w:rPr>
              <w:t>5 years sentence</w:t>
            </w:r>
          </w:p>
        </w:tc>
      </w:tr>
      <w:tr w:rsidR="00FA01A1" w:rsidRPr="00257AD3" w14:paraId="3F584515"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131331"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3ED43" w14:textId="77777777" w:rsidR="00FA01A1" w:rsidRPr="00257AD3" w:rsidRDefault="00FA01A1" w:rsidP="00FA01A1">
            <w:pPr>
              <w:ind w:left="54" w:right="68"/>
              <w:rPr>
                <w:rFonts w:cs="Linux Libertine"/>
                <w:sz w:val="18"/>
                <w:szCs w:val="18"/>
              </w:rPr>
            </w:pPr>
            <w:r w:rsidRPr="00257AD3">
              <w:rPr>
                <w:rFonts w:cs="Linux Libertine"/>
                <w:sz w:val="18"/>
                <w:szCs w:val="18"/>
              </w:rPr>
              <w:t xml:space="preserve">District Court of </w:t>
            </w:r>
            <w:proofErr w:type="spellStart"/>
            <w:r w:rsidRPr="00257AD3">
              <w:rPr>
                <w:rFonts w:cs="Linux Libertine"/>
                <w:sz w:val="18"/>
                <w:szCs w:val="18"/>
              </w:rPr>
              <w:t>Tasikmalaya</w:t>
            </w:r>
            <w:proofErr w:type="spellEnd"/>
          </w:p>
        </w:tc>
        <w:tc>
          <w:tcPr>
            <w:tcW w:w="810" w:type="dxa"/>
            <w:tcBorders>
              <w:top w:val="single" w:sz="8" w:space="0" w:color="9E9E9E"/>
              <w:left w:val="single" w:sz="8" w:space="0" w:color="9E9E9E"/>
              <w:bottom w:val="single" w:sz="8" w:space="0" w:color="9E9E9E"/>
              <w:right w:val="single" w:sz="8" w:space="0" w:color="9E9E9E"/>
            </w:tcBorders>
          </w:tcPr>
          <w:p w14:paraId="3A41C821" w14:textId="77777777" w:rsidR="00FA01A1" w:rsidRPr="00257AD3" w:rsidRDefault="00FA01A1" w:rsidP="00FA01A1">
            <w:pPr>
              <w:ind w:left="74" w:right="145"/>
              <w:jc w:val="both"/>
              <w:rPr>
                <w:rFonts w:cs="Linux Libertine"/>
                <w:sz w:val="18"/>
                <w:szCs w:val="18"/>
              </w:rPr>
            </w:pPr>
            <w:r w:rsidRPr="00257AD3">
              <w:rPr>
                <w:rFonts w:cs="Linux Libertine"/>
                <w:sz w:val="18"/>
                <w:szCs w:val="18"/>
              </w:rPr>
              <w:t>2008</w:t>
            </w: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8A77AF4"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Ishak </w:t>
            </w:r>
            <w:proofErr w:type="spellStart"/>
            <w:r w:rsidRPr="00257AD3">
              <w:rPr>
                <w:rFonts w:cs="Linux Libertine"/>
                <w:sz w:val="18"/>
                <w:szCs w:val="18"/>
              </w:rPr>
              <w:t>Suhendra</w:t>
            </w:r>
            <w:proofErr w:type="spellEnd"/>
            <w:r w:rsidRPr="00257AD3">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48868" w14:textId="77777777" w:rsidR="00FA01A1" w:rsidRPr="00257AD3" w:rsidRDefault="00FA01A1" w:rsidP="00FA01A1">
            <w:pPr>
              <w:ind w:right="87"/>
              <w:rPr>
                <w:rFonts w:cs="Linux Libertine"/>
                <w:sz w:val="18"/>
                <w:szCs w:val="18"/>
              </w:rPr>
            </w:pPr>
            <w:r w:rsidRPr="00257AD3">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91C63D"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6EDE70" w14:textId="77777777" w:rsidR="00FA01A1" w:rsidRPr="00257AD3" w:rsidRDefault="00FA01A1" w:rsidP="00FA01A1">
            <w:pPr>
              <w:ind w:left="48" w:right="161"/>
              <w:jc w:val="both"/>
              <w:rPr>
                <w:rFonts w:cs="Linux Libertine"/>
                <w:sz w:val="18"/>
                <w:szCs w:val="18"/>
              </w:rPr>
            </w:pPr>
            <w:r w:rsidRPr="00257AD3">
              <w:rPr>
                <w:rFonts w:cs="Linux Libertine"/>
                <w:sz w:val="18"/>
                <w:szCs w:val="18"/>
              </w:rPr>
              <w:t>5 years sentence</w:t>
            </w:r>
          </w:p>
        </w:tc>
      </w:tr>
      <w:tr w:rsidR="00FA01A1" w:rsidRPr="00257AD3" w14:paraId="70FFFEA0"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5EFAAA"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C322E7" w14:textId="77777777" w:rsidR="00FA01A1" w:rsidRPr="00257AD3" w:rsidRDefault="00FA01A1" w:rsidP="00FA01A1">
            <w:pPr>
              <w:ind w:left="54" w:right="68"/>
              <w:rPr>
                <w:rFonts w:cs="Linux Libertine"/>
                <w:sz w:val="18"/>
                <w:szCs w:val="18"/>
              </w:rPr>
            </w:pPr>
            <w:r w:rsidRPr="00257AD3">
              <w:rPr>
                <w:rFonts w:cs="Linux Libertine"/>
                <w:sz w:val="18"/>
                <w:szCs w:val="18"/>
              </w:rPr>
              <w:t>District Court Central Jakarta</w:t>
            </w:r>
          </w:p>
        </w:tc>
        <w:tc>
          <w:tcPr>
            <w:tcW w:w="810" w:type="dxa"/>
            <w:tcBorders>
              <w:top w:val="single" w:sz="8" w:space="0" w:color="9E9E9E"/>
              <w:left w:val="single" w:sz="8" w:space="0" w:color="9E9E9E"/>
              <w:bottom w:val="single" w:sz="8" w:space="0" w:color="9E9E9E"/>
              <w:right w:val="single" w:sz="8" w:space="0" w:color="9E9E9E"/>
            </w:tcBorders>
          </w:tcPr>
          <w:p w14:paraId="0F1EB4EA"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0F22F1"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Lia </w:t>
            </w:r>
            <w:proofErr w:type="spellStart"/>
            <w:r w:rsidRPr="00257AD3">
              <w:rPr>
                <w:rFonts w:cs="Linux Libertine"/>
                <w:sz w:val="18"/>
                <w:szCs w:val="18"/>
              </w:rPr>
              <w:t>Aminudin</w:t>
            </w:r>
            <w:proofErr w:type="spellEnd"/>
            <w:r w:rsidRPr="00257AD3">
              <w:rPr>
                <w:rFonts w:cs="Linux Libertine"/>
                <w:sz w:val="18"/>
                <w:szCs w:val="18"/>
              </w:rPr>
              <w:t xml:space="preserve"> / </w:t>
            </w:r>
            <w:proofErr w:type="spellStart"/>
            <w:r w:rsidRPr="00257AD3">
              <w:rPr>
                <w:rFonts w:cs="Linux Libertine"/>
                <w:sz w:val="18"/>
                <w:szCs w:val="18"/>
              </w:rPr>
              <w:t>Salamullah</w:t>
            </w:r>
            <w:proofErr w:type="spellEnd"/>
            <w:r w:rsidRPr="00257AD3">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BC3849" w14:textId="77777777" w:rsidR="00FA01A1" w:rsidRPr="00257AD3" w:rsidRDefault="00FA01A1" w:rsidP="00FA01A1">
            <w:pPr>
              <w:ind w:right="87"/>
              <w:rPr>
                <w:rFonts w:cs="Linux Libertine"/>
                <w:sz w:val="18"/>
                <w:szCs w:val="18"/>
              </w:rPr>
            </w:pPr>
            <w:r w:rsidRPr="00257AD3">
              <w:rPr>
                <w:rFonts w:cs="Linux Libertine"/>
                <w:sz w:val="18"/>
                <w:szCs w:val="18"/>
              </w:rPr>
              <w:t xml:space="preserve">Habib Abdurrahman </w:t>
            </w:r>
            <w:proofErr w:type="spellStart"/>
            <w:r w:rsidRPr="00257AD3">
              <w:rPr>
                <w:rFonts w:cs="Linux Libertine"/>
                <w:sz w:val="18"/>
                <w:szCs w:val="18"/>
              </w:rPr>
              <w:t>Assegaf</w:t>
            </w:r>
            <w:proofErr w:type="spellEnd"/>
            <w:r w:rsidRPr="00257AD3">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C84653"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3EB705" w14:textId="77777777" w:rsidR="00FA01A1" w:rsidRPr="00257AD3" w:rsidRDefault="00FA01A1" w:rsidP="00FA01A1">
            <w:pPr>
              <w:ind w:left="48" w:right="161"/>
              <w:jc w:val="both"/>
              <w:rPr>
                <w:rFonts w:cs="Linux Libertine"/>
                <w:sz w:val="18"/>
                <w:szCs w:val="18"/>
              </w:rPr>
            </w:pPr>
            <w:r w:rsidRPr="00257AD3">
              <w:rPr>
                <w:rFonts w:cs="Linux Libertine"/>
                <w:sz w:val="18"/>
                <w:szCs w:val="18"/>
              </w:rPr>
              <w:t>2 years and 6 months sentence</w:t>
            </w:r>
          </w:p>
        </w:tc>
      </w:tr>
      <w:tr w:rsidR="00FA01A1" w:rsidRPr="00257AD3" w14:paraId="1C3D9985"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D828BA"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9F30ED" w14:textId="77777777" w:rsidR="00FA01A1" w:rsidRPr="00257AD3" w:rsidRDefault="00FA01A1" w:rsidP="00FA01A1">
            <w:pPr>
              <w:ind w:left="54" w:right="68"/>
              <w:rPr>
                <w:rFonts w:cs="Linux Libertine"/>
                <w:sz w:val="18"/>
                <w:szCs w:val="18"/>
              </w:rPr>
            </w:pPr>
            <w:r w:rsidRPr="00257AD3">
              <w:rPr>
                <w:rFonts w:cs="Linux Libertine"/>
                <w:sz w:val="18"/>
                <w:szCs w:val="18"/>
              </w:rPr>
              <w:t>District Court Central Jakarta</w:t>
            </w:r>
          </w:p>
        </w:tc>
        <w:tc>
          <w:tcPr>
            <w:tcW w:w="810" w:type="dxa"/>
            <w:tcBorders>
              <w:top w:val="single" w:sz="8" w:space="0" w:color="9E9E9E"/>
              <w:left w:val="single" w:sz="8" w:space="0" w:color="9E9E9E"/>
              <w:bottom w:val="single" w:sz="8" w:space="0" w:color="9E9E9E"/>
              <w:right w:val="single" w:sz="8" w:space="0" w:color="9E9E9E"/>
            </w:tcBorders>
          </w:tcPr>
          <w:p w14:paraId="3824C745"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FD6D5E"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Wahyu </w:t>
            </w:r>
            <w:proofErr w:type="spellStart"/>
            <w:r w:rsidRPr="00257AD3">
              <w:rPr>
                <w:rFonts w:cs="Linux Libertine"/>
                <w:sz w:val="18"/>
                <w:szCs w:val="18"/>
              </w:rPr>
              <w:t>Andito</w:t>
            </w:r>
            <w:proofErr w:type="spellEnd"/>
            <w:r w:rsidRPr="00257AD3">
              <w:rPr>
                <w:rFonts w:cs="Linux Libertine"/>
                <w:sz w:val="18"/>
                <w:szCs w:val="18"/>
              </w:rPr>
              <w:t xml:space="preserve"> </w:t>
            </w:r>
            <w:proofErr w:type="spellStart"/>
            <w:r w:rsidRPr="00257AD3">
              <w:rPr>
                <w:rFonts w:cs="Linux Libertine"/>
                <w:sz w:val="18"/>
                <w:szCs w:val="18"/>
              </w:rPr>
              <w:t>Putro</w:t>
            </w:r>
            <w:proofErr w:type="spellEnd"/>
            <w:r w:rsidRPr="00257AD3">
              <w:rPr>
                <w:rFonts w:cs="Linux Libertine"/>
                <w:sz w:val="18"/>
                <w:szCs w:val="18"/>
              </w:rPr>
              <w:t xml:space="preserve"> </w:t>
            </w:r>
            <w:proofErr w:type="spellStart"/>
            <w:r w:rsidRPr="00257AD3">
              <w:rPr>
                <w:rFonts w:cs="Linux Libertine"/>
                <w:sz w:val="18"/>
                <w:szCs w:val="18"/>
              </w:rPr>
              <w:t>Wibisono</w:t>
            </w:r>
            <w:proofErr w:type="spellEnd"/>
            <w:r w:rsidRPr="00257AD3">
              <w:rPr>
                <w:rFonts w:cs="Linux Libertine"/>
                <w:sz w:val="18"/>
                <w:szCs w:val="18"/>
              </w:rPr>
              <w:t xml:space="preserve"> / </w:t>
            </w:r>
            <w:proofErr w:type="spellStart"/>
            <w:r w:rsidRPr="00257AD3">
              <w:rPr>
                <w:rFonts w:cs="Linux Libertine"/>
                <w:sz w:val="18"/>
                <w:szCs w:val="18"/>
              </w:rPr>
              <w:t>Salamullah</w:t>
            </w:r>
            <w:proofErr w:type="spellEnd"/>
            <w:r w:rsidRPr="00257AD3">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599E0C" w14:textId="77777777" w:rsidR="00FA01A1" w:rsidRPr="00257AD3" w:rsidRDefault="00FA01A1" w:rsidP="00FA01A1">
            <w:pPr>
              <w:ind w:right="87"/>
              <w:rPr>
                <w:rFonts w:cs="Linux Libertine"/>
                <w:sz w:val="18"/>
                <w:szCs w:val="18"/>
              </w:rPr>
            </w:pPr>
            <w:r w:rsidRPr="00257AD3">
              <w:rPr>
                <w:rFonts w:cs="Linux Libertine"/>
                <w:sz w:val="18"/>
                <w:szCs w:val="18"/>
              </w:rPr>
              <w:t xml:space="preserve">Habib Abdurrahman </w:t>
            </w:r>
            <w:proofErr w:type="spellStart"/>
            <w:r w:rsidRPr="00257AD3">
              <w:rPr>
                <w:rFonts w:cs="Linux Libertine"/>
                <w:sz w:val="18"/>
                <w:szCs w:val="18"/>
              </w:rPr>
              <w:t>Assegaf</w:t>
            </w:r>
            <w:proofErr w:type="spellEnd"/>
            <w:r w:rsidRPr="00257AD3">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10DF3F"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511FCC" w14:textId="77777777" w:rsidR="00FA01A1" w:rsidRPr="00257AD3" w:rsidRDefault="00FA01A1" w:rsidP="00FA01A1">
            <w:pPr>
              <w:ind w:left="48" w:right="161"/>
              <w:jc w:val="both"/>
              <w:rPr>
                <w:rFonts w:cs="Linux Libertine"/>
                <w:sz w:val="18"/>
                <w:szCs w:val="18"/>
              </w:rPr>
            </w:pPr>
            <w:r w:rsidRPr="00257AD3">
              <w:rPr>
                <w:rFonts w:cs="Linux Libertine"/>
                <w:sz w:val="18"/>
                <w:szCs w:val="18"/>
              </w:rPr>
              <w:t>2 years sentence</w:t>
            </w:r>
          </w:p>
        </w:tc>
      </w:tr>
      <w:tr w:rsidR="00FA01A1" w:rsidRPr="00257AD3" w14:paraId="37075F5A"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3756F1"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00F03F0" w14:textId="77777777" w:rsidR="00FA01A1" w:rsidRPr="00257AD3" w:rsidRDefault="00FA01A1" w:rsidP="00FA01A1">
            <w:pPr>
              <w:ind w:left="54" w:right="68"/>
              <w:rPr>
                <w:rFonts w:cs="Linux Libertine"/>
                <w:sz w:val="18"/>
                <w:szCs w:val="18"/>
              </w:rPr>
            </w:pPr>
            <w:r w:rsidRPr="00257AD3">
              <w:rPr>
                <w:rFonts w:cs="Linux Libertine"/>
                <w:sz w:val="18"/>
                <w:szCs w:val="18"/>
              </w:rPr>
              <w:t>District Court South Jakarta</w:t>
            </w:r>
          </w:p>
        </w:tc>
        <w:tc>
          <w:tcPr>
            <w:tcW w:w="810" w:type="dxa"/>
            <w:tcBorders>
              <w:top w:val="single" w:sz="8" w:space="0" w:color="9E9E9E"/>
              <w:left w:val="single" w:sz="8" w:space="0" w:color="9E9E9E"/>
              <w:bottom w:val="single" w:sz="8" w:space="0" w:color="9E9E9E"/>
              <w:right w:val="single" w:sz="8" w:space="0" w:color="9E9E9E"/>
            </w:tcBorders>
          </w:tcPr>
          <w:p w14:paraId="7B16E45B"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43638E"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Agus</w:t>
            </w:r>
            <w:proofErr w:type="spellEnd"/>
            <w:r w:rsidRPr="00257AD3">
              <w:rPr>
                <w:rFonts w:cs="Linux Libertine"/>
                <w:sz w:val="18"/>
                <w:szCs w:val="18"/>
              </w:rPr>
              <w:t xml:space="preserve"> Imam </w:t>
            </w:r>
            <w:proofErr w:type="spellStart"/>
            <w:r w:rsidRPr="00257AD3">
              <w:rPr>
                <w:rFonts w:cs="Linux Libertine"/>
                <w:sz w:val="18"/>
                <w:szCs w:val="18"/>
              </w:rPr>
              <w:t>Solihin</w:t>
            </w:r>
            <w:proofErr w:type="spellEnd"/>
            <w:r w:rsidRPr="00257AD3">
              <w:rPr>
                <w:rFonts w:cs="Linux Libertine"/>
                <w:sz w:val="18"/>
                <w:szCs w:val="18"/>
              </w:rPr>
              <w:t xml:space="preserve"> / </w:t>
            </w:r>
            <w:proofErr w:type="spellStart"/>
            <w:r w:rsidRPr="00257AD3">
              <w:rPr>
                <w:rFonts w:cs="Linux Libertine"/>
                <w:sz w:val="18"/>
                <w:szCs w:val="18"/>
              </w:rPr>
              <w:t>Satriyo</w:t>
            </w:r>
            <w:proofErr w:type="spellEnd"/>
            <w:r w:rsidRPr="00257AD3">
              <w:rPr>
                <w:rFonts w:cs="Linux Libertine"/>
                <w:sz w:val="18"/>
                <w:szCs w:val="18"/>
              </w:rPr>
              <w:t xml:space="preserve"> </w:t>
            </w:r>
            <w:proofErr w:type="spellStart"/>
            <w:r w:rsidRPr="00257AD3">
              <w:rPr>
                <w:rFonts w:cs="Linux Libertine"/>
                <w:sz w:val="18"/>
                <w:szCs w:val="18"/>
              </w:rPr>
              <w:t>Piningit</w:t>
            </w:r>
            <w:proofErr w:type="spellEnd"/>
            <w:r w:rsidRPr="00257AD3">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4F1907" w14:textId="77777777" w:rsidR="00FA01A1" w:rsidRPr="00257AD3" w:rsidRDefault="00FA01A1" w:rsidP="00FA01A1">
            <w:pPr>
              <w:ind w:right="87"/>
              <w:rPr>
                <w:rFonts w:cs="Linux Libertine"/>
                <w:sz w:val="18"/>
                <w:szCs w:val="18"/>
              </w:rPr>
            </w:pPr>
            <w:r w:rsidRPr="00257AD3">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7FDE3C"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7D8295" w14:textId="77777777" w:rsidR="00FA01A1" w:rsidRPr="00257AD3" w:rsidRDefault="00FA01A1" w:rsidP="00FA01A1">
            <w:pPr>
              <w:ind w:left="48" w:right="161"/>
              <w:jc w:val="both"/>
              <w:rPr>
                <w:rFonts w:cs="Linux Libertine"/>
                <w:sz w:val="18"/>
                <w:szCs w:val="18"/>
              </w:rPr>
            </w:pPr>
            <w:r w:rsidRPr="00257AD3">
              <w:rPr>
                <w:rFonts w:cs="Linux Libertine"/>
                <w:sz w:val="18"/>
                <w:szCs w:val="18"/>
              </w:rPr>
              <w:t>2 years and 6 months sentence</w:t>
            </w:r>
          </w:p>
        </w:tc>
      </w:tr>
      <w:tr w:rsidR="00FA01A1" w:rsidRPr="00257AD3" w14:paraId="04E92CA6"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1D5A4"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DB52A" w14:textId="77777777" w:rsidR="00FA01A1" w:rsidRPr="00257AD3" w:rsidRDefault="00FA01A1" w:rsidP="00FA01A1">
            <w:pPr>
              <w:ind w:left="54" w:right="68"/>
              <w:rPr>
                <w:rFonts w:cs="Linux Libertine"/>
                <w:sz w:val="18"/>
                <w:szCs w:val="18"/>
              </w:rPr>
            </w:pPr>
            <w:proofErr w:type="spellStart"/>
            <w:r w:rsidRPr="00257AD3">
              <w:rPr>
                <w:rFonts w:cs="Linux Libertine"/>
                <w:sz w:val="18"/>
                <w:szCs w:val="18"/>
              </w:rPr>
              <w:t>Ciamis</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08ABFC21"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F438BB"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Ondon</w:t>
            </w:r>
            <w:proofErr w:type="spellEnd"/>
            <w:r w:rsidRPr="00257AD3">
              <w:rPr>
                <w:rFonts w:cs="Linux Libertine"/>
                <w:sz w:val="18"/>
                <w:szCs w:val="18"/>
              </w:rPr>
              <w:t xml:space="preserve"> </w:t>
            </w:r>
            <w:proofErr w:type="spellStart"/>
            <w:r w:rsidRPr="00257AD3">
              <w:rPr>
                <w:rFonts w:cs="Linux Libertine"/>
                <w:sz w:val="18"/>
                <w:szCs w:val="18"/>
              </w:rPr>
              <w:t>Juhana</w:t>
            </w:r>
            <w:proofErr w:type="spellEnd"/>
            <w:r w:rsidRPr="00257AD3">
              <w:rPr>
                <w:rFonts w:cs="Linux Libertine"/>
                <w:sz w:val="18"/>
                <w:szCs w:val="18"/>
              </w:rPr>
              <w:t xml:space="preserve">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31475B" w14:textId="77777777" w:rsidR="00FA01A1" w:rsidRPr="00257AD3" w:rsidRDefault="00FA01A1" w:rsidP="00FA01A1">
            <w:pPr>
              <w:ind w:right="87"/>
              <w:rPr>
                <w:rFonts w:cs="Linux Libertine"/>
                <w:sz w:val="18"/>
                <w:szCs w:val="18"/>
              </w:rPr>
            </w:pPr>
            <w:r w:rsidRPr="00257AD3">
              <w:rPr>
                <w:rFonts w:cs="Linux Libertine"/>
                <w:sz w:val="18"/>
                <w:szCs w:val="18"/>
              </w:rPr>
              <w:t xml:space="preserve">Sri </w:t>
            </w:r>
            <w:proofErr w:type="spellStart"/>
            <w:r w:rsidRPr="00257AD3">
              <w:rPr>
                <w:rFonts w:cs="Linux Libertine"/>
                <w:sz w:val="18"/>
                <w:szCs w:val="18"/>
              </w:rPr>
              <w:t>Asriyati</w:t>
            </w:r>
            <w:proofErr w:type="spellEnd"/>
            <w:r w:rsidRPr="00257AD3">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8B5DB3"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968E98"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sentence</w:t>
            </w:r>
          </w:p>
        </w:tc>
      </w:tr>
      <w:tr w:rsidR="00FA01A1" w:rsidRPr="00257AD3" w14:paraId="7E92CDCE"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627E1A"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8C5BD9" w14:textId="77777777" w:rsidR="00FA01A1" w:rsidRPr="00257AD3" w:rsidRDefault="00FA01A1" w:rsidP="00FA01A1">
            <w:pPr>
              <w:ind w:left="54" w:right="68"/>
              <w:rPr>
                <w:rFonts w:cs="Linux Libertine"/>
                <w:sz w:val="18"/>
                <w:szCs w:val="18"/>
              </w:rPr>
            </w:pPr>
            <w:r w:rsidRPr="00257AD3">
              <w:rPr>
                <w:rFonts w:cs="Linux Libertine"/>
                <w:sz w:val="18"/>
                <w:szCs w:val="18"/>
              </w:rPr>
              <w:t xml:space="preserve">District Court of </w:t>
            </w:r>
            <w:proofErr w:type="spellStart"/>
            <w:r w:rsidRPr="00257AD3">
              <w:rPr>
                <w:rFonts w:cs="Linux Libertine"/>
                <w:sz w:val="18"/>
                <w:szCs w:val="18"/>
              </w:rPr>
              <w:t>Tasikmalaya</w:t>
            </w:r>
            <w:proofErr w:type="spellEnd"/>
          </w:p>
        </w:tc>
        <w:tc>
          <w:tcPr>
            <w:tcW w:w="810" w:type="dxa"/>
            <w:tcBorders>
              <w:top w:val="single" w:sz="8" w:space="0" w:color="9E9E9E"/>
              <w:left w:val="single" w:sz="8" w:space="0" w:color="9E9E9E"/>
              <w:bottom w:val="single" w:sz="8" w:space="0" w:color="9E9E9E"/>
              <w:right w:val="single" w:sz="8" w:space="0" w:color="9E9E9E"/>
            </w:tcBorders>
          </w:tcPr>
          <w:p w14:paraId="6CAC7AB5"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FEC690B"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Oben</w:t>
            </w:r>
            <w:proofErr w:type="spellEnd"/>
            <w:r w:rsidRPr="00257AD3">
              <w:rPr>
                <w:rFonts w:cs="Linux Libertine"/>
                <w:sz w:val="18"/>
                <w:szCs w:val="18"/>
              </w:rPr>
              <w:t xml:space="preserve"> </w:t>
            </w:r>
            <w:proofErr w:type="spellStart"/>
            <w:r w:rsidRPr="00257AD3">
              <w:rPr>
                <w:rFonts w:cs="Linux Libertine"/>
                <w:sz w:val="18"/>
                <w:szCs w:val="18"/>
              </w:rPr>
              <w:t>Sarbeni</w:t>
            </w:r>
            <w:proofErr w:type="spellEnd"/>
            <w:r w:rsidRPr="00257AD3">
              <w:rPr>
                <w:rFonts w:cs="Linux Libertine"/>
                <w:sz w:val="18"/>
                <w:szCs w:val="18"/>
              </w:rPr>
              <w:t xml:space="preserve">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868511" w14:textId="77777777" w:rsidR="00FA01A1" w:rsidRPr="00257AD3" w:rsidRDefault="00FA01A1" w:rsidP="00FA01A1">
            <w:pPr>
              <w:ind w:right="87"/>
              <w:rPr>
                <w:rFonts w:cs="Linux Libertine"/>
                <w:sz w:val="18"/>
                <w:szCs w:val="18"/>
              </w:rPr>
            </w:pPr>
            <w:r w:rsidRPr="00257AD3">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ABAE40"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489541"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sentence</w:t>
            </w:r>
          </w:p>
        </w:tc>
      </w:tr>
      <w:tr w:rsidR="00FA01A1" w:rsidRPr="00257AD3" w14:paraId="1AC739EA"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EE46F4"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4E6DE" w14:textId="77777777" w:rsidR="00FA01A1" w:rsidRPr="00257AD3" w:rsidRDefault="00FA01A1" w:rsidP="00FA01A1">
            <w:pPr>
              <w:ind w:left="54" w:right="68"/>
              <w:rPr>
                <w:rFonts w:cs="Linux Libertine"/>
                <w:sz w:val="18"/>
                <w:szCs w:val="18"/>
              </w:rPr>
            </w:pPr>
            <w:proofErr w:type="spellStart"/>
            <w:r w:rsidRPr="00257AD3">
              <w:rPr>
                <w:rFonts w:cs="Linux Libertine"/>
                <w:sz w:val="18"/>
                <w:szCs w:val="18"/>
              </w:rPr>
              <w:t>Temanggung</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12B99F87"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29BF74"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Antonius Richmond </w:t>
            </w:r>
            <w:proofErr w:type="spellStart"/>
            <w:r w:rsidRPr="00257AD3">
              <w:rPr>
                <w:rFonts w:cs="Linux Libertine"/>
                <w:sz w:val="18"/>
                <w:szCs w:val="18"/>
              </w:rPr>
              <w:t>Bawengan</w:t>
            </w:r>
            <w:proofErr w:type="spellEnd"/>
            <w:r w:rsidRPr="00257AD3">
              <w:rPr>
                <w:rFonts w:cs="Linux Libertine"/>
                <w:sz w:val="18"/>
                <w:szCs w:val="18"/>
              </w:rPr>
              <w:t xml:space="preserve"> / Distribution of 3 brochures and 2 books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A2B4EF" w14:textId="77777777" w:rsidR="00FA01A1" w:rsidRPr="00257AD3" w:rsidRDefault="00FA01A1" w:rsidP="00FA01A1">
            <w:pPr>
              <w:ind w:right="87"/>
              <w:rPr>
                <w:rFonts w:cs="Linux Libertine"/>
                <w:sz w:val="18"/>
                <w:szCs w:val="18"/>
              </w:rPr>
            </w:pPr>
            <w:r w:rsidRPr="00257AD3">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040EF7"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9BEE0EA" w14:textId="77777777" w:rsidR="00FA01A1" w:rsidRPr="00257AD3" w:rsidRDefault="00FA01A1" w:rsidP="00FA01A1">
            <w:pPr>
              <w:ind w:left="48" w:right="161"/>
              <w:jc w:val="both"/>
              <w:rPr>
                <w:rFonts w:cs="Linux Libertine"/>
                <w:sz w:val="18"/>
                <w:szCs w:val="18"/>
              </w:rPr>
            </w:pPr>
            <w:r w:rsidRPr="00257AD3">
              <w:rPr>
                <w:rFonts w:cs="Linux Libertine"/>
                <w:sz w:val="18"/>
                <w:szCs w:val="18"/>
              </w:rPr>
              <w:t>5 years sentence</w:t>
            </w:r>
          </w:p>
        </w:tc>
      </w:tr>
      <w:tr w:rsidR="00FA01A1" w:rsidRPr="00257AD3" w14:paraId="63AD76E9"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0595BB"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4E0AF7" w14:textId="77777777" w:rsidR="00FA01A1" w:rsidRPr="00257AD3" w:rsidRDefault="00FA01A1" w:rsidP="00FA01A1">
            <w:pPr>
              <w:ind w:left="54" w:right="68"/>
              <w:rPr>
                <w:rFonts w:cs="Linux Libertine"/>
                <w:sz w:val="18"/>
                <w:szCs w:val="18"/>
              </w:rPr>
            </w:pPr>
            <w:r w:rsidRPr="00257AD3">
              <w:rPr>
                <w:rFonts w:cs="Linux Libertine"/>
                <w:sz w:val="18"/>
                <w:szCs w:val="18"/>
              </w:rPr>
              <w:t xml:space="preserve">District Court </w:t>
            </w:r>
            <w:proofErr w:type="spellStart"/>
            <w:r w:rsidRPr="00257AD3">
              <w:rPr>
                <w:rFonts w:cs="Linux Libertine"/>
                <w:sz w:val="18"/>
                <w:szCs w:val="18"/>
              </w:rPr>
              <w:t>Sumber</w:t>
            </w:r>
            <w:proofErr w:type="spellEnd"/>
            <w:r w:rsidRPr="00257AD3">
              <w:rPr>
                <w:rFonts w:cs="Linux Libertine"/>
                <w:sz w:val="18"/>
                <w:szCs w:val="18"/>
              </w:rPr>
              <w:t xml:space="preserve"> Cirebon</w:t>
            </w:r>
          </w:p>
        </w:tc>
        <w:tc>
          <w:tcPr>
            <w:tcW w:w="810" w:type="dxa"/>
            <w:tcBorders>
              <w:top w:val="single" w:sz="8" w:space="0" w:color="9E9E9E"/>
              <w:left w:val="single" w:sz="8" w:space="0" w:color="9E9E9E"/>
              <w:bottom w:val="single" w:sz="8" w:space="0" w:color="9E9E9E"/>
              <w:right w:val="single" w:sz="8" w:space="0" w:color="9E9E9E"/>
            </w:tcBorders>
          </w:tcPr>
          <w:p w14:paraId="02076C04"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79776"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Ahmad </w:t>
            </w:r>
            <w:proofErr w:type="spellStart"/>
            <w:r w:rsidRPr="00257AD3">
              <w:rPr>
                <w:rFonts w:cs="Linux Libertine"/>
                <w:sz w:val="18"/>
                <w:szCs w:val="18"/>
              </w:rPr>
              <w:t>Tantowi</w:t>
            </w:r>
            <w:proofErr w:type="spellEnd"/>
            <w:r w:rsidRPr="00257AD3">
              <w:rPr>
                <w:rFonts w:cs="Linux Libertine"/>
                <w:sz w:val="18"/>
                <w:szCs w:val="18"/>
              </w:rPr>
              <w:t xml:space="preserve"> / Heaven of Eden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0A8B0D" w14:textId="77777777" w:rsidR="00FA01A1" w:rsidRPr="00257AD3" w:rsidRDefault="00FA01A1" w:rsidP="00FA01A1">
            <w:pPr>
              <w:ind w:right="87"/>
              <w:rPr>
                <w:rFonts w:cs="Linux Libertine"/>
                <w:sz w:val="18"/>
                <w:szCs w:val="18"/>
              </w:rPr>
            </w:pPr>
            <w:r w:rsidRPr="00257AD3">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851B9B"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80F7C0" w14:textId="77777777" w:rsidR="00FA01A1" w:rsidRPr="00257AD3" w:rsidRDefault="00FA01A1" w:rsidP="00FA01A1">
            <w:pPr>
              <w:ind w:left="48" w:right="161"/>
              <w:jc w:val="both"/>
              <w:rPr>
                <w:rFonts w:cs="Linux Libertine"/>
                <w:sz w:val="18"/>
                <w:szCs w:val="18"/>
              </w:rPr>
            </w:pPr>
            <w:r w:rsidRPr="00257AD3">
              <w:rPr>
                <w:rFonts w:cs="Linux Libertine"/>
                <w:sz w:val="18"/>
                <w:szCs w:val="18"/>
              </w:rPr>
              <w:t>10 years sentence</w:t>
            </w:r>
          </w:p>
        </w:tc>
      </w:tr>
      <w:tr w:rsidR="00FA01A1" w:rsidRPr="00257AD3" w14:paraId="74DAF942"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B7B3B8"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7662F9" w14:textId="77777777" w:rsidR="00FA01A1" w:rsidRPr="00257AD3" w:rsidRDefault="00FA01A1" w:rsidP="00FA01A1">
            <w:pPr>
              <w:ind w:left="54" w:right="68"/>
              <w:rPr>
                <w:rFonts w:cs="Linux Libertine"/>
                <w:sz w:val="18"/>
                <w:szCs w:val="18"/>
              </w:rPr>
            </w:pPr>
            <w:proofErr w:type="spellStart"/>
            <w:r w:rsidRPr="00257AD3">
              <w:rPr>
                <w:rFonts w:cs="Linux Libertine"/>
                <w:sz w:val="18"/>
                <w:szCs w:val="18"/>
              </w:rPr>
              <w:t>Klaten</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42BFCF16"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7856BB"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Andreas Guntur </w:t>
            </w:r>
            <w:proofErr w:type="spellStart"/>
            <w:r w:rsidRPr="00257AD3">
              <w:rPr>
                <w:rFonts w:cs="Linux Libertine"/>
                <w:sz w:val="18"/>
                <w:szCs w:val="18"/>
              </w:rPr>
              <w:t>Wisnu</w:t>
            </w:r>
            <w:proofErr w:type="spellEnd"/>
            <w:r w:rsidRPr="00257AD3">
              <w:rPr>
                <w:rFonts w:cs="Linux Libertine"/>
                <w:sz w:val="18"/>
                <w:szCs w:val="18"/>
              </w:rPr>
              <w:t xml:space="preserve"> </w:t>
            </w:r>
            <w:proofErr w:type="spellStart"/>
            <w:r w:rsidRPr="00257AD3">
              <w:rPr>
                <w:rFonts w:cs="Linux Libertine"/>
                <w:sz w:val="18"/>
                <w:szCs w:val="18"/>
              </w:rPr>
              <w:t>Sarsono</w:t>
            </w:r>
            <w:proofErr w:type="spellEnd"/>
            <w:r w:rsidRPr="00257AD3">
              <w:rPr>
                <w:rFonts w:cs="Linux Libertine"/>
                <w:sz w:val="18"/>
                <w:szCs w:val="18"/>
              </w:rPr>
              <w:t>, Mandate of Divine Greatness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A438AC" w14:textId="77777777" w:rsidR="00FA01A1" w:rsidRPr="00257AD3" w:rsidRDefault="00FA01A1" w:rsidP="00FA01A1">
            <w:pPr>
              <w:ind w:right="87"/>
              <w:rPr>
                <w:rFonts w:cs="Linux Libertine"/>
                <w:sz w:val="18"/>
                <w:szCs w:val="18"/>
              </w:rPr>
            </w:pPr>
            <w:r w:rsidRPr="00257AD3">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1EF82D"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239A15"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sentence</w:t>
            </w:r>
          </w:p>
        </w:tc>
      </w:tr>
      <w:tr w:rsidR="00FA01A1" w:rsidRPr="00257AD3" w14:paraId="7E18BC2C"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994CD2"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24C0E0" w14:textId="77777777" w:rsidR="00FA01A1" w:rsidRPr="00257AD3" w:rsidRDefault="00FA01A1" w:rsidP="00FA01A1">
            <w:pPr>
              <w:ind w:left="54" w:right="68"/>
              <w:rPr>
                <w:rFonts w:cs="Linux Libertine"/>
                <w:sz w:val="18"/>
                <w:szCs w:val="18"/>
              </w:rPr>
            </w:pPr>
            <w:r w:rsidRPr="00257AD3">
              <w:rPr>
                <w:rFonts w:cs="Linux Libertine"/>
                <w:sz w:val="18"/>
                <w:szCs w:val="18"/>
              </w:rPr>
              <w:t>District Court Padang</w:t>
            </w:r>
          </w:p>
        </w:tc>
        <w:tc>
          <w:tcPr>
            <w:tcW w:w="810" w:type="dxa"/>
            <w:tcBorders>
              <w:top w:val="single" w:sz="8" w:space="0" w:color="9E9E9E"/>
              <w:left w:val="single" w:sz="8" w:space="0" w:color="9E9E9E"/>
              <w:bottom w:val="single" w:sz="8" w:space="0" w:color="9E9E9E"/>
              <w:right w:val="single" w:sz="8" w:space="0" w:color="9E9E9E"/>
            </w:tcBorders>
          </w:tcPr>
          <w:p w14:paraId="280807C6"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1F0BD3"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Alexander </w:t>
            </w:r>
            <w:proofErr w:type="spellStart"/>
            <w:r w:rsidRPr="00257AD3">
              <w:rPr>
                <w:rFonts w:cs="Linux Libertine"/>
                <w:sz w:val="18"/>
                <w:szCs w:val="18"/>
              </w:rPr>
              <w:t>Aan</w:t>
            </w:r>
            <w:proofErr w:type="spellEnd"/>
            <w:r w:rsidRPr="00257AD3">
              <w:rPr>
                <w:rFonts w:cs="Linux Libertine"/>
                <w:sz w:val="18"/>
                <w:szCs w:val="18"/>
              </w:rPr>
              <w:t xml:space="preserve"> / Account </w:t>
            </w:r>
            <w:proofErr w:type="spellStart"/>
            <w:r w:rsidRPr="00257AD3">
              <w:rPr>
                <w:rFonts w:cs="Linux Libertine"/>
                <w:sz w:val="18"/>
                <w:szCs w:val="18"/>
              </w:rPr>
              <w:t>Atheis</w:t>
            </w:r>
            <w:proofErr w:type="spellEnd"/>
            <w:r w:rsidRPr="00257AD3">
              <w:rPr>
                <w:rFonts w:cs="Linux Libertine"/>
                <w:sz w:val="18"/>
                <w:szCs w:val="18"/>
              </w:rPr>
              <w:t xml:space="preserve">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156FC6" w14:textId="77777777" w:rsidR="00FA01A1" w:rsidRPr="00257AD3" w:rsidRDefault="00FA01A1" w:rsidP="00FA01A1">
            <w:pPr>
              <w:ind w:right="87"/>
              <w:rPr>
                <w:rFonts w:cs="Linux Libertine"/>
                <w:sz w:val="18"/>
                <w:szCs w:val="18"/>
              </w:rPr>
            </w:pPr>
            <w:r w:rsidRPr="00257AD3">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6DDBC5"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94CA12" w14:textId="77777777" w:rsidR="00FA01A1" w:rsidRPr="00257AD3" w:rsidRDefault="00FA01A1" w:rsidP="00FA01A1">
            <w:pPr>
              <w:ind w:left="48" w:right="161"/>
              <w:jc w:val="both"/>
              <w:rPr>
                <w:rFonts w:cs="Linux Libertine"/>
                <w:sz w:val="18"/>
                <w:szCs w:val="18"/>
              </w:rPr>
            </w:pPr>
            <w:r w:rsidRPr="00257AD3">
              <w:rPr>
                <w:rFonts w:cs="Linux Libertine"/>
                <w:sz w:val="18"/>
                <w:szCs w:val="18"/>
              </w:rPr>
              <w:t>2 years and 6 months sentence</w:t>
            </w:r>
          </w:p>
        </w:tc>
      </w:tr>
      <w:tr w:rsidR="00FA01A1" w:rsidRPr="00257AD3" w14:paraId="20721AE3"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F7E790"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7B314A" w14:textId="77777777" w:rsidR="00FA01A1" w:rsidRPr="00257AD3" w:rsidRDefault="00FA01A1" w:rsidP="00FA01A1">
            <w:pPr>
              <w:ind w:left="54" w:right="68"/>
              <w:rPr>
                <w:rFonts w:cs="Linux Libertine"/>
                <w:sz w:val="18"/>
                <w:szCs w:val="18"/>
              </w:rPr>
            </w:pPr>
            <w:proofErr w:type="spellStart"/>
            <w:r w:rsidRPr="00257AD3">
              <w:rPr>
                <w:rFonts w:cs="Linux Libertine"/>
                <w:sz w:val="18"/>
                <w:szCs w:val="18"/>
              </w:rPr>
              <w:t>Ciamis</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2B1EC3A5"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4449A9"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Subastian</w:t>
            </w:r>
            <w:proofErr w:type="spellEnd"/>
            <w:r w:rsidRPr="00257AD3">
              <w:rPr>
                <w:rFonts w:cs="Linux Libertine"/>
                <w:sz w:val="18"/>
                <w:szCs w:val="18"/>
              </w:rPr>
              <w:t xml:space="preserve"> Joe Bin Abdul </w:t>
            </w:r>
            <w:proofErr w:type="spellStart"/>
            <w:r w:rsidRPr="00257AD3">
              <w:rPr>
                <w:rFonts w:cs="Linux Libertine"/>
                <w:sz w:val="18"/>
                <w:szCs w:val="18"/>
              </w:rPr>
              <w:t>Hadi</w:t>
            </w:r>
            <w:proofErr w:type="spellEnd"/>
            <w:r w:rsidRPr="00257AD3">
              <w:rPr>
                <w:rFonts w:cs="Linux Libertine"/>
                <w:sz w:val="18"/>
                <w:szCs w:val="18"/>
              </w:rPr>
              <w:t xml:space="preserve"> / FB Allah Stingy and Arrogant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CAC57E" w14:textId="77777777" w:rsidR="00FA01A1" w:rsidRPr="00257AD3" w:rsidRDefault="00FA01A1" w:rsidP="00FA01A1">
            <w:pPr>
              <w:ind w:right="87"/>
              <w:rPr>
                <w:rFonts w:cs="Linux Libertine"/>
                <w:sz w:val="18"/>
                <w:szCs w:val="18"/>
              </w:rPr>
            </w:pPr>
            <w:r w:rsidRPr="00257AD3">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07383B"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517E3"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sentence</w:t>
            </w:r>
          </w:p>
        </w:tc>
      </w:tr>
      <w:tr w:rsidR="00FA01A1" w:rsidRPr="00257AD3" w14:paraId="71042C8F"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E2B83"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583183" w14:textId="77777777" w:rsidR="00FA01A1" w:rsidRPr="00257AD3" w:rsidRDefault="00FA01A1" w:rsidP="00FA01A1">
            <w:pPr>
              <w:ind w:left="54" w:right="68"/>
              <w:rPr>
                <w:rFonts w:cs="Linux Libertine"/>
                <w:sz w:val="18"/>
                <w:szCs w:val="18"/>
              </w:rPr>
            </w:pPr>
            <w:r w:rsidRPr="00257AD3">
              <w:rPr>
                <w:rFonts w:cs="Linux Libertine"/>
                <w:sz w:val="18"/>
                <w:szCs w:val="18"/>
              </w:rPr>
              <w:t>Ende District Court</w:t>
            </w:r>
          </w:p>
        </w:tc>
        <w:tc>
          <w:tcPr>
            <w:tcW w:w="810" w:type="dxa"/>
            <w:tcBorders>
              <w:top w:val="single" w:sz="8" w:space="0" w:color="9E9E9E"/>
              <w:left w:val="single" w:sz="8" w:space="0" w:color="9E9E9E"/>
              <w:bottom w:val="single" w:sz="8" w:space="0" w:color="9E9E9E"/>
              <w:right w:val="single" w:sz="8" w:space="0" w:color="9E9E9E"/>
            </w:tcBorders>
          </w:tcPr>
          <w:p w14:paraId="5D7017CD"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4DE991"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Herison</w:t>
            </w:r>
            <w:proofErr w:type="spellEnd"/>
            <w:r w:rsidRPr="00257AD3">
              <w:rPr>
                <w:rFonts w:cs="Linux Libertine"/>
                <w:sz w:val="18"/>
                <w:szCs w:val="18"/>
              </w:rPr>
              <w:t xml:space="preserve"> </w:t>
            </w:r>
            <w:proofErr w:type="spellStart"/>
            <w:r w:rsidRPr="00257AD3">
              <w:rPr>
                <w:rFonts w:cs="Linux Libertine"/>
                <w:sz w:val="18"/>
                <w:szCs w:val="18"/>
              </w:rPr>
              <w:t>Yohanes</w:t>
            </w:r>
            <w:proofErr w:type="spellEnd"/>
            <w:r w:rsidRPr="00257AD3">
              <w:rPr>
                <w:rFonts w:cs="Linux Libertine"/>
                <w:sz w:val="18"/>
                <w:szCs w:val="18"/>
              </w:rPr>
              <w:t xml:space="preserve"> </w:t>
            </w:r>
            <w:proofErr w:type="spellStart"/>
            <w:r w:rsidRPr="00257AD3">
              <w:rPr>
                <w:rFonts w:cs="Linux Libertine"/>
                <w:sz w:val="18"/>
                <w:szCs w:val="18"/>
              </w:rPr>
              <w:t>Riwu</w:t>
            </w:r>
            <w:proofErr w:type="spellEnd"/>
            <w:r w:rsidRPr="00257AD3">
              <w:rPr>
                <w:rFonts w:cs="Linux Libertine"/>
                <w:sz w:val="18"/>
                <w:szCs w:val="18"/>
              </w:rPr>
              <w:t xml:space="preserve"> / Host Case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062E34" w14:textId="77777777" w:rsidR="00FA01A1" w:rsidRPr="00257AD3" w:rsidRDefault="00FA01A1" w:rsidP="00FA01A1">
            <w:pPr>
              <w:ind w:right="87"/>
              <w:rPr>
                <w:rFonts w:cs="Linux Libertine"/>
                <w:sz w:val="18"/>
                <w:szCs w:val="18"/>
              </w:rPr>
            </w:pPr>
            <w:r w:rsidRPr="00257AD3">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74227"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21B406"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and 6 months sentence</w:t>
            </w:r>
          </w:p>
        </w:tc>
      </w:tr>
      <w:tr w:rsidR="00FA01A1" w:rsidRPr="00257AD3" w14:paraId="7A24F885"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2E56BF"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2AD56" w14:textId="77777777" w:rsidR="00FA01A1" w:rsidRPr="00257AD3" w:rsidRDefault="00FA01A1" w:rsidP="00FA01A1">
            <w:pPr>
              <w:ind w:left="54" w:right="68"/>
              <w:rPr>
                <w:rFonts w:cs="Linux Libertine"/>
                <w:sz w:val="18"/>
                <w:szCs w:val="18"/>
              </w:rPr>
            </w:pPr>
            <w:r w:rsidRPr="00257AD3">
              <w:rPr>
                <w:rFonts w:cs="Linux Libertine"/>
                <w:sz w:val="18"/>
                <w:szCs w:val="18"/>
              </w:rPr>
              <w:t xml:space="preserve">District Court </w:t>
            </w:r>
            <w:proofErr w:type="spellStart"/>
            <w:r w:rsidRPr="00257AD3">
              <w:rPr>
                <w:rFonts w:cs="Linux Libertine"/>
                <w:sz w:val="18"/>
                <w:szCs w:val="18"/>
              </w:rPr>
              <w:t>Lubuk</w:t>
            </w:r>
            <w:proofErr w:type="spellEnd"/>
            <w:r w:rsidRPr="00257AD3">
              <w:rPr>
                <w:rFonts w:cs="Linux Libertine"/>
                <w:sz w:val="18"/>
                <w:szCs w:val="18"/>
              </w:rPr>
              <w:t xml:space="preserve"> </w:t>
            </w:r>
            <w:proofErr w:type="spellStart"/>
            <w:r w:rsidRPr="00257AD3">
              <w:rPr>
                <w:rFonts w:cs="Linux Libertine"/>
                <w:sz w:val="18"/>
                <w:szCs w:val="18"/>
              </w:rPr>
              <w:t>Pakam</w:t>
            </w:r>
            <w:proofErr w:type="spellEnd"/>
          </w:p>
        </w:tc>
        <w:tc>
          <w:tcPr>
            <w:tcW w:w="810" w:type="dxa"/>
            <w:tcBorders>
              <w:top w:val="single" w:sz="8" w:space="0" w:color="9E9E9E"/>
              <w:left w:val="single" w:sz="8" w:space="0" w:color="9E9E9E"/>
              <w:bottom w:val="single" w:sz="8" w:space="0" w:color="9E9E9E"/>
              <w:right w:val="single" w:sz="8" w:space="0" w:color="9E9E9E"/>
            </w:tcBorders>
          </w:tcPr>
          <w:p w14:paraId="2B808ED1"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F3A1D8"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Khairuddin</w:t>
            </w:r>
            <w:proofErr w:type="spellEnd"/>
            <w:r w:rsidRPr="00257AD3">
              <w:rPr>
                <w:rFonts w:cs="Linux Libertine"/>
                <w:sz w:val="18"/>
                <w:szCs w:val="18"/>
              </w:rPr>
              <w:t xml:space="preserve"> or </w:t>
            </w:r>
            <w:proofErr w:type="spellStart"/>
            <w:r w:rsidRPr="00257AD3">
              <w:rPr>
                <w:rFonts w:cs="Linux Libertine"/>
                <w:sz w:val="18"/>
                <w:szCs w:val="18"/>
              </w:rPr>
              <w:t>Udin</w:t>
            </w:r>
            <w:proofErr w:type="spellEnd"/>
            <w:r w:rsidRPr="00257AD3">
              <w:rPr>
                <w:rFonts w:cs="Linux Libertine"/>
                <w:sz w:val="18"/>
                <w:szCs w:val="18"/>
              </w:rPr>
              <w:t xml:space="preserve"> / Islam </w:t>
            </w:r>
            <w:proofErr w:type="spellStart"/>
            <w:r w:rsidRPr="00257AD3">
              <w:rPr>
                <w:rFonts w:cs="Linux Libertine"/>
                <w:sz w:val="18"/>
                <w:szCs w:val="18"/>
              </w:rPr>
              <w:t>Kaffah</w:t>
            </w:r>
            <w:proofErr w:type="spellEnd"/>
            <w:r w:rsidRPr="00257AD3">
              <w:rPr>
                <w:rFonts w:cs="Linux Libertine"/>
                <w:sz w:val="18"/>
                <w:szCs w:val="18"/>
              </w:rPr>
              <w:t xml:space="preserve"> sect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94C4F9" w14:textId="77777777" w:rsidR="00FA01A1" w:rsidRPr="00257AD3" w:rsidRDefault="00FA01A1" w:rsidP="00FA01A1">
            <w:pPr>
              <w:ind w:right="87"/>
              <w:rPr>
                <w:rFonts w:cs="Linux Libertine"/>
                <w:sz w:val="18"/>
                <w:szCs w:val="18"/>
              </w:rPr>
            </w:pPr>
            <w:r w:rsidRPr="00257AD3">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52E58"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DFAE0D"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sentence</w:t>
            </w:r>
          </w:p>
        </w:tc>
      </w:tr>
      <w:tr w:rsidR="00FA01A1" w:rsidRPr="00257AD3" w14:paraId="5550DAFC"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EF150"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5C7297" w14:textId="77777777" w:rsidR="00FA01A1" w:rsidRPr="00257AD3" w:rsidRDefault="00FA01A1" w:rsidP="00FA01A1">
            <w:pPr>
              <w:ind w:left="54" w:right="68"/>
              <w:rPr>
                <w:rFonts w:cs="Linux Libertine"/>
                <w:sz w:val="18"/>
                <w:szCs w:val="18"/>
              </w:rPr>
            </w:pPr>
            <w:proofErr w:type="spellStart"/>
            <w:r w:rsidRPr="00257AD3">
              <w:rPr>
                <w:rFonts w:cs="Linux Libertine"/>
                <w:sz w:val="18"/>
                <w:szCs w:val="18"/>
              </w:rPr>
              <w:t>Pati</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45A4CD51"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57AAF" w14:textId="77777777" w:rsidR="00FA01A1" w:rsidRPr="00257AD3" w:rsidRDefault="00FA01A1" w:rsidP="00FA01A1">
            <w:pPr>
              <w:ind w:left="74" w:right="145"/>
              <w:jc w:val="both"/>
              <w:rPr>
                <w:rFonts w:cs="Linux Libertine"/>
                <w:sz w:val="18"/>
                <w:szCs w:val="18"/>
              </w:rPr>
            </w:pPr>
            <w:r w:rsidRPr="00257AD3">
              <w:rPr>
                <w:rFonts w:cs="Linux Libertine"/>
                <w:sz w:val="18"/>
                <w:szCs w:val="18"/>
              </w:rPr>
              <w:t xml:space="preserve">Muhamad </w:t>
            </w:r>
            <w:proofErr w:type="spellStart"/>
            <w:r w:rsidRPr="00257AD3">
              <w:rPr>
                <w:rFonts w:cs="Linux Libertine"/>
                <w:sz w:val="18"/>
                <w:szCs w:val="18"/>
              </w:rPr>
              <w:t>Rokhisun</w:t>
            </w:r>
            <w:proofErr w:type="spellEnd"/>
            <w:r w:rsidRPr="00257AD3">
              <w:rPr>
                <w:rFonts w:cs="Linux Libertine"/>
                <w:sz w:val="18"/>
                <w:szCs w:val="18"/>
              </w:rPr>
              <w:t xml:space="preserve"> bin Ruslan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2078BE" w14:textId="77777777" w:rsidR="00FA01A1" w:rsidRPr="00257AD3" w:rsidRDefault="00FA01A1" w:rsidP="00FA01A1">
            <w:pPr>
              <w:ind w:right="87"/>
              <w:rPr>
                <w:rFonts w:cs="Linux Libertine"/>
                <w:sz w:val="18"/>
                <w:szCs w:val="18"/>
              </w:rPr>
            </w:pPr>
            <w:r w:rsidRPr="00257AD3">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C503D0"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3026E4" w14:textId="77777777" w:rsidR="00FA01A1" w:rsidRPr="00257AD3" w:rsidRDefault="00FA01A1" w:rsidP="00FA01A1">
            <w:pPr>
              <w:ind w:left="48" w:right="161"/>
              <w:jc w:val="both"/>
              <w:rPr>
                <w:rFonts w:cs="Linux Libertine"/>
                <w:sz w:val="18"/>
                <w:szCs w:val="18"/>
              </w:rPr>
            </w:pPr>
            <w:r w:rsidRPr="00257AD3">
              <w:rPr>
                <w:rFonts w:cs="Linux Libertine"/>
                <w:sz w:val="18"/>
                <w:szCs w:val="18"/>
              </w:rPr>
              <w:t>4 years sentence</w:t>
            </w:r>
          </w:p>
        </w:tc>
      </w:tr>
      <w:tr w:rsidR="00FA01A1" w:rsidRPr="00257AD3" w14:paraId="4A5A2D87"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EDCD71"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EF1E00" w14:textId="77777777" w:rsidR="00FA01A1" w:rsidRPr="00257AD3" w:rsidRDefault="00FA01A1" w:rsidP="00FA01A1">
            <w:pPr>
              <w:ind w:left="54" w:right="68"/>
              <w:rPr>
                <w:rFonts w:cs="Linux Libertine"/>
                <w:sz w:val="18"/>
                <w:szCs w:val="18"/>
              </w:rPr>
            </w:pPr>
            <w:r w:rsidRPr="00257AD3">
              <w:rPr>
                <w:rFonts w:cs="Linux Libertine"/>
                <w:sz w:val="18"/>
                <w:szCs w:val="18"/>
              </w:rPr>
              <w:t>District Court Bale Bandung</w:t>
            </w:r>
          </w:p>
        </w:tc>
        <w:tc>
          <w:tcPr>
            <w:tcW w:w="810" w:type="dxa"/>
            <w:tcBorders>
              <w:top w:val="single" w:sz="8" w:space="0" w:color="9E9E9E"/>
              <w:left w:val="single" w:sz="8" w:space="0" w:color="9E9E9E"/>
              <w:bottom w:val="single" w:sz="8" w:space="0" w:color="9E9E9E"/>
              <w:right w:val="single" w:sz="8" w:space="0" w:color="9E9E9E"/>
            </w:tcBorders>
          </w:tcPr>
          <w:p w14:paraId="3A5EB773"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B07B43"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Rohmansyah</w:t>
            </w:r>
            <w:proofErr w:type="spellEnd"/>
            <w:r w:rsidRPr="00257AD3">
              <w:rPr>
                <w:rFonts w:cs="Linux Libertine"/>
                <w:sz w:val="18"/>
                <w:szCs w:val="18"/>
              </w:rPr>
              <w:t xml:space="preserve"> / </w:t>
            </w:r>
            <w:proofErr w:type="spellStart"/>
            <w:r w:rsidRPr="00257AD3">
              <w:rPr>
                <w:rFonts w:cs="Linux Libertine"/>
                <w:sz w:val="18"/>
                <w:szCs w:val="18"/>
              </w:rPr>
              <w:t>Qur'aniyah</w:t>
            </w:r>
            <w:proofErr w:type="spellEnd"/>
            <w:r w:rsidRPr="00257AD3">
              <w:rPr>
                <w:rFonts w:cs="Linux Libertine"/>
                <w:sz w:val="18"/>
                <w:szCs w:val="18"/>
              </w:rPr>
              <w:t xml:space="preserve"> sect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7593EE" w14:textId="77777777" w:rsidR="00FA01A1" w:rsidRPr="00257AD3" w:rsidRDefault="00FA01A1" w:rsidP="00FA01A1">
            <w:pPr>
              <w:ind w:right="87"/>
              <w:rPr>
                <w:rFonts w:cs="Linux Libertine"/>
                <w:sz w:val="18"/>
                <w:szCs w:val="18"/>
              </w:rPr>
            </w:pPr>
            <w:r w:rsidRPr="00257AD3">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B8DC17"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E034E7" w14:textId="77777777" w:rsidR="00FA01A1" w:rsidRPr="00257AD3" w:rsidRDefault="00FA01A1" w:rsidP="00FA01A1">
            <w:pPr>
              <w:ind w:left="48" w:right="161"/>
              <w:jc w:val="both"/>
              <w:rPr>
                <w:rFonts w:cs="Linux Libertine"/>
                <w:sz w:val="18"/>
                <w:szCs w:val="18"/>
              </w:rPr>
            </w:pPr>
            <w:r w:rsidRPr="00257AD3">
              <w:rPr>
                <w:rFonts w:cs="Linux Libertine"/>
                <w:sz w:val="18"/>
                <w:szCs w:val="18"/>
              </w:rPr>
              <w:t>2 years and 6 months sentence</w:t>
            </w:r>
          </w:p>
        </w:tc>
      </w:tr>
      <w:tr w:rsidR="00FA01A1" w:rsidRPr="00257AD3" w14:paraId="10F707A2" w14:textId="77777777" w:rsidTr="00FA01A1">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9162F2"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8D9BA7" w14:textId="77777777" w:rsidR="00FA01A1" w:rsidRPr="00257AD3" w:rsidRDefault="00FA01A1" w:rsidP="00FA01A1">
            <w:pPr>
              <w:ind w:left="54" w:right="68"/>
              <w:rPr>
                <w:rFonts w:cs="Linux Libertine"/>
                <w:sz w:val="18"/>
                <w:szCs w:val="18"/>
              </w:rPr>
            </w:pPr>
            <w:proofErr w:type="spellStart"/>
            <w:r w:rsidRPr="00257AD3">
              <w:rPr>
                <w:rFonts w:cs="Linux Libertine"/>
                <w:sz w:val="18"/>
                <w:szCs w:val="18"/>
              </w:rPr>
              <w:t>Sangatta</w:t>
            </w:r>
            <w:proofErr w:type="spellEnd"/>
            <w:r w:rsidRPr="00257AD3">
              <w:rPr>
                <w:rFonts w:cs="Linux Libertine"/>
                <w:sz w:val="18"/>
                <w:szCs w:val="18"/>
              </w:rPr>
              <w:t xml:space="preserve"> District Court</w:t>
            </w:r>
          </w:p>
        </w:tc>
        <w:tc>
          <w:tcPr>
            <w:tcW w:w="810" w:type="dxa"/>
            <w:tcBorders>
              <w:top w:val="single" w:sz="8" w:space="0" w:color="9E9E9E"/>
              <w:left w:val="single" w:sz="8" w:space="0" w:color="9E9E9E"/>
              <w:bottom w:val="single" w:sz="8" w:space="0" w:color="9E9E9E"/>
              <w:right w:val="single" w:sz="8" w:space="0" w:color="9E9E9E"/>
            </w:tcBorders>
          </w:tcPr>
          <w:p w14:paraId="27994949"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9D3EE0"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Syeh</w:t>
            </w:r>
            <w:proofErr w:type="spellEnd"/>
            <w:r w:rsidRPr="00257AD3">
              <w:rPr>
                <w:rFonts w:cs="Linux Libertine"/>
                <w:sz w:val="18"/>
                <w:szCs w:val="18"/>
              </w:rPr>
              <w:t xml:space="preserve"> Muhammad (Teacher of </w:t>
            </w:r>
            <w:proofErr w:type="spellStart"/>
            <w:r w:rsidRPr="00257AD3">
              <w:rPr>
                <w:rFonts w:cs="Linux Libertine"/>
                <w:sz w:val="18"/>
                <w:szCs w:val="18"/>
              </w:rPr>
              <w:t>Bantil</w:t>
            </w:r>
            <w:proofErr w:type="spellEnd"/>
            <w:r w:rsidRPr="00257AD3">
              <w:rPr>
                <w:rFonts w:cs="Linux Libertine"/>
                <w:sz w:val="18"/>
                <w:szCs w:val="18"/>
              </w:rPr>
              <w:t>) (2014)</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1EA8C" w14:textId="77777777" w:rsidR="00FA01A1" w:rsidRPr="00257AD3" w:rsidRDefault="00FA01A1" w:rsidP="00FA01A1">
            <w:pPr>
              <w:ind w:right="87"/>
              <w:rPr>
                <w:rFonts w:cs="Linux Libertine"/>
                <w:sz w:val="18"/>
                <w:szCs w:val="18"/>
              </w:rPr>
            </w:pPr>
            <w:r w:rsidRPr="00257AD3">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0FC829"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87EBBCA" w14:textId="77777777" w:rsidR="00FA01A1" w:rsidRPr="00257AD3" w:rsidRDefault="00FA01A1" w:rsidP="00FA01A1">
            <w:pPr>
              <w:ind w:left="48" w:right="161"/>
              <w:jc w:val="both"/>
              <w:rPr>
                <w:rFonts w:cs="Linux Libertine"/>
                <w:sz w:val="18"/>
                <w:szCs w:val="18"/>
              </w:rPr>
            </w:pPr>
            <w:r w:rsidRPr="00257AD3">
              <w:rPr>
                <w:rFonts w:cs="Linux Libertine"/>
                <w:sz w:val="18"/>
                <w:szCs w:val="18"/>
              </w:rPr>
              <w:t>3 years sentence</w:t>
            </w:r>
          </w:p>
        </w:tc>
      </w:tr>
      <w:tr w:rsidR="00FA01A1" w:rsidRPr="00257AD3" w14:paraId="4EB312F8" w14:textId="77777777" w:rsidTr="00FA01A1">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6FEC7DC2" w14:textId="77777777" w:rsidR="00FA01A1" w:rsidRPr="00257AD3" w:rsidRDefault="00FA01A1" w:rsidP="00FA01A1">
            <w:pPr>
              <w:ind w:right="-552" w:firstLine="60"/>
              <w:jc w:val="both"/>
              <w:rPr>
                <w:rFonts w:cs="Linux Libertine"/>
                <w:sz w:val="18"/>
                <w:szCs w:val="18"/>
              </w:rPr>
            </w:pPr>
            <w:r w:rsidRPr="00257AD3">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EA1663F" w14:textId="77777777" w:rsidR="00FA01A1" w:rsidRPr="00257AD3" w:rsidRDefault="00FA01A1" w:rsidP="00FA01A1">
            <w:pPr>
              <w:ind w:left="54" w:right="68"/>
              <w:rPr>
                <w:rFonts w:cs="Linux Libertine"/>
                <w:sz w:val="18"/>
                <w:szCs w:val="18"/>
              </w:rPr>
            </w:pPr>
            <w:r w:rsidRPr="00257AD3">
              <w:rPr>
                <w:rFonts w:cs="Linux Libertine"/>
                <w:sz w:val="18"/>
                <w:szCs w:val="18"/>
              </w:rPr>
              <w:t>District Court North Jakarta and Supreme Court</w:t>
            </w:r>
          </w:p>
        </w:tc>
        <w:tc>
          <w:tcPr>
            <w:tcW w:w="810" w:type="dxa"/>
            <w:tcBorders>
              <w:top w:val="single" w:sz="8" w:space="0" w:color="9E9E9E"/>
              <w:left w:val="single" w:sz="8" w:space="0" w:color="9E9E9E"/>
              <w:bottom w:val="single" w:sz="4" w:space="0" w:color="auto"/>
              <w:right w:val="single" w:sz="8" w:space="0" w:color="9E9E9E"/>
            </w:tcBorders>
          </w:tcPr>
          <w:p w14:paraId="70DC78F1" w14:textId="77777777" w:rsidR="00FA01A1" w:rsidRPr="00257AD3" w:rsidRDefault="00FA01A1" w:rsidP="00FA01A1">
            <w:pPr>
              <w:ind w:left="74" w:right="145"/>
              <w:jc w:val="both"/>
              <w:rPr>
                <w:rFonts w:cs="Linux Libertine"/>
                <w:sz w:val="18"/>
                <w:szCs w:val="18"/>
              </w:rPr>
            </w:pPr>
          </w:p>
        </w:tc>
        <w:tc>
          <w:tcPr>
            <w:tcW w:w="162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18B1A2" w14:textId="77777777" w:rsidR="00FA01A1" w:rsidRPr="00257AD3" w:rsidRDefault="00FA01A1" w:rsidP="00FA01A1">
            <w:pPr>
              <w:ind w:left="74" w:right="145"/>
              <w:jc w:val="both"/>
              <w:rPr>
                <w:rFonts w:cs="Linux Libertine"/>
                <w:sz w:val="18"/>
                <w:szCs w:val="18"/>
              </w:rPr>
            </w:pPr>
            <w:proofErr w:type="spellStart"/>
            <w:r w:rsidRPr="00257AD3">
              <w:rPr>
                <w:rFonts w:cs="Linux Libertine"/>
                <w:sz w:val="18"/>
                <w:szCs w:val="18"/>
              </w:rPr>
              <w:t>Ahok</w:t>
            </w:r>
            <w:proofErr w:type="spellEnd"/>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F6365E6" w14:textId="77777777" w:rsidR="00FA01A1" w:rsidRPr="00257AD3" w:rsidRDefault="00FA01A1" w:rsidP="00FA01A1">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348FE6D" w14:textId="77777777" w:rsidR="00FA01A1" w:rsidRPr="00257AD3" w:rsidRDefault="00FA01A1" w:rsidP="00FA01A1">
            <w:pPr>
              <w:ind w:left="145" w:right="275" w:firstLine="102"/>
              <w:jc w:val="center"/>
              <w:rPr>
                <w:rFonts w:cs="Linux Libertine"/>
                <w:sz w:val="18"/>
                <w:szCs w:val="18"/>
              </w:rPr>
            </w:pPr>
            <w:r w:rsidRPr="00257AD3">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555537" w14:textId="77777777" w:rsidR="00FA01A1" w:rsidRPr="00257AD3" w:rsidRDefault="00FA01A1" w:rsidP="00FA01A1">
            <w:pPr>
              <w:ind w:left="48" w:right="161"/>
              <w:jc w:val="both"/>
              <w:rPr>
                <w:rFonts w:cs="Linux Libertine"/>
                <w:sz w:val="18"/>
                <w:szCs w:val="18"/>
              </w:rPr>
            </w:pPr>
            <w:r w:rsidRPr="00257AD3">
              <w:rPr>
                <w:rFonts w:cs="Linux Libertine"/>
                <w:sz w:val="18"/>
                <w:szCs w:val="18"/>
              </w:rPr>
              <w:t>2 years sentence a</w:t>
            </w:r>
          </w:p>
        </w:tc>
      </w:tr>
      <w:tr w:rsidR="00FA01A1" w:rsidRPr="00257AD3" w14:paraId="56B94F99" w14:textId="77777777" w:rsidTr="00FA01A1">
        <w:trPr>
          <w:trHeight w:val="530"/>
        </w:trPr>
        <w:tc>
          <w:tcPr>
            <w:tcW w:w="8370" w:type="dxa"/>
            <w:gridSpan w:val="7"/>
            <w:tcBorders>
              <w:top w:val="single" w:sz="4" w:space="0" w:color="auto"/>
            </w:tcBorders>
            <w:tcMar>
              <w:top w:w="20" w:type="dxa"/>
              <w:left w:w="20" w:type="dxa"/>
              <w:bottom w:w="20" w:type="dxa"/>
              <w:right w:w="20" w:type="dxa"/>
            </w:tcMar>
          </w:tcPr>
          <w:p w14:paraId="46EB94D3" w14:textId="77777777" w:rsidR="00FA01A1" w:rsidRPr="00257AD3" w:rsidRDefault="00FA01A1" w:rsidP="00FA01A1">
            <w:pPr>
              <w:ind w:left="48" w:right="161"/>
              <w:jc w:val="both"/>
              <w:rPr>
                <w:rFonts w:cs="Linux Libertine"/>
                <w:sz w:val="18"/>
                <w:szCs w:val="18"/>
              </w:rPr>
            </w:pPr>
            <w:r w:rsidRPr="00257AD3">
              <w:rPr>
                <w:rFonts w:cs="Linux Libertine"/>
                <w:sz w:val="18"/>
                <w:szCs w:val="18"/>
              </w:rPr>
              <w:t>Sources: Cited from Court Decision Directory at Indonesia Supreme Court and Categorized by Author.</w:t>
            </w:r>
          </w:p>
        </w:tc>
      </w:tr>
    </w:tbl>
    <w:p w14:paraId="1E2F7E78" w14:textId="77777777" w:rsidR="00FA01A1" w:rsidRPr="006F7344" w:rsidRDefault="00FA01A1" w:rsidP="00FA01A1">
      <w:pPr>
        <w:pStyle w:val="ParagraphNormal"/>
      </w:pPr>
      <w:r w:rsidRPr="006F7344">
        <w:t xml:space="preserve">This research includes 62 blasphemy cases from 1965 to 2018. Figure 15 shows examples by sentence length. 14 offenders (22.5%) out of 62 were sentenced to 1 year in jail. 14 or 23% were sentenced between 1 and 4 years, 28 or 45% were sentenced above 4 years, and 14 or 20% were not brought before the court, including 1 case where the defendant was not found guilty. Not all IBL cases should be brought to court, as they are commonly utilized against </w:t>
      </w:r>
      <w:r w:rsidRPr="006F7344">
        <w:lastRenderedPageBreak/>
        <w:t xml:space="preserve">minority religions or sects. Alternative conflict resolution, such as communication </w:t>
      </w:r>
      <w:commentRangeStart w:id="51"/>
      <w:r w:rsidRPr="006F7344">
        <w:t xml:space="preserve">or </w:t>
      </w:r>
      <w:commentRangeEnd w:id="51"/>
      <w:r w:rsidR="003C7223">
        <w:rPr>
          <w:rStyle w:val="CommentReference"/>
        </w:rPr>
        <w:commentReference w:id="51"/>
      </w:r>
      <w:r w:rsidRPr="006F7344">
        <w:t>mediation out of court, should be continued as the best feasible option.</w:t>
      </w:r>
      <w:r w:rsidRPr="006F7344">
        <w:rPr>
          <w:noProof/>
        </w:rPr>
        <mc:AlternateContent>
          <mc:Choice Requires="wps">
            <w:drawing>
              <wp:anchor distT="0" distB="0" distL="114300" distR="114300" simplePos="0" relativeHeight="251660288" behindDoc="0" locked="0" layoutInCell="1" allowOverlap="1" wp14:anchorId="332D1545" wp14:editId="6395D9B2">
                <wp:simplePos x="0" y="0"/>
                <wp:positionH relativeFrom="column">
                  <wp:posOffset>342265</wp:posOffset>
                </wp:positionH>
                <wp:positionV relativeFrom="paragraph">
                  <wp:posOffset>2763520</wp:posOffset>
                </wp:positionV>
                <wp:extent cx="472821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728210" cy="635"/>
                        </a:xfrm>
                        <a:prstGeom prst="rect">
                          <a:avLst/>
                        </a:prstGeom>
                        <a:solidFill>
                          <a:prstClr val="white"/>
                        </a:solidFill>
                        <a:ln>
                          <a:noFill/>
                        </a:ln>
                      </wps:spPr>
                      <wps:txbx>
                        <w:txbxContent>
                          <w:p w14:paraId="2A036962" w14:textId="77777777" w:rsidR="00FA01A1" w:rsidRPr="007817F6" w:rsidRDefault="00FA01A1" w:rsidP="00FA01A1">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5FEEA453" w14:textId="77777777" w:rsidR="00FA01A1" w:rsidRPr="007817F6" w:rsidRDefault="00FA01A1" w:rsidP="00FA01A1">
                            <w:pPr>
                              <w:pStyle w:val="ParagraphNormal"/>
                              <w:jc w:val="center"/>
                              <w:rPr>
                                <w:sz w:val="16"/>
                                <w:szCs w:val="16"/>
                              </w:rPr>
                            </w:pPr>
                            <w:r w:rsidRPr="007817F6">
                              <w:rPr>
                                <w:sz w:val="16"/>
                                <w:szCs w:val="16"/>
                              </w:rPr>
                              <w:t xml:space="preserve">Source: The Supreme Court Directory </w:t>
                            </w:r>
                            <w:proofErr w:type="spellStart"/>
                            <w:r w:rsidRPr="007817F6">
                              <w:rPr>
                                <w:sz w:val="16"/>
                                <w:szCs w:val="16"/>
                              </w:rPr>
                              <w:t>analyzed</w:t>
                            </w:r>
                            <w:proofErr w:type="spellEnd"/>
                            <w:r w:rsidRPr="007817F6">
                              <w:rPr>
                                <w:sz w:val="16"/>
                                <w:szCs w:val="16"/>
                              </w:rPr>
                              <w:t xml:space="preserve"> by the writer based on the data on Table provides on Appendix.</w:t>
                            </w:r>
                          </w:p>
                          <w:p w14:paraId="6122E82E" w14:textId="77777777" w:rsidR="00FA01A1" w:rsidRPr="007817F6" w:rsidRDefault="00FA01A1" w:rsidP="00FA01A1">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D1545" id="Text Box 41" o:spid="_x0000_s1027" type="#_x0000_t202" style="position:absolute;left:0;text-align:left;margin-left:26.95pt;margin-top:217.6pt;width:37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" stroked="f">
                <v:textbox style="mso-fit-shape-to-text:t" inset="0,0,0,0">
                  <w:txbxContent>
                    <w:p w14:paraId="2A036962" w14:textId="77777777" w:rsidR="00FA01A1" w:rsidRPr="007817F6" w:rsidRDefault="00FA01A1" w:rsidP="00FA01A1">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5FEEA453" w14:textId="77777777" w:rsidR="00FA01A1" w:rsidRPr="007817F6" w:rsidRDefault="00FA01A1" w:rsidP="00FA01A1">
                      <w:pPr>
                        <w:pStyle w:val="ParagraphNormal"/>
                        <w:jc w:val="center"/>
                        <w:rPr>
                          <w:sz w:val="16"/>
                          <w:szCs w:val="16"/>
                        </w:rPr>
                      </w:pPr>
                      <w:r w:rsidRPr="007817F6">
                        <w:rPr>
                          <w:sz w:val="16"/>
                          <w:szCs w:val="16"/>
                        </w:rPr>
                        <w:t xml:space="preserve">Source: The Supreme Court Directory </w:t>
                      </w:r>
                      <w:proofErr w:type="spellStart"/>
                      <w:r w:rsidRPr="007817F6">
                        <w:rPr>
                          <w:sz w:val="16"/>
                          <w:szCs w:val="16"/>
                        </w:rPr>
                        <w:t>analyzed</w:t>
                      </w:r>
                      <w:proofErr w:type="spellEnd"/>
                      <w:r w:rsidRPr="007817F6">
                        <w:rPr>
                          <w:sz w:val="16"/>
                          <w:szCs w:val="16"/>
                        </w:rPr>
                        <w:t xml:space="preserve"> by the writer based on the data on Table provides on Appendix.</w:t>
                      </w:r>
                    </w:p>
                    <w:p w14:paraId="6122E82E" w14:textId="77777777" w:rsidR="00FA01A1" w:rsidRPr="007817F6" w:rsidRDefault="00FA01A1" w:rsidP="00FA01A1">
                      <w:pPr>
                        <w:jc w:val="center"/>
                        <w:rPr>
                          <w:sz w:val="16"/>
                          <w:szCs w:val="16"/>
                        </w:rPr>
                      </w:pPr>
                    </w:p>
                  </w:txbxContent>
                </v:textbox>
                <w10:wrap type="topAndBottom"/>
              </v:shape>
            </w:pict>
          </mc:Fallback>
        </mc:AlternateContent>
      </w:r>
      <w:r w:rsidRPr="006F7344">
        <w:rPr>
          <w:noProof/>
        </w:rPr>
        <w:drawing>
          <wp:anchor distT="0" distB="0" distL="114300" distR="114300" simplePos="0" relativeHeight="251659264" behindDoc="0" locked="0" layoutInCell="1" allowOverlap="1" wp14:anchorId="06CD7582" wp14:editId="1321A8A9">
            <wp:simplePos x="0" y="0"/>
            <wp:positionH relativeFrom="column">
              <wp:posOffset>342265</wp:posOffset>
            </wp:positionH>
            <wp:positionV relativeFrom="paragraph">
              <wp:posOffset>259080</wp:posOffset>
            </wp:positionV>
            <wp:extent cx="4728210" cy="2447925"/>
            <wp:effectExtent l="0" t="0" r="0" b="9525"/>
            <wp:wrapTopAndBottom/>
            <wp:docPr id="40" name="Picture 4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28210" cy="2447925"/>
                    </a:xfrm>
                    <a:prstGeom prst="rect">
                      <a:avLst/>
                    </a:prstGeom>
                  </pic:spPr>
                </pic:pic>
              </a:graphicData>
            </a:graphic>
            <wp14:sizeRelH relativeFrom="page">
              <wp14:pctWidth>0</wp14:pctWidth>
            </wp14:sizeRelH>
            <wp14:sizeRelV relativeFrom="page">
              <wp14:pctHeight>0</wp14:pctHeight>
            </wp14:sizeRelV>
          </wp:anchor>
        </w:drawing>
      </w:r>
    </w:p>
    <w:p w14:paraId="1F138BED" w14:textId="77777777" w:rsidR="00FA01A1" w:rsidRPr="006F7344" w:rsidRDefault="00FA01A1" w:rsidP="00FA01A1">
      <w:pPr>
        <w:pStyle w:val="ParagraphNormal"/>
      </w:pPr>
      <w:r w:rsidRPr="006F7344">
        <w:rPr>
          <w:noProof/>
        </w:rPr>
        <w:drawing>
          <wp:anchor distT="0" distB="0" distL="114300" distR="114300" simplePos="0" relativeHeight="251661312" behindDoc="0" locked="0" layoutInCell="1" allowOverlap="1" wp14:anchorId="0D502A39" wp14:editId="5770837A">
            <wp:simplePos x="0" y="0"/>
            <wp:positionH relativeFrom="margin">
              <wp:align>center</wp:align>
            </wp:positionH>
            <wp:positionV relativeFrom="paragraph">
              <wp:posOffset>899795</wp:posOffset>
            </wp:positionV>
            <wp:extent cx="4363720" cy="2475865"/>
            <wp:effectExtent l="0" t="0" r="0" b="635"/>
            <wp:wrapTopAndBottom/>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363720" cy="2475865"/>
                    </a:xfrm>
                    <a:prstGeom prst="rect">
                      <a:avLst/>
                    </a:prstGeom>
                  </pic:spPr>
                </pic:pic>
              </a:graphicData>
            </a:graphic>
            <wp14:sizeRelH relativeFrom="margin">
              <wp14:pctWidth>0</wp14:pctWidth>
            </wp14:sizeRelH>
            <wp14:sizeRelV relativeFrom="margin">
              <wp14:pctHeight>0</wp14:pctHeight>
            </wp14:sizeRelV>
          </wp:anchor>
        </w:drawing>
      </w:r>
      <w:r w:rsidRPr="006F7344">
        <w:rPr>
          <w:noProof/>
        </w:rPr>
        <mc:AlternateContent>
          <mc:Choice Requires="wps">
            <w:drawing>
              <wp:anchor distT="0" distB="0" distL="114300" distR="114300" simplePos="0" relativeHeight="251662336" behindDoc="0" locked="0" layoutInCell="1" allowOverlap="1" wp14:anchorId="1270D70F" wp14:editId="0DF717F8">
                <wp:simplePos x="0" y="0"/>
                <wp:positionH relativeFrom="margin">
                  <wp:posOffset>213995</wp:posOffset>
                </wp:positionH>
                <wp:positionV relativeFrom="paragraph">
                  <wp:posOffset>3500120</wp:posOffset>
                </wp:positionV>
                <wp:extent cx="4749800" cy="635"/>
                <wp:effectExtent l="0" t="0" r="0" b="9525"/>
                <wp:wrapTopAndBottom/>
                <wp:docPr id="42" name="Text Box 42"/>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0403A070" w14:textId="77777777" w:rsidR="00FA01A1" w:rsidRPr="007817F6" w:rsidRDefault="00FA01A1" w:rsidP="00FA01A1">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A2E9D24" w14:textId="77777777" w:rsidR="00FA01A1" w:rsidRPr="007817F6" w:rsidRDefault="00FA01A1" w:rsidP="00FA01A1">
                            <w:pPr>
                              <w:pStyle w:val="ParagraphNormal"/>
                              <w:spacing w:line="240" w:lineRule="auto"/>
                              <w:ind w:firstLine="0"/>
                              <w:jc w:val="center"/>
                              <w:rPr>
                                <w:sz w:val="16"/>
                                <w:szCs w:val="16"/>
                              </w:rPr>
                            </w:pPr>
                            <w:r w:rsidRPr="007817F6">
                              <w:rPr>
                                <w:sz w:val="16"/>
                                <w:szCs w:val="16"/>
                              </w:rPr>
                              <w:t xml:space="preserve">Source: Writer </w:t>
                            </w:r>
                            <w:proofErr w:type="spellStart"/>
                            <w:r w:rsidRPr="007817F6">
                              <w:rPr>
                                <w:sz w:val="16"/>
                                <w:szCs w:val="16"/>
                              </w:rPr>
                              <w:t>analyzed</w:t>
                            </w:r>
                            <w:proofErr w:type="spellEnd"/>
                            <w:r w:rsidRPr="007817F6">
                              <w:rPr>
                                <w:sz w:val="16"/>
                                <w:szCs w:val="16"/>
                              </w:rPr>
                              <w:t xml:space="preserve"> the Supreme Court Directory. The writer </w:t>
                            </w:r>
                            <w:proofErr w:type="spellStart"/>
                            <w:r w:rsidRPr="007817F6">
                              <w:rPr>
                                <w:sz w:val="16"/>
                                <w:szCs w:val="16"/>
                              </w:rPr>
                              <w:t>analyzed</w:t>
                            </w:r>
                            <w:proofErr w:type="spellEnd"/>
                            <w:r w:rsidRPr="007817F6">
                              <w:rPr>
                                <w:sz w:val="16"/>
                                <w:szCs w:val="16"/>
                              </w:rPr>
                              <w:t xml:space="preserve"> the Supreme Court Directory using the Appendix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0D70F" id="Text Box 42" o:spid="_x0000_s1028" type="#_x0000_t202" style="position:absolute;left:0;text-align:left;margin-left:16.85pt;margin-top:275.6pt;width:374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pGLwIAAGYEAAAOAAAAZHJzL2Uyb0RvYy54bWysVMFu2zAMvQ/YPwi6L06yrO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" stroked="f">
                <v:textbox style="mso-fit-shape-to-text:t" inset="0,0,0,0">
                  <w:txbxContent>
                    <w:p w14:paraId="0403A070" w14:textId="77777777" w:rsidR="00FA01A1" w:rsidRPr="007817F6" w:rsidRDefault="00FA01A1" w:rsidP="00FA01A1">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A2E9D24" w14:textId="77777777" w:rsidR="00FA01A1" w:rsidRPr="007817F6" w:rsidRDefault="00FA01A1" w:rsidP="00FA01A1">
                      <w:pPr>
                        <w:pStyle w:val="ParagraphNormal"/>
                        <w:spacing w:line="240" w:lineRule="auto"/>
                        <w:ind w:firstLine="0"/>
                        <w:jc w:val="center"/>
                        <w:rPr>
                          <w:sz w:val="16"/>
                          <w:szCs w:val="16"/>
                        </w:rPr>
                      </w:pPr>
                      <w:r w:rsidRPr="007817F6">
                        <w:rPr>
                          <w:sz w:val="16"/>
                          <w:szCs w:val="16"/>
                        </w:rPr>
                        <w:t xml:space="preserve">Source: Writer </w:t>
                      </w:r>
                      <w:proofErr w:type="spellStart"/>
                      <w:r w:rsidRPr="007817F6">
                        <w:rPr>
                          <w:sz w:val="16"/>
                          <w:szCs w:val="16"/>
                        </w:rPr>
                        <w:t>analyzed</w:t>
                      </w:r>
                      <w:proofErr w:type="spellEnd"/>
                      <w:r w:rsidRPr="007817F6">
                        <w:rPr>
                          <w:sz w:val="16"/>
                          <w:szCs w:val="16"/>
                        </w:rPr>
                        <w:t xml:space="preserve"> the Supreme Court Directory. The writer </w:t>
                      </w:r>
                      <w:proofErr w:type="spellStart"/>
                      <w:r w:rsidRPr="007817F6">
                        <w:rPr>
                          <w:sz w:val="16"/>
                          <w:szCs w:val="16"/>
                        </w:rPr>
                        <w:t>analyzed</w:t>
                      </w:r>
                      <w:proofErr w:type="spellEnd"/>
                      <w:r w:rsidRPr="007817F6">
                        <w:rPr>
                          <w:sz w:val="16"/>
                          <w:szCs w:val="16"/>
                        </w:rPr>
                        <w:t xml:space="preserve"> the Supreme Court Directory using the Appendix Table.</w:t>
                      </w:r>
                    </w:p>
                  </w:txbxContent>
                </v:textbox>
                <w10:wrap type="topAndBottom" anchorx="margin"/>
              </v:shape>
            </w:pict>
          </mc:Fallback>
        </mc:AlternateContent>
      </w:r>
      <w:r w:rsidRPr="006F7344">
        <w:rPr>
          <w:noProof/>
        </w:rPr>
        <w:t>In figure 16, the public prosecutor based 58 of 62 indictments on Article 156a of the Indonesian Criminal Code. The IET Law is used in 4 cases (6%). The IBLs have been utilized largely to impede religious freedom, not free speech</w:t>
      </w:r>
      <w:r w:rsidRPr="006F7344">
        <w:t>.</w:t>
      </w:r>
    </w:p>
    <w:p w14:paraId="4BEBBDC4" w14:textId="77777777" w:rsidR="00FA01A1" w:rsidRPr="006F7344" w:rsidRDefault="00FA01A1" w:rsidP="00FA01A1">
      <w:pPr>
        <w:pStyle w:val="ParagraphNormal"/>
      </w:pPr>
    </w:p>
    <w:p w14:paraId="2DDBEAA9" w14:textId="77777777" w:rsidR="00FA01A1" w:rsidRPr="006F7344" w:rsidRDefault="00FA01A1" w:rsidP="00FA01A1">
      <w:pPr>
        <w:pStyle w:val="ParagraphNormal"/>
      </w:pPr>
    </w:p>
    <w:p w14:paraId="68C622CB" w14:textId="77777777" w:rsidR="00FA01A1" w:rsidRPr="006F7344" w:rsidRDefault="00FA01A1" w:rsidP="00FA01A1">
      <w:pPr>
        <w:pStyle w:val="ParagraphNormal"/>
      </w:pPr>
    </w:p>
    <w:p w14:paraId="1431B7F1" w14:textId="77777777" w:rsidR="00FA01A1" w:rsidRPr="006F7344" w:rsidRDefault="00FA01A1" w:rsidP="00FA01A1">
      <w:pPr>
        <w:pStyle w:val="ParagraphNormal"/>
      </w:pPr>
      <w:r w:rsidRPr="006F7344">
        <w:t>Meanwhile, Diagram 1.3 shows that most blasphemy victims are Muslim (84%), Christian (5%), Catholic (2%), and Hindu (2%). Muslim community gains more from blasphemy law. The legislation protects the most popular religions. 7% of victims are unidentified.</w:t>
      </w:r>
    </w:p>
    <w:p w14:paraId="526A4522" w14:textId="77777777" w:rsidR="00FA01A1" w:rsidRPr="006F7344" w:rsidRDefault="00FA01A1" w:rsidP="00FA01A1">
      <w:pPr>
        <w:pStyle w:val="ParagraphNormal"/>
      </w:pPr>
      <w:r w:rsidRPr="006F7344">
        <w:rPr>
          <w:noProof/>
        </w:rPr>
        <mc:AlternateContent>
          <mc:Choice Requires="wps">
            <w:drawing>
              <wp:anchor distT="0" distB="0" distL="114300" distR="114300" simplePos="0" relativeHeight="251664384" behindDoc="0" locked="0" layoutInCell="1" allowOverlap="1" wp14:anchorId="5B5F3D70" wp14:editId="6FC4E24D">
                <wp:simplePos x="0" y="0"/>
                <wp:positionH relativeFrom="margin">
                  <wp:align>center</wp:align>
                </wp:positionH>
                <wp:positionV relativeFrom="paragraph">
                  <wp:posOffset>3279140</wp:posOffset>
                </wp:positionV>
                <wp:extent cx="4366895" cy="635"/>
                <wp:effectExtent l="0" t="0" r="0" b="9525"/>
                <wp:wrapTopAndBottom/>
                <wp:docPr id="44" name="Text Box 44"/>
                <wp:cNvGraphicFramePr/>
                <a:graphic xmlns:a="http://schemas.openxmlformats.org/drawingml/2006/main">
                  <a:graphicData uri="http://schemas.microsoft.com/office/word/2010/wordprocessingShape">
                    <wps:wsp>
                      <wps:cNvSpPr txBox="1"/>
                      <wps:spPr>
                        <a:xfrm>
                          <a:off x="0" y="0"/>
                          <a:ext cx="4366895" cy="635"/>
                        </a:xfrm>
                        <a:prstGeom prst="rect">
                          <a:avLst/>
                        </a:prstGeom>
                        <a:solidFill>
                          <a:prstClr val="white"/>
                        </a:solidFill>
                        <a:ln>
                          <a:noFill/>
                        </a:ln>
                      </wps:spPr>
                      <wps:txbx>
                        <w:txbxContent>
                          <w:p w14:paraId="3CA18C6E" w14:textId="77777777" w:rsidR="00FA01A1" w:rsidRPr="007817F6" w:rsidRDefault="00FA01A1" w:rsidP="00FA01A1">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10</w:t>
                            </w:r>
                            <w:r w:rsidRPr="007817F6">
                              <w:rPr>
                                <w:noProof/>
                                <w:sz w:val="16"/>
                                <w:szCs w:val="16"/>
                              </w:rPr>
                              <w:fldChar w:fldCharType="end"/>
                            </w:r>
                            <w:r w:rsidRPr="007817F6">
                              <w:rPr>
                                <w:sz w:val="16"/>
                                <w:szCs w:val="16"/>
                              </w:rPr>
                              <w:t>. The Victims of blasphemy cases from 1965 to 2018</w:t>
                            </w:r>
                          </w:p>
                          <w:p w14:paraId="1C952B0F" w14:textId="77777777" w:rsidR="00FA01A1" w:rsidRPr="007817F6" w:rsidRDefault="00FA01A1" w:rsidP="00FA01A1">
                            <w:pPr>
                              <w:jc w:val="center"/>
                              <w:rPr>
                                <w:sz w:val="16"/>
                                <w:szCs w:val="16"/>
                              </w:rPr>
                            </w:pPr>
                            <w:r w:rsidRPr="007817F6">
                              <w:rPr>
                                <w:sz w:val="16"/>
                                <w:szCs w:val="16"/>
                              </w:rPr>
                              <w:t xml:space="preserve">Source: The Supreme Court Directory </w:t>
                            </w:r>
                            <w:proofErr w:type="spellStart"/>
                            <w:r w:rsidRPr="007817F6">
                              <w:rPr>
                                <w:sz w:val="16"/>
                                <w:szCs w:val="16"/>
                              </w:rPr>
                              <w:t>analyzed</w:t>
                            </w:r>
                            <w:proofErr w:type="spellEnd"/>
                            <w:r w:rsidRPr="007817F6">
                              <w:rPr>
                                <w:sz w:val="16"/>
                                <w:szCs w:val="16"/>
                              </w:rPr>
                              <w:t xml:space="preserve"> by the writer based on the data on Table provides on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F3D70" id="Text Box 44" o:spid="_x0000_s1029" type="#_x0000_t202" style="position:absolute;left:0;text-align:left;margin-left:0;margin-top:258.2pt;width:343.8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" stroked="f">
                <v:textbox style="mso-fit-shape-to-text:t" inset="0,0,0,0">
                  <w:txbxContent>
                    <w:p w14:paraId="3CA18C6E" w14:textId="77777777" w:rsidR="00FA01A1" w:rsidRPr="007817F6" w:rsidRDefault="00FA01A1" w:rsidP="00FA01A1">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10</w:t>
                      </w:r>
                      <w:r w:rsidRPr="007817F6">
                        <w:rPr>
                          <w:noProof/>
                          <w:sz w:val="16"/>
                          <w:szCs w:val="16"/>
                        </w:rPr>
                        <w:fldChar w:fldCharType="end"/>
                      </w:r>
                      <w:r w:rsidRPr="007817F6">
                        <w:rPr>
                          <w:sz w:val="16"/>
                          <w:szCs w:val="16"/>
                        </w:rPr>
                        <w:t>. The Victims of blasphemy cases from 1965 to 2018</w:t>
                      </w:r>
                    </w:p>
                    <w:p w14:paraId="1C952B0F" w14:textId="77777777" w:rsidR="00FA01A1" w:rsidRPr="007817F6" w:rsidRDefault="00FA01A1" w:rsidP="00FA01A1">
                      <w:pPr>
                        <w:jc w:val="center"/>
                        <w:rPr>
                          <w:sz w:val="16"/>
                          <w:szCs w:val="16"/>
                        </w:rPr>
                      </w:pPr>
                      <w:r w:rsidRPr="007817F6">
                        <w:rPr>
                          <w:sz w:val="16"/>
                          <w:szCs w:val="16"/>
                        </w:rPr>
                        <w:t xml:space="preserve">Source: The Supreme Court Directory </w:t>
                      </w:r>
                      <w:proofErr w:type="spellStart"/>
                      <w:r w:rsidRPr="007817F6">
                        <w:rPr>
                          <w:sz w:val="16"/>
                          <w:szCs w:val="16"/>
                        </w:rPr>
                        <w:t>analyzed</w:t>
                      </w:r>
                      <w:proofErr w:type="spellEnd"/>
                      <w:r w:rsidRPr="007817F6">
                        <w:rPr>
                          <w:sz w:val="16"/>
                          <w:szCs w:val="16"/>
                        </w:rPr>
                        <w:t xml:space="preserve"> by the writer based on the data on Table provides on Appendix.</w:t>
                      </w:r>
                    </w:p>
                  </w:txbxContent>
                </v:textbox>
                <w10:wrap type="topAndBottom" anchorx="margin"/>
              </v:shape>
            </w:pict>
          </mc:Fallback>
        </mc:AlternateContent>
      </w:r>
      <w:r w:rsidRPr="006F7344">
        <w:rPr>
          <w:noProof/>
        </w:rPr>
        <w:drawing>
          <wp:anchor distT="0" distB="0" distL="114300" distR="114300" simplePos="0" relativeHeight="251663360" behindDoc="0" locked="0" layoutInCell="1" allowOverlap="1" wp14:anchorId="6F2AA466" wp14:editId="51F1C3C8">
            <wp:simplePos x="0" y="0"/>
            <wp:positionH relativeFrom="margin">
              <wp:align>right</wp:align>
            </wp:positionH>
            <wp:positionV relativeFrom="paragraph">
              <wp:posOffset>200025</wp:posOffset>
            </wp:positionV>
            <wp:extent cx="5197475" cy="2981325"/>
            <wp:effectExtent l="0" t="0" r="3175" b="9525"/>
            <wp:wrapTopAndBottom/>
            <wp:docPr id="43" name="Picture 4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7475" cy="2981325"/>
                    </a:xfrm>
                    <a:prstGeom prst="rect">
                      <a:avLst/>
                    </a:prstGeom>
                  </pic:spPr>
                </pic:pic>
              </a:graphicData>
            </a:graphic>
            <wp14:sizeRelH relativeFrom="page">
              <wp14:pctWidth>0</wp14:pctWidth>
            </wp14:sizeRelH>
            <wp14:sizeRelV relativeFrom="page">
              <wp14:pctHeight>0</wp14:pctHeight>
            </wp14:sizeRelV>
          </wp:anchor>
        </w:drawing>
      </w:r>
    </w:p>
    <w:p w14:paraId="51EB061D" w14:textId="77777777" w:rsidR="00FA01A1" w:rsidRPr="006F7344" w:rsidRDefault="00FA01A1" w:rsidP="00FA01A1">
      <w:pPr>
        <w:pStyle w:val="Heading2"/>
        <w:numPr>
          <w:ilvl w:val="2"/>
          <w:numId w:val="4"/>
        </w:numPr>
      </w:pPr>
      <w:bookmarkStart w:id="52" w:name="_Toc118302796"/>
      <w:bookmarkStart w:id="53" w:name="_Toc121200604"/>
      <w:r w:rsidRPr="006F7344">
        <w:t>Anti-Blasphemy Law justify religious intolerance</w:t>
      </w:r>
      <w:bookmarkEnd w:id="52"/>
      <w:bookmarkEnd w:id="53"/>
    </w:p>
    <w:p w14:paraId="40565B6E" w14:textId="77777777" w:rsidR="00FA01A1" w:rsidRPr="006F7344" w:rsidRDefault="00FA01A1" w:rsidP="00FA01A1">
      <w:pPr>
        <w:pStyle w:val="ParagraphafSubheader"/>
      </w:pPr>
      <w:r w:rsidRPr="006F7344">
        <w:t xml:space="preserve">The </w:t>
      </w:r>
      <w:proofErr w:type="spellStart"/>
      <w:r w:rsidRPr="006F7344">
        <w:rPr>
          <w:i/>
          <w:iCs/>
        </w:rPr>
        <w:t>Gafatar</w:t>
      </w:r>
      <w:proofErr w:type="spellEnd"/>
      <w:r w:rsidRPr="006F7344">
        <w:t xml:space="preserve"> group, which purports to be non-religious, has become a target of the Anti-Defamation of Religion Law and has been designated a "twisted" religious doctrine so it doesn't escape the crowd. AD, a </w:t>
      </w:r>
      <w:proofErr w:type="spellStart"/>
      <w:r w:rsidRPr="006F7344">
        <w:rPr>
          <w:i/>
          <w:iCs/>
        </w:rPr>
        <w:t>Gafatar</w:t>
      </w:r>
      <w:proofErr w:type="spellEnd"/>
      <w:r w:rsidRPr="006F7344">
        <w:rPr>
          <w:i/>
          <w:iCs/>
        </w:rPr>
        <w:t xml:space="preserve"> </w:t>
      </w:r>
      <w:r w:rsidRPr="006F7344">
        <w:t>adherent, said</w:t>
      </w:r>
    </w:p>
    <w:p w14:paraId="4BFE5D15" w14:textId="77777777" w:rsidR="00FA01A1" w:rsidRPr="006F7344" w:rsidRDefault="00FA01A1" w:rsidP="00FA01A1">
      <w:pPr>
        <w:pStyle w:val="Quote"/>
      </w:pPr>
      <w:r w:rsidRPr="006F7344">
        <w:t>“</w:t>
      </w:r>
      <w:proofErr w:type="spellStart"/>
      <w:r w:rsidRPr="006F7344">
        <w:t>Gafatar</w:t>
      </w:r>
      <w:proofErr w:type="spellEnd"/>
      <w:r w:rsidRPr="006F7344">
        <w:t xml:space="preserve">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w:t>
      </w:r>
      <w:proofErr w:type="spellStart"/>
      <w:r w:rsidRPr="006F7344">
        <w:t>Gafatar</w:t>
      </w:r>
      <w:proofErr w:type="spellEnd"/>
      <w:r w:rsidRPr="006F7344">
        <w:t xml:space="preserve">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w:t>
      </w:r>
      <w:proofErr w:type="spellStart"/>
      <w:r w:rsidRPr="006F7344">
        <w:t>Gafatar</w:t>
      </w:r>
      <w:proofErr w:type="spellEnd"/>
      <w:r w:rsidRPr="006F7344">
        <w:t xml:space="preserve"> chose to become a legal mass organization, so it has a </w:t>
      </w:r>
      <w:r w:rsidRPr="006F7344">
        <w:lastRenderedPageBreak/>
        <w:t xml:space="preserve">founding body (20 people) and a notarial deed of establishment, initially in 2011 there were 4 regional representative councils (DPD), DKI Jakarta, West Java, East Java, and Jogjakarta, each of which has its own SKT (Registered Certificate) </w:t>
      </w:r>
      <w:proofErr w:type="spellStart"/>
      <w:r w:rsidRPr="006F7344">
        <w:t>Kesbangpol</w:t>
      </w:r>
      <w:proofErr w:type="spellEnd"/>
      <w:r w:rsidRPr="006F7344">
        <w:t xml:space="preserve"> Province.”</w:t>
      </w:r>
      <w:r w:rsidRPr="00E82028">
        <w:rPr>
          <w:rStyle w:val="FootnoteReference"/>
        </w:rPr>
        <w:footnoteReference w:id="19"/>
      </w:r>
    </w:p>
    <w:p w14:paraId="7845CB76" w14:textId="77777777" w:rsidR="00FA01A1" w:rsidRPr="006F7344" w:rsidRDefault="00FA01A1" w:rsidP="00FA01A1">
      <w:pPr>
        <w:pStyle w:val="ParagraphNormal"/>
      </w:pPr>
      <w:r w:rsidRPr="006F7344">
        <w:t xml:space="preserve">The similar thing occurred in the case of </w:t>
      </w:r>
      <w:proofErr w:type="spellStart"/>
      <w:r w:rsidRPr="006F7344">
        <w:t>Ahok</w:t>
      </w:r>
      <w:proofErr w:type="spellEnd"/>
      <w:r w:rsidRPr="006F7344">
        <w:t xml:space="preserve">. The court concluded in its legal analysis that </w:t>
      </w:r>
      <w:proofErr w:type="spellStart"/>
      <w:r w:rsidRPr="006F7344">
        <w:t>Ahok's</w:t>
      </w:r>
      <w:proofErr w:type="spellEnd"/>
      <w:r w:rsidRPr="006F7344">
        <w:t xml:space="preserve"> actions might disrupt interreligious peace. The court deemed </w:t>
      </w:r>
      <w:proofErr w:type="spellStart"/>
      <w:r w:rsidRPr="006F7344">
        <w:t>Ahok</w:t>
      </w:r>
      <w:proofErr w:type="spellEnd"/>
      <w:r w:rsidRPr="006F7344">
        <w:t xml:space="preserve"> less attentive to issues that may spark rage and disrupt unity. </w:t>
      </w:r>
      <w:proofErr w:type="spellStart"/>
      <w:r w:rsidRPr="006F7344">
        <w:t>Ahok's</w:t>
      </w:r>
      <w:proofErr w:type="spellEnd"/>
      <w:r w:rsidRPr="006F7344">
        <w:t xml:space="preserve"> </w:t>
      </w:r>
      <w:proofErr w:type="spellStart"/>
      <w:r w:rsidRPr="006F7344">
        <w:t>defense</w:t>
      </w:r>
      <w:proofErr w:type="spellEnd"/>
      <w:r w:rsidRPr="006F7344">
        <w:t xml:space="preserve"> stated that he did not want to offend Muslims, but trial evidence demonstrated that </w:t>
      </w:r>
      <w:proofErr w:type="spellStart"/>
      <w:r w:rsidRPr="006F7344">
        <w:t>Ahok</w:t>
      </w:r>
      <w:proofErr w:type="spellEnd"/>
      <w:r w:rsidRPr="006F7344">
        <w:t xml:space="preserve"> was aware that Al-</w:t>
      </w:r>
      <w:proofErr w:type="spellStart"/>
      <w:r w:rsidRPr="006F7344">
        <w:t>Maidah</w:t>
      </w:r>
      <w:proofErr w:type="spellEnd"/>
      <w:r w:rsidRPr="006F7344">
        <w:t xml:space="preserve"> was a section of the Qur'an that Muslims regarded to be authentic. The Muslim holy book has been denigrated and humiliated by </w:t>
      </w:r>
      <w:proofErr w:type="spellStart"/>
      <w:r w:rsidRPr="006F7344">
        <w:t>Ahok's</w:t>
      </w:r>
      <w:proofErr w:type="spellEnd"/>
      <w:r w:rsidRPr="006F7344">
        <w:t xml:space="preserve"> statement, </w:t>
      </w:r>
      <w:r w:rsidRPr="006F7344">
        <w:rPr>
          <w:i/>
          <w:iCs/>
        </w:rPr>
        <w:t>"Don't just trust what others say... (you) might be duped using Al-</w:t>
      </w:r>
      <w:proofErr w:type="spellStart"/>
      <w:r w:rsidRPr="006F7344">
        <w:rPr>
          <w:i/>
          <w:iCs/>
        </w:rPr>
        <w:t>Maidah</w:t>
      </w:r>
      <w:proofErr w:type="spellEnd"/>
      <w:r w:rsidRPr="006F7344">
        <w:rPr>
          <w:i/>
          <w:iCs/>
        </w:rPr>
        <w:t xml:space="preserve"> verse 51." </w:t>
      </w:r>
      <w:r w:rsidRPr="006F7344">
        <w:t>However, according to the UN Special Rapporteur on Freedom of Religion and Belief for 2006,</w:t>
      </w:r>
      <w:r w:rsidRPr="006F7344">
        <w:rPr>
          <w:rStyle w:val="FootnoteReference"/>
        </w:rPr>
        <w:t xml:space="preserve"> </w:t>
      </w:r>
      <w:r w:rsidRPr="00E82028">
        <w:rPr>
          <w:rStyle w:val="FootnoteReference"/>
        </w:rPr>
        <w:footnoteReference w:id="20"/>
      </w:r>
      <w:r w:rsidRPr="006F7344">
        <w:t xml:space="preserve"> </w:t>
      </w:r>
      <w:proofErr w:type="spellStart"/>
      <w:r w:rsidRPr="006F7344">
        <w:t>Ahok's</w:t>
      </w:r>
      <w:proofErr w:type="spellEnd"/>
      <w:r w:rsidRPr="006F7344">
        <w:t xml:space="preserve"> criticism of verse 51 of Al-</w:t>
      </w:r>
      <w:proofErr w:type="spellStart"/>
      <w:r w:rsidRPr="006F7344">
        <w:t>Maidah</w:t>
      </w:r>
      <w:proofErr w:type="spellEnd"/>
      <w:r w:rsidRPr="006F7344">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F7344">
        <w:t>Ahok's</w:t>
      </w:r>
      <w:proofErr w:type="spellEnd"/>
      <w:r w:rsidRPr="006F7344">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289B7018" w14:textId="77777777" w:rsidR="00FA01A1" w:rsidRPr="006F7344" w:rsidRDefault="00FA01A1" w:rsidP="00FA01A1">
      <w:pPr>
        <w:pStyle w:val="ParagraphNormal"/>
        <w:ind w:firstLine="0"/>
      </w:pPr>
    </w:p>
    <w:p w14:paraId="6E2816DE" w14:textId="77777777" w:rsidR="00FA01A1" w:rsidRPr="006F7344" w:rsidRDefault="00FA01A1" w:rsidP="00FA01A1">
      <w:pPr>
        <w:pStyle w:val="Caption"/>
        <w:keepNext/>
      </w:pPr>
      <w:r w:rsidRPr="006F7344">
        <w:t xml:space="preserve">Table </w:t>
      </w:r>
      <w:r w:rsidRPr="006F7344">
        <w:fldChar w:fldCharType="begin"/>
      </w:r>
      <w:r w:rsidRPr="006F7344">
        <w:instrText xml:space="preserve"> SEQ Table \* ARABIC </w:instrText>
      </w:r>
      <w:r w:rsidRPr="006F7344">
        <w:fldChar w:fldCharType="separate"/>
      </w:r>
      <w:r>
        <w:rPr>
          <w:noProof/>
        </w:rPr>
        <w:t>14</w:t>
      </w:r>
      <w:r w:rsidRPr="006F7344">
        <w:rPr>
          <w:noProof/>
        </w:rPr>
        <w:fldChar w:fldCharType="end"/>
      </w:r>
      <w:r w:rsidRPr="006F7344">
        <w:t xml:space="preserve">. The Blasphemy Cases using an alternative dispute resolution outside of the court or other methods or the </w:t>
      </w:r>
      <w:commentRangeStart w:id="54"/>
      <w:r w:rsidRPr="006F7344">
        <w:t xml:space="preserve">defendant </w:t>
      </w:r>
      <w:commentRangeEnd w:id="54"/>
      <w:r w:rsidR="003C7223">
        <w:rPr>
          <w:rStyle w:val="CommentReference"/>
          <w:i w:val="0"/>
          <w:iCs w:val="0"/>
          <w:color w:val="auto"/>
        </w:rPr>
        <w:commentReference w:id="54"/>
      </w:r>
      <w:r w:rsidRPr="006F7344">
        <w:t>were found not guilty</w:t>
      </w:r>
    </w:p>
    <w:tbl>
      <w:tblPr>
        <w:tblW w:w="0" w:type="auto"/>
        <w:tblCellMar>
          <w:left w:w="0" w:type="dxa"/>
          <w:right w:w="0" w:type="dxa"/>
        </w:tblCellMar>
        <w:tblLook w:val="04A0" w:firstRow="1" w:lastRow="0" w:firstColumn="1" w:lastColumn="0" w:noHBand="0" w:noVBand="1"/>
      </w:tblPr>
      <w:tblGrid>
        <w:gridCol w:w="337"/>
        <w:gridCol w:w="1267"/>
        <w:gridCol w:w="2201"/>
        <w:gridCol w:w="1405"/>
        <w:gridCol w:w="1690"/>
        <w:gridCol w:w="1448"/>
      </w:tblGrid>
      <w:tr w:rsidR="00FA01A1" w:rsidRPr="006F7344" w14:paraId="47A449F2" w14:textId="77777777" w:rsidTr="00FA01A1">
        <w:trPr>
          <w:trHeight w:val="705"/>
          <w:tblHeader/>
        </w:trPr>
        <w:tc>
          <w:tcPr>
            <w:tcW w:w="337" w:type="dxa"/>
            <w:tcBorders>
              <w:top w:val="single" w:sz="6" w:space="0" w:color="9E9E9E"/>
              <w:left w:val="single" w:sz="6" w:space="0" w:color="9E9E9E"/>
              <w:bottom w:val="single" w:sz="6" w:space="0" w:color="9E9E9E"/>
              <w:right w:val="single" w:sz="6" w:space="0" w:color="9E9E9E"/>
            </w:tcBorders>
            <w:tcMar>
              <w:top w:w="0" w:type="dxa"/>
              <w:left w:w="150" w:type="dxa"/>
              <w:bottom w:w="0" w:type="dxa"/>
              <w:right w:w="150" w:type="dxa"/>
            </w:tcMar>
            <w:hideMark/>
          </w:tcPr>
          <w:p w14:paraId="13022DCD" w14:textId="77777777" w:rsidR="00FA01A1" w:rsidRPr="00257AD3" w:rsidRDefault="00FA01A1" w:rsidP="00FA01A1">
            <w:pPr>
              <w:pStyle w:val="NormalWeb"/>
              <w:spacing w:before="0" w:beforeAutospacing="0" w:after="0" w:afterAutospacing="0"/>
              <w:rPr>
                <w:rFonts w:ascii="Linux Libertine" w:hAnsi="Linux Libertine" w:cs="Linux Libertine"/>
                <w:sz w:val="20"/>
                <w:szCs w:val="20"/>
              </w:rPr>
            </w:pPr>
          </w:p>
        </w:tc>
        <w:tc>
          <w:tcPr>
            <w:tcW w:w="1267" w:type="dxa"/>
            <w:tcBorders>
              <w:top w:val="single" w:sz="6" w:space="0" w:color="9E9E9E"/>
              <w:left w:val="single" w:sz="6" w:space="0" w:color="9E9E9E"/>
              <w:bottom w:val="single" w:sz="6" w:space="0" w:color="9E9E9E"/>
              <w:right w:val="single" w:sz="6" w:space="0" w:color="9E9E9E"/>
            </w:tcBorders>
            <w:shd w:val="clear" w:color="auto" w:fill="C2AFD5"/>
            <w:tcMar>
              <w:top w:w="0" w:type="dxa"/>
              <w:left w:w="150" w:type="dxa"/>
              <w:bottom w:w="0" w:type="dxa"/>
              <w:right w:w="150" w:type="dxa"/>
            </w:tcMar>
            <w:hideMark/>
          </w:tcPr>
          <w:p w14:paraId="55A3BB5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Courts Area</w:t>
            </w:r>
          </w:p>
        </w:tc>
        <w:tc>
          <w:tcPr>
            <w:tcW w:w="2201" w:type="dxa"/>
            <w:tcBorders>
              <w:top w:val="single" w:sz="6" w:space="0" w:color="9E9E9E"/>
              <w:left w:val="single" w:sz="6" w:space="0" w:color="9E9E9E"/>
              <w:bottom w:val="single" w:sz="6" w:space="0" w:color="9E9E9E"/>
              <w:right w:val="single" w:sz="6" w:space="0" w:color="9E9E9E"/>
            </w:tcBorders>
            <w:shd w:val="clear" w:color="auto" w:fill="C2AFD5"/>
            <w:tcMar>
              <w:top w:w="0" w:type="dxa"/>
              <w:left w:w="150" w:type="dxa"/>
              <w:bottom w:w="0" w:type="dxa"/>
              <w:right w:w="150" w:type="dxa"/>
            </w:tcMar>
            <w:hideMark/>
          </w:tcPr>
          <w:p w14:paraId="05578082"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Defendant / Case</w:t>
            </w:r>
          </w:p>
        </w:tc>
        <w:tc>
          <w:tcPr>
            <w:tcW w:w="1405" w:type="dxa"/>
            <w:tcBorders>
              <w:top w:val="single" w:sz="6" w:space="0" w:color="9E9E9E"/>
              <w:left w:val="single" w:sz="6" w:space="0" w:color="9E9E9E"/>
              <w:bottom w:val="single" w:sz="6" w:space="0" w:color="9E9E9E"/>
              <w:right w:val="single" w:sz="6" w:space="0" w:color="9E9E9E"/>
            </w:tcBorders>
            <w:shd w:val="clear" w:color="auto" w:fill="C2AFD5"/>
            <w:tcMar>
              <w:top w:w="0" w:type="dxa"/>
              <w:left w:w="150" w:type="dxa"/>
              <w:bottom w:w="0" w:type="dxa"/>
              <w:right w:w="150" w:type="dxa"/>
            </w:tcMar>
            <w:hideMark/>
          </w:tcPr>
          <w:p w14:paraId="08E9A4AA"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Plaintiff / victim</w:t>
            </w:r>
          </w:p>
        </w:tc>
        <w:tc>
          <w:tcPr>
            <w:tcW w:w="1690" w:type="dxa"/>
            <w:tcBorders>
              <w:top w:val="single" w:sz="6" w:space="0" w:color="9E9E9E"/>
              <w:left w:val="single" w:sz="6" w:space="0" w:color="9E9E9E"/>
              <w:bottom w:val="single" w:sz="6" w:space="0" w:color="9E9E9E"/>
              <w:right w:val="single" w:sz="6" w:space="0" w:color="9E9E9E"/>
            </w:tcBorders>
            <w:shd w:val="clear" w:color="auto" w:fill="C2AFD5"/>
            <w:tcMar>
              <w:top w:w="0" w:type="dxa"/>
              <w:left w:w="150" w:type="dxa"/>
              <w:bottom w:w="0" w:type="dxa"/>
              <w:right w:w="150" w:type="dxa"/>
            </w:tcMar>
            <w:hideMark/>
          </w:tcPr>
          <w:p w14:paraId="065ED265"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Indictment</w:t>
            </w:r>
          </w:p>
        </w:tc>
        <w:tc>
          <w:tcPr>
            <w:tcW w:w="1448" w:type="dxa"/>
            <w:tcBorders>
              <w:top w:val="single" w:sz="6" w:space="0" w:color="9E9E9E"/>
              <w:left w:val="single" w:sz="6" w:space="0" w:color="9E9E9E"/>
              <w:bottom w:val="single" w:sz="6" w:space="0" w:color="9E9E9E"/>
              <w:right w:val="single" w:sz="6" w:space="0" w:color="9E9E9E"/>
            </w:tcBorders>
            <w:shd w:val="clear" w:color="auto" w:fill="C2AFD5"/>
            <w:tcMar>
              <w:top w:w="0" w:type="dxa"/>
              <w:left w:w="150" w:type="dxa"/>
              <w:bottom w:w="0" w:type="dxa"/>
              <w:right w:w="150" w:type="dxa"/>
            </w:tcMar>
            <w:hideMark/>
          </w:tcPr>
          <w:p w14:paraId="7EBA2ED9"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Sentence</w:t>
            </w:r>
          </w:p>
        </w:tc>
      </w:tr>
      <w:tr w:rsidR="00FA01A1" w:rsidRPr="006F7344" w14:paraId="2D79B827"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4B5A05C"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6D59BEC"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 xml:space="preserve">District Court </w:t>
            </w:r>
            <w:proofErr w:type="spellStart"/>
            <w:r w:rsidRPr="00257AD3">
              <w:rPr>
                <w:rFonts w:ascii="Linux Libertine" w:hAnsi="Linux Libertine" w:cs="Linux Libertine"/>
                <w:sz w:val="20"/>
                <w:szCs w:val="20"/>
              </w:rPr>
              <w:t>Batam</w:t>
            </w:r>
            <w:proofErr w:type="spellEnd"/>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BCB96E9"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Mas’ud</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Simanungkalit</w:t>
            </w:r>
            <w:proofErr w:type="spellEnd"/>
            <w:r w:rsidRPr="00257AD3">
              <w:rPr>
                <w:rFonts w:ascii="Linux Libertine" w:hAnsi="Linux Libertine" w:cs="Linux Libertine"/>
                <w:sz w:val="20"/>
                <w:szCs w:val="20"/>
              </w:rPr>
              <w:t>, Islam Hanif (2003)</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C692AE2"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xml:space="preserve">MUI </w:t>
            </w:r>
            <w:proofErr w:type="spellStart"/>
            <w:r w:rsidRPr="00257AD3">
              <w:rPr>
                <w:rFonts w:ascii="Linux Libertine" w:hAnsi="Linux Libertine" w:cs="Linux Libertine"/>
                <w:sz w:val="20"/>
                <w:szCs w:val="20"/>
              </w:rPr>
              <w:t>Batam</w:t>
            </w:r>
            <w:proofErr w:type="spellEnd"/>
            <w:r w:rsidRPr="00257AD3">
              <w:rPr>
                <w:rFonts w:ascii="Linux Libertine" w:hAnsi="Linux Libertine" w:cs="Linux Libertine"/>
                <w:sz w:val="20"/>
                <w:szCs w:val="20"/>
              </w:rPr>
              <w:t xml:space="preserve">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99EE976"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06F00AD"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4F5CBEC3"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19A78B3"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2</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E153E47"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 xml:space="preserve">District Court </w:t>
            </w:r>
            <w:proofErr w:type="spellStart"/>
            <w:r w:rsidRPr="00257AD3">
              <w:rPr>
                <w:rFonts w:ascii="Linux Libertine" w:hAnsi="Linux Libertine" w:cs="Linux Libertine"/>
                <w:sz w:val="20"/>
                <w:szCs w:val="20"/>
              </w:rPr>
              <w:t>Palu</w:t>
            </w:r>
            <w:proofErr w:type="spellEnd"/>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002D5B3"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Rus’an</w:t>
            </w:r>
            <w:proofErr w:type="spellEnd"/>
            <w:r w:rsidRPr="00257AD3">
              <w:rPr>
                <w:rFonts w:ascii="Linux Libertine" w:hAnsi="Linux Libertine" w:cs="Linux Libertine"/>
                <w:sz w:val="20"/>
                <w:szCs w:val="20"/>
              </w:rPr>
              <w:t xml:space="preserve"> / Islam is failed religion (2005)</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7CD1ECC"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xml:space="preserve">FKUI </w:t>
            </w:r>
            <w:proofErr w:type="spellStart"/>
            <w:r w:rsidRPr="00257AD3">
              <w:rPr>
                <w:rFonts w:ascii="Linux Libertine" w:hAnsi="Linux Libertine" w:cs="Linux Libertine"/>
                <w:sz w:val="20"/>
                <w:szCs w:val="20"/>
              </w:rPr>
              <w:t>Palu</w:t>
            </w:r>
            <w:proofErr w:type="spellEnd"/>
            <w:r w:rsidRPr="00257AD3">
              <w:rPr>
                <w:rFonts w:ascii="Linux Libertine" w:hAnsi="Linux Libertine" w:cs="Linux Libertine"/>
                <w:sz w:val="20"/>
                <w:szCs w:val="20"/>
              </w:rPr>
              <w:t xml:space="preserve">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3237218"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1DCD178"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1D0C4848" w14:textId="77777777" w:rsidTr="00FA01A1">
        <w:trPr>
          <w:trHeight w:val="660"/>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40F1456"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3</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18BE462"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Malang</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EC565D5"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Yusman</w:t>
            </w:r>
            <w:proofErr w:type="spellEnd"/>
            <w:r w:rsidRPr="00257AD3">
              <w:rPr>
                <w:rFonts w:ascii="Linux Libertine" w:hAnsi="Linux Libertine" w:cs="Linux Libertine"/>
                <w:sz w:val="20"/>
                <w:szCs w:val="20"/>
              </w:rPr>
              <w:t xml:space="preserve"> Roy / Bilingual Prayer (2005)</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5E07B3C"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Public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FE4AB59"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 157 (1)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28E6D85"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 xml:space="preserve">not guilty for </w:t>
            </w:r>
            <w:proofErr w:type="spellStart"/>
            <w:r w:rsidRPr="00257AD3">
              <w:rPr>
                <w:rFonts w:ascii="Linux Libertine" w:hAnsi="Linux Libertine" w:cs="Linux Libertine"/>
                <w:sz w:val="20"/>
                <w:szCs w:val="20"/>
              </w:rPr>
              <w:t>pasal</w:t>
            </w:r>
            <w:proofErr w:type="spellEnd"/>
            <w:r w:rsidRPr="00257AD3">
              <w:rPr>
                <w:rFonts w:ascii="Linux Libertine" w:hAnsi="Linux Libertine" w:cs="Linux Libertine"/>
                <w:sz w:val="20"/>
                <w:szCs w:val="20"/>
              </w:rPr>
              <w:t xml:space="preserve"> 156a </w:t>
            </w:r>
            <w:proofErr w:type="spellStart"/>
            <w:r w:rsidRPr="00257AD3">
              <w:rPr>
                <w:rFonts w:ascii="Linux Libertine" w:hAnsi="Linux Libertine" w:cs="Linux Libertine"/>
                <w:sz w:val="20"/>
                <w:szCs w:val="20"/>
              </w:rPr>
              <w:t>huruf</w:t>
            </w:r>
            <w:proofErr w:type="spellEnd"/>
            <w:r w:rsidRPr="00257AD3">
              <w:rPr>
                <w:rFonts w:ascii="Linux Libertine" w:hAnsi="Linux Libertine" w:cs="Linux Libertine"/>
                <w:sz w:val="20"/>
                <w:szCs w:val="20"/>
              </w:rPr>
              <w:t xml:space="preserve"> a KUHP but guilty for </w:t>
            </w:r>
            <w:proofErr w:type="spellStart"/>
            <w:r w:rsidRPr="00257AD3">
              <w:rPr>
                <w:rFonts w:ascii="Linux Libertine" w:hAnsi="Linux Libertine" w:cs="Linux Libertine"/>
                <w:sz w:val="20"/>
                <w:szCs w:val="20"/>
              </w:rPr>
              <w:lastRenderedPageBreak/>
              <w:t>pasal</w:t>
            </w:r>
            <w:proofErr w:type="spellEnd"/>
            <w:r w:rsidRPr="00257AD3">
              <w:rPr>
                <w:rFonts w:ascii="Linux Libertine" w:hAnsi="Linux Libertine" w:cs="Linux Libertine"/>
                <w:sz w:val="20"/>
                <w:szCs w:val="20"/>
              </w:rPr>
              <w:t xml:space="preserve"> 157 and received 2 years sentence</w:t>
            </w:r>
          </w:p>
        </w:tc>
      </w:tr>
      <w:tr w:rsidR="00FA01A1" w:rsidRPr="006F7344" w14:paraId="383C1296"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B3DB823"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lastRenderedPageBreak/>
              <w:t>4</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9CE0995"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South Jakarta</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0525E23"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Teguh</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Santosa</w:t>
            </w:r>
            <w:proofErr w:type="spellEnd"/>
            <w:r w:rsidRPr="00257AD3">
              <w:rPr>
                <w:rFonts w:ascii="Linux Libertine" w:hAnsi="Linux Libertine" w:cs="Linux Libertine"/>
                <w:sz w:val="20"/>
                <w:szCs w:val="20"/>
              </w:rPr>
              <w:t xml:space="preserve"> / Prophet Cartoon (2006)</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2F249B8"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Public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402EBFE"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F242213"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not guilty because of the wrong indictment</w:t>
            </w:r>
          </w:p>
        </w:tc>
      </w:tr>
      <w:tr w:rsidR="00FA01A1" w:rsidRPr="006F7344" w14:paraId="3136424F"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3A1DC9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5</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3991787"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Bekasi</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3285B34"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Imam </w:t>
            </w:r>
            <w:proofErr w:type="spellStart"/>
            <w:r w:rsidRPr="00257AD3">
              <w:rPr>
                <w:rFonts w:ascii="Linux Libertine" w:hAnsi="Linux Libertine" w:cs="Linux Libertine"/>
                <w:sz w:val="20"/>
                <w:szCs w:val="20"/>
              </w:rPr>
              <w:t>Trikarsohadi</w:t>
            </w:r>
            <w:proofErr w:type="spellEnd"/>
            <w:r w:rsidRPr="00257AD3">
              <w:rPr>
                <w:rFonts w:ascii="Linux Libertine" w:hAnsi="Linux Libertine" w:cs="Linux Libertine"/>
                <w:sz w:val="20"/>
                <w:szCs w:val="20"/>
              </w:rPr>
              <w:t xml:space="preserve"> and Abdul Wahab / Prophet Cartoon (2006)</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E3FA677"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AE2157E"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E5F831F"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44674C53"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99AA8E5"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6</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D4E04A7"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Surabaya</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5153BA2"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Gloria Publisher Surabaya (2006)</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A9D7BD6"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6A48D3F"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1CB6ED3"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1A991ACF"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9E7E46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7</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032B5A9"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Semarang</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46FF79A"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Raji / Intoxicated Prayer (2008)</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67A954E"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7BE9A51"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632EC1D"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13296D34"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EA63DDA"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8</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A9FDF69"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 xml:space="preserve">District Court </w:t>
            </w:r>
            <w:proofErr w:type="spellStart"/>
            <w:r w:rsidRPr="00257AD3">
              <w:rPr>
                <w:rFonts w:ascii="Linux Libertine" w:hAnsi="Linux Libertine" w:cs="Linux Libertine"/>
                <w:sz w:val="20"/>
                <w:szCs w:val="20"/>
              </w:rPr>
              <w:t>Klaten</w:t>
            </w:r>
            <w:proofErr w:type="spellEnd"/>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24AABDD"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FX </w:t>
            </w:r>
            <w:proofErr w:type="spellStart"/>
            <w:r w:rsidRPr="00257AD3">
              <w:rPr>
                <w:rFonts w:ascii="Linux Libertine" w:hAnsi="Linux Libertine" w:cs="Linux Libertine"/>
                <w:sz w:val="20"/>
                <w:szCs w:val="20"/>
              </w:rPr>
              <w:t>Marjana</w:t>
            </w:r>
            <w:proofErr w:type="spellEnd"/>
            <w:r w:rsidRPr="00257AD3">
              <w:rPr>
                <w:rFonts w:ascii="Linux Libertine" w:hAnsi="Linux Libertine" w:cs="Linux Libertine"/>
                <w:sz w:val="20"/>
                <w:szCs w:val="20"/>
              </w:rPr>
              <w:t xml:space="preserve"> (2009)</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5B02CA1"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2ACF355"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FFFCB5B"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49C002EC" w14:textId="77777777" w:rsidTr="00FA01A1">
        <w:trPr>
          <w:trHeight w:val="660"/>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74F2335"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9</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2066E62"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Medan</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BC5A666"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Moses </w:t>
            </w:r>
            <w:proofErr w:type="spellStart"/>
            <w:r w:rsidRPr="00257AD3">
              <w:rPr>
                <w:rFonts w:ascii="Linux Libertine" w:hAnsi="Linux Libertine" w:cs="Linux Libertine"/>
                <w:sz w:val="20"/>
                <w:szCs w:val="20"/>
              </w:rPr>
              <w:t>Alegesen</w:t>
            </w:r>
            <w:proofErr w:type="spellEnd"/>
            <w:r w:rsidRPr="00257AD3">
              <w:rPr>
                <w:rFonts w:ascii="Linux Libertine" w:hAnsi="Linux Libertine" w:cs="Linux Libertine"/>
                <w:sz w:val="20"/>
                <w:szCs w:val="20"/>
              </w:rPr>
              <w:t xml:space="preserve"> / Manuscript Translation (2009)</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88DA08C"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PDHI / Hinduism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C5500B0"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4083403"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not guilty</w:t>
            </w:r>
          </w:p>
        </w:tc>
      </w:tr>
      <w:tr w:rsidR="00FA01A1" w:rsidRPr="006F7344" w14:paraId="455CCB50"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63CFB89"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10</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C8AB4E0"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Surabaya</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049C3C1"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Ahmad </w:t>
            </w:r>
            <w:proofErr w:type="spellStart"/>
            <w:r w:rsidRPr="00257AD3">
              <w:rPr>
                <w:rFonts w:ascii="Linux Libertine" w:hAnsi="Linux Libertine" w:cs="Linux Libertine"/>
                <w:sz w:val="20"/>
                <w:szCs w:val="20"/>
              </w:rPr>
              <w:t>Naf’an</w:t>
            </w:r>
            <w:proofErr w:type="spellEnd"/>
            <w:r w:rsidRPr="00257AD3">
              <w:rPr>
                <w:rFonts w:ascii="Linux Libertine" w:hAnsi="Linux Libertine" w:cs="Linux Libertine"/>
                <w:sz w:val="20"/>
                <w:szCs w:val="20"/>
              </w:rPr>
              <w:t xml:space="preserve"> / </w:t>
            </w:r>
            <w:proofErr w:type="spellStart"/>
            <w:r w:rsidRPr="00257AD3">
              <w:rPr>
                <w:rFonts w:ascii="Linux Libertine" w:hAnsi="Linux Libertine" w:cs="Linux Libertine"/>
                <w:sz w:val="20"/>
                <w:szCs w:val="20"/>
              </w:rPr>
              <w:t>Ilmu</w:t>
            </w:r>
            <w:proofErr w:type="spellEnd"/>
            <w:r w:rsidRPr="00257AD3">
              <w:rPr>
                <w:rFonts w:ascii="Linux Libertine" w:hAnsi="Linux Libertine" w:cs="Linux Libertine"/>
                <w:sz w:val="20"/>
                <w:szCs w:val="20"/>
              </w:rPr>
              <w:t xml:space="preserve"> Kalam </w:t>
            </w:r>
            <w:proofErr w:type="spellStart"/>
            <w:r w:rsidRPr="00257AD3">
              <w:rPr>
                <w:rFonts w:ascii="Linux Libertine" w:hAnsi="Linux Libertine" w:cs="Linux Libertine"/>
                <w:sz w:val="20"/>
                <w:szCs w:val="20"/>
              </w:rPr>
              <w:t>Santriloka</w:t>
            </w:r>
            <w:proofErr w:type="spellEnd"/>
            <w:r w:rsidRPr="00257AD3">
              <w:rPr>
                <w:rFonts w:ascii="Linux Libertine" w:hAnsi="Linux Libertine" w:cs="Linux Libertine"/>
                <w:sz w:val="20"/>
                <w:szCs w:val="20"/>
              </w:rPr>
              <w:t xml:space="preserve"> (2009)</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8E77671"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52B790C9"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73A5F09"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the case is mediated</w:t>
            </w:r>
          </w:p>
        </w:tc>
      </w:tr>
      <w:tr w:rsidR="00FA01A1" w:rsidRPr="006F7344" w14:paraId="2B11EAF1"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3F09D3F"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11</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0CD43EB"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Bandung</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DB35388"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Hadasanah</w:t>
            </w:r>
            <w:proofErr w:type="spellEnd"/>
            <w:r w:rsidRPr="00257AD3">
              <w:rPr>
                <w:rFonts w:ascii="Linux Libertine" w:hAnsi="Linux Libertine" w:cs="Linux Libertine"/>
                <w:sz w:val="20"/>
                <w:szCs w:val="20"/>
              </w:rPr>
              <w:t xml:space="preserve"> J Werner / Bethel </w:t>
            </w:r>
            <w:proofErr w:type="spellStart"/>
            <w:r w:rsidRPr="00257AD3">
              <w:rPr>
                <w:rFonts w:ascii="Linux Libertine" w:hAnsi="Linux Libertine" w:cs="Linux Libertine"/>
                <w:sz w:val="20"/>
                <w:szCs w:val="20"/>
              </w:rPr>
              <w:t>Tabernakel</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Chruch</w:t>
            </w:r>
            <w:proofErr w:type="spellEnd"/>
            <w:r w:rsidRPr="00257AD3">
              <w:rPr>
                <w:rFonts w:ascii="Linux Libertine" w:hAnsi="Linux Libertine" w:cs="Linux Libertine"/>
                <w:sz w:val="20"/>
                <w:szCs w:val="20"/>
              </w:rPr>
              <w:t xml:space="preserve"> (2012)</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539854F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proofErr w:type="spellStart"/>
            <w:r w:rsidRPr="00257AD3">
              <w:rPr>
                <w:rFonts w:ascii="Linux Libertine" w:hAnsi="Linux Libertine" w:cs="Linux Libertine"/>
                <w:sz w:val="20"/>
                <w:szCs w:val="20"/>
              </w:rPr>
              <w:t>Indrawati</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Tirtosoedimoro</w:t>
            </w:r>
            <w:proofErr w:type="spellEnd"/>
            <w:r w:rsidRPr="00257AD3">
              <w:rPr>
                <w:rFonts w:ascii="Linux Libertine" w:hAnsi="Linux Libertine" w:cs="Linux Libertine"/>
                <w:sz w:val="20"/>
                <w:szCs w:val="20"/>
              </w:rPr>
              <w:t xml:space="preserve"> / Christian</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6011374"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253FCB1"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not guilty</w:t>
            </w:r>
          </w:p>
        </w:tc>
      </w:tr>
      <w:tr w:rsidR="00FA01A1" w:rsidRPr="006F7344" w14:paraId="0F4CD998"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96EF4D1"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12</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0B2EAE3"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South Jakarta</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AE9F50F"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Eyang</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Subur</w:t>
            </w:r>
            <w:proofErr w:type="spellEnd"/>
            <w:r w:rsidRPr="00257AD3">
              <w:rPr>
                <w:rFonts w:ascii="Linux Libertine" w:hAnsi="Linux Libertine" w:cs="Linux Libertine"/>
                <w:sz w:val="20"/>
                <w:szCs w:val="20"/>
              </w:rPr>
              <w:t xml:space="preserve"> (2013)</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C6B1E30"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xml:space="preserve">HAMI Adi Bing </w:t>
            </w:r>
            <w:proofErr w:type="spellStart"/>
            <w:r w:rsidRPr="00257AD3">
              <w:rPr>
                <w:rFonts w:ascii="Linux Libertine" w:hAnsi="Linux Libertine" w:cs="Linux Libertine"/>
                <w:sz w:val="20"/>
                <w:szCs w:val="20"/>
              </w:rPr>
              <w:t>Slamet</w:t>
            </w:r>
            <w:proofErr w:type="spellEnd"/>
            <w:r w:rsidRPr="00257AD3">
              <w:rPr>
                <w:rFonts w:ascii="Linux Libertine" w:hAnsi="Linux Libertine" w:cs="Linux Libertine"/>
                <w:sz w:val="20"/>
                <w:szCs w:val="20"/>
              </w:rPr>
              <w:t xml:space="preserve">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471D3D5"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DD8554B"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 xml:space="preserve">investigated by metro </w:t>
            </w:r>
            <w:proofErr w:type="spellStart"/>
            <w:r w:rsidRPr="00257AD3">
              <w:rPr>
                <w:rFonts w:ascii="Linux Libertine" w:hAnsi="Linux Libertine" w:cs="Linux Libertine"/>
                <w:sz w:val="20"/>
                <w:szCs w:val="20"/>
              </w:rPr>
              <w:t>jaya</w:t>
            </w:r>
            <w:proofErr w:type="spellEnd"/>
            <w:r w:rsidRPr="00257AD3">
              <w:rPr>
                <w:rFonts w:ascii="Linux Libertine" w:hAnsi="Linux Libertine" w:cs="Linux Libertine"/>
                <w:sz w:val="20"/>
                <w:szCs w:val="20"/>
              </w:rPr>
              <w:t xml:space="preserve"> police</w:t>
            </w:r>
          </w:p>
        </w:tc>
      </w:tr>
      <w:tr w:rsidR="00FA01A1" w:rsidRPr="006F7344" w14:paraId="16E36583"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2444A4E"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13</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0E33AA5"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 xml:space="preserve">District Court </w:t>
            </w:r>
            <w:proofErr w:type="spellStart"/>
            <w:r w:rsidRPr="00257AD3">
              <w:rPr>
                <w:rFonts w:ascii="Linux Libertine" w:hAnsi="Linux Libertine" w:cs="Linux Libertine"/>
                <w:sz w:val="20"/>
                <w:szCs w:val="20"/>
              </w:rPr>
              <w:t>Tolitoli</w:t>
            </w:r>
            <w:proofErr w:type="spellEnd"/>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84DC182"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5 students from </w:t>
            </w:r>
            <w:proofErr w:type="spellStart"/>
            <w:r w:rsidRPr="00257AD3">
              <w:rPr>
                <w:rFonts w:ascii="Linux Libertine" w:hAnsi="Linux Libertine" w:cs="Linux Libertine"/>
                <w:sz w:val="20"/>
                <w:szCs w:val="20"/>
              </w:rPr>
              <w:t>Tolitoli</w:t>
            </w:r>
            <w:proofErr w:type="spellEnd"/>
            <w:r w:rsidRPr="00257AD3">
              <w:rPr>
                <w:rFonts w:ascii="Linux Libertine" w:hAnsi="Linux Libertine" w:cs="Linux Libertine"/>
                <w:sz w:val="20"/>
                <w:szCs w:val="20"/>
              </w:rPr>
              <w:t xml:space="preserve"> Highschool / Dance like the praying movement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A054B7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School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82D6A74"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159A387"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Police investigation &amp; mediation</w:t>
            </w:r>
          </w:p>
        </w:tc>
      </w:tr>
      <w:tr w:rsidR="00FA01A1" w:rsidRPr="006F7344" w14:paraId="47523901"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CBA029F"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14</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70351CB"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 xml:space="preserve">District Court </w:t>
            </w:r>
            <w:proofErr w:type="spellStart"/>
            <w:r w:rsidRPr="00257AD3">
              <w:rPr>
                <w:rFonts w:ascii="Linux Libertine" w:hAnsi="Linux Libertine" w:cs="Linux Libertine"/>
                <w:sz w:val="20"/>
                <w:szCs w:val="20"/>
              </w:rPr>
              <w:t>Ciamis</w:t>
            </w:r>
            <w:proofErr w:type="spellEnd"/>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5565D640"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Dedi</w:t>
            </w:r>
            <w:proofErr w:type="spellEnd"/>
            <w:r w:rsidRPr="00257AD3">
              <w:rPr>
                <w:rFonts w:ascii="Linux Libertine" w:hAnsi="Linux Libertine" w:cs="Linux Libertine"/>
                <w:sz w:val="20"/>
                <w:szCs w:val="20"/>
              </w:rPr>
              <w:t xml:space="preserve"> / Astray </w:t>
            </w:r>
            <w:proofErr w:type="spellStart"/>
            <w:r w:rsidRPr="00257AD3">
              <w:rPr>
                <w:rFonts w:ascii="Linux Libertine" w:hAnsi="Linux Libertine" w:cs="Linux Libertine"/>
                <w:sz w:val="20"/>
                <w:szCs w:val="20"/>
              </w:rPr>
              <w:t>Sekt</w:t>
            </w:r>
            <w:proofErr w:type="spellEnd"/>
            <w:r w:rsidRPr="00257AD3">
              <w:rPr>
                <w:rFonts w:ascii="Linux Libertine" w:hAnsi="Linux Libertine" w:cs="Linux Libertine"/>
                <w:sz w:val="20"/>
                <w:szCs w:val="20"/>
              </w:rPr>
              <w:t xml:space="preserve">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ED938AE"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Community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E60467A"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E7C72F0"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Police investigation &amp; mediation</w:t>
            </w:r>
          </w:p>
        </w:tc>
      </w:tr>
      <w:tr w:rsidR="00FA01A1" w:rsidRPr="006F7344" w14:paraId="4BBEF10E"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861B0B5"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lastRenderedPageBreak/>
              <w:t>15</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6C4E553"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Cibinong</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A9E6544"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Jonas Aviano and </w:t>
            </w:r>
            <w:proofErr w:type="spellStart"/>
            <w:r w:rsidRPr="00257AD3">
              <w:rPr>
                <w:rFonts w:ascii="Linux Libertine" w:hAnsi="Linux Libertine" w:cs="Linux Libertine"/>
                <w:sz w:val="20"/>
                <w:szCs w:val="20"/>
              </w:rPr>
              <w:t>Asmirandah</w:t>
            </w:r>
            <w:proofErr w:type="spellEnd"/>
            <w:r w:rsidRPr="00257AD3">
              <w:rPr>
                <w:rFonts w:ascii="Linux Libertine" w:hAnsi="Linux Libertine" w:cs="Linux Libertine"/>
                <w:sz w:val="20"/>
                <w:szCs w:val="20"/>
              </w:rPr>
              <w:t xml:space="preserve"> / Inter religion marriage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99F9973"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FPI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ACEB004"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64337C2"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Police investigation &amp; mediation</w:t>
            </w:r>
          </w:p>
        </w:tc>
      </w:tr>
      <w:tr w:rsidR="00FA01A1" w:rsidRPr="006F7344" w14:paraId="4011CD6C"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7328F48"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16</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9AFBE41"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Medan</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622C29F"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Ahmad Arifin / </w:t>
            </w:r>
            <w:proofErr w:type="spellStart"/>
            <w:r w:rsidRPr="00257AD3">
              <w:rPr>
                <w:rFonts w:ascii="Linux Libertine" w:hAnsi="Linux Libertine" w:cs="Linux Libertine"/>
                <w:sz w:val="20"/>
                <w:szCs w:val="20"/>
              </w:rPr>
              <w:t>tarekat</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sammaniyah</w:t>
            </w:r>
            <w:proofErr w:type="spellEnd"/>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E90FCA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xml:space="preserve">FUI </w:t>
            </w:r>
            <w:proofErr w:type="spellStart"/>
            <w:r w:rsidRPr="00257AD3">
              <w:rPr>
                <w:rFonts w:ascii="Linux Libertine" w:hAnsi="Linux Libertine" w:cs="Linux Libertine"/>
                <w:sz w:val="20"/>
                <w:szCs w:val="20"/>
              </w:rPr>
              <w:t>Sumut</w:t>
            </w:r>
            <w:proofErr w:type="spellEnd"/>
            <w:r w:rsidRPr="00257AD3">
              <w:rPr>
                <w:rFonts w:ascii="Linux Libertine" w:hAnsi="Linux Libertine" w:cs="Linux Libertine"/>
                <w:sz w:val="20"/>
                <w:szCs w:val="20"/>
              </w:rPr>
              <w:t xml:space="preserve">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B39FAB9"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A545370"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Police investigation &amp; mediation</w:t>
            </w:r>
          </w:p>
        </w:tc>
      </w:tr>
      <w:tr w:rsidR="00FA01A1" w:rsidRPr="006F7344" w14:paraId="3A457E7B"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6028AFE"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17</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A9AF530"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Bandung</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5BCEDC9"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proofErr w:type="spellStart"/>
            <w:r w:rsidRPr="00257AD3">
              <w:rPr>
                <w:rFonts w:ascii="Linux Libertine" w:hAnsi="Linux Libertine" w:cs="Linux Libertine"/>
                <w:sz w:val="20"/>
                <w:szCs w:val="20"/>
              </w:rPr>
              <w:t>Cecep</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Solihin</w:t>
            </w:r>
            <w:proofErr w:type="spellEnd"/>
            <w:r w:rsidRPr="00257AD3">
              <w:rPr>
                <w:rFonts w:ascii="Linux Libertine" w:hAnsi="Linux Libertine" w:cs="Linux Libertine"/>
                <w:sz w:val="20"/>
                <w:szCs w:val="20"/>
              </w:rPr>
              <w:t xml:space="preserve"> / New Prophet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BFAE61B"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 / Islam</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35A421F"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8A76E76"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 xml:space="preserve">released after signing a </w:t>
            </w:r>
            <w:proofErr w:type="spellStart"/>
            <w:r w:rsidRPr="00257AD3">
              <w:rPr>
                <w:rFonts w:ascii="Linux Libertine" w:hAnsi="Linux Libertine" w:cs="Linux Libertine"/>
                <w:sz w:val="20"/>
                <w:szCs w:val="20"/>
              </w:rPr>
              <w:t>a</w:t>
            </w:r>
            <w:proofErr w:type="spellEnd"/>
            <w:r w:rsidRPr="00257AD3">
              <w:rPr>
                <w:rFonts w:ascii="Linux Libertine" w:hAnsi="Linux Libertine" w:cs="Linux Libertine"/>
                <w:sz w:val="20"/>
                <w:szCs w:val="20"/>
              </w:rPr>
              <w:t xml:space="preserve"> declaration</w:t>
            </w:r>
          </w:p>
        </w:tc>
      </w:tr>
      <w:tr w:rsidR="00FA01A1" w:rsidRPr="006F7344" w14:paraId="0A0E667D"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71217D1"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18</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C286C51"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Central Jakarta</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5D02C87"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Caricature in Jakarta Post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3E490D5C"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139265DB"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25A3775"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Chief editor become suspect</w:t>
            </w:r>
          </w:p>
        </w:tc>
      </w:tr>
      <w:tr w:rsidR="00FA01A1" w:rsidRPr="006F7344" w14:paraId="20792666"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57E7AF0"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19</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03F2580"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District Court Surabaya</w:t>
            </w:r>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518E70F2"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OSPEK “</w:t>
            </w:r>
            <w:proofErr w:type="spellStart"/>
            <w:r w:rsidRPr="00257AD3">
              <w:rPr>
                <w:rFonts w:ascii="Linux Libertine" w:hAnsi="Linux Libertine" w:cs="Linux Libertine"/>
                <w:sz w:val="20"/>
                <w:szCs w:val="20"/>
              </w:rPr>
              <w:t>Tuhan</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Membusuk</w:t>
            </w:r>
            <w:proofErr w:type="spellEnd"/>
            <w:r w:rsidRPr="00257AD3">
              <w:rPr>
                <w:rFonts w:ascii="Linux Libertine" w:hAnsi="Linux Libertine" w:cs="Linux Libertine"/>
                <w:sz w:val="20"/>
                <w:szCs w:val="20"/>
              </w:rPr>
              <w:t>”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08FDEC3"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GUIB</w:t>
            </w: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0A61B96F"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156a CC and governor regulation no 55 / 2012 on Supervision of religion manifestation and astray groups</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2137B96"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mediation</w:t>
            </w:r>
          </w:p>
        </w:tc>
      </w:tr>
      <w:tr w:rsidR="00FA01A1" w:rsidRPr="006F7344" w14:paraId="5C128E35" w14:textId="77777777" w:rsidTr="00FA01A1">
        <w:trPr>
          <w:trHeight w:val="675"/>
        </w:trPr>
        <w:tc>
          <w:tcPr>
            <w:tcW w:w="33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2C2E906"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r w:rsidRPr="00257AD3">
              <w:rPr>
                <w:rFonts w:ascii="Linux Libertine" w:hAnsi="Linux Libertine" w:cs="Linux Libertine"/>
                <w:sz w:val="20"/>
                <w:szCs w:val="20"/>
              </w:rPr>
              <w:t>20</w:t>
            </w:r>
          </w:p>
        </w:tc>
        <w:tc>
          <w:tcPr>
            <w:tcW w:w="1267"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6A728071" w14:textId="77777777" w:rsidR="00FA01A1" w:rsidRPr="00257AD3" w:rsidRDefault="00FA01A1" w:rsidP="00FA01A1">
            <w:pPr>
              <w:pStyle w:val="NormalWeb"/>
              <w:spacing w:before="0" w:beforeAutospacing="0" w:after="161" w:afterAutospacing="0"/>
              <w:ind w:left="75" w:right="59"/>
              <w:rPr>
                <w:rFonts w:ascii="Linux Libertine" w:hAnsi="Linux Libertine" w:cs="Linux Libertine"/>
                <w:sz w:val="20"/>
                <w:szCs w:val="20"/>
              </w:rPr>
            </w:pPr>
            <w:r w:rsidRPr="00257AD3">
              <w:rPr>
                <w:rFonts w:ascii="Linux Libertine" w:hAnsi="Linux Libertine" w:cs="Linux Libertine"/>
                <w:sz w:val="20"/>
                <w:szCs w:val="20"/>
              </w:rPr>
              <w:t xml:space="preserve">District Court </w:t>
            </w:r>
            <w:proofErr w:type="spellStart"/>
            <w:r w:rsidRPr="00257AD3">
              <w:rPr>
                <w:rFonts w:ascii="Linux Libertine" w:hAnsi="Linux Libertine" w:cs="Linux Libertine"/>
                <w:sz w:val="20"/>
                <w:szCs w:val="20"/>
              </w:rPr>
              <w:t>Palu</w:t>
            </w:r>
            <w:proofErr w:type="spellEnd"/>
          </w:p>
        </w:tc>
        <w:tc>
          <w:tcPr>
            <w:tcW w:w="2201"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45B65328" w14:textId="77777777" w:rsidR="00FA01A1" w:rsidRPr="00257AD3" w:rsidRDefault="00FA01A1" w:rsidP="00FA01A1">
            <w:pPr>
              <w:pStyle w:val="NormalWeb"/>
              <w:spacing w:before="0" w:beforeAutospacing="0" w:after="161" w:afterAutospacing="0"/>
              <w:ind w:left="122" w:right="147"/>
              <w:rPr>
                <w:rFonts w:ascii="Linux Libertine" w:hAnsi="Linux Libertine" w:cs="Linux Libertine"/>
                <w:sz w:val="20"/>
                <w:szCs w:val="20"/>
              </w:rPr>
            </w:pPr>
            <w:r w:rsidRPr="00257AD3">
              <w:rPr>
                <w:rFonts w:ascii="Linux Libertine" w:hAnsi="Linux Libertine" w:cs="Linux Libertine"/>
                <w:sz w:val="20"/>
                <w:szCs w:val="20"/>
              </w:rPr>
              <w:t xml:space="preserve">I </w:t>
            </w:r>
            <w:proofErr w:type="spellStart"/>
            <w:r w:rsidRPr="00257AD3">
              <w:rPr>
                <w:rFonts w:ascii="Linux Libertine" w:hAnsi="Linux Libertine" w:cs="Linux Libertine"/>
                <w:sz w:val="20"/>
                <w:szCs w:val="20"/>
              </w:rPr>
              <w:t>Wayan</w:t>
            </w:r>
            <w:proofErr w:type="spellEnd"/>
            <w:r w:rsidRPr="00257AD3">
              <w:rPr>
                <w:rFonts w:ascii="Linux Libertine" w:hAnsi="Linux Libertine" w:cs="Linux Libertine"/>
                <w:sz w:val="20"/>
                <w:szCs w:val="20"/>
              </w:rPr>
              <w:t xml:space="preserve"> </w:t>
            </w:r>
            <w:proofErr w:type="spellStart"/>
            <w:r w:rsidRPr="00257AD3">
              <w:rPr>
                <w:rFonts w:ascii="Linux Libertine" w:hAnsi="Linux Libertine" w:cs="Linux Libertine"/>
                <w:sz w:val="20"/>
                <w:szCs w:val="20"/>
              </w:rPr>
              <w:t>Heri</w:t>
            </w:r>
            <w:proofErr w:type="spellEnd"/>
            <w:r w:rsidRPr="00257AD3">
              <w:rPr>
                <w:rFonts w:ascii="Linux Libertine" w:hAnsi="Linux Libertine" w:cs="Linux Libertine"/>
                <w:sz w:val="20"/>
                <w:szCs w:val="20"/>
              </w:rPr>
              <w:t xml:space="preserve"> / Social media status (2014)</w:t>
            </w:r>
          </w:p>
        </w:tc>
        <w:tc>
          <w:tcPr>
            <w:tcW w:w="1405"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EA0F2C7" w14:textId="77777777" w:rsidR="00FA01A1" w:rsidRPr="00257AD3" w:rsidRDefault="00FA01A1" w:rsidP="00FA01A1">
            <w:pPr>
              <w:pStyle w:val="NormalWeb"/>
              <w:spacing w:before="0" w:beforeAutospacing="0" w:after="161" w:afterAutospacing="0"/>
              <w:jc w:val="center"/>
              <w:rPr>
                <w:rFonts w:ascii="Linux Libertine" w:hAnsi="Linux Libertine" w:cs="Linux Libertine"/>
                <w:sz w:val="20"/>
                <w:szCs w:val="20"/>
              </w:rPr>
            </w:pPr>
          </w:p>
        </w:tc>
        <w:tc>
          <w:tcPr>
            <w:tcW w:w="1690"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7F8EC6E8" w14:textId="77777777" w:rsidR="00FA01A1" w:rsidRPr="00257AD3" w:rsidRDefault="00FA01A1" w:rsidP="00FA01A1">
            <w:pPr>
              <w:pStyle w:val="NormalWeb"/>
              <w:spacing w:before="0" w:beforeAutospacing="0" w:after="161" w:afterAutospacing="0"/>
              <w:ind w:left="115" w:right="103"/>
              <w:rPr>
                <w:rFonts w:ascii="Linux Libertine" w:hAnsi="Linux Libertine" w:cs="Linux Libertine"/>
                <w:sz w:val="20"/>
                <w:szCs w:val="20"/>
              </w:rPr>
            </w:pPr>
            <w:r w:rsidRPr="00257AD3">
              <w:rPr>
                <w:rFonts w:ascii="Linux Libertine" w:hAnsi="Linux Libertine" w:cs="Linux Libertine"/>
                <w:sz w:val="20"/>
                <w:szCs w:val="20"/>
              </w:rPr>
              <w:t>Information and Electronic Transaction Law No. 11 / 2008</w:t>
            </w:r>
          </w:p>
        </w:tc>
        <w:tc>
          <w:tcPr>
            <w:tcW w:w="1448" w:type="dxa"/>
            <w:tcBorders>
              <w:top w:val="single" w:sz="6" w:space="0" w:color="9E9E9E"/>
              <w:left w:val="single" w:sz="6" w:space="0" w:color="9E9E9E"/>
              <w:bottom w:val="single" w:sz="6" w:space="0" w:color="9E9E9E"/>
              <w:right w:val="single" w:sz="6" w:space="0" w:color="9E9E9E"/>
            </w:tcBorders>
            <w:tcMar>
              <w:top w:w="15" w:type="dxa"/>
              <w:left w:w="15" w:type="dxa"/>
              <w:bottom w:w="15" w:type="dxa"/>
              <w:right w:w="15" w:type="dxa"/>
            </w:tcMar>
            <w:hideMark/>
          </w:tcPr>
          <w:p w14:paraId="2371B3FC" w14:textId="77777777" w:rsidR="00FA01A1" w:rsidRPr="00257AD3" w:rsidRDefault="00FA01A1" w:rsidP="00FA01A1">
            <w:pPr>
              <w:pStyle w:val="NormalWeb"/>
              <w:spacing w:before="0" w:beforeAutospacing="0" w:after="161" w:afterAutospacing="0"/>
              <w:ind w:left="39" w:right="72"/>
              <w:rPr>
                <w:rFonts w:ascii="Linux Libertine" w:hAnsi="Linux Libertine" w:cs="Linux Libertine"/>
                <w:sz w:val="20"/>
                <w:szCs w:val="20"/>
              </w:rPr>
            </w:pPr>
            <w:r w:rsidRPr="00257AD3">
              <w:rPr>
                <w:rFonts w:ascii="Linux Libertine" w:hAnsi="Linux Libertine" w:cs="Linux Libertine"/>
                <w:sz w:val="20"/>
                <w:szCs w:val="20"/>
              </w:rPr>
              <w:t>mediation</w:t>
            </w:r>
          </w:p>
        </w:tc>
      </w:tr>
    </w:tbl>
    <w:p w14:paraId="4EE661EB" w14:textId="77777777" w:rsidR="00FA01A1" w:rsidRPr="006F7344" w:rsidRDefault="00FA01A1" w:rsidP="00FA01A1">
      <w:pPr>
        <w:pStyle w:val="Heading2"/>
        <w:numPr>
          <w:ilvl w:val="1"/>
          <w:numId w:val="4"/>
        </w:numPr>
        <w:ind w:left="432"/>
      </w:pPr>
      <w:bookmarkStart w:id="55" w:name="_Toc118302797"/>
      <w:bookmarkStart w:id="56" w:name="_Toc121200605"/>
      <w:r w:rsidRPr="006F7344">
        <w:t xml:space="preserve">Pseudo-secularity </w:t>
      </w:r>
      <w:proofErr w:type="gramStart"/>
      <w:r w:rsidRPr="006F7344">
        <w:t>harvest</w:t>
      </w:r>
      <w:proofErr w:type="gramEnd"/>
      <w:r w:rsidRPr="006F7344">
        <w:t xml:space="preserve"> an illusion of religious freedom</w:t>
      </w:r>
      <w:bookmarkEnd w:id="55"/>
      <w:bookmarkEnd w:id="56"/>
    </w:p>
    <w:p w14:paraId="774745F7" w14:textId="77777777" w:rsidR="00FA01A1" w:rsidRPr="006F7344" w:rsidRDefault="00FA01A1" w:rsidP="00FA01A1">
      <w:pPr>
        <w:pStyle w:val="ParagraphafSubheader"/>
      </w:pPr>
      <w:r w:rsidRPr="006F7344">
        <w:t xml:space="preserve">In comparison to the relationship between the state and religion before and after Indonesian independence, the Anti-Blasphemy Law has altered the relationship between the state and religion. </w:t>
      </w:r>
      <w:commentRangeStart w:id="57"/>
      <w:r w:rsidRPr="006F7344">
        <w:t>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w:t>
      </w:r>
      <w:commentRangeEnd w:id="57"/>
      <w:r w:rsidR="003C7223">
        <w:rPr>
          <w:rStyle w:val="CommentReference"/>
        </w:rPr>
        <w:commentReference w:id="57"/>
      </w:r>
      <w:r w:rsidRPr="006F7344">
        <w:t xml:space="preserve">. Using the Anti-Defamation Law to prosecute groups deemed as straying from Islam demonstrates this point. The Anti-Defamation Law, which </w:t>
      </w:r>
      <w:r w:rsidRPr="006F7344">
        <w:lastRenderedPageBreak/>
        <w:t>was upheld by both the Reformation Era Government and the Joko Widodo Administration, demonstrates the cohesion of nation-</w:t>
      </w:r>
      <w:proofErr w:type="spellStart"/>
      <w:r w:rsidRPr="006F7344">
        <w:t>alists</w:t>
      </w:r>
      <w:proofErr w:type="spellEnd"/>
      <w:r w:rsidRPr="006F7344">
        <w:t xml:space="preserve"> and Muslims on the link between religion and the state they wish to construct.</w:t>
      </w:r>
    </w:p>
    <w:p w14:paraId="04540D85" w14:textId="77777777" w:rsidR="00FA01A1" w:rsidRPr="006F7344" w:rsidRDefault="00FA01A1" w:rsidP="00FA01A1">
      <w:pPr>
        <w:pStyle w:val="ParagraphNormal"/>
      </w:pPr>
      <w:commentRangeStart w:id="58"/>
      <w:r w:rsidRPr="006F7344">
        <w:t xml:space="preserve">The Constitution of 1945 does not classify Indonesia as a religious state, but it does require Indonesia to be founded on the one and only Godhead, as stated in the First Principle of Pancasila. </w:t>
      </w:r>
      <w:commentRangeEnd w:id="58"/>
      <w:r w:rsidR="003C7223">
        <w:rPr>
          <w:rStyle w:val="CommentReference"/>
        </w:rPr>
        <w:commentReference w:id="58"/>
      </w:r>
      <w:proofErr w:type="spellStart"/>
      <w:r w:rsidRPr="006F7344">
        <w:t>Yudi</w:t>
      </w:r>
      <w:proofErr w:type="spellEnd"/>
      <w:r w:rsidRPr="006F7344">
        <w:t xml:space="preserve"> </w:t>
      </w:r>
      <w:commentRangeStart w:id="59"/>
      <w:r w:rsidRPr="006F7344">
        <w:t>Latif (2011)</w:t>
      </w:r>
      <w:r w:rsidRPr="006F7344">
        <w:rPr>
          <w:rStyle w:val="FootnoteReference"/>
        </w:rPr>
        <w:t xml:space="preserve"> </w:t>
      </w:r>
      <w:r w:rsidRPr="006F7344">
        <w:t>analyses and discusses each of the Pancasila principles from a philosophical standpoint, debating the viewpoints of the nation's founding fathers and comparing them to the constitutions of other nations.</w:t>
      </w:r>
      <w:r w:rsidRPr="006F7344">
        <w:rPr>
          <w:rStyle w:val="FootnoteReference"/>
        </w:rPr>
        <w:t xml:space="preserve"> </w:t>
      </w:r>
      <w:r w:rsidRPr="00E82028">
        <w:rPr>
          <w:rStyle w:val="FootnoteReference"/>
        </w:rPr>
        <w:footnoteReference w:id="21"/>
      </w:r>
      <w:r w:rsidRPr="006F7344">
        <w:t xml:space="preserve"> However, Latif (2011) does </w:t>
      </w:r>
      <w:commentRangeEnd w:id="59"/>
      <w:r w:rsidR="007A7B66">
        <w:rPr>
          <w:rStyle w:val="CommentReference"/>
        </w:rPr>
        <w:commentReference w:id="59"/>
      </w:r>
      <w:r w:rsidRPr="006F7344">
        <w:t xml:space="preserve">not explore the post-reformation relationship between religion and the state, Pancasila's perspective on the relationship, or how they deal with discontent or satisfaction resulting from the state-religious interaction. While </w:t>
      </w:r>
      <w:proofErr w:type="spellStart"/>
      <w:r w:rsidRPr="006F7344">
        <w:t>As'ad</w:t>
      </w:r>
      <w:proofErr w:type="spellEnd"/>
      <w:r w:rsidRPr="006F7344">
        <w:t xml:space="preserve"> Said Ali (2009) examines the idea of the Pancasila State, he does not address the link between religion and the state throughout the </w:t>
      </w:r>
      <w:commentRangeStart w:id="60"/>
      <w:r w:rsidRPr="006F7344">
        <w:t>reform era.</w:t>
      </w:r>
      <w:r w:rsidRPr="00E82028">
        <w:rPr>
          <w:rStyle w:val="FootnoteReference"/>
        </w:rPr>
        <w:footnoteReference w:id="22"/>
      </w:r>
      <w:r w:rsidRPr="006F7344">
        <w:t xml:space="preserve"> According to Din </w:t>
      </w:r>
      <w:proofErr w:type="spellStart"/>
      <w:r w:rsidRPr="006F7344">
        <w:t>Syamsudin</w:t>
      </w:r>
      <w:proofErr w:type="spellEnd"/>
      <w:r w:rsidRPr="006F7344">
        <w:t xml:space="preserve">, former Central Executive of the Moderate Islamic </w:t>
      </w:r>
      <w:commentRangeEnd w:id="60"/>
      <w:r w:rsidR="003C7223">
        <w:rPr>
          <w:rStyle w:val="CommentReference"/>
        </w:rPr>
        <w:commentReference w:id="60"/>
      </w:r>
      <w:r w:rsidRPr="006F7344">
        <w:t xml:space="preserve">Organization Muhammadiyah, as cited by </w:t>
      </w:r>
      <w:proofErr w:type="spellStart"/>
      <w:r w:rsidRPr="006F7344">
        <w:t>Moh</w:t>
      </w:r>
      <w:proofErr w:type="spellEnd"/>
      <w:r w:rsidRPr="006F7344">
        <w:t xml:space="preserve"> </w:t>
      </w:r>
      <w:proofErr w:type="spellStart"/>
      <w:r w:rsidRPr="006F7344">
        <w:t>Dahlan</w:t>
      </w:r>
      <w:proofErr w:type="spellEnd"/>
      <w:r w:rsidRPr="006F7344">
        <w:t xml:space="preserve"> (2014), the first group to assert that religion and the state are inextricably linked is the Muslim Brotherhood. Thus, everything that pertains to religion also pertains to the state, and vice versa. So that there is no separation between religion and the state and they become </w:t>
      </w:r>
      <w:proofErr w:type="gramStart"/>
      <w:r w:rsidRPr="006F7344">
        <w:t>a single one</w:t>
      </w:r>
      <w:proofErr w:type="gramEnd"/>
      <w:r w:rsidRPr="006F7344">
        <w:t>. Al-</w:t>
      </w:r>
      <w:proofErr w:type="spellStart"/>
      <w:r w:rsidRPr="006F7344">
        <w:t>Maududi</w:t>
      </w:r>
      <w:proofErr w:type="spellEnd"/>
      <w:r w:rsidRPr="006F7344">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w:t>
      </w:r>
      <w:proofErr w:type="spellStart"/>
      <w:r w:rsidRPr="006F7344">
        <w:t>Na'im</w:t>
      </w:r>
      <w:proofErr w:type="spellEnd"/>
      <w:r w:rsidRPr="006F7344">
        <w:t xml:space="preserve">, Muhammad </w:t>
      </w:r>
      <w:proofErr w:type="spellStart"/>
      <w:r w:rsidRPr="006F7344">
        <w:t>Syahrur</w:t>
      </w:r>
      <w:proofErr w:type="spellEnd"/>
      <w:r w:rsidRPr="006F7344">
        <w:t xml:space="preserve">, Nasr Hamid Abu Zaid, Abdurrahman Wahid, and </w:t>
      </w:r>
      <w:proofErr w:type="spellStart"/>
      <w:r w:rsidRPr="006F7344">
        <w:t>Nurcholish</w:t>
      </w:r>
      <w:proofErr w:type="spellEnd"/>
      <w:r w:rsidRPr="006F7344">
        <w:t xml:space="preserve"> </w:t>
      </w:r>
      <w:proofErr w:type="spellStart"/>
      <w:r w:rsidRPr="006F7344">
        <w:t>Madjid</w:t>
      </w:r>
      <w:proofErr w:type="spellEnd"/>
      <w:r w:rsidRPr="006F7344">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F7344">
        <w:t>Raziq</w:t>
      </w:r>
      <w:proofErr w:type="spellEnd"/>
      <w:r w:rsidRPr="006F7344">
        <w:t xml:space="preserve"> is one of the world's Muslim leaders who </w:t>
      </w:r>
      <w:r w:rsidRPr="006F7344">
        <w:lastRenderedPageBreak/>
        <w:t>belongs to this group. R.R. Alford thinks that religion has no significant effect in the political views of its adherents; religious adherents typically have secular political views.</w:t>
      </w:r>
    </w:p>
    <w:p w14:paraId="2797534D" w14:textId="77777777" w:rsidR="00FA01A1" w:rsidRPr="006F7344" w:rsidRDefault="00FA01A1" w:rsidP="00FA01A1">
      <w:pPr>
        <w:pStyle w:val="ParagraphNormal"/>
      </w:pPr>
      <w:r w:rsidRPr="006F7344">
        <w:t xml:space="preserve">In Indonesia, the pseudo-secularity of state-religion relations creates an illusion of religious liberty. </w:t>
      </w:r>
      <w:commentRangeStart w:id="61"/>
      <w:r w:rsidRPr="006F7344">
        <w:t xml:space="preserve">Using the Durham and </w:t>
      </w:r>
      <w:proofErr w:type="spellStart"/>
      <w:r w:rsidRPr="006F7344">
        <w:t>Scharffs</w:t>
      </w:r>
      <w:proofErr w:type="spellEnd"/>
      <w:r w:rsidRPr="006F7344">
        <w:t xml:space="preserve"> model, the figure below depicts the relationship between the state and religion in Indonesia under the Anti-Defamation Law system. In his work titled "Islam and the State in Indonesia from a Legal Perspective," M. Ali </w:t>
      </w:r>
      <w:proofErr w:type="spellStart"/>
      <w:r w:rsidRPr="006F7344">
        <w:t>Safa'at</w:t>
      </w:r>
      <w:proofErr w:type="spellEnd"/>
      <w:r w:rsidRPr="006F7344">
        <w:t xml:space="preserve"> claims that the concept to replace the state's basis of Pancasila, which is the ideology of the Nationalist faction, with Islamic Law emerged in 2002. This reasoning at least supports this conclusion. </w:t>
      </w:r>
      <w:commentRangeEnd w:id="61"/>
      <w:r w:rsidR="007A7B66">
        <w:rPr>
          <w:rStyle w:val="CommentReference"/>
        </w:rPr>
        <w:commentReference w:id="61"/>
      </w:r>
      <w:r w:rsidRPr="006F7344">
        <w:t xml:space="preserve">The pseudo-secularity of state-religion relations produces dishonest religious freedom. </w:t>
      </w:r>
      <w:commentRangeStart w:id="62"/>
      <w:r w:rsidRPr="006F7344">
        <w:t xml:space="preserve">The diagram below </w:t>
      </w:r>
      <w:commentRangeEnd w:id="62"/>
      <w:r w:rsidR="007A7B66">
        <w:rPr>
          <w:rStyle w:val="CommentReference"/>
        </w:rPr>
        <w:commentReference w:id="62"/>
      </w:r>
      <w:r w:rsidRPr="006F7344">
        <w:t xml:space="preserve">illustrates the connection between the state and religion in Indonesia under the Anti-Defamation Law regime, with reference to the Durham and </w:t>
      </w:r>
      <w:proofErr w:type="spellStart"/>
      <w:r w:rsidRPr="006F7344">
        <w:t>Scharffs</w:t>
      </w:r>
      <w:proofErr w:type="spellEnd"/>
      <w:r w:rsidRPr="006F7344">
        <w:t xml:space="preserve"> model. </w:t>
      </w:r>
      <w:commentRangeStart w:id="63"/>
      <w:r w:rsidRPr="006F7344">
        <w:t xml:space="preserve">M.'s </w:t>
      </w:r>
      <w:commentRangeEnd w:id="63"/>
      <w:r w:rsidR="007A7B66">
        <w:rPr>
          <w:rStyle w:val="CommentReference"/>
        </w:rPr>
        <w:commentReference w:id="63"/>
      </w:r>
      <w:r w:rsidRPr="006F7344">
        <w:t xml:space="preserve">contribution at least bolsters this result. Ali </w:t>
      </w:r>
      <w:proofErr w:type="spellStart"/>
      <w:r w:rsidRPr="006F7344">
        <w:t>Safa'at</w:t>
      </w:r>
      <w:proofErr w:type="spellEnd"/>
      <w:r w:rsidRPr="006F7344">
        <w:t xml:space="preserve"> says in his work titled "Islam and the State in Indonesia from a Legal Perspective" that the concept to replace the Nationalist group's Pancasila with Islamic Law as the state's foundation emerged in 2002.</w:t>
      </w:r>
    </w:p>
    <w:p w14:paraId="73637C59" w14:textId="77777777" w:rsidR="00FA01A1" w:rsidRPr="006F7344" w:rsidRDefault="00FA01A1" w:rsidP="00FA01A1">
      <w:pPr>
        <w:pStyle w:val="Quote"/>
      </w:pPr>
      <w:commentRangeStart w:id="64"/>
      <w:r w:rsidRPr="006F7344">
        <w:t xml:space="preserve">In the Reformation Era, the meaning of Pancasila, and especially the first </w:t>
      </w:r>
      <w:commentRangeEnd w:id="64"/>
      <w:r w:rsidR="007A7B66">
        <w:rPr>
          <w:rStyle w:val="CommentReference"/>
          <w:i w:val="0"/>
          <w:iCs w:val="0"/>
          <w:color w:val="auto"/>
        </w:rPr>
        <w:commentReference w:id="64"/>
      </w:r>
      <w:r w:rsidRPr="006F7344">
        <w:t>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proofErr w:type="spellStart"/>
      <w:r w:rsidRPr="006F7344">
        <w:t>Safa’at</w:t>
      </w:r>
      <w:proofErr w:type="spellEnd"/>
      <w:r w:rsidRPr="006F7344">
        <w:t>, 2020: p.31)</w:t>
      </w:r>
    </w:p>
    <w:p w14:paraId="4AA65832" w14:textId="77777777" w:rsidR="00FA01A1" w:rsidRPr="006F7344" w:rsidRDefault="00FA01A1" w:rsidP="00FA01A1">
      <w:pPr>
        <w:pStyle w:val="ParagraphNormal"/>
      </w:pPr>
      <w:proofErr w:type="gramStart"/>
      <w:r w:rsidRPr="006F7344">
        <w:t>Despite the fact that</w:t>
      </w:r>
      <w:proofErr w:type="gramEnd"/>
      <w:r w:rsidRPr="006F7344">
        <w:t xml:space="preserve"> this proposal was shot down in writing by the Indonesian Parliament, the growth of legal politics both in the </w:t>
      </w:r>
      <w:proofErr w:type="spellStart"/>
      <w:r w:rsidRPr="006F7344">
        <w:t>center</w:t>
      </w:r>
      <w:proofErr w:type="spellEnd"/>
      <w:r w:rsidRPr="006F7344">
        <w:t xml:space="preserve"> and in the regions gave support to the notion. In his normative approach, </w:t>
      </w:r>
      <w:proofErr w:type="spellStart"/>
      <w:r w:rsidRPr="006F7344">
        <w:t>Syafat</w:t>
      </w:r>
      <w:proofErr w:type="spellEnd"/>
      <w:r w:rsidRPr="006F7344">
        <w:t xml:space="preserve"> also indicates that the strengthening of the application of Islamic Law can be found from the proliferation of Islamic Law adopted as Positive Law by both the Central Government and Regional Governments. </w:t>
      </w:r>
      <w:proofErr w:type="spellStart"/>
      <w:r w:rsidRPr="006F7344">
        <w:t>Syafat</w:t>
      </w:r>
      <w:proofErr w:type="spellEnd"/>
      <w:r w:rsidRPr="006F7344">
        <w:t xml:space="preserve"> says this can be found by looking at the proliferation of Islamic Law adopted as Positive Law by both the Central Government and Regional Governments. </w:t>
      </w:r>
      <w:proofErr w:type="spellStart"/>
      <w:r w:rsidRPr="006F7344">
        <w:t>Sa'faat</w:t>
      </w:r>
      <w:proofErr w:type="spellEnd"/>
      <w:r w:rsidRPr="006F7344">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w:t>
      </w:r>
      <w:r w:rsidRPr="006F7344">
        <w:lastRenderedPageBreak/>
        <w:t xml:space="preserve">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w:t>
      </w:r>
      <w:commentRangeStart w:id="65"/>
      <w:r w:rsidRPr="006F7344">
        <w:t xml:space="preserve">this legislation, which is founded on Islamic law, must nonetheless </w:t>
      </w:r>
      <w:proofErr w:type="spellStart"/>
      <w:r w:rsidRPr="006F7344">
        <w:t>fulfill</w:t>
      </w:r>
      <w:proofErr w:type="spellEnd"/>
      <w:r w:rsidRPr="006F7344">
        <w:t xml:space="preserve"> the aims set by the state as an entity that </w:t>
      </w:r>
      <w:proofErr w:type="gramStart"/>
      <w:r w:rsidRPr="006F7344">
        <w:t>is considered to be</w:t>
      </w:r>
      <w:proofErr w:type="gramEnd"/>
      <w:r w:rsidRPr="006F7344">
        <w:t xml:space="preserve"> secular.</w:t>
      </w:r>
      <w:commentRangeEnd w:id="65"/>
      <w:r w:rsidR="007A7B66">
        <w:rPr>
          <w:rStyle w:val="CommentReference"/>
        </w:rPr>
        <w:commentReference w:id="65"/>
      </w:r>
    </w:p>
    <w:p w14:paraId="6A92455C" w14:textId="77777777" w:rsidR="00FA01A1" w:rsidRPr="006F7344" w:rsidRDefault="00FA01A1" w:rsidP="00FA01A1">
      <w:pPr>
        <w:pStyle w:val="ParagraphNormal"/>
      </w:pPr>
      <w:r w:rsidRPr="006F7344">
        <w:t xml:space="preserve">In terms of concepts, </w:t>
      </w:r>
      <w:proofErr w:type="gramStart"/>
      <w:r w:rsidRPr="006F7344">
        <w:t>it would appear that the</w:t>
      </w:r>
      <w:proofErr w:type="gramEnd"/>
      <w:r w:rsidRPr="006F7344">
        <w:t xml:space="preserve"> concept of making Islam the cornerstone of the state is still being opposed by members of the Indonesian Parliament. </w:t>
      </w:r>
      <w:proofErr w:type="gramStart"/>
      <w:r w:rsidRPr="006F7344">
        <w:t>In spite of</w:t>
      </w:r>
      <w:proofErr w:type="gramEnd"/>
      <w:r w:rsidRPr="006F7344">
        <w:t xml:space="preserve">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t>
      </w:r>
      <w:commentRangeStart w:id="66"/>
      <w:r w:rsidRPr="006F7344">
        <w:t xml:space="preserve">was being reviewed by the Constitutional Court. The following is a list of the perspectives </w:t>
      </w:r>
      <w:commentRangeEnd w:id="66"/>
      <w:r w:rsidR="007A7B66">
        <w:rPr>
          <w:rStyle w:val="CommentReference"/>
        </w:rPr>
        <w:commentReference w:id="66"/>
      </w:r>
      <w:r w:rsidRPr="006F7344">
        <w:t>held by various Islamic organisations about the Blasphemy Law:</w:t>
      </w:r>
    </w:p>
    <w:p w14:paraId="087BDA67" w14:textId="77777777" w:rsidR="00FA01A1" w:rsidRPr="006F7344" w:rsidRDefault="00FA01A1" w:rsidP="00FA01A1">
      <w:pPr>
        <w:pStyle w:val="Quote"/>
      </w:pPr>
      <w:r w:rsidRPr="006F7344">
        <w:t>“</w:t>
      </w:r>
      <w:proofErr w:type="spellStart"/>
      <w:r w:rsidRPr="006F7344">
        <w:t>Undang-undang</w:t>
      </w:r>
      <w:proofErr w:type="spellEnd"/>
      <w:r w:rsidRPr="006F7344">
        <w:t xml:space="preserve"> a quo </w:t>
      </w:r>
      <w:proofErr w:type="spellStart"/>
      <w:r w:rsidRPr="006F7344">
        <w:t>masih</w:t>
      </w:r>
      <w:proofErr w:type="spellEnd"/>
      <w:r w:rsidRPr="006F7344">
        <w:t xml:space="preserve"> </w:t>
      </w:r>
      <w:proofErr w:type="spellStart"/>
      <w:r w:rsidRPr="006F7344">
        <w:t>diperlukan</w:t>
      </w:r>
      <w:proofErr w:type="spellEnd"/>
      <w:r w:rsidRPr="006F7344">
        <w:t xml:space="preserve"> di Indonesia </w:t>
      </w:r>
      <w:proofErr w:type="spellStart"/>
      <w:r w:rsidRPr="006F7344">
        <w:t>sehingga</w:t>
      </w:r>
      <w:proofErr w:type="spellEnd"/>
      <w:r w:rsidRPr="006F7344">
        <w:t xml:space="preserve"> </w:t>
      </w:r>
      <w:proofErr w:type="spellStart"/>
      <w:r w:rsidRPr="006F7344">
        <w:t>kalau</w:t>
      </w:r>
      <w:proofErr w:type="spellEnd"/>
      <w:r w:rsidRPr="006F7344">
        <w:t xml:space="preserve"> </w:t>
      </w:r>
      <w:proofErr w:type="spellStart"/>
      <w:r w:rsidRPr="006F7344">
        <w:t>dicabut</w:t>
      </w:r>
      <w:proofErr w:type="spellEnd"/>
      <w:r w:rsidRPr="006F7344">
        <w:t xml:space="preserve"> </w:t>
      </w:r>
      <w:proofErr w:type="spellStart"/>
      <w:r w:rsidRPr="006F7344">
        <w:t>daapat</w:t>
      </w:r>
      <w:proofErr w:type="spellEnd"/>
      <w:r w:rsidRPr="006F7344">
        <w:t xml:space="preserve"> 1) </w:t>
      </w:r>
      <w:proofErr w:type="spellStart"/>
      <w:r w:rsidRPr="006F7344">
        <w:t>menimbulkan</w:t>
      </w:r>
      <w:proofErr w:type="spellEnd"/>
      <w:r w:rsidRPr="006F7344">
        <w:t xml:space="preserve"> </w:t>
      </w:r>
      <w:proofErr w:type="spellStart"/>
      <w:r w:rsidRPr="006F7344">
        <w:t>instabilitas</w:t>
      </w:r>
      <w:proofErr w:type="spellEnd"/>
      <w:r w:rsidRPr="006F7344">
        <w:t xml:space="preserve"> Indonesia; 2) </w:t>
      </w:r>
      <w:proofErr w:type="spellStart"/>
      <w:r w:rsidRPr="006F7344">
        <w:t>mengganggu</w:t>
      </w:r>
      <w:proofErr w:type="spellEnd"/>
      <w:r w:rsidRPr="006F7344">
        <w:t xml:space="preserve"> </w:t>
      </w:r>
      <w:proofErr w:type="spellStart"/>
      <w:r w:rsidRPr="006F7344">
        <w:t>kerukunan</w:t>
      </w:r>
      <w:proofErr w:type="spellEnd"/>
      <w:r w:rsidRPr="006F7344">
        <w:t xml:space="preserve"> </w:t>
      </w:r>
      <w:proofErr w:type="spellStart"/>
      <w:r w:rsidRPr="006F7344">
        <w:t>umat</w:t>
      </w:r>
      <w:proofErr w:type="spellEnd"/>
      <w:r w:rsidRPr="006F7344">
        <w:t xml:space="preserve"> </w:t>
      </w:r>
      <w:proofErr w:type="spellStart"/>
      <w:r w:rsidRPr="006F7344">
        <w:t>beragama</w:t>
      </w:r>
      <w:proofErr w:type="spellEnd"/>
      <w:r w:rsidRPr="006F7344">
        <w:t xml:space="preserve">; 3) </w:t>
      </w:r>
      <w:proofErr w:type="spellStart"/>
      <w:r w:rsidRPr="006F7344">
        <w:t>merugikan</w:t>
      </w:r>
      <w:proofErr w:type="spellEnd"/>
      <w:r w:rsidRPr="006F7344">
        <w:t xml:space="preserve"> </w:t>
      </w:r>
      <w:proofErr w:type="spellStart"/>
      <w:r w:rsidRPr="006F7344">
        <w:t>terutama</w:t>
      </w:r>
      <w:proofErr w:type="spellEnd"/>
      <w:r w:rsidRPr="006F7344">
        <w:t xml:space="preserve"> </w:t>
      </w:r>
      <w:proofErr w:type="spellStart"/>
      <w:r w:rsidRPr="006F7344">
        <w:t>untuk</w:t>
      </w:r>
      <w:proofErr w:type="spellEnd"/>
      <w:r w:rsidRPr="006F7344">
        <w:t xml:space="preserve"> </w:t>
      </w:r>
      <w:proofErr w:type="spellStart"/>
      <w:r w:rsidRPr="006F7344">
        <w:t>minoritas</w:t>
      </w:r>
      <w:proofErr w:type="spellEnd"/>
      <w:r w:rsidRPr="006F7344">
        <w:t xml:space="preserve"> dan </w:t>
      </w:r>
      <w:proofErr w:type="spellStart"/>
      <w:r w:rsidRPr="006F7344">
        <w:t>dapat</w:t>
      </w:r>
      <w:proofErr w:type="spellEnd"/>
      <w:r w:rsidRPr="006F7344">
        <w:t xml:space="preserve"> </w:t>
      </w:r>
      <w:proofErr w:type="spellStart"/>
      <w:r w:rsidRPr="006F7344">
        <w:t>terjadi</w:t>
      </w:r>
      <w:proofErr w:type="spellEnd"/>
      <w:r w:rsidRPr="006F7344">
        <w:t xml:space="preserve"> </w:t>
      </w:r>
      <w:proofErr w:type="spellStart"/>
      <w:r w:rsidRPr="006F7344">
        <w:t>anarkisme</w:t>
      </w:r>
      <w:proofErr w:type="spellEnd"/>
      <w:r w:rsidRPr="006F7344">
        <w:t xml:space="preserve">. </w:t>
      </w:r>
      <w:proofErr w:type="spellStart"/>
      <w:r w:rsidRPr="006F7344">
        <w:t>Logikanya</w:t>
      </w:r>
      <w:proofErr w:type="spellEnd"/>
      <w:r w:rsidRPr="006F7344">
        <w:t xml:space="preserve"> </w:t>
      </w:r>
      <w:proofErr w:type="spellStart"/>
      <w:r w:rsidRPr="006F7344">
        <w:t>ketika</w:t>
      </w:r>
      <w:proofErr w:type="spellEnd"/>
      <w:r w:rsidRPr="006F7344">
        <w:t xml:space="preserve"> </w:t>
      </w:r>
      <w:proofErr w:type="spellStart"/>
      <w:r w:rsidRPr="006F7344">
        <w:t>tida</w:t>
      </w:r>
      <w:proofErr w:type="spellEnd"/>
      <w:r w:rsidRPr="006F7344">
        <w:t xml:space="preserve"> </w:t>
      </w:r>
      <w:proofErr w:type="spellStart"/>
      <w:r w:rsidRPr="006F7344">
        <w:t>kada</w:t>
      </w:r>
      <w:proofErr w:type="spellEnd"/>
      <w:r w:rsidRPr="006F7344">
        <w:t xml:space="preserve"> </w:t>
      </w:r>
      <w:proofErr w:type="spellStart"/>
      <w:r w:rsidRPr="006F7344">
        <w:t>aturan</w:t>
      </w:r>
      <w:proofErr w:type="spellEnd"/>
      <w:r w:rsidRPr="006F7344">
        <w:t xml:space="preserve"> </w:t>
      </w:r>
      <w:proofErr w:type="spellStart"/>
      <w:r w:rsidRPr="006F7344">
        <w:t>bukan</w:t>
      </w:r>
      <w:proofErr w:type="spellEnd"/>
      <w:r w:rsidRPr="006F7344">
        <w:t xml:space="preserve"> </w:t>
      </w:r>
      <w:proofErr w:type="spellStart"/>
      <w:r w:rsidRPr="006F7344">
        <w:t>menjadi</w:t>
      </w:r>
      <w:proofErr w:type="spellEnd"/>
      <w:r w:rsidRPr="006F7344">
        <w:t xml:space="preserve"> </w:t>
      </w:r>
      <w:proofErr w:type="spellStart"/>
      <w:r w:rsidRPr="006F7344">
        <w:t>beres</w:t>
      </w:r>
      <w:proofErr w:type="spellEnd"/>
      <w:r w:rsidRPr="006F7344">
        <w:t xml:space="preserve"> </w:t>
      </w:r>
      <w:proofErr w:type="spellStart"/>
      <w:r w:rsidRPr="006F7344">
        <w:t>tetapi</w:t>
      </w:r>
      <w:proofErr w:type="spellEnd"/>
      <w:r w:rsidRPr="006F7344">
        <w:t xml:space="preserve"> </w:t>
      </w:r>
      <w:proofErr w:type="spellStart"/>
      <w:r w:rsidRPr="006F7344">
        <w:t>masyarakat</w:t>
      </w:r>
      <w:proofErr w:type="spellEnd"/>
      <w:r w:rsidRPr="006F7344">
        <w:t xml:space="preserve"> </w:t>
      </w:r>
      <w:proofErr w:type="spellStart"/>
      <w:r w:rsidRPr="006F7344">
        <w:t>akan</w:t>
      </w:r>
      <w:proofErr w:type="spellEnd"/>
      <w:r w:rsidRPr="006F7344">
        <w:t xml:space="preserve"> </w:t>
      </w:r>
      <w:proofErr w:type="spellStart"/>
      <w:r w:rsidRPr="006F7344">
        <w:t>membuat</w:t>
      </w:r>
      <w:proofErr w:type="spellEnd"/>
      <w:r w:rsidRPr="006F7344">
        <w:t xml:space="preserve"> </w:t>
      </w:r>
      <w:proofErr w:type="spellStart"/>
      <w:r w:rsidRPr="006F7344">
        <w:t>aturan</w:t>
      </w:r>
      <w:proofErr w:type="spellEnd"/>
      <w:r w:rsidRPr="006F7344">
        <w:t xml:space="preserve"> </w:t>
      </w:r>
      <w:proofErr w:type="spellStart"/>
      <w:r w:rsidRPr="006F7344">
        <w:t>sendiri</w:t>
      </w:r>
      <w:proofErr w:type="spellEnd"/>
      <w:r w:rsidRPr="006F7344">
        <w:t>.” “The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E82028">
        <w:rPr>
          <w:rStyle w:val="FootnoteReference"/>
        </w:rPr>
        <w:footnoteReference w:id="23"/>
      </w:r>
    </w:p>
    <w:p w14:paraId="12765E30" w14:textId="77777777" w:rsidR="00FA01A1" w:rsidRPr="006F7344" w:rsidRDefault="00FA01A1" w:rsidP="00FA01A1">
      <w:pPr>
        <w:pStyle w:val="ParagraphNormal"/>
      </w:pPr>
      <w:r w:rsidRPr="006F7344">
        <w:t xml:space="preserve">Other moderate Muslim personalities, such as Prof. </w:t>
      </w:r>
      <w:proofErr w:type="spellStart"/>
      <w:r w:rsidRPr="006F7344">
        <w:t>Dr.</w:t>
      </w:r>
      <w:proofErr w:type="spellEnd"/>
      <w:r w:rsidRPr="006F7344">
        <w:t xml:space="preserve"> Amin Suma, </w:t>
      </w:r>
      <w:proofErr w:type="spellStart"/>
      <w:r w:rsidRPr="006F7344">
        <w:t>Rahmat</w:t>
      </w:r>
      <w:proofErr w:type="spellEnd"/>
      <w:r w:rsidRPr="006F7344">
        <w:t xml:space="preserve"> </w:t>
      </w:r>
      <w:proofErr w:type="spellStart"/>
      <w:r w:rsidRPr="006F7344">
        <w:t>Syafi'i</w:t>
      </w:r>
      <w:proofErr w:type="spellEnd"/>
      <w:r w:rsidRPr="006F7344">
        <w:t xml:space="preserve">, Prof. Nur </w:t>
      </w:r>
      <w:proofErr w:type="spellStart"/>
      <w:r w:rsidRPr="006F7344">
        <w:t>Syam</w:t>
      </w:r>
      <w:proofErr w:type="spellEnd"/>
      <w:r w:rsidRPr="006F7344">
        <w:t xml:space="preserve">, and MUI figures such as </w:t>
      </w:r>
      <w:proofErr w:type="spellStart"/>
      <w:r w:rsidRPr="006F7344">
        <w:t>Dr.</w:t>
      </w:r>
      <w:proofErr w:type="spellEnd"/>
      <w:r w:rsidRPr="006F7344">
        <w:t xml:space="preserve"> </w:t>
      </w:r>
      <w:proofErr w:type="spellStart"/>
      <w:r w:rsidRPr="006F7344">
        <w:t>Adian</w:t>
      </w:r>
      <w:proofErr w:type="spellEnd"/>
      <w:r w:rsidRPr="006F7344">
        <w:t xml:space="preserve"> </w:t>
      </w:r>
      <w:proofErr w:type="spellStart"/>
      <w:r w:rsidRPr="006F7344">
        <w:t>Husaini</w:t>
      </w:r>
      <w:proofErr w:type="spellEnd"/>
      <w:r w:rsidRPr="006F7344">
        <w:t xml:space="preserve">, </w:t>
      </w:r>
      <w:proofErr w:type="spellStart"/>
      <w:r w:rsidRPr="006F7344">
        <w:t>Amien</w:t>
      </w:r>
      <w:proofErr w:type="spellEnd"/>
      <w:r w:rsidRPr="006F7344">
        <w:t xml:space="preserve"> </w:t>
      </w:r>
      <w:proofErr w:type="spellStart"/>
      <w:r w:rsidRPr="006F7344">
        <w:t>Djamaladdin</w:t>
      </w:r>
      <w:proofErr w:type="spellEnd"/>
      <w:r w:rsidRPr="006F7344">
        <w:t xml:space="preserve">, and </w:t>
      </w:r>
      <w:proofErr w:type="spellStart"/>
      <w:r w:rsidRPr="006F7344">
        <w:t>Yamin</w:t>
      </w:r>
      <w:proofErr w:type="spellEnd"/>
      <w:r w:rsidRPr="006F7344">
        <w:t xml:space="preserve"> Rahman,</w:t>
      </w:r>
      <w:r w:rsidRPr="006F7344">
        <w:rPr>
          <w:rStyle w:val="FootnoteReference"/>
        </w:rPr>
        <w:t xml:space="preserve"> </w:t>
      </w:r>
      <w:r w:rsidRPr="00E82028">
        <w:rPr>
          <w:rStyle w:val="FootnoteReference"/>
        </w:rPr>
        <w:footnoteReference w:id="24"/>
      </w:r>
      <w:r w:rsidRPr="006F7344">
        <w:t xml:space="preserve"> endorse Hasyim </w:t>
      </w:r>
      <w:proofErr w:type="spellStart"/>
      <w:r w:rsidRPr="006F7344">
        <w:t>Muzadi's</w:t>
      </w:r>
      <w:proofErr w:type="spellEnd"/>
      <w:r w:rsidRPr="006F7344">
        <w:t xml:space="preserve"> viewpoint.</w:t>
      </w:r>
      <w:r w:rsidRPr="006F7344">
        <w:rPr>
          <w:rStyle w:val="FootnoteReference"/>
        </w:rPr>
        <w:t xml:space="preserve"> </w:t>
      </w:r>
      <w:proofErr w:type="spellStart"/>
      <w:r w:rsidRPr="006F7344">
        <w:t>Dr.</w:t>
      </w:r>
      <w:proofErr w:type="spellEnd"/>
      <w:r w:rsidRPr="006F7344">
        <w:t xml:space="preserve"> </w:t>
      </w:r>
      <w:proofErr w:type="spellStart"/>
      <w:r w:rsidRPr="006F7344">
        <w:t>Adian</w:t>
      </w:r>
      <w:proofErr w:type="spellEnd"/>
      <w:r w:rsidRPr="006F7344">
        <w:t xml:space="preserve"> </w:t>
      </w:r>
      <w:proofErr w:type="spellStart"/>
      <w:r w:rsidRPr="006F7344">
        <w:t>Husaini</w:t>
      </w:r>
      <w:proofErr w:type="spellEnd"/>
      <w:r w:rsidRPr="006F7344">
        <w:t>, a member of the Indonesian Ulama's General Assembly, stated, "The status quo statute [the Blasphemy Law] should not be challenged initially. If required, a new legislation that provides faiths with greater protection will be drafted."</w:t>
      </w:r>
      <w:r w:rsidRPr="006F7344">
        <w:rPr>
          <w:rStyle w:val="FootnoteReference"/>
        </w:rPr>
        <w:t xml:space="preserve"> </w:t>
      </w:r>
      <w:r w:rsidRPr="00E82028">
        <w:rPr>
          <w:rStyle w:val="FootnoteReference"/>
        </w:rPr>
        <w:footnoteReference w:id="25"/>
      </w:r>
    </w:p>
    <w:p w14:paraId="620816D3" w14:textId="77777777" w:rsidR="00FA01A1" w:rsidRPr="006F7344" w:rsidRDefault="00FA01A1" w:rsidP="00FA01A1">
      <w:pPr>
        <w:pStyle w:val="ParagraphNormal"/>
      </w:pPr>
      <w:r w:rsidRPr="006F7344">
        <w:lastRenderedPageBreak/>
        <w:t>In the meanwhile, Muhammadiyah, a moderate Islamic group, provides its perspective on the Blasphemy Law, which in principle cites QS Al-</w:t>
      </w:r>
      <w:proofErr w:type="spellStart"/>
      <w:r w:rsidRPr="006F7344">
        <w:t>Baqoroh</w:t>
      </w:r>
      <w:proofErr w:type="spellEnd"/>
      <w:r w:rsidRPr="006F7344">
        <w:t xml:space="preserve"> verse 256 and QS AL-</w:t>
      </w:r>
      <w:proofErr w:type="spellStart"/>
      <w:r w:rsidRPr="006F7344">
        <w:t>Kafi</w:t>
      </w:r>
      <w:proofErr w:type="spellEnd"/>
      <w:r w:rsidRPr="006F7344">
        <w:t xml:space="preserve"> verse 29 that "there is no coercion in religion since it is evident which method is correct and which is incorrect. In QS Al </w:t>
      </w:r>
      <w:proofErr w:type="spellStart"/>
      <w:r w:rsidRPr="006F7344">
        <w:t>Kafi</w:t>
      </w:r>
      <w:proofErr w:type="spellEnd"/>
      <w:r w:rsidRPr="006F7344">
        <w:t>, it is said, "The truth comes from God; whomever desires to believe, let him believe; whoever desires to doubt, let him disbelieve in God's commandments."</w:t>
      </w:r>
      <w:r w:rsidRPr="006F7344">
        <w:rPr>
          <w:rStyle w:val="FootnoteReference"/>
        </w:rPr>
        <w:t xml:space="preserve"> </w:t>
      </w:r>
      <w:r w:rsidRPr="00E82028">
        <w:rPr>
          <w:rStyle w:val="FootnoteReference"/>
        </w:rPr>
        <w:footnoteReference w:id="26"/>
      </w:r>
      <w:r w:rsidRPr="006F7344">
        <w:t xml:space="preserve"> Muhammadiyah also highlighted that Islam protects religious liberty, religious diversity, and religious views or convictions. According to our view of Surah Al-</w:t>
      </w:r>
      <w:proofErr w:type="spellStart"/>
      <w:r w:rsidRPr="006F7344">
        <w:t>Baqoroh</w:t>
      </w:r>
      <w:proofErr w:type="spellEnd"/>
      <w:r w:rsidRPr="006F7344">
        <w:t xml:space="preserve"> verse 147 and AL-</w:t>
      </w:r>
      <w:proofErr w:type="spellStart"/>
      <w:r w:rsidRPr="006F7344">
        <w:t>Maidah</w:t>
      </w:r>
      <w:proofErr w:type="spellEnd"/>
      <w:r w:rsidRPr="006F7344">
        <w:t xml:space="preserve"> verse 48, this is the case.</w:t>
      </w:r>
      <w:r w:rsidRPr="006F7344">
        <w:rPr>
          <w:rStyle w:val="FootnoteReference"/>
        </w:rPr>
        <w:t xml:space="preserve"> </w:t>
      </w:r>
      <w:r w:rsidRPr="00E82028">
        <w:rPr>
          <w:rStyle w:val="FootnoteReference"/>
        </w:rPr>
        <w:footnoteReference w:id="27"/>
      </w:r>
      <w:r w:rsidRPr="006F7344">
        <w:t xml:space="preserve">  Muhammadiyah further highlighted that "in practicing religion and belief, individuals do not combine religious teachings and do not disregard the religious views of others."</w:t>
      </w:r>
      <w:r w:rsidRPr="00E82028">
        <w:rPr>
          <w:rStyle w:val="FootnoteReference"/>
        </w:rPr>
        <w:footnoteReference w:id="28"/>
      </w:r>
      <w:r w:rsidRPr="006F7344">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B60901D" w14:textId="77777777" w:rsidR="00FA01A1" w:rsidRPr="006F7344" w:rsidRDefault="00FA01A1" w:rsidP="00FA01A1">
      <w:pPr>
        <w:pStyle w:val="Quote"/>
      </w:pPr>
      <w:r w:rsidRPr="006F7344">
        <w:t>“[</w:t>
      </w:r>
      <w:proofErr w:type="gramStart"/>
      <w:r w:rsidRPr="006F7344">
        <w:t>…]build</w:t>
      </w:r>
      <w:proofErr w:type="gramEnd"/>
      <w:r w:rsidRPr="006F7344">
        <w:t xml:space="preserve"> brotherhood and guidance with others such as </w:t>
      </w:r>
      <w:proofErr w:type="spellStart"/>
      <w:r w:rsidRPr="006F7344">
        <w:t>neighbors</w:t>
      </w:r>
      <w:proofErr w:type="spellEnd"/>
      <w:r w:rsidRPr="006F7344">
        <w:t xml:space="preserve"> and other members of the community, both Muslim and non-Muslim; good for </w:t>
      </w:r>
      <w:proofErr w:type="spellStart"/>
      <w:r w:rsidRPr="006F7344">
        <w:t>neighbors</w:t>
      </w:r>
      <w:proofErr w:type="spellEnd"/>
      <w:r w:rsidRPr="006F7344">
        <w:t xml:space="preserve">, </w:t>
      </w:r>
      <w:proofErr w:type="spellStart"/>
      <w:r w:rsidRPr="006F7344">
        <w:t>neighbors</w:t>
      </w:r>
      <w:proofErr w:type="spellEnd"/>
      <w:r w:rsidRPr="006F7344">
        <w:t xml:space="preserve"> with different religions, good and fair, showing positive attitudes. based on the principles of respecting human </w:t>
      </w:r>
      <w:proofErr w:type="spellStart"/>
      <w:r w:rsidRPr="006F7344">
        <w:t>honor</w:t>
      </w:r>
      <w:proofErr w:type="spellEnd"/>
      <w:r w:rsidRPr="006F7344">
        <w:t>, fostering brotherhood and unity of humanity, [..] fostering a spirit of tolerance, respecting the freedom of others...[...]”</w:t>
      </w:r>
      <w:r w:rsidRPr="00E82028">
        <w:rPr>
          <w:rStyle w:val="FootnoteReference"/>
        </w:rPr>
        <w:footnoteReference w:id="29"/>
      </w:r>
    </w:p>
    <w:p w14:paraId="7285A537" w14:textId="77777777" w:rsidR="00FA01A1" w:rsidRPr="006F7344" w:rsidRDefault="00FA01A1" w:rsidP="00FA01A1">
      <w:pPr>
        <w:pStyle w:val="ParagraphNormal"/>
      </w:pPr>
      <w:r w:rsidRPr="006F7344">
        <w:t>Meanwhile, other religions, such as the Indonesian Church Association (PGI) are of the view that</w:t>
      </w:r>
    </w:p>
    <w:p w14:paraId="0C20126A" w14:textId="77777777" w:rsidR="00FA01A1" w:rsidRPr="006F7344" w:rsidRDefault="00FA01A1" w:rsidP="00FA01A1">
      <w:pPr>
        <w:pStyle w:val="Quote"/>
      </w:pPr>
      <w:r w:rsidRPr="006F7344">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E82028">
        <w:rPr>
          <w:rStyle w:val="FootnoteReference"/>
        </w:rPr>
        <w:footnoteReference w:id="30"/>
      </w:r>
    </w:p>
    <w:p w14:paraId="456F217B" w14:textId="77777777" w:rsidR="00FA01A1" w:rsidRPr="006F7344" w:rsidRDefault="00FA01A1" w:rsidP="00FA01A1">
      <w:pPr>
        <w:pStyle w:val="ParagraphNormal"/>
      </w:pPr>
      <w:r w:rsidRPr="006F7344">
        <w:lastRenderedPageBreak/>
        <w:t xml:space="preserve">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w:t>
      </w:r>
      <w:commentRangeStart w:id="67"/>
      <w:r w:rsidRPr="006F7344">
        <w:t>Blasphemy Law. irrelevant to the current era.</w:t>
      </w:r>
      <w:r w:rsidRPr="00E82028">
        <w:rPr>
          <w:rStyle w:val="FootnoteReference"/>
        </w:rPr>
        <w:footnoteReference w:id="31"/>
      </w:r>
      <w:r w:rsidRPr="006F7344">
        <w:t xml:space="preserve">  </w:t>
      </w:r>
      <w:commentRangeEnd w:id="67"/>
      <w:r w:rsidR="007A7B66">
        <w:rPr>
          <w:rStyle w:val="CommentReference"/>
        </w:rPr>
        <w:commentReference w:id="67"/>
      </w:r>
    </w:p>
    <w:p w14:paraId="536455A2" w14:textId="77777777" w:rsidR="00FA01A1" w:rsidRPr="006F7344" w:rsidRDefault="00FA01A1" w:rsidP="00FA01A1">
      <w:pPr>
        <w:pStyle w:val="ParagraphNormal"/>
      </w:pPr>
      <w:r w:rsidRPr="006F7344">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E82028">
        <w:rPr>
          <w:rStyle w:val="FootnoteReference"/>
        </w:rPr>
        <w:footnoteReference w:id="32"/>
      </w:r>
    </w:p>
    <w:p w14:paraId="4B35FB8C" w14:textId="77777777" w:rsidR="00FA01A1" w:rsidRPr="006F7344" w:rsidRDefault="00FA01A1" w:rsidP="00FA01A1">
      <w:pPr>
        <w:pStyle w:val="ParagraphNormal"/>
      </w:pPr>
      <w:r w:rsidRPr="006F7344">
        <w:t>The purpose of this Court's ruling is to demonstrate that the assertion that Indonesia is not a religious state that promotes secularism is</w:t>
      </w:r>
      <w:proofErr w:type="gramStart"/>
      <w:r w:rsidRPr="006F7344">
        <w:t>, in reality, intended</w:t>
      </w:r>
      <w:proofErr w:type="gramEnd"/>
      <w:r w:rsidRPr="006F7344">
        <w:t xml:space="preserve"> to demonstrate pseudo-secularism. The Constitutional Court still retains the Law on Blasphemy of Religion, which seeks to make the state the vehicle for punishing people based on their choice of religion, </w:t>
      </w:r>
      <w:proofErr w:type="gramStart"/>
      <w:r w:rsidRPr="006F7344">
        <w:t>despite the fact that</w:t>
      </w:r>
      <w:proofErr w:type="gramEnd"/>
      <w:r w:rsidRPr="006F7344">
        <w:t xml:space="preserve"> the consequences of this decision run counter to the central tenets of other religions. However, the choice of religion is an internal matter and an inviolable right, </w:t>
      </w:r>
      <w:r w:rsidRPr="006F7344">
        <w:lastRenderedPageBreak/>
        <w:t xml:space="preserve">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w:t>
      </w:r>
      <w:commentRangeStart w:id="68"/>
      <w:r w:rsidRPr="006F7344">
        <w:t>Thus, the pseudo-secularity portrayed by the Blasphemy Law, which has been upheld by the Constitutional Court to far, produces a false sense of religious liberty.</w:t>
      </w:r>
      <w:commentRangeEnd w:id="68"/>
      <w:r w:rsidR="007A7B66">
        <w:rPr>
          <w:rStyle w:val="CommentReference"/>
        </w:rPr>
        <w:commentReference w:id="68"/>
      </w:r>
    </w:p>
    <w:p w14:paraId="70FFFF93" w14:textId="77777777" w:rsidR="00FA01A1" w:rsidRPr="006F7344" w:rsidRDefault="00FA01A1" w:rsidP="00FA01A1">
      <w:pPr>
        <w:pStyle w:val="ParagraphNormal"/>
      </w:pPr>
      <w:commentRangeStart w:id="69"/>
      <w:r w:rsidRPr="006F7344">
        <w:t xml:space="preserve">In a democratic period in which the state is continually needed to guarantee and </w:t>
      </w:r>
      <w:commentRangeEnd w:id="69"/>
      <w:r w:rsidR="007A7B66">
        <w:rPr>
          <w:rStyle w:val="CommentReference"/>
        </w:rPr>
        <w:commentReference w:id="69"/>
      </w:r>
      <w:r w:rsidRPr="006F7344">
        <w:t>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27FCA2D0" w14:textId="77777777" w:rsidR="00FA01A1" w:rsidRPr="006F7344" w:rsidRDefault="00FA01A1" w:rsidP="00FA01A1">
      <w:pPr>
        <w:pStyle w:val="Heading2"/>
        <w:numPr>
          <w:ilvl w:val="1"/>
          <w:numId w:val="4"/>
        </w:numPr>
        <w:ind w:left="432"/>
      </w:pPr>
      <w:bookmarkStart w:id="70" w:name="_Toc118302798"/>
      <w:bookmarkStart w:id="71" w:name="_Toc121200606"/>
      <w:commentRangeStart w:id="72"/>
      <w:r w:rsidRPr="006F7344">
        <w:t>Conclusion</w:t>
      </w:r>
      <w:bookmarkEnd w:id="70"/>
      <w:bookmarkEnd w:id="71"/>
      <w:commentRangeEnd w:id="72"/>
      <w:r w:rsidR="0057239B">
        <w:rPr>
          <w:rStyle w:val="CommentReference"/>
          <w:rFonts w:cs="Angsana New"/>
          <w:b w:val="0"/>
          <w:bCs w:val="0"/>
        </w:rPr>
        <w:commentReference w:id="72"/>
      </w:r>
    </w:p>
    <w:p w14:paraId="21FEDB82" w14:textId="77777777" w:rsidR="00FA01A1" w:rsidRPr="006F7344" w:rsidRDefault="00FA01A1" w:rsidP="00FA01A1">
      <w:pPr>
        <w:pStyle w:val="ParagraphafSubheader"/>
      </w:pPr>
      <w:r w:rsidRPr="006F7344">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(Durham &amp; </w:t>
      </w:r>
      <w:proofErr w:type="spellStart"/>
      <w:r w:rsidRPr="006F7344">
        <w:t>Scarffs</w:t>
      </w:r>
      <w:proofErr w:type="spellEnd"/>
      <w:r w:rsidRPr="006F7344">
        <w:t xml:space="preserve">, 2010). This research finds out that the </w:t>
      </w:r>
      <w:commentRangeStart w:id="73"/>
      <w:r w:rsidRPr="006F7344">
        <w:t>content of constitution in Indonesia does not set definition about relation between state and religion</w:t>
      </w:r>
      <w:commentRangeEnd w:id="73"/>
      <w:r w:rsidR="007A7B66">
        <w:rPr>
          <w:rStyle w:val="CommentReference"/>
        </w:rPr>
        <w:commentReference w:id="73"/>
      </w:r>
      <w:r w:rsidRPr="006F7344">
        <w:t xml:space="preserve">, therefore from the date of Independence declaration until today there is a dynamic type of relation between state and </w:t>
      </w:r>
      <w:r w:rsidRPr="006F7344">
        <w:lastRenderedPageBreak/>
        <w:t xml:space="preserve">religion following the prominent political ideology controlling the regime at the time. Since 1965, Indonesia’s government issued the IABL as measure to protect Islam from communism ideology, however recently the number of blasphemy cases decided using the IABL is keep increasing and this is dangerous for human right and democracy.  </w:t>
      </w:r>
    </w:p>
    <w:p w14:paraId="4937CAD1" w14:textId="77777777" w:rsidR="00FA01A1" w:rsidRPr="006F7344" w:rsidRDefault="00FA01A1" w:rsidP="00FA01A1">
      <w:pPr>
        <w:pStyle w:val="ParagraphNormal"/>
      </w:pPr>
      <w:r w:rsidRPr="006F7344">
        <w:t xml:space="preserve">This research also finds out that law enforcement and government officials are formally accept that Indonesia’s constitution </w:t>
      </w:r>
      <w:commentRangeStart w:id="74"/>
      <w:r w:rsidRPr="006F7344">
        <w:t>adopted secularism principle</w:t>
      </w:r>
      <w:commentRangeEnd w:id="74"/>
      <w:r w:rsidR="0057239B">
        <w:rPr>
          <w:rStyle w:val="CommentReference"/>
        </w:rPr>
        <w:commentReference w:id="74"/>
      </w:r>
      <w:r w:rsidRPr="006F7344">
        <w:t xml:space="preserve"> in its article, Indonesia is a ruled by law state and not a ruled by religion state. The constitution acknowledges and guarantees the right for every person to accept, follow and practice religion according to individual preference and belief. However, </w:t>
      </w:r>
      <w:commentRangeStart w:id="75"/>
      <w:r w:rsidRPr="006F7344">
        <w:t xml:space="preserve">the government is utilizing the IABL to repress followers of minority group of religion </w:t>
      </w:r>
      <w:commentRangeEnd w:id="75"/>
      <w:r w:rsidR="0057239B">
        <w:rPr>
          <w:rStyle w:val="CommentReference"/>
        </w:rPr>
        <w:commentReference w:id="75"/>
      </w:r>
      <w:r w:rsidRPr="006F7344">
        <w:t>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C6C7D6D" w14:textId="77777777" w:rsidR="00FA01A1" w:rsidRPr="006F7344" w:rsidRDefault="00FA01A1" w:rsidP="00FA01A1">
      <w:pPr>
        <w:pStyle w:val="ParagraphNormal"/>
      </w:pPr>
      <w:r w:rsidRPr="006F7344">
        <w:t xml:space="preserve">In Indonesia, the relationship between the state and religion has never been specified in the Constitution. In legal practice, it is often understood that Indonesia is not a religious state, but rather a state founded on the One Godhead. </w:t>
      </w:r>
      <w:commentRangeStart w:id="76"/>
      <w:r w:rsidRPr="006F7344">
        <w:t>Indonesia is a state of law, not a religious state</w:t>
      </w:r>
      <w:commentRangeEnd w:id="76"/>
      <w:r w:rsidR="0057239B">
        <w:rPr>
          <w:rStyle w:val="CommentReference"/>
        </w:rPr>
        <w:commentReference w:id="76"/>
      </w:r>
      <w:r w:rsidRPr="006F7344">
        <w:t xml:space="preserve">, indicating that Indonesia is a secular state in which the government is founded on positive law and not religious law. Nonetheless, it is also understood that </w:t>
      </w:r>
      <w:commentRangeStart w:id="77"/>
      <w:r w:rsidRPr="006F7344">
        <w:t>Indonesia is a country built on the One Godhead</w:t>
      </w:r>
      <w:commentRangeEnd w:id="77"/>
      <w:r w:rsidR="0057239B">
        <w:rPr>
          <w:rStyle w:val="CommentReference"/>
        </w:rPr>
        <w:commentReference w:id="77"/>
      </w:r>
      <w:r w:rsidRPr="006F7344">
        <w:t xml:space="preserve">, suggesting that Indonesia adheres to Godly nationalism, which was subsequently utilized by law enforcement to justify the anti-blasphemy statute. This pseudo-secularity of the state-religious relationship is not conducive to promoting and ensuring the freedom of religion and worship in Indonesia. </w:t>
      </w:r>
      <w:commentRangeStart w:id="78"/>
      <w:r w:rsidRPr="006F7344">
        <w:t xml:space="preserve">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w:t>
      </w:r>
      <w:proofErr w:type="gramStart"/>
      <w:r w:rsidRPr="006F7344">
        <w:t>as a means to</w:t>
      </w:r>
      <w:proofErr w:type="gramEnd"/>
      <w:r w:rsidRPr="006F7344">
        <w:t xml:space="preserve"> punish 'perverted' religions</w:t>
      </w:r>
      <w:commentRangeEnd w:id="78"/>
      <w:r w:rsidR="0057239B">
        <w:rPr>
          <w:rStyle w:val="CommentReference"/>
        </w:rPr>
        <w:commentReference w:id="78"/>
      </w:r>
      <w:r w:rsidRPr="006F7344">
        <w:t xml:space="preserve">. In this regard, the Blasphemy Law is defended deliberately to serve as a tool of power and will be utilized if it benefits that power, either to attack the religion he adheres to or to attract sympathy from the religious </w:t>
      </w:r>
      <w:r w:rsidRPr="006F7344">
        <w:lastRenderedPageBreak/>
        <w:t>group he adheres to by punishing adherents of a religion who are viewed as threatening the interests of the adhered religion.</w:t>
      </w:r>
    </w:p>
    <w:p w14:paraId="6914C611" w14:textId="77777777" w:rsidR="00FA01A1" w:rsidRPr="006F7344" w:rsidRDefault="00FA01A1" w:rsidP="00FA01A1">
      <w:pPr>
        <w:pStyle w:val="ParagraphNormal"/>
      </w:pPr>
      <w:commentRangeStart w:id="79"/>
      <w:r w:rsidRPr="006F7344">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w:t>
      </w:r>
      <w:commentRangeEnd w:id="79"/>
      <w:r w:rsidR="0057239B">
        <w:rPr>
          <w:rStyle w:val="CommentReference"/>
        </w:rPr>
        <w:commentReference w:id="79"/>
      </w:r>
      <w:r w:rsidRPr="006F7344">
        <w:t xml:space="preserve">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5CFF6399" w14:textId="77777777" w:rsidR="00FA01A1" w:rsidRPr="006F7344" w:rsidRDefault="00FA01A1" w:rsidP="00FA01A1">
      <w:pPr>
        <w:pStyle w:val="ParagraphNormal"/>
      </w:pPr>
      <w:r w:rsidRPr="006F7344">
        <w:t xml:space="preserve">Under the Anti-Defamation Law, the government has established a state that both supports </w:t>
      </w:r>
      <w:proofErr w:type="gramStart"/>
      <w:r w:rsidRPr="006F7344">
        <w:t>particular faiths</w:t>
      </w:r>
      <w:proofErr w:type="gramEnd"/>
      <w:r w:rsidRPr="006F7344">
        <w:t xml:space="preserve"> and punishes its members. These factors endanger not just the existence of religion but also religious concord. The Blasphemy Law has become a political instrument of power that is purposefully defended </w:t>
      </w:r>
      <w:proofErr w:type="gramStart"/>
      <w:r w:rsidRPr="006F7344">
        <w:t>in order to</w:t>
      </w:r>
      <w:proofErr w:type="gramEnd"/>
      <w:r w:rsidRPr="006F7344">
        <w:t xml:space="preserve"> consistently bribe and win the support of the majority Islamic population by demonstrating that the government cares about and supports Islam. On the other hand, the Blasphemy Law is also utilized to intimidate oppositional majority groups.</w:t>
      </w:r>
    </w:p>
    <w:p w14:paraId="4C9CD43A" w14:textId="77777777" w:rsidR="00FA01A1" w:rsidRPr="006F7344" w:rsidRDefault="00FA01A1" w:rsidP="00FA01A1">
      <w:pPr>
        <w:pStyle w:val="ParagraphNormal"/>
      </w:pPr>
      <w:r w:rsidRPr="006F7344">
        <w:t xml:space="preserve">The execution of blasphemy laws reveals official support for religion (Islam) </w:t>
      </w:r>
      <w:commentRangeStart w:id="80"/>
      <w:r w:rsidRPr="006F7344">
        <w:t xml:space="preserve">motivated solely by political and economic considerations. </w:t>
      </w:r>
      <w:commentRangeEnd w:id="80"/>
      <w:r w:rsidR="0057239B">
        <w:rPr>
          <w:rStyle w:val="CommentReference"/>
        </w:rPr>
        <w:commentReference w:id="80"/>
      </w:r>
      <w:proofErr w:type="gramStart"/>
      <w:r w:rsidRPr="006F7344">
        <w:t>As a result of</w:t>
      </w:r>
      <w:proofErr w:type="gramEnd"/>
      <w:r w:rsidRPr="006F7344">
        <w:t xml:space="preserve"> the fact that the Anti-Religious Blasphemy Law simultaneously threatens or targets adherents of Islam as the majority faith. Cases in which religious individuals are claimed to have degraded religion through their religious lectures illustrate this point. </w:t>
      </w:r>
      <w:commentRangeStart w:id="81"/>
      <w:r w:rsidRPr="006F7344">
        <w:t xml:space="preserve">In Indonesia, the pseudo-secularity of the state towards religion simply produces pseudo-governmental support for religion (Islam). </w:t>
      </w:r>
      <w:commentRangeEnd w:id="81"/>
      <w:r w:rsidR="0057239B">
        <w:rPr>
          <w:rStyle w:val="CommentReference"/>
        </w:rPr>
        <w:commentReference w:id="81"/>
      </w:r>
      <w:r w:rsidRPr="006F7344">
        <w:t>In conclusion, the pseudo-secularity</w:t>
      </w:r>
      <w:bookmarkStart w:id="82" w:name="_GoBack"/>
      <w:bookmarkEnd w:id="82"/>
      <w:r w:rsidRPr="006F7344">
        <w:t xml:space="preserve"> of the relationship between the state and religion currently adopted by Indonesia is not conducive to attempts to enhance democracy, but rather undermines the fully protection of the right to religious freedom for its citizens and threatening human rights.</w:t>
      </w:r>
    </w:p>
    <w:p w14:paraId="37868146" w14:textId="77777777" w:rsidR="00A1505E" w:rsidRDefault="00A1505E"/>
    <w:sectPr w:rsidR="00A150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GEORGE HAYES" w:date="2023-03-24T13:26:00Z" w:initials="MGH">
    <w:p w14:paraId="42F0AAB2" w14:textId="77777777" w:rsidR="00FA01A1" w:rsidRDefault="00FA01A1">
      <w:pPr>
        <w:pStyle w:val="CommentText"/>
      </w:pPr>
      <w:r>
        <w:rPr>
          <w:rStyle w:val="CommentReference"/>
        </w:rPr>
        <w:annotationRef/>
      </w:r>
      <w:r>
        <w:t>You’re taking a very complicated relationship and trying to simplify it. Leave it as Church - State relations</w:t>
      </w:r>
    </w:p>
  </w:comment>
  <w:comment w:id="5" w:author="MICHAEL GEORGE HAYES" w:date="2023-03-24T13:27:00Z" w:initials="MGH">
    <w:p w14:paraId="25D13CBE" w14:textId="77777777" w:rsidR="00FA01A1" w:rsidRDefault="00FA01A1">
      <w:pPr>
        <w:pStyle w:val="CommentText"/>
      </w:pPr>
      <w:r>
        <w:rPr>
          <w:rStyle w:val="CommentReference"/>
        </w:rPr>
        <w:annotationRef/>
      </w:r>
      <w:r>
        <w:t xml:space="preserve">But </w:t>
      </w:r>
      <w:proofErr w:type="gramStart"/>
      <w:r>
        <w:t>isn’t</w:t>
      </w:r>
      <w:proofErr w:type="gramEnd"/>
      <w:r>
        <w:t xml:space="preserve"> this just human rights - non-</w:t>
      </w:r>
      <w:proofErr w:type="spellStart"/>
      <w:r>
        <w:t>discrimiantion</w:t>
      </w:r>
      <w:proofErr w:type="spellEnd"/>
      <w:r>
        <w:t>?</w:t>
      </w:r>
    </w:p>
  </w:comment>
  <w:comment w:id="6" w:author="MICHAEL GEORGE HAYES" w:date="2023-03-24T13:28:00Z" w:initials="MGH">
    <w:p w14:paraId="671402D6" w14:textId="77777777" w:rsidR="00FA01A1" w:rsidRDefault="00FA01A1">
      <w:pPr>
        <w:pStyle w:val="CommentText"/>
      </w:pPr>
      <w:r>
        <w:rPr>
          <w:rStyle w:val="CommentReference"/>
        </w:rPr>
        <w:annotationRef/>
      </w:r>
      <w:r>
        <w:t>N0t sure if you need to do this</w:t>
      </w:r>
    </w:p>
  </w:comment>
  <w:comment w:id="7" w:author="MICHAEL GEORGE HAYES" w:date="2023-03-24T13:29:00Z" w:initials="MGH">
    <w:p w14:paraId="05BDC654" w14:textId="77777777" w:rsidR="00FA01A1" w:rsidRDefault="00FA01A1">
      <w:pPr>
        <w:pStyle w:val="CommentText"/>
      </w:pPr>
      <w:r>
        <w:rPr>
          <w:rStyle w:val="CommentReference"/>
        </w:rPr>
        <w:annotationRef/>
      </w:r>
      <w:r>
        <w:t>True? Not sure if this is correct</w:t>
      </w:r>
    </w:p>
  </w:comment>
  <w:comment w:id="8" w:author="MICHAEL GEORGE HAYES" w:date="2023-03-24T13:30:00Z" w:initials="MGH">
    <w:p w14:paraId="5C6E3E49" w14:textId="77777777" w:rsidR="00FA01A1" w:rsidRDefault="00FA01A1">
      <w:pPr>
        <w:pStyle w:val="CommentText"/>
      </w:pPr>
      <w:r>
        <w:rPr>
          <w:rStyle w:val="CommentReference"/>
        </w:rPr>
        <w:annotationRef/>
      </w:r>
      <w:r>
        <w:t>I think you are being too simplistic or blunt about the secular state. It is never that simple of either no religion or all religion, as all states have religions and religious politicians</w:t>
      </w:r>
    </w:p>
  </w:comment>
  <w:comment w:id="9" w:author="MICHAEL GEORGE HAYES" w:date="2023-03-24T13:32:00Z" w:initials="MGH">
    <w:p w14:paraId="0C585216" w14:textId="77777777" w:rsidR="00FA01A1" w:rsidRDefault="00FA01A1">
      <w:pPr>
        <w:pStyle w:val="CommentText"/>
      </w:pPr>
      <w:r>
        <w:rPr>
          <w:rStyle w:val="CommentReference"/>
        </w:rPr>
        <w:annotationRef/>
      </w:r>
      <w:r>
        <w:t>? Unclear? Is your point to argue that Indonesia is a religious state?</w:t>
      </w:r>
    </w:p>
  </w:comment>
  <w:comment w:id="10" w:author="MICHAEL GEORGE HAYES" w:date="2023-03-24T13:33:00Z" w:initials="MGH">
    <w:p w14:paraId="3351C81F" w14:textId="77777777" w:rsidR="00FA01A1" w:rsidRDefault="00FA01A1">
      <w:pPr>
        <w:pStyle w:val="CommentText"/>
      </w:pPr>
      <w:r>
        <w:rPr>
          <w:rStyle w:val="CommentReference"/>
        </w:rPr>
        <w:annotationRef/>
      </w:r>
      <w:r>
        <w:t>This question is too easy, it is clearly yes, it does support some religions</w:t>
      </w:r>
    </w:p>
  </w:comment>
  <w:comment w:id="11" w:author="MICHAEL GEORGE HAYES" w:date="2023-03-24T13:34:00Z" w:initials="MGH">
    <w:p w14:paraId="63771497" w14:textId="77777777" w:rsidR="00FA01A1" w:rsidRDefault="00FA01A1">
      <w:pPr>
        <w:pStyle w:val="CommentText"/>
      </w:pPr>
      <w:r>
        <w:rPr>
          <w:rStyle w:val="CommentReference"/>
        </w:rPr>
        <w:annotationRef/>
      </w:r>
      <w:r>
        <w:t>Confusing - you are saying it is not neutral?</w:t>
      </w:r>
    </w:p>
  </w:comment>
  <w:comment w:id="15" w:author="MICHAEL GEORGE HAYES" w:date="2023-03-24T13:36:00Z" w:initials="MGH">
    <w:p w14:paraId="6A5DE20F" w14:textId="77777777" w:rsidR="003477DD" w:rsidRDefault="003477DD">
      <w:pPr>
        <w:pStyle w:val="CommentText"/>
      </w:pPr>
      <w:r>
        <w:rPr>
          <w:rStyle w:val="CommentReference"/>
        </w:rPr>
        <w:annotationRef/>
      </w:r>
      <w:r>
        <w:t xml:space="preserve">This doesn’t clearly set up what you will take state - religion relations to mean. Make it more practical for your thesis. </w:t>
      </w:r>
    </w:p>
  </w:comment>
  <w:comment w:id="18" w:author="MICHAEL GEORGE HAYES" w:date="2023-03-24T13:37:00Z" w:initials="MGH">
    <w:p w14:paraId="2EB6474C" w14:textId="77777777" w:rsidR="003477DD" w:rsidRDefault="003477DD">
      <w:pPr>
        <w:pStyle w:val="CommentText"/>
      </w:pPr>
      <w:r>
        <w:rPr>
          <w:rStyle w:val="CommentReference"/>
        </w:rPr>
        <w:annotationRef/>
      </w:r>
      <w:r>
        <w:t>Do you need this paragraph?</w:t>
      </w:r>
    </w:p>
  </w:comment>
  <w:comment w:id="19" w:author="MICHAEL GEORGE HAYES" w:date="2023-03-24T13:38:00Z" w:initials="MGH">
    <w:p w14:paraId="21D9ED07" w14:textId="77777777" w:rsidR="003477DD" w:rsidRDefault="003477DD">
      <w:pPr>
        <w:pStyle w:val="CommentText"/>
      </w:pPr>
      <w:r>
        <w:rPr>
          <w:rStyle w:val="CommentReference"/>
        </w:rPr>
        <w:annotationRef/>
      </w:r>
      <w:r>
        <w:t>Do you need this?</w:t>
      </w:r>
    </w:p>
  </w:comment>
  <w:comment w:id="20" w:author="MICHAEL GEORGE HAYES" w:date="2023-03-24T13:38:00Z" w:initials="MGH">
    <w:p w14:paraId="4066E4C8" w14:textId="77777777" w:rsidR="003477DD" w:rsidRDefault="003477DD">
      <w:pPr>
        <w:pStyle w:val="CommentText"/>
      </w:pPr>
      <w:r>
        <w:rPr>
          <w:rStyle w:val="CommentReference"/>
        </w:rPr>
        <w:annotationRef/>
      </w:r>
      <w:r>
        <w:t xml:space="preserve">But you have argued this above. </w:t>
      </w:r>
    </w:p>
  </w:comment>
  <w:comment w:id="22" w:author="MICHAEL GEORGE HAYES" w:date="2023-03-24T13:39:00Z" w:initials="MGH">
    <w:p w14:paraId="4663B22F" w14:textId="77777777" w:rsidR="003477DD" w:rsidRDefault="003477DD">
      <w:pPr>
        <w:pStyle w:val="CommentText"/>
      </w:pPr>
      <w:r>
        <w:rPr>
          <w:rStyle w:val="CommentReference"/>
        </w:rPr>
        <w:annotationRef/>
      </w:r>
      <w:r>
        <w:t>OK, you are kind of approaching your argument here, but you need to stick more closely to this argument/idea and not be distracted</w:t>
      </w:r>
    </w:p>
  </w:comment>
  <w:comment w:id="23" w:author="MICHAEL GEORGE HAYES" w:date="2023-03-24T13:40:00Z" w:initials="MGH">
    <w:p w14:paraId="79B793A1" w14:textId="77777777" w:rsidR="003477DD" w:rsidRDefault="003477DD">
      <w:pPr>
        <w:pStyle w:val="CommentText"/>
      </w:pPr>
      <w:r>
        <w:rPr>
          <w:rStyle w:val="CommentReference"/>
        </w:rPr>
        <w:annotationRef/>
      </w:r>
      <w:r>
        <w:t>?</w:t>
      </w:r>
    </w:p>
  </w:comment>
  <w:comment w:id="24" w:author="MICHAEL GEORGE HAYES" w:date="2023-03-24T13:40:00Z" w:initials="MGH">
    <w:p w14:paraId="12A79089" w14:textId="77777777" w:rsidR="003477DD" w:rsidRDefault="003477DD">
      <w:pPr>
        <w:pStyle w:val="CommentText"/>
      </w:pPr>
      <w:r>
        <w:rPr>
          <w:rStyle w:val="CommentReference"/>
        </w:rPr>
        <w:annotationRef/>
      </w:r>
      <w:r>
        <w:t>But it is the other religions doing it?</w:t>
      </w:r>
    </w:p>
  </w:comment>
  <w:comment w:id="25" w:author="MICHAEL GEORGE HAYES" w:date="2023-03-24T13:41:00Z" w:initials="MGH">
    <w:p w14:paraId="416093CA" w14:textId="77777777" w:rsidR="003477DD" w:rsidRDefault="003477DD">
      <w:pPr>
        <w:pStyle w:val="CommentText"/>
      </w:pPr>
      <w:r>
        <w:rPr>
          <w:rStyle w:val="CommentReference"/>
        </w:rPr>
        <w:annotationRef/>
      </w:r>
      <w:r>
        <w:t>OK, and this is your thesis statement? It is buried here</w:t>
      </w:r>
    </w:p>
  </w:comment>
  <w:comment w:id="26" w:author="MICHAEL GEORGE HAYES" w:date="2023-03-24T13:42:00Z" w:initials="MGH">
    <w:p w14:paraId="311272D1" w14:textId="77777777" w:rsidR="003477DD" w:rsidRDefault="003477DD">
      <w:pPr>
        <w:pStyle w:val="CommentText"/>
      </w:pPr>
      <w:r>
        <w:rPr>
          <w:rStyle w:val="CommentReference"/>
        </w:rPr>
        <w:annotationRef/>
      </w:r>
      <w:r>
        <w:t>Do you need this paragraph?</w:t>
      </w:r>
    </w:p>
  </w:comment>
  <w:comment w:id="27" w:author="MICHAEL GEORGE HAYES" w:date="2023-03-24T13:48:00Z" w:initials="MGH">
    <w:p w14:paraId="2BCB8BE0" w14:textId="77777777" w:rsidR="000D0D22" w:rsidRDefault="000D0D22">
      <w:pPr>
        <w:pStyle w:val="CommentText"/>
      </w:pPr>
      <w:r>
        <w:rPr>
          <w:rStyle w:val="CommentReference"/>
        </w:rPr>
        <w:annotationRef/>
      </w:r>
      <w:r>
        <w:t xml:space="preserve">But it is </w:t>
      </w:r>
      <w:proofErr w:type="gramStart"/>
      <w:r>
        <w:t>actually about</w:t>
      </w:r>
      <w:proofErr w:type="gramEnd"/>
      <w:r>
        <w:t xml:space="preserve"> what makes a secular state, which is different, and also a question - is your thesis about how Indonesia is not a secular state? </w:t>
      </w:r>
    </w:p>
  </w:comment>
  <w:comment w:id="28" w:author="MICHAEL GEORGE HAYES" w:date="2023-03-24T13:49:00Z" w:initials="MGH">
    <w:p w14:paraId="3AC1E2F2" w14:textId="77777777" w:rsidR="000D0D22" w:rsidRDefault="000D0D22">
      <w:pPr>
        <w:pStyle w:val="CommentText"/>
      </w:pPr>
      <w:r>
        <w:rPr>
          <w:rStyle w:val="CommentReference"/>
        </w:rPr>
        <w:annotationRef/>
      </w:r>
      <w:r>
        <w:t xml:space="preserve">This is a tricky </w:t>
      </w:r>
      <w:proofErr w:type="gramStart"/>
      <w:r>
        <w:t>argument,</w:t>
      </w:r>
      <w:proofErr w:type="gramEnd"/>
      <w:r>
        <w:t xml:space="preserve"> do you need to make it?</w:t>
      </w:r>
    </w:p>
  </w:comment>
  <w:comment w:id="30" w:author="MICHAEL GEORGE HAYES" w:date="2023-03-24T13:50:00Z" w:initials="MGH">
    <w:p w14:paraId="3B2C3E33" w14:textId="77777777" w:rsidR="000D0D22" w:rsidRDefault="000D0D22">
      <w:pPr>
        <w:pStyle w:val="CommentText"/>
      </w:pPr>
      <w:r>
        <w:rPr>
          <w:rStyle w:val="CommentReference"/>
        </w:rPr>
        <w:annotationRef/>
      </w:r>
      <w:r>
        <w:t xml:space="preserve">You have restated this 3-4 times already, </w:t>
      </w:r>
    </w:p>
  </w:comment>
  <w:comment w:id="31" w:author="MICHAEL GEORGE HAYES" w:date="2023-03-24T13:50:00Z" w:initials="MGH">
    <w:p w14:paraId="2B5AEDAA" w14:textId="77777777" w:rsidR="000D0D22" w:rsidRDefault="000D0D22">
      <w:pPr>
        <w:pStyle w:val="CommentText"/>
      </w:pPr>
      <w:r>
        <w:rPr>
          <w:rStyle w:val="CommentReference"/>
        </w:rPr>
        <w:annotationRef/>
      </w:r>
      <w:r>
        <w:t>You have said this already</w:t>
      </w:r>
    </w:p>
  </w:comment>
  <w:comment w:id="32" w:author="MICHAEL GEORGE HAYES" w:date="2023-03-24T13:51:00Z" w:initials="MGH">
    <w:p w14:paraId="5A5C6301" w14:textId="77777777" w:rsidR="000D0D22" w:rsidRDefault="000D0D22">
      <w:pPr>
        <w:pStyle w:val="CommentText"/>
      </w:pPr>
      <w:r>
        <w:rPr>
          <w:rStyle w:val="CommentReference"/>
        </w:rPr>
        <w:annotationRef/>
      </w:r>
      <w:r>
        <w:t xml:space="preserve">Not exactly clear what </w:t>
      </w:r>
      <w:proofErr w:type="spellStart"/>
      <w:r>
        <w:t>yu</w:t>
      </w:r>
      <w:proofErr w:type="spellEnd"/>
      <w:r>
        <w:t xml:space="preserve"> want to argue here</w:t>
      </w:r>
    </w:p>
  </w:comment>
  <w:comment w:id="33" w:author="MICHAEL GEORGE HAYES" w:date="2023-03-24T13:52:00Z" w:initials="MGH">
    <w:p w14:paraId="254F0BCF" w14:textId="77777777" w:rsidR="000D0D22" w:rsidRDefault="000D0D22">
      <w:pPr>
        <w:pStyle w:val="CommentText"/>
      </w:pPr>
      <w:r>
        <w:rPr>
          <w:rStyle w:val="CommentReference"/>
        </w:rPr>
        <w:annotationRef/>
      </w:r>
      <w:r>
        <w:t>This should be in an earlier chapter</w:t>
      </w:r>
    </w:p>
  </w:comment>
  <w:comment w:id="34" w:author="MICHAEL GEORGE HAYES" w:date="2023-03-24T13:53:00Z" w:initials="MGH">
    <w:p w14:paraId="6484D3FF" w14:textId="77777777" w:rsidR="000D0D22" w:rsidRDefault="000D0D22">
      <w:pPr>
        <w:pStyle w:val="CommentText"/>
      </w:pPr>
      <w:r>
        <w:rPr>
          <w:rStyle w:val="CommentReference"/>
        </w:rPr>
        <w:annotationRef/>
      </w:r>
      <w:r>
        <w:t>Same, this has come earlier, no need to repeat it</w:t>
      </w:r>
    </w:p>
  </w:comment>
  <w:comment w:id="35" w:author="MICHAEL GEORGE HAYES" w:date="2023-03-24T13:53:00Z" w:initials="MGH">
    <w:p w14:paraId="56C5C8A2" w14:textId="77777777" w:rsidR="000D0D22" w:rsidRDefault="000D0D22">
      <w:pPr>
        <w:pStyle w:val="CommentText"/>
      </w:pPr>
      <w:r>
        <w:rPr>
          <w:rStyle w:val="CommentReference"/>
        </w:rPr>
        <w:annotationRef/>
      </w:r>
      <w:r>
        <w:t xml:space="preserve">Conceptually, you are conflating state-religion relations, secularism, management of religions, and ideas of a religious state all together </w:t>
      </w:r>
    </w:p>
  </w:comment>
  <w:comment w:id="39" w:author="MICHAEL GEORGE HAYES" w:date="2023-03-24T13:54:00Z" w:initials="MGH">
    <w:p w14:paraId="7CAED760" w14:textId="77777777" w:rsidR="000D0D22" w:rsidRDefault="000D0D22">
      <w:pPr>
        <w:pStyle w:val="CommentText"/>
      </w:pPr>
      <w:r>
        <w:rPr>
          <w:rStyle w:val="CommentReference"/>
        </w:rPr>
        <w:annotationRef/>
      </w:r>
      <w:r>
        <w:t xml:space="preserve">OK, but this argument is not accurate. Who says there should eb a connection between a secular state and BL? </w:t>
      </w:r>
    </w:p>
  </w:comment>
  <w:comment w:id="40" w:author="MICHAEL GEORGE HAYES" w:date="2023-03-24T13:56:00Z" w:initials="MGH">
    <w:p w14:paraId="5A8966A0" w14:textId="77777777" w:rsidR="000D0D22" w:rsidRDefault="000D0D22">
      <w:pPr>
        <w:pStyle w:val="CommentText"/>
      </w:pPr>
      <w:r>
        <w:rPr>
          <w:rStyle w:val="CommentReference"/>
        </w:rPr>
        <w:annotationRef/>
      </w:r>
      <w:r>
        <w:t>Yes, OK, this can be expanded some more as it is your main point</w:t>
      </w:r>
    </w:p>
  </w:comment>
  <w:comment w:id="41" w:author="MICHAEL GEORGE HAYES" w:date="2023-03-24T14:27:00Z" w:initials="MGH">
    <w:p w14:paraId="6432DF90" w14:textId="77777777" w:rsidR="003C5346" w:rsidRDefault="003C5346">
      <w:pPr>
        <w:pStyle w:val="CommentText"/>
      </w:pPr>
      <w:r>
        <w:rPr>
          <w:rStyle w:val="CommentReference"/>
        </w:rPr>
        <w:annotationRef/>
      </w:r>
      <w:r>
        <w:t>clarify</w:t>
      </w:r>
    </w:p>
  </w:comment>
  <w:comment w:id="42" w:author="MICHAEL GEORGE HAYES" w:date="2023-03-24T14:27:00Z" w:initials="MGH">
    <w:p w14:paraId="0EB7968B" w14:textId="77777777" w:rsidR="003C7223" w:rsidRDefault="003C7223">
      <w:pPr>
        <w:pStyle w:val="CommentText"/>
      </w:pPr>
      <w:r>
        <w:rPr>
          <w:rStyle w:val="CommentReference"/>
        </w:rPr>
        <w:annotationRef/>
      </w:r>
      <w:r>
        <w:t>repeated</w:t>
      </w:r>
    </w:p>
  </w:comment>
  <w:comment w:id="43" w:author="MICHAEL GEORGE HAYES" w:date="2023-03-24T14:27:00Z" w:initials="MGH">
    <w:p w14:paraId="3417164F" w14:textId="77777777" w:rsidR="003C7223" w:rsidRDefault="003C7223">
      <w:pPr>
        <w:pStyle w:val="CommentText"/>
      </w:pPr>
      <w:r>
        <w:rPr>
          <w:rStyle w:val="CommentReference"/>
        </w:rPr>
        <w:annotationRef/>
      </w:r>
      <w:r>
        <w:t>again, repeated</w:t>
      </w:r>
    </w:p>
  </w:comment>
  <w:comment w:id="44" w:author="MICHAEL GEORGE HAYES" w:date="2023-03-24T14:28:00Z" w:initials="MGH">
    <w:p w14:paraId="74BF96EF" w14:textId="77777777" w:rsidR="003C7223" w:rsidRDefault="003C7223">
      <w:pPr>
        <w:pStyle w:val="CommentText"/>
      </w:pPr>
      <w:r>
        <w:rPr>
          <w:rStyle w:val="CommentReference"/>
        </w:rPr>
        <w:annotationRef/>
      </w:r>
      <w:r>
        <w:t>this is already covered (in Ch 3, I think)</w:t>
      </w:r>
    </w:p>
  </w:comment>
  <w:comment w:id="45" w:author="MICHAEL GEORGE HAYES" w:date="2023-03-24T14:29:00Z" w:initials="MGH">
    <w:p w14:paraId="750E3E8A" w14:textId="77777777" w:rsidR="003C7223" w:rsidRDefault="003C7223">
      <w:pPr>
        <w:pStyle w:val="CommentText"/>
      </w:pPr>
      <w:r>
        <w:rPr>
          <w:rStyle w:val="CommentReference"/>
        </w:rPr>
        <w:annotationRef/>
      </w:r>
      <w:r>
        <w:t xml:space="preserve">but only 3 cases, yes? </w:t>
      </w:r>
      <w:proofErr w:type="gramStart"/>
      <w:r>
        <w:t>So</w:t>
      </w:r>
      <w:proofErr w:type="gramEnd"/>
      <w:r>
        <w:t xml:space="preserve"> it was never really used</w:t>
      </w:r>
    </w:p>
  </w:comment>
  <w:comment w:id="46" w:author="MICHAEL GEORGE HAYES" w:date="2023-03-24T14:30:00Z" w:initials="MGH">
    <w:p w14:paraId="3E822DBE" w14:textId="77777777" w:rsidR="003C7223" w:rsidRDefault="003C7223">
      <w:pPr>
        <w:pStyle w:val="CommentText"/>
      </w:pPr>
      <w:r>
        <w:rPr>
          <w:rStyle w:val="CommentReference"/>
        </w:rPr>
        <w:annotationRef/>
      </w:r>
      <w:r>
        <w:t xml:space="preserve">ok, but this is a case of trying to be to </w:t>
      </w:r>
      <w:proofErr w:type="spellStart"/>
      <w:r>
        <w:t>osimple</w:t>
      </w:r>
      <w:proofErr w:type="spellEnd"/>
      <w:r>
        <w:t xml:space="preserve"> when it is more complex, as the </w:t>
      </w:r>
      <w:proofErr w:type="spellStart"/>
      <w:r>
        <w:t>relgions</w:t>
      </w:r>
      <w:proofErr w:type="spellEnd"/>
      <w:r>
        <w:t xml:space="preserve"> can go against each other (though almost always traditional Islam against the others)</w:t>
      </w:r>
    </w:p>
  </w:comment>
  <w:comment w:id="47" w:author="MICHAEL GEORGE HAYES" w:date="2023-03-24T14:31:00Z" w:initials="MGH">
    <w:p w14:paraId="2321A45F" w14:textId="77777777" w:rsidR="003C7223" w:rsidRDefault="003C7223">
      <w:pPr>
        <w:pStyle w:val="CommentText"/>
      </w:pPr>
      <w:r>
        <w:rPr>
          <w:rStyle w:val="CommentReference"/>
        </w:rPr>
        <w:annotationRef/>
      </w:r>
      <w:r>
        <w:t>this is repeated a lot</w:t>
      </w:r>
    </w:p>
  </w:comment>
  <w:comment w:id="48" w:author="MICHAEL GEORGE HAYES" w:date="2023-03-24T14:31:00Z" w:initials="MGH">
    <w:p w14:paraId="5CAB9BE3" w14:textId="77777777" w:rsidR="003C7223" w:rsidRDefault="003C7223">
      <w:pPr>
        <w:pStyle w:val="CommentText"/>
      </w:pPr>
      <w:r>
        <w:rPr>
          <w:rStyle w:val="CommentReference"/>
        </w:rPr>
        <w:annotationRef/>
      </w:r>
      <w:proofErr w:type="gramStart"/>
      <w:r>
        <w:t>specifically</w:t>
      </w:r>
      <w:proofErr w:type="gramEnd"/>
      <w:r>
        <w:t xml:space="preserve"> who? A critical question - is the State after him?</w:t>
      </w:r>
    </w:p>
  </w:comment>
  <w:comment w:id="49" w:author="MICHAEL GEORGE HAYES" w:date="2023-03-24T14:33:00Z" w:initials="MGH">
    <w:p w14:paraId="3E884954" w14:textId="77777777" w:rsidR="003C7223" w:rsidRDefault="003C7223">
      <w:pPr>
        <w:pStyle w:val="CommentText"/>
      </w:pPr>
      <w:r>
        <w:rPr>
          <w:rStyle w:val="CommentReference"/>
        </w:rPr>
        <w:annotationRef/>
      </w:r>
      <w:r>
        <w:t xml:space="preserve">The table is great and possibly should come much earlier, like CH 3 as it sets out </w:t>
      </w:r>
      <w:proofErr w:type="spellStart"/>
      <w:r>
        <w:t>al</w:t>
      </w:r>
      <w:proofErr w:type="spellEnd"/>
      <w:r>
        <w:t xml:space="preserve"> the blaspheme charges and you can make some findings or describe patterns from this. </w:t>
      </w:r>
    </w:p>
  </w:comment>
  <w:comment w:id="50" w:author="MICHAEL GEORGE HAYES" w:date="2023-03-24T14:32:00Z" w:initials="MGH">
    <w:p w14:paraId="0D71EAA5" w14:textId="77777777" w:rsidR="003C7223" w:rsidRDefault="003C7223">
      <w:pPr>
        <w:pStyle w:val="CommentText"/>
      </w:pPr>
      <w:r>
        <w:rPr>
          <w:rStyle w:val="CommentReference"/>
        </w:rPr>
        <w:annotationRef/>
      </w:r>
      <w:r>
        <w:t>This is the charge</w:t>
      </w:r>
    </w:p>
  </w:comment>
  <w:comment w:id="51" w:author="MICHAEL GEORGE HAYES" w:date="2023-03-24T14:34:00Z" w:initials="MGH">
    <w:p w14:paraId="66436839" w14:textId="77777777" w:rsidR="003C7223" w:rsidRDefault="003C7223">
      <w:pPr>
        <w:pStyle w:val="CommentText"/>
      </w:pPr>
      <w:r>
        <w:rPr>
          <w:rStyle w:val="CommentReference"/>
        </w:rPr>
        <w:annotationRef/>
      </w:r>
      <w:r>
        <w:t>This whole section should be in Ch. 2 or 3</w:t>
      </w:r>
    </w:p>
  </w:comment>
  <w:comment w:id="54" w:author="MICHAEL GEORGE HAYES" w:date="2023-03-24T14:35:00Z" w:initials="MGH">
    <w:p w14:paraId="430239F5" w14:textId="77777777" w:rsidR="003C7223" w:rsidRDefault="003C7223">
      <w:pPr>
        <w:pStyle w:val="CommentText"/>
      </w:pPr>
      <w:r>
        <w:rPr>
          <w:rStyle w:val="CommentReference"/>
        </w:rPr>
        <w:annotationRef/>
      </w:r>
      <w:r>
        <w:t>Again, very useful, bring to the front of the thesis</w:t>
      </w:r>
    </w:p>
  </w:comment>
  <w:comment w:id="57" w:author="MICHAEL GEORGE HAYES" w:date="2023-03-24T14:36:00Z" w:initials="MGH">
    <w:p w14:paraId="47765162" w14:textId="77777777" w:rsidR="003C7223" w:rsidRDefault="003C7223">
      <w:pPr>
        <w:pStyle w:val="CommentText"/>
      </w:pPr>
      <w:r>
        <w:rPr>
          <w:rStyle w:val="CommentReference"/>
        </w:rPr>
        <w:annotationRef/>
      </w:r>
      <w:r>
        <w:t xml:space="preserve">Important finding, but it </w:t>
      </w:r>
      <w:proofErr w:type="gramStart"/>
      <w:r>
        <w:t>get</w:t>
      </w:r>
      <w:proofErr w:type="gramEnd"/>
      <w:r>
        <w:t xml:space="preserve"> buried, and you’re not linking your evidence of this to the statement</w:t>
      </w:r>
    </w:p>
  </w:comment>
  <w:comment w:id="58" w:author="MICHAEL GEORGE HAYES" w:date="2023-03-24T14:37:00Z" w:initials="MGH">
    <w:p w14:paraId="211CED3A" w14:textId="77777777" w:rsidR="003C7223" w:rsidRDefault="003C7223">
      <w:pPr>
        <w:pStyle w:val="CommentText"/>
      </w:pPr>
      <w:r>
        <w:rPr>
          <w:rStyle w:val="CommentReference"/>
        </w:rPr>
        <w:annotationRef/>
      </w:r>
      <w:r>
        <w:t>repeated</w:t>
      </w:r>
    </w:p>
  </w:comment>
  <w:comment w:id="59" w:author="MICHAEL GEORGE HAYES" w:date="2023-03-24T14:38:00Z" w:initials="MGH">
    <w:p w14:paraId="6DC58EA1" w14:textId="77777777" w:rsidR="007A7B66" w:rsidRDefault="007A7B66">
      <w:pPr>
        <w:pStyle w:val="CommentText"/>
      </w:pPr>
      <w:r>
        <w:rPr>
          <w:rStyle w:val="CommentReference"/>
        </w:rPr>
        <w:annotationRef/>
      </w:r>
      <w:r>
        <w:t xml:space="preserve">what follows here should either be at the start of the chapter </w:t>
      </w:r>
      <w:proofErr w:type="spellStart"/>
      <w:r>
        <w:t>whch</w:t>
      </w:r>
      <w:proofErr w:type="spellEnd"/>
      <w:r>
        <w:t xml:space="preserve"> lays out the main ideas, or it should be a critical appraisal of these ideas. I’m not sure what they are doing here - what do you want the reader to think from reading this?</w:t>
      </w:r>
    </w:p>
  </w:comment>
  <w:comment w:id="60" w:author="MICHAEL GEORGE HAYES" w:date="2023-03-24T14:37:00Z" w:initials="MGH">
    <w:p w14:paraId="4EFD980B" w14:textId="77777777" w:rsidR="003C7223" w:rsidRDefault="003C7223">
      <w:pPr>
        <w:pStyle w:val="CommentText"/>
      </w:pPr>
      <w:r>
        <w:rPr>
          <w:rStyle w:val="CommentReference"/>
        </w:rPr>
        <w:annotationRef/>
      </w:r>
      <w:r>
        <w:t xml:space="preserve">this paragraph gets confusing </w:t>
      </w:r>
      <w:proofErr w:type="gramStart"/>
      <w:r>
        <w:t>quickly  -</w:t>
      </w:r>
      <w:proofErr w:type="gramEnd"/>
      <w:r>
        <w:t xml:space="preserve"> is this a lit review or is it an analysis? </w:t>
      </w:r>
    </w:p>
  </w:comment>
  <w:comment w:id="61" w:author="MICHAEL GEORGE HAYES" w:date="2023-03-24T14:39:00Z" w:initials="MGH">
    <w:p w14:paraId="71BECB04" w14:textId="77777777" w:rsidR="007A7B66" w:rsidRDefault="007A7B66">
      <w:pPr>
        <w:pStyle w:val="CommentText"/>
      </w:pPr>
      <w:r>
        <w:rPr>
          <w:rStyle w:val="CommentReference"/>
        </w:rPr>
        <w:annotationRef/>
      </w:r>
      <w:r>
        <w:t>Re-write - unclear</w:t>
      </w:r>
    </w:p>
  </w:comment>
  <w:comment w:id="62" w:author="MICHAEL GEORGE HAYES" w:date="2023-03-24T14:39:00Z" w:initials="MGH">
    <w:p w14:paraId="3F7F3D4F" w14:textId="77777777" w:rsidR="007A7B66" w:rsidRDefault="007A7B66">
      <w:pPr>
        <w:pStyle w:val="CommentText"/>
      </w:pPr>
      <w:r>
        <w:rPr>
          <w:rStyle w:val="CommentReference"/>
        </w:rPr>
        <w:annotationRef/>
      </w:r>
      <w:r>
        <w:t>?</w:t>
      </w:r>
    </w:p>
  </w:comment>
  <w:comment w:id="63" w:author="MICHAEL GEORGE HAYES" w:date="2023-03-24T14:39:00Z" w:initials="MGH">
    <w:p w14:paraId="0F5FC60F" w14:textId="77777777" w:rsidR="007A7B66" w:rsidRDefault="007A7B66">
      <w:pPr>
        <w:pStyle w:val="CommentText"/>
      </w:pPr>
      <w:r>
        <w:rPr>
          <w:rStyle w:val="CommentReference"/>
        </w:rPr>
        <w:annotationRef/>
      </w:r>
      <w:r>
        <w:t>?</w:t>
      </w:r>
    </w:p>
  </w:comment>
  <w:comment w:id="64" w:author="MICHAEL GEORGE HAYES" w:date="2023-03-24T14:40:00Z" w:initials="MGH">
    <w:p w14:paraId="683DF66D" w14:textId="77777777" w:rsidR="007A7B66" w:rsidRDefault="007A7B66">
      <w:pPr>
        <w:pStyle w:val="CommentText"/>
      </w:pPr>
      <w:r>
        <w:rPr>
          <w:rStyle w:val="CommentReference"/>
        </w:rPr>
        <w:annotationRef/>
      </w:r>
      <w:r>
        <w:t>Do you need this? It’s already discussed</w:t>
      </w:r>
    </w:p>
  </w:comment>
  <w:comment w:id="65" w:author="MICHAEL GEORGE HAYES" w:date="2023-03-24T14:41:00Z" w:initials="MGH">
    <w:p w14:paraId="2C23B0A8" w14:textId="77777777" w:rsidR="007A7B66" w:rsidRDefault="007A7B66">
      <w:pPr>
        <w:pStyle w:val="CommentText"/>
      </w:pPr>
      <w:r>
        <w:rPr>
          <w:rStyle w:val="CommentReference"/>
        </w:rPr>
        <w:annotationRef/>
      </w:r>
      <w:proofErr w:type="gramStart"/>
      <w:r>
        <w:t>So</w:t>
      </w:r>
      <w:proofErr w:type="gramEnd"/>
      <w:r>
        <w:t xml:space="preserve"> what are you arguing here? That religious laws can be secular? Do you support </w:t>
      </w:r>
      <w:proofErr w:type="spellStart"/>
      <w:r>
        <w:t>Sa’afaat</w:t>
      </w:r>
      <w:proofErr w:type="spellEnd"/>
      <w:r>
        <w:t>?</w:t>
      </w:r>
    </w:p>
  </w:comment>
  <w:comment w:id="66" w:author="MICHAEL GEORGE HAYES" w:date="2023-03-24T14:42:00Z" w:initials="MGH">
    <w:p w14:paraId="703CD693" w14:textId="77777777" w:rsidR="007A7B66" w:rsidRDefault="007A7B66">
      <w:pPr>
        <w:pStyle w:val="CommentText"/>
      </w:pPr>
      <w:r>
        <w:rPr>
          <w:rStyle w:val="CommentReference"/>
        </w:rPr>
        <w:annotationRef/>
      </w:r>
      <w:r>
        <w:t>There is a change in direction, and you need to explain why this is so - why go back to re-drafting the BL</w:t>
      </w:r>
    </w:p>
  </w:comment>
  <w:comment w:id="67" w:author="MICHAEL GEORGE HAYES" w:date="2023-03-24T14:44:00Z" w:initials="MGH">
    <w:p w14:paraId="6900B26C" w14:textId="77777777" w:rsidR="007A7B66" w:rsidRDefault="007A7B66">
      <w:pPr>
        <w:pStyle w:val="CommentText"/>
      </w:pPr>
      <w:r>
        <w:rPr>
          <w:rStyle w:val="CommentReference"/>
        </w:rPr>
        <w:annotationRef/>
      </w:r>
      <w:r>
        <w:t xml:space="preserve">OK, but what do you think, and what do you want </w:t>
      </w:r>
      <w:proofErr w:type="spellStart"/>
      <w:r>
        <w:t>he</w:t>
      </w:r>
      <w:proofErr w:type="spellEnd"/>
      <w:r>
        <w:t xml:space="preserve"> reader to think?</w:t>
      </w:r>
    </w:p>
  </w:comment>
  <w:comment w:id="68" w:author="MICHAEL GEORGE HAYES" w:date="2023-03-24T14:45:00Z" w:initials="MGH">
    <w:p w14:paraId="5AC9BE29" w14:textId="77777777" w:rsidR="007A7B66" w:rsidRDefault="007A7B66">
      <w:pPr>
        <w:pStyle w:val="CommentText"/>
      </w:pPr>
      <w:r>
        <w:rPr>
          <w:rStyle w:val="CommentReference"/>
        </w:rPr>
        <w:annotationRef/>
      </w:r>
      <w:r>
        <w:t>Is this your argument? Attach your proof, justifications, reasons to it</w:t>
      </w:r>
    </w:p>
  </w:comment>
  <w:comment w:id="69" w:author="MICHAEL GEORGE HAYES" w:date="2023-03-24T14:47:00Z" w:initials="MGH">
    <w:p w14:paraId="08911E70" w14:textId="77777777" w:rsidR="007A7B66" w:rsidRDefault="007A7B66">
      <w:pPr>
        <w:pStyle w:val="CommentText"/>
      </w:pPr>
      <w:r>
        <w:rPr>
          <w:rStyle w:val="CommentReference"/>
        </w:rPr>
        <w:annotationRef/>
      </w:r>
      <w:r>
        <w:t>This final paragraph doesn’t make much sense. It needs to be re-written</w:t>
      </w:r>
    </w:p>
  </w:comment>
  <w:comment w:id="72" w:author="MICHAEL GEORGE HAYES" w:date="2023-03-24T14:48:00Z" w:initials="MGH">
    <w:p w14:paraId="4249659C" w14:textId="77777777" w:rsidR="0057239B" w:rsidRDefault="0057239B">
      <w:pPr>
        <w:pStyle w:val="CommentText"/>
      </w:pPr>
      <w:r>
        <w:rPr>
          <w:rStyle w:val="CommentReference"/>
        </w:rPr>
        <w:annotationRef/>
      </w:r>
      <w:r>
        <w:t>A conclusion is a paragraph, this is a whole other section</w:t>
      </w:r>
    </w:p>
  </w:comment>
  <w:comment w:id="73" w:author="MICHAEL GEORGE HAYES" w:date="2023-03-24T14:47:00Z" w:initials="MGH">
    <w:p w14:paraId="14CBF0FC" w14:textId="77777777" w:rsidR="007A7B66" w:rsidRDefault="007A7B66">
      <w:pPr>
        <w:pStyle w:val="CommentText"/>
      </w:pPr>
      <w:r>
        <w:rPr>
          <w:rStyle w:val="CommentReference"/>
        </w:rPr>
        <w:annotationRef/>
      </w:r>
      <w:r>
        <w:t>Are you sure - didn’t you say it was a secular constitution?</w:t>
      </w:r>
    </w:p>
  </w:comment>
  <w:comment w:id="74" w:author="MICHAEL GEORGE HAYES" w:date="2023-03-24T14:48:00Z" w:initials="MGH">
    <w:p w14:paraId="6EE8A8D1" w14:textId="77777777" w:rsidR="0057239B" w:rsidRDefault="0057239B">
      <w:pPr>
        <w:pStyle w:val="CommentText"/>
      </w:pPr>
      <w:r>
        <w:rPr>
          <w:rStyle w:val="CommentReference"/>
        </w:rPr>
        <w:annotationRef/>
      </w:r>
      <w:r>
        <w:t>Did it? I can’t remember that bit</w:t>
      </w:r>
    </w:p>
  </w:comment>
  <w:comment w:id="75" w:author="MICHAEL GEORGE HAYES" w:date="2023-03-24T14:49:00Z" w:initials="MGH">
    <w:p w14:paraId="6EA15FBF" w14:textId="77777777" w:rsidR="0057239B" w:rsidRDefault="0057239B">
      <w:pPr>
        <w:pStyle w:val="CommentText"/>
      </w:pPr>
      <w:r>
        <w:rPr>
          <w:rStyle w:val="CommentReference"/>
        </w:rPr>
        <w:annotationRef/>
      </w:r>
      <w:r>
        <w:t>Really? The government? Or other religious leaders?</w:t>
      </w:r>
    </w:p>
  </w:comment>
  <w:comment w:id="76" w:author="MICHAEL GEORGE HAYES" w:date="2023-03-24T14:49:00Z" w:initials="MGH">
    <w:p w14:paraId="3FE30C1C" w14:textId="77777777" w:rsidR="0057239B" w:rsidRDefault="0057239B">
      <w:pPr>
        <w:pStyle w:val="CommentText"/>
      </w:pPr>
      <w:r>
        <w:rPr>
          <w:rStyle w:val="CommentReference"/>
        </w:rPr>
        <w:annotationRef/>
      </w:r>
      <w:r>
        <w:t>Which contradicts what you just said</w:t>
      </w:r>
    </w:p>
  </w:comment>
  <w:comment w:id="77" w:author="MICHAEL GEORGE HAYES" w:date="2023-03-24T14:50:00Z" w:initials="MGH">
    <w:p w14:paraId="04547367" w14:textId="77777777" w:rsidR="0057239B" w:rsidRDefault="0057239B">
      <w:pPr>
        <w:pStyle w:val="CommentText"/>
      </w:pPr>
      <w:r>
        <w:rPr>
          <w:rStyle w:val="CommentReference"/>
        </w:rPr>
        <w:annotationRef/>
      </w:r>
      <w:r>
        <w:t>Oh, this is confusing - is it or isn’t it? How are you going to explain this?</w:t>
      </w:r>
    </w:p>
  </w:comment>
  <w:comment w:id="78" w:author="MICHAEL GEORGE HAYES" w:date="2023-03-24T14:50:00Z" w:initials="MGH">
    <w:p w14:paraId="36DBF91B" w14:textId="77777777" w:rsidR="0057239B" w:rsidRDefault="0057239B">
      <w:pPr>
        <w:pStyle w:val="CommentText"/>
      </w:pPr>
      <w:r>
        <w:rPr>
          <w:rStyle w:val="CommentReference"/>
        </w:rPr>
        <w:annotationRef/>
      </w:r>
      <w:r>
        <w:t xml:space="preserve">OK, so this makes more sense. Why not start with this, which is clear, and develop on this, </w:t>
      </w:r>
    </w:p>
  </w:comment>
  <w:comment w:id="79" w:author="MICHAEL GEORGE HAYES" w:date="2023-03-24T14:51:00Z" w:initials="MGH">
    <w:p w14:paraId="2FF04D9D" w14:textId="77777777" w:rsidR="0057239B" w:rsidRDefault="0057239B">
      <w:pPr>
        <w:pStyle w:val="CommentText"/>
      </w:pPr>
      <w:r>
        <w:rPr>
          <w:rStyle w:val="CommentReference"/>
        </w:rPr>
        <w:annotationRef/>
      </w:r>
      <w:r>
        <w:t>OK, better, this makes sense</w:t>
      </w:r>
    </w:p>
  </w:comment>
  <w:comment w:id="80" w:author="MICHAEL GEORGE HAYES" w:date="2023-03-24T14:52:00Z" w:initials="MGH">
    <w:p w14:paraId="30DE3A7B" w14:textId="77777777" w:rsidR="0057239B" w:rsidRDefault="0057239B">
      <w:pPr>
        <w:pStyle w:val="CommentText"/>
      </w:pPr>
      <w:r>
        <w:rPr>
          <w:rStyle w:val="CommentReference"/>
        </w:rPr>
        <w:annotationRef/>
      </w:r>
      <w:r>
        <w:t>You didn’t prove this</w:t>
      </w:r>
    </w:p>
  </w:comment>
  <w:comment w:id="81" w:author="MICHAEL GEORGE HAYES" w:date="2023-03-24T14:52:00Z" w:initials="MGH">
    <w:p w14:paraId="58764E3C" w14:textId="77777777" w:rsidR="0057239B" w:rsidRDefault="0057239B">
      <w:pPr>
        <w:pStyle w:val="CommentText"/>
      </w:pPr>
      <w:r>
        <w:rPr>
          <w:rStyle w:val="CommentReference"/>
        </w:rPr>
        <w:annotationRef/>
      </w:r>
      <w:r>
        <w:t>Good, put this in the first paragraph, not the last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0AAB2" w15:done="0"/>
  <w15:commentEx w15:paraId="25D13CBE" w15:done="0"/>
  <w15:commentEx w15:paraId="671402D6" w15:done="0"/>
  <w15:commentEx w15:paraId="05BDC654" w15:done="0"/>
  <w15:commentEx w15:paraId="5C6E3E49" w15:done="0"/>
  <w15:commentEx w15:paraId="0C585216" w15:done="0"/>
  <w15:commentEx w15:paraId="3351C81F" w15:done="0"/>
  <w15:commentEx w15:paraId="63771497" w15:done="0"/>
  <w15:commentEx w15:paraId="6A5DE20F" w15:done="0"/>
  <w15:commentEx w15:paraId="2EB6474C" w15:done="0"/>
  <w15:commentEx w15:paraId="21D9ED07" w15:done="0"/>
  <w15:commentEx w15:paraId="4066E4C8" w15:done="0"/>
  <w15:commentEx w15:paraId="4663B22F" w15:done="0"/>
  <w15:commentEx w15:paraId="79B793A1" w15:done="0"/>
  <w15:commentEx w15:paraId="12A79089" w15:done="0"/>
  <w15:commentEx w15:paraId="416093CA" w15:done="0"/>
  <w15:commentEx w15:paraId="311272D1" w15:done="0"/>
  <w15:commentEx w15:paraId="2BCB8BE0" w15:done="0"/>
  <w15:commentEx w15:paraId="3AC1E2F2" w15:done="0"/>
  <w15:commentEx w15:paraId="3B2C3E33" w15:done="0"/>
  <w15:commentEx w15:paraId="2B5AEDAA" w15:done="0"/>
  <w15:commentEx w15:paraId="5A5C6301" w15:done="0"/>
  <w15:commentEx w15:paraId="254F0BCF" w15:done="0"/>
  <w15:commentEx w15:paraId="6484D3FF" w15:done="0"/>
  <w15:commentEx w15:paraId="56C5C8A2" w15:done="0"/>
  <w15:commentEx w15:paraId="7CAED760" w15:done="0"/>
  <w15:commentEx w15:paraId="5A8966A0" w15:done="0"/>
  <w15:commentEx w15:paraId="6432DF90" w15:done="0"/>
  <w15:commentEx w15:paraId="0EB7968B" w15:done="0"/>
  <w15:commentEx w15:paraId="3417164F" w15:done="0"/>
  <w15:commentEx w15:paraId="74BF96EF" w15:done="0"/>
  <w15:commentEx w15:paraId="750E3E8A" w15:done="0"/>
  <w15:commentEx w15:paraId="3E822DBE" w15:done="0"/>
  <w15:commentEx w15:paraId="2321A45F" w15:done="0"/>
  <w15:commentEx w15:paraId="5CAB9BE3" w15:done="0"/>
  <w15:commentEx w15:paraId="3E884954" w15:done="0"/>
  <w15:commentEx w15:paraId="0D71EAA5" w15:done="0"/>
  <w15:commentEx w15:paraId="66436839" w15:done="0"/>
  <w15:commentEx w15:paraId="430239F5" w15:done="0"/>
  <w15:commentEx w15:paraId="47765162" w15:done="0"/>
  <w15:commentEx w15:paraId="211CED3A" w15:done="0"/>
  <w15:commentEx w15:paraId="6DC58EA1" w15:done="0"/>
  <w15:commentEx w15:paraId="4EFD980B" w15:done="0"/>
  <w15:commentEx w15:paraId="71BECB04" w15:done="0"/>
  <w15:commentEx w15:paraId="3F7F3D4F" w15:done="0"/>
  <w15:commentEx w15:paraId="0F5FC60F" w15:done="0"/>
  <w15:commentEx w15:paraId="683DF66D" w15:done="0"/>
  <w15:commentEx w15:paraId="2C23B0A8" w15:done="0"/>
  <w15:commentEx w15:paraId="703CD693" w15:done="0"/>
  <w15:commentEx w15:paraId="6900B26C" w15:done="0"/>
  <w15:commentEx w15:paraId="5AC9BE29" w15:done="0"/>
  <w15:commentEx w15:paraId="08911E70" w15:done="0"/>
  <w15:commentEx w15:paraId="4249659C" w15:done="0"/>
  <w15:commentEx w15:paraId="14CBF0FC" w15:done="0"/>
  <w15:commentEx w15:paraId="6EE8A8D1" w15:done="0"/>
  <w15:commentEx w15:paraId="6EA15FBF" w15:done="0"/>
  <w15:commentEx w15:paraId="3FE30C1C" w15:done="0"/>
  <w15:commentEx w15:paraId="04547367" w15:done="0"/>
  <w15:commentEx w15:paraId="36DBF91B" w15:done="0"/>
  <w15:commentEx w15:paraId="2FF04D9D" w15:done="0"/>
  <w15:commentEx w15:paraId="30DE3A7B" w15:done="0"/>
  <w15:commentEx w15:paraId="58764E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0AAB2" w16cid:durableId="27C82369"/>
  <w16cid:commentId w16cid:paraId="25D13CBE" w16cid:durableId="27C823C2"/>
  <w16cid:commentId w16cid:paraId="671402D6" w16cid:durableId="27C823E3"/>
  <w16cid:commentId w16cid:paraId="05BDC654" w16cid:durableId="27C8244E"/>
  <w16cid:commentId w16cid:paraId="5C6E3E49" w16cid:durableId="27C82471"/>
  <w16cid:commentId w16cid:paraId="0C585216" w16cid:durableId="27C82506"/>
  <w16cid:commentId w16cid:paraId="3351C81F" w16cid:durableId="27C82528"/>
  <w16cid:commentId w16cid:paraId="63771497" w16cid:durableId="27C82551"/>
  <w16cid:commentId w16cid:paraId="6A5DE20F" w16cid:durableId="27C825CA"/>
  <w16cid:commentId w16cid:paraId="2EB6474C" w16cid:durableId="27C8262E"/>
  <w16cid:commentId w16cid:paraId="21D9ED07" w16cid:durableId="27C82643"/>
  <w16cid:commentId w16cid:paraId="4066E4C8" w16cid:durableId="27C82652"/>
  <w16cid:commentId w16cid:paraId="4663B22F" w16cid:durableId="27C8268A"/>
  <w16cid:commentId w16cid:paraId="79B793A1" w16cid:durableId="27C826BA"/>
  <w16cid:commentId w16cid:paraId="12A79089" w16cid:durableId="27C826E7"/>
  <w16cid:commentId w16cid:paraId="416093CA" w16cid:durableId="27C82706"/>
  <w16cid:commentId w16cid:paraId="311272D1" w16cid:durableId="27C8272B"/>
  <w16cid:commentId w16cid:paraId="2BCB8BE0" w16cid:durableId="27C82894"/>
  <w16cid:commentId w16cid:paraId="3AC1E2F2" w16cid:durableId="27C828DB"/>
  <w16cid:commentId w16cid:paraId="3B2C3E33" w16cid:durableId="27C8290E"/>
  <w16cid:commentId w16cid:paraId="2B5AEDAA" w16cid:durableId="27C82924"/>
  <w16cid:commentId w16cid:paraId="5A5C6301" w16cid:durableId="27C82952"/>
  <w16cid:commentId w16cid:paraId="254F0BCF" w16cid:durableId="27C829B3"/>
  <w16cid:commentId w16cid:paraId="6484D3FF" w16cid:durableId="27C829D4"/>
  <w16cid:commentId w16cid:paraId="56C5C8A2" w16cid:durableId="27C829E8"/>
  <w16cid:commentId w16cid:paraId="7CAED760" w16cid:durableId="27C82A2E"/>
  <w16cid:commentId w16cid:paraId="5A8966A0" w16cid:durableId="27C82A77"/>
  <w16cid:commentId w16cid:paraId="6432DF90" w16cid:durableId="27C831C9"/>
  <w16cid:commentId w16cid:paraId="0EB7968B" w16cid:durableId="27C831E4"/>
  <w16cid:commentId w16cid:paraId="3417164F" w16cid:durableId="27C831EE"/>
  <w16cid:commentId w16cid:paraId="74BF96EF" w16cid:durableId="27C83201"/>
  <w16cid:commentId w16cid:paraId="750E3E8A" w16cid:durableId="27C83237"/>
  <w16cid:commentId w16cid:paraId="3E822DBE" w16cid:durableId="27C83273"/>
  <w16cid:commentId w16cid:paraId="2321A45F" w16cid:durableId="27C832A6"/>
  <w16cid:commentId w16cid:paraId="5CAB9BE3" w16cid:durableId="27C832C4"/>
  <w16cid:commentId w16cid:paraId="3E884954" w16cid:durableId="27C8332D"/>
  <w16cid:commentId w16cid:paraId="0D71EAA5" w16cid:durableId="27C83310"/>
  <w16cid:commentId w16cid:paraId="66436839" w16cid:durableId="27C83363"/>
  <w16cid:commentId w16cid:paraId="430239F5" w16cid:durableId="27C833C5"/>
  <w16cid:commentId w16cid:paraId="47765162" w16cid:durableId="27C833F0"/>
  <w16cid:commentId w16cid:paraId="211CED3A" w16cid:durableId="27C8340C"/>
  <w16cid:commentId w16cid:paraId="6DC58EA1" w16cid:durableId="27C8345E"/>
  <w16cid:commentId w16cid:paraId="4EFD980B" w16cid:durableId="27C8342B"/>
  <w16cid:commentId w16cid:paraId="71BECB04" w16cid:durableId="27C834A3"/>
  <w16cid:commentId w16cid:paraId="3F7F3D4F" w16cid:durableId="27C834B3"/>
  <w16cid:commentId w16cid:paraId="0F5FC60F" w16cid:durableId="27C834BF"/>
  <w16cid:commentId w16cid:paraId="683DF66D" w16cid:durableId="27C834D4"/>
  <w16cid:commentId w16cid:paraId="2C23B0A8" w16cid:durableId="27C83505"/>
  <w16cid:commentId w16cid:paraId="703CD693" w16cid:durableId="27C83572"/>
  <w16cid:commentId w16cid:paraId="6900B26C" w16cid:durableId="27C835C8"/>
  <w16cid:commentId w16cid:paraId="5AC9BE29" w16cid:durableId="27C83612"/>
  <w16cid:commentId w16cid:paraId="08911E70" w16cid:durableId="27C8366F"/>
  <w16cid:commentId w16cid:paraId="4249659C" w16cid:durableId="27C836AB"/>
  <w16cid:commentId w16cid:paraId="14CBF0FC" w16cid:durableId="27C83692"/>
  <w16cid:commentId w16cid:paraId="6EE8A8D1" w16cid:durableId="27C836C8"/>
  <w16cid:commentId w16cid:paraId="6EA15FBF" w16cid:durableId="27C836E1"/>
  <w16cid:commentId w16cid:paraId="3FE30C1C" w16cid:durableId="27C83705"/>
  <w16cid:commentId w16cid:paraId="04547367" w16cid:durableId="27C8371C"/>
  <w16cid:commentId w16cid:paraId="36DBF91B" w16cid:durableId="27C8373F"/>
  <w16cid:commentId w16cid:paraId="2FF04D9D" w16cid:durableId="27C83775"/>
  <w16cid:commentId w16cid:paraId="30DE3A7B" w16cid:durableId="27C83797"/>
  <w16cid:commentId w16cid:paraId="58764E3C" w16cid:durableId="27C83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04B9F" w14:textId="77777777" w:rsidR="0007201A" w:rsidRDefault="0007201A" w:rsidP="00FA01A1">
      <w:r>
        <w:separator/>
      </w:r>
    </w:p>
  </w:endnote>
  <w:endnote w:type="continuationSeparator" w:id="0">
    <w:p w14:paraId="7DE49144" w14:textId="77777777" w:rsidR="0007201A" w:rsidRDefault="0007201A" w:rsidP="00FA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nux Libertine">
    <w:altName w:val="Cambria"/>
    <w:charset w:val="00"/>
    <w:family w:val="auto"/>
    <w:pitch w:val="variable"/>
    <w:sig w:usb0="E0000AFF" w:usb1="5200E5FB" w:usb2="02000020" w:usb3="00000000" w:csb0="000001B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1B5FA" w14:textId="77777777" w:rsidR="0007201A" w:rsidRDefault="0007201A" w:rsidP="00FA01A1">
      <w:r>
        <w:separator/>
      </w:r>
    </w:p>
  </w:footnote>
  <w:footnote w:type="continuationSeparator" w:id="0">
    <w:p w14:paraId="29F61B10" w14:textId="77777777" w:rsidR="0007201A" w:rsidRDefault="0007201A" w:rsidP="00FA01A1">
      <w:r>
        <w:continuationSeparator/>
      </w:r>
    </w:p>
  </w:footnote>
  <w:footnote w:id="1">
    <w:p w14:paraId="02E062B1" w14:textId="77777777" w:rsidR="00FA01A1" w:rsidRPr="00734ABB" w:rsidRDefault="00FA01A1" w:rsidP="00FA01A1">
      <w:pPr>
        <w:pStyle w:val="FootnoteText"/>
      </w:pPr>
      <w:r w:rsidRPr="00E82028">
        <w:rPr>
          <w:rStyle w:val="FootnoteReference"/>
        </w:rPr>
        <w:footnoteRef/>
      </w:r>
      <w:r w:rsidRPr="00734ABB">
        <w:t xml:space="preserve"> </w:t>
      </w:r>
      <w:r w:rsidRPr="00734ABB">
        <w:tab/>
        <w:t xml:space="preserve">See Ota Atsushi, Okamoto Masaaki, and Ahmad </w:t>
      </w:r>
      <w:proofErr w:type="spellStart"/>
      <w:r w:rsidRPr="00734ABB">
        <w:t>Suaedy</w:t>
      </w:r>
      <w:proofErr w:type="spellEnd"/>
      <w:r w:rsidRPr="00734ABB">
        <w:t xml:space="preserve"> (2010). Islam in Contention: Rethinking Islam and State in Indonesia (Jakarta: The Wahid Institute-CSEAS-CAPAS). This book is the result of research conducted in 2008-2009 in collaboration with the Wahid Institute, the </w:t>
      </w:r>
      <w:proofErr w:type="spellStart"/>
      <w:r w:rsidRPr="00734ABB">
        <w:t>Center</w:t>
      </w:r>
      <w:proofErr w:type="spellEnd"/>
      <w:r w:rsidRPr="00734ABB">
        <w:t xml:space="preserve"> for Asia Studies Kyoto University, and the </w:t>
      </w:r>
      <w:proofErr w:type="spellStart"/>
      <w:r w:rsidRPr="00734ABB">
        <w:t>Center</w:t>
      </w:r>
      <w:proofErr w:type="spellEnd"/>
      <w:r w:rsidRPr="00734ABB">
        <w:t xml:space="preserve"> for Asia Pacific Area Studies RCHSS, and Academia </w:t>
      </w:r>
      <w:proofErr w:type="spellStart"/>
      <w:r w:rsidRPr="00734ABB">
        <w:t>Sinica</w:t>
      </w:r>
      <w:proofErr w:type="spellEnd"/>
      <w:r w:rsidRPr="00734ABB">
        <w:t>. There are five main topics in this book. The first section deals with a theoretical discussion of the role of Islam and the state in achieving social justice. The second part discusses three contemporary issues, namely the enactment of Sharia Regional Regulations (</w:t>
      </w:r>
      <w:proofErr w:type="spellStart"/>
      <w:r w:rsidRPr="00734ABB">
        <w:t>Perda</w:t>
      </w:r>
      <w:proofErr w:type="spellEnd"/>
      <w:r w:rsidRPr="00734ABB">
        <w:t>) in several regions in Indonesia, the Counter Legal Draft of the Compilation of Islamic Law (KHI), and the debate among Muslims regarding polygamy and contract marriage. The third section focuses on the strategy of three political institutions to seek mass support. The fourth section focuses on several important aspects of the social Islamization process, among which are two of the groups most vulnerable to Islamization in Indonesia, namely women and the Chinese.</w:t>
      </w:r>
    </w:p>
  </w:footnote>
  <w:footnote w:id="2">
    <w:p w14:paraId="7536C397" w14:textId="77777777" w:rsidR="00FA01A1" w:rsidRPr="00734ABB" w:rsidRDefault="00FA01A1" w:rsidP="00FA01A1">
      <w:pPr>
        <w:pStyle w:val="FootnoteText"/>
      </w:pPr>
      <w:r w:rsidRPr="00E82028">
        <w:rPr>
          <w:rStyle w:val="FootnoteReference"/>
        </w:rPr>
        <w:footnoteRef/>
      </w:r>
      <w:r w:rsidRPr="00734ABB">
        <w:t xml:space="preserve"> </w:t>
      </w:r>
      <w:r w:rsidRPr="00734ABB">
        <w:tab/>
        <w:t>See Abdul Karim (2005). Religion and State Relations in Post Reformation Era. Al-</w:t>
      </w:r>
      <w:proofErr w:type="spellStart"/>
      <w:r w:rsidRPr="00734ABB">
        <w:t>Mawarid</w:t>
      </w:r>
      <w:proofErr w:type="spellEnd"/>
      <w:r w:rsidRPr="00734ABB">
        <w:t xml:space="preserve"> Edition XI11 Year 2005</w:t>
      </w:r>
    </w:p>
  </w:footnote>
  <w:footnote w:id="3">
    <w:p w14:paraId="50FA66E7" w14:textId="77777777" w:rsidR="00FA01A1" w:rsidRPr="00734ABB" w:rsidRDefault="00FA01A1" w:rsidP="00FA01A1">
      <w:pPr>
        <w:pStyle w:val="FootnoteText"/>
      </w:pPr>
      <w:r w:rsidRPr="00E82028">
        <w:rPr>
          <w:rStyle w:val="FootnoteReference"/>
        </w:rPr>
        <w:footnoteRef/>
      </w:r>
      <w:r w:rsidRPr="00734ABB">
        <w:t xml:space="preserve"> </w:t>
      </w:r>
      <w:r w:rsidRPr="00734ABB">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734ABB">
        <w:t>Penetapan</w:t>
      </w:r>
      <w:proofErr w:type="spellEnd"/>
      <w:r w:rsidRPr="00734ABB">
        <w:t xml:space="preserve"> </w:t>
      </w:r>
      <w:proofErr w:type="spellStart"/>
      <w:r w:rsidRPr="00734ABB">
        <w:t>Presiden</w:t>
      </w:r>
      <w:proofErr w:type="spellEnd"/>
      <w:r w:rsidRPr="00734ABB">
        <w:t>/ PNPS) or Presidential Directive (</w:t>
      </w:r>
      <w:proofErr w:type="spellStart"/>
      <w:r w:rsidRPr="00734ABB">
        <w:t>Peraturan</w:t>
      </w:r>
      <w:proofErr w:type="spellEnd"/>
      <w:r w:rsidRPr="00734ABB">
        <w:t xml:space="preserve"> President).  Therefore, the Law No.1/PNPS/1965 was enacted through President instead of Act (</w:t>
      </w:r>
      <w:proofErr w:type="spellStart"/>
      <w:r w:rsidRPr="00734ABB">
        <w:t>Undang-Undang</w:t>
      </w:r>
      <w:proofErr w:type="spellEnd"/>
      <w:r w:rsidRPr="00734ABB">
        <w:t>). It was later in 1969, the government elevated it to the status of national legislation through the enactment of Law No. 5/1969.</w:t>
      </w:r>
    </w:p>
  </w:footnote>
  <w:footnote w:id="4">
    <w:p w14:paraId="314A7DD1" w14:textId="77777777" w:rsidR="00FA01A1" w:rsidRPr="00734ABB" w:rsidRDefault="00FA01A1" w:rsidP="00FA01A1">
      <w:pPr>
        <w:pStyle w:val="FootnoteText"/>
      </w:pPr>
      <w:r w:rsidRPr="00E82028">
        <w:rPr>
          <w:rStyle w:val="FootnoteReference"/>
        </w:rPr>
        <w:footnoteRef/>
      </w:r>
      <w:r w:rsidRPr="00734ABB">
        <w:t xml:space="preserve"> </w:t>
      </w:r>
      <w:r w:rsidRPr="00734ABB">
        <w:tab/>
      </w:r>
      <w:proofErr w:type="spellStart"/>
      <w:r w:rsidRPr="00734ABB">
        <w:t>Uli</w:t>
      </w:r>
      <w:proofErr w:type="spellEnd"/>
      <w:r w:rsidRPr="00734ABB">
        <w:t xml:space="preserve"> </w:t>
      </w:r>
      <w:proofErr w:type="spellStart"/>
      <w:r w:rsidRPr="00734ABB">
        <w:t>Parulian</w:t>
      </w:r>
      <w:proofErr w:type="spellEnd"/>
      <w:r w:rsidRPr="00734ABB">
        <w:t xml:space="preserve"> </w:t>
      </w:r>
      <w:proofErr w:type="spellStart"/>
      <w:r w:rsidRPr="00734ABB">
        <w:t>Sihombing</w:t>
      </w:r>
      <w:proofErr w:type="spellEnd"/>
      <w:r w:rsidRPr="00734ABB">
        <w:t xml:space="preserve">, </w:t>
      </w:r>
      <w:proofErr w:type="spellStart"/>
      <w:r w:rsidRPr="00734ABB">
        <w:t>Menggugat</w:t>
      </w:r>
      <w:proofErr w:type="spellEnd"/>
      <w:r w:rsidRPr="00734ABB">
        <w:t xml:space="preserve"> </w:t>
      </w:r>
      <w:proofErr w:type="spellStart"/>
      <w:r w:rsidRPr="00734ABB">
        <w:t>Bakor</w:t>
      </w:r>
      <w:proofErr w:type="spellEnd"/>
      <w:r w:rsidRPr="00734ABB">
        <w:t xml:space="preserve"> </w:t>
      </w:r>
      <w:proofErr w:type="spellStart"/>
      <w:r w:rsidRPr="00734ABB">
        <w:t>Pakem</w:t>
      </w:r>
      <w:proofErr w:type="spellEnd"/>
      <w:r w:rsidRPr="00734ABB">
        <w:t xml:space="preserve">; Kajian </w:t>
      </w:r>
      <w:proofErr w:type="spellStart"/>
      <w:r w:rsidRPr="00734ABB">
        <w:t>Hukum</w:t>
      </w:r>
      <w:proofErr w:type="spellEnd"/>
      <w:r w:rsidRPr="00734ABB">
        <w:t xml:space="preserve"> </w:t>
      </w:r>
      <w:proofErr w:type="spellStart"/>
      <w:r w:rsidRPr="00734ABB">
        <w:t>terhadap</w:t>
      </w:r>
      <w:proofErr w:type="spellEnd"/>
      <w:r w:rsidRPr="00734ABB">
        <w:t xml:space="preserve"> </w:t>
      </w:r>
      <w:proofErr w:type="spellStart"/>
      <w:r w:rsidRPr="00734ABB">
        <w:t>Pengawasan</w:t>
      </w:r>
      <w:proofErr w:type="spellEnd"/>
      <w:r w:rsidRPr="00734ABB">
        <w:t xml:space="preserve"> Agama dan </w:t>
      </w:r>
      <w:proofErr w:type="spellStart"/>
      <w:r w:rsidRPr="00734ABB">
        <w:t>Kepercayaan</w:t>
      </w:r>
      <w:proofErr w:type="spellEnd"/>
      <w:r w:rsidRPr="00734ABB">
        <w:t xml:space="preserve"> di Indonesia [Challenging </w:t>
      </w:r>
      <w:proofErr w:type="spellStart"/>
      <w:r w:rsidRPr="00734ABB">
        <w:t>Bakor</w:t>
      </w:r>
      <w:proofErr w:type="spellEnd"/>
      <w:r w:rsidRPr="00734ABB">
        <w:t xml:space="preserve"> </w:t>
      </w:r>
      <w:proofErr w:type="spellStart"/>
      <w:r w:rsidRPr="00734ABB">
        <w:t>Pakem</w:t>
      </w:r>
      <w:proofErr w:type="spellEnd"/>
      <w:r w:rsidRPr="00734ABB">
        <w:t xml:space="preserve">; Legal Study on the Oversight of Religion and Belief in Indonesia], 2008, ILRC [the Indonesian Legal Resource </w:t>
      </w:r>
      <w:proofErr w:type="spellStart"/>
      <w:r w:rsidRPr="00734ABB">
        <w:t>Center</w:t>
      </w:r>
      <w:proofErr w:type="spellEnd"/>
      <w:r w:rsidRPr="00734ABB">
        <w:t>], p25 and 40.</w:t>
      </w:r>
    </w:p>
  </w:footnote>
  <w:footnote w:id="5">
    <w:p w14:paraId="11C982DC" w14:textId="77777777" w:rsidR="00FA01A1" w:rsidRPr="00734ABB" w:rsidRDefault="00FA01A1" w:rsidP="00FA01A1">
      <w:pPr>
        <w:pStyle w:val="FootnoteText"/>
      </w:pPr>
      <w:r w:rsidRPr="00E82028">
        <w:rPr>
          <w:rStyle w:val="FootnoteReference"/>
        </w:rPr>
        <w:footnoteRef/>
      </w:r>
      <w:r w:rsidRPr="00734ABB">
        <w:t xml:space="preserve"> </w:t>
      </w:r>
      <w:r w:rsidRPr="00734ABB">
        <w:tab/>
        <w:t xml:space="preserve">The Indonesian expert Edward Omar Sharif </w:t>
      </w:r>
      <w:proofErr w:type="spellStart"/>
      <w:r w:rsidRPr="00734ABB">
        <w:t>Hiariej</w:t>
      </w:r>
      <w:proofErr w:type="spellEnd"/>
      <w:r w:rsidRPr="00734ABB">
        <w:t xml:space="preserve"> explained in the </w:t>
      </w:r>
      <w:proofErr w:type="spellStart"/>
      <w:r w:rsidRPr="00734ABB">
        <w:t>Ahok’s</w:t>
      </w:r>
      <w:proofErr w:type="spellEnd"/>
      <w:r w:rsidRPr="00734ABB">
        <w:t xml:space="preserve"> case that PNPS was issued by President Soekarno on January 20, 1965. Exactly two weeks after the massacre of Muslims in </w:t>
      </w:r>
      <w:proofErr w:type="spellStart"/>
      <w:r w:rsidRPr="00734ABB">
        <w:t>Madiun</w:t>
      </w:r>
      <w:proofErr w:type="spellEnd"/>
      <w:r w:rsidRPr="00734ABB">
        <w:t xml:space="preserve">. here was a sadistic murder when the </w:t>
      </w:r>
      <w:proofErr w:type="spellStart"/>
      <w:r w:rsidRPr="00734ABB">
        <w:t>kiai</w:t>
      </w:r>
      <w:proofErr w:type="spellEnd"/>
      <w:r w:rsidRPr="00734ABB">
        <w:t xml:space="preserve"> and </w:t>
      </w:r>
      <w:proofErr w:type="spellStart"/>
      <w:r w:rsidRPr="00734ABB">
        <w:t>santri</w:t>
      </w:r>
      <w:proofErr w:type="spellEnd"/>
      <w:r w:rsidRPr="00734ABB">
        <w:t xml:space="preserve"> were praying at dawn, the Koran was trampled upon, torn apart as a form of blasphemy. Retrieved at https://www.jawapos.com/nasional/hukum-kriminal/14/03/2017/begini-awal-mulanya-pasal-penodaan-agama. See also Michael S. </w:t>
      </w:r>
      <w:proofErr w:type="spellStart"/>
      <w:r w:rsidRPr="00734ABB">
        <w:t>Densmoor</w:t>
      </w:r>
      <w:proofErr w:type="spellEnd"/>
      <w:r w:rsidRPr="00734ABB">
        <w:t xml:space="preserve">, 2013. The Control and Management of Religion </w:t>
      </w:r>
      <w:proofErr w:type="gramStart"/>
      <w:r w:rsidRPr="00734ABB">
        <w:t>In</w:t>
      </w:r>
      <w:proofErr w:type="gramEnd"/>
      <w:r w:rsidRPr="00734ABB">
        <w:t xml:space="preserve"> Post-Independence, Pancasila Indonesia. A Thesis. Georgetown University Washington, DC April 13, 2013.</w:t>
      </w:r>
    </w:p>
  </w:footnote>
  <w:footnote w:id="6">
    <w:p w14:paraId="7AADF3C8" w14:textId="77777777" w:rsidR="00FA01A1" w:rsidRPr="00734ABB" w:rsidRDefault="00FA01A1" w:rsidP="00FA01A1">
      <w:pPr>
        <w:pStyle w:val="FootnoteText"/>
      </w:pPr>
      <w:r w:rsidRPr="00E82028">
        <w:rPr>
          <w:rStyle w:val="FootnoteReference"/>
        </w:rPr>
        <w:footnoteRef/>
      </w:r>
      <w:r w:rsidRPr="00734ABB">
        <w:t xml:space="preserve"> </w:t>
      </w:r>
      <w:r w:rsidRPr="00734ABB">
        <w:tab/>
      </w:r>
      <w:proofErr w:type="spellStart"/>
      <w:r w:rsidRPr="00734ABB">
        <w:t>Barda</w:t>
      </w:r>
      <w:proofErr w:type="spellEnd"/>
      <w:r w:rsidRPr="00734ABB">
        <w:t xml:space="preserve"> </w:t>
      </w:r>
      <w:proofErr w:type="spellStart"/>
      <w:r w:rsidRPr="00734ABB">
        <w:t>Nawawi</w:t>
      </w:r>
      <w:proofErr w:type="spellEnd"/>
      <w:r w:rsidRPr="00734ABB">
        <w:t xml:space="preserve"> </w:t>
      </w:r>
      <w:proofErr w:type="spellStart"/>
      <w:r w:rsidRPr="00734ABB">
        <w:t>Arief</w:t>
      </w:r>
      <w:proofErr w:type="spellEnd"/>
      <w:r w:rsidRPr="00734ABB">
        <w:t xml:space="preserve">, </w:t>
      </w:r>
      <w:proofErr w:type="spellStart"/>
      <w:r w:rsidRPr="00734ABB">
        <w:t>Delik</w:t>
      </w:r>
      <w:proofErr w:type="spellEnd"/>
      <w:r w:rsidRPr="00734ABB">
        <w:t xml:space="preserve"> Agama dan </w:t>
      </w:r>
      <w:proofErr w:type="spellStart"/>
      <w:r w:rsidRPr="00734ABB">
        <w:t>Penghinaan</w:t>
      </w:r>
      <w:proofErr w:type="spellEnd"/>
      <w:r w:rsidRPr="00734ABB">
        <w:t xml:space="preserve"> </w:t>
      </w:r>
      <w:proofErr w:type="spellStart"/>
      <w:r w:rsidRPr="00734ABB">
        <w:t>Tuhan</w:t>
      </w:r>
      <w:proofErr w:type="spellEnd"/>
      <w:r w:rsidRPr="00734ABB">
        <w:t xml:space="preserve"> (Blasphemy) Di Indonesia dan </w:t>
      </w:r>
      <w:proofErr w:type="spellStart"/>
      <w:r w:rsidRPr="00734ABB">
        <w:t>Perbandingan</w:t>
      </w:r>
      <w:proofErr w:type="spellEnd"/>
      <w:r w:rsidRPr="00734ABB">
        <w:t xml:space="preserve"> </w:t>
      </w:r>
      <w:proofErr w:type="spellStart"/>
      <w:r w:rsidRPr="00734ABB">
        <w:t>Berbagai</w:t>
      </w:r>
      <w:proofErr w:type="spellEnd"/>
      <w:r w:rsidRPr="00734ABB">
        <w:t xml:space="preserve"> Negara, Badan </w:t>
      </w:r>
      <w:proofErr w:type="spellStart"/>
      <w:r w:rsidRPr="00734ABB">
        <w:t>Penerbit</w:t>
      </w:r>
      <w:proofErr w:type="spellEnd"/>
      <w:r w:rsidRPr="00734ABB">
        <w:t xml:space="preserve"> </w:t>
      </w:r>
      <w:proofErr w:type="spellStart"/>
      <w:r w:rsidRPr="00734ABB">
        <w:t>Univesitas</w:t>
      </w:r>
      <w:proofErr w:type="spellEnd"/>
      <w:r w:rsidRPr="00734ABB">
        <w:t xml:space="preserve"> </w:t>
      </w:r>
      <w:proofErr w:type="spellStart"/>
      <w:r w:rsidRPr="00734ABB">
        <w:t>Diponegoro</w:t>
      </w:r>
      <w:proofErr w:type="spellEnd"/>
      <w:r w:rsidRPr="00734ABB">
        <w:t>, Semarang, 2008, p. 7-8</w:t>
      </w:r>
    </w:p>
  </w:footnote>
  <w:footnote w:id="7">
    <w:p w14:paraId="7E6E32E4" w14:textId="77777777" w:rsidR="00FA01A1" w:rsidRPr="00734ABB" w:rsidRDefault="00FA01A1" w:rsidP="00FA01A1">
      <w:pPr>
        <w:pStyle w:val="FootnoteText"/>
      </w:pPr>
      <w:r w:rsidRPr="00E82028">
        <w:rPr>
          <w:rStyle w:val="FootnoteReference"/>
        </w:rPr>
        <w:footnoteRef/>
      </w:r>
      <w:r w:rsidRPr="00734ABB">
        <w:t xml:space="preserve"> </w:t>
      </w:r>
      <w:r w:rsidRPr="00734ABB">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8">
    <w:p w14:paraId="64A3631D" w14:textId="77777777" w:rsidR="00FA01A1" w:rsidRPr="00734ABB" w:rsidRDefault="00FA01A1" w:rsidP="00FA01A1">
      <w:pPr>
        <w:pStyle w:val="FootnoteText"/>
      </w:pPr>
      <w:r w:rsidRPr="00E82028">
        <w:rPr>
          <w:rStyle w:val="FootnoteReference"/>
        </w:rPr>
        <w:footnoteRef/>
      </w:r>
      <w:r w:rsidRPr="00734ABB">
        <w:t xml:space="preserve"> </w:t>
      </w:r>
      <w:r w:rsidRPr="00734ABB">
        <w:tab/>
        <w:t xml:space="preserve">On 11 March 1966 President Sukarno was forced by the Army generals to sign a letter transferring power to General Suharto. In Indonesia, Sukarno’s letter was known as ‘Super </w:t>
      </w:r>
      <w:proofErr w:type="spellStart"/>
      <w:r w:rsidRPr="00734ABB">
        <w:t>Semar</w:t>
      </w:r>
      <w:proofErr w:type="spellEnd"/>
      <w:r w:rsidRPr="00734ABB">
        <w:t xml:space="preserve">’, an abbreviation of ‘Surat </w:t>
      </w:r>
      <w:proofErr w:type="spellStart"/>
      <w:r w:rsidRPr="00734ABB">
        <w:t>Perintah</w:t>
      </w:r>
      <w:proofErr w:type="spellEnd"/>
      <w:r w:rsidRPr="00734ABB">
        <w:t xml:space="preserve"> </w:t>
      </w:r>
      <w:proofErr w:type="spellStart"/>
      <w:r w:rsidRPr="00734ABB">
        <w:t>Sebelas</w:t>
      </w:r>
      <w:proofErr w:type="spellEnd"/>
      <w:r w:rsidRPr="00734ABB">
        <w:t xml:space="preserve"> </w:t>
      </w:r>
      <w:proofErr w:type="spellStart"/>
      <w:r w:rsidRPr="00734ABB">
        <w:t>Maret</w:t>
      </w:r>
      <w:proofErr w:type="spellEnd"/>
      <w:r w:rsidRPr="00734ABB">
        <w:t>’ (Letter of Order of the 11 March). However, from a Javanese Shadow puppet (</w:t>
      </w:r>
      <w:proofErr w:type="spellStart"/>
      <w:r w:rsidRPr="00734ABB">
        <w:t>wayang</w:t>
      </w:r>
      <w:proofErr w:type="spellEnd"/>
      <w:r w:rsidRPr="00734ABB">
        <w:t xml:space="preserve">) story, </w:t>
      </w:r>
      <w:proofErr w:type="spellStart"/>
      <w:r w:rsidRPr="00734ABB">
        <w:t>Semar</w:t>
      </w:r>
      <w:proofErr w:type="spellEnd"/>
      <w:r w:rsidRPr="00734ABB">
        <w:t xml:space="preserve"> is a royal servant known for a powerful spirit and strength.</w:t>
      </w:r>
    </w:p>
  </w:footnote>
  <w:footnote w:id="9">
    <w:p w14:paraId="6B1E4D56" w14:textId="77777777" w:rsidR="00FA01A1" w:rsidRPr="00734ABB" w:rsidRDefault="00FA01A1" w:rsidP="00FA01A1">
      <w:pPr>
        <w:pStyle w:val="FootnoteText"/>
      </w:pPr>
      <w:r w:rsidRPr="00E82028">
        <w:rPr>
          <w:rStyle w:val="FootnoteReference"/>
        </w:rPr>
        <w:footnoteRef/>
      </w:r>
      <w:r w:rsidRPr="00734ABB">
        <w:t xml:space="preserve"> </w:t>
      </w:r>
      <w:r w:rsidRPr="00734ABB">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734ABB">
        <w:t>Majelis</w:t>
      </w:r>
      <w:proofErr w:type="spellEnd"/>
      <w:r w:rsidRPr="00734ABB">
        <w:t xml:space="preserve"> </w:t>
      </w:r>
      <w:proofErr w:type="spellStart"/>
      <w:r w:rsidRPr="00734ABB">
        <w:t>Permusyawaratan</w:t>
      </w:r>
      <w:proofErr w:type="spellEnd"/>
      <w:r w:rsidRPr="00734ABB">
        <w:t xml:space="preserve"> Rakyat </w:t>
      </w:r>
      <w:proofErr w:type="spellStart"/>
      <w:r w:rsidRPr="00734ABB">
        <w:t>Sementara</w:t>
      </w:r>
      <w:proofErr w:type="spellEnd"/>
      <w:r w:rsidRPr="00734ABB">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
    <w:p w14:paraId="0489DB79" w14:textId="77777777" w:rsidR="00FA01A1" w:rsidRPr="00734ABB" w:rsidRDefault="00FA01A1" w:rsidP="00FA01A1">
      <w:pPr>
        <w:pStyle w:val="FootnoteText"/>
      </w:pPr>
      <w:r w:rsidRPr="00E82028">
        <w:rPr>
          <w:rStyle w:val="FootnoteReference"/>
        </w:rPr>
        <w:footnoteRef/>
      </w:r>
      <w:r w:rsidRPr="00734ABB">
        <w:t xml:space="preserve"> </w:t>
      </w:r>
      <w:r w:rsidRPr="00734ABB">
        <w:tab/>
        <w:t>Fenton, A. J. (2016). FAITH, INTOLERANCE, VIOLENCE AND BIGOTRY: Legal and Constitutional Issues of Freedom of Religion in Indonesia. Journal of Indonesian Islam, 10(2), 181-212.</w:t>
      </w:r>
    </w:p>
  </w:footnote>
  <w:footnote w:id="11">
    <w:p w14:paraId="37B574EB" w14:textId="77777777" w:rsidR="00FA01A1" w:rsidRPr="00734ABB" w:rsidRDefault="00FA01A1" w:rsidP="00FA01A1">
      <w:pPr>
        <w:pStyle w:val="FootnoteText"/>
      </w:pPr>
      <w:r w:rsidRPr="00E82028">
        <w:rPr>
          <w:rStyle w:val="FootnoteReference"/>
        </w:rPr>
        <w:footnoteRef/>
      </w:r>
      <w:r w:rsidRPr="00734ABB">
        <w:t xml:space="preserve"> </w:t>
      </w:r>
      <w:r w:rsidRPr="00734ABB">
        <w:tab/>
        <w:t>The IBL, ibid. Article 1.</w:t>
      </w:r>
    </w:p>
  </w:footnote>
  <w:footnote w:id="12">
    <w:p w14:paraId="47532B8B" w14:textId="77777777" w:rsidR="00FA01A1" w:rsidRPr="00734ABB" w:rsidRDefault="00FA01A1" w:rsidP="00FA01A1">
      <w:pPr>
        <w:pStyle w:val="FootnoteText"/>
      </w:pPr>
      <w:r w:rsidRPr="00E82028">
        <w:rPr>
          <w:rStyle w:val="FootnoteReference"/>
        </w:rPr>
        <w:footnoteRef/>
      </w:r>
      <w:r w:rsidRPr="00734ABB">
        <w:t xml:space="preserve"> </w:t>
      </w:r>
      <w:r w:rsidRPr="00734ABB">
        <w:tab/>
        <w:t xml:space="preserve">Victor </w:t>
      </w:r>
      <w:proofErr w:type="spellStart"/>
      <w:r w:rsidRPr="00734ABB">
        <w:t>Imanuel</w:t>
      </w:r>
      <w:proofErr w:type="spellEnd"/>
      <w:r w:rsidRPr="00734ABB">
        <w:t xml:space="preserve"> W. </w:t>
      </w:r>
      <w:proofErr w:type="spellStart"/>
      <w:r w:rsidRPr="00734ABB">
        <w:t>Nalle</w:t>
      </w:r>
      <w:proofErr w:type="spellEnd"/>
      <w:r w:rsidRPr="00734ABB">
        <w:t xml:space="preserve">. Blasphemy Law and Public Neutrality in Indonesia. Faculty of Law, </w:t>
      </w:r>
      <w:proofErr w:type="spellStart"/>
      <w:r w:rsidRPr="00734ABB">
        <w:t>Darma</w:t>
      </w:r>
      <w:proofErr w:type="spellEnd"/>
      <w:r w:rsidRPr="00734ABB">
        <w:t xml:space="preserve"> </w:t>
      </w:r>
      <w:proofErr w:type="spellStart"/>
      <w:r w:rsidRPr="00734ABB">
        <w:t>Cendika</w:t>
      </w:r>
      <w:proofErr w:type="spellEnd"/>
      <w:r w:rsidRPr="00734ABB">
        <w:t xml:space="preserve"> Catholic University, Indonesia.</w:t>
      </w:r>
    </w:p>
  </w:footnote>
  <w:footnote w:id="13">
    <w:p w14:paraId="5CBA5AF8" w14:textId="77777777" w:rsidR="00FA01A1" w:rsidRPr="00734ABB" w:rsidRDefault="00FA01A1" w:rsidP="00FA01A1">
      <w:pPr>
        <w:pStyle w:val="FootnoteText"/>
      </w:pPr>
      <w:r w:rsidRPr="00E82028">
        <w:rPr>
          <w:rStyle w:val="FootnoteReference"/>
        </w:rPr>
        <w:footnoteRef/>
      </w:r>
      <w:r w:rsidRPr="00734ABB">
        <w:t xml:space="preserve"> </w:t>
      </w:r>
      <w:r w:rsidRPr="00734ABB">
        <w:tab/>
        <w:t>Ibid. P.7</w:t>
      </w:r>
    </w:p>
  </w:footnote>
  <w:footnote w:id="14">
    <w:p w14:paraId="7440D660" w14:textId="77777777" w:rsidR="00FA01A1" w:rsidRPr="00734ABB" w:rsidRDefault="00FA01A1" w:rsidP="00FA01A1">
      <w:pPr>
        <w:pStyle w:val="FootnoteText"/>
      </w:pPr>
      <w:r w:rsidRPr="00E82028">
        <w:rPr>
          <w:rStyle w:val="FootnoteReference"/>
        </w:rPr>
        <w:footnoteRef/>
      </w:r>
      <w:r w:rsidRPr="00734ABB">
        <w:t xml:space="preserve"> </w:t>
      </w:r>
      <w:r w:rsidRPr="00734ABB">
        <w:tab/>
      </w:r>
      <w:proofErr w:type="spellStart"/>
      <w:r w:rsidRPr="00734ABB">
        <w:t>Sezgin</w:t>
      </w:r>
      <w:proofErr w:type="spellEnd"/>
      <w:r w:rsidRPr="00734ABB">
        <w:t xml:space="preserve">, Y., &amp; </w:t>
      </w:r>
      <w:proofErr w:type="spellStart"/>
      <w:r w:rsidRPr="00734ABB">
        <w:t>Künkler</w:t>
      </w:r>
      <w:proofErr w:type="spellEnd"/>
      <w:r w:rsidRPr="00734ABB">
        <w:t>, M. (2014). Regulation of “religion” and the “religious”: The politics of judicialization and bureaucratization in India and Indonesia. Comparative Studies in Society and History, 56(2), 448-478.</w:t>
      </w:r>
    </w:p>
  </w:footnote>
  <w:footnote w:id="15">
    <w:p w14:paraId="766D0B7F" w14:textId="77777777" w:rsidR="00FA01A1" w:rsidRPr="00734ABB" w:rsidRDefault="00FA01A1" w:rsidP="00FA01A1">
      <w:pPr>
        <w:pStyle w:val="FootnoteText"/>
      </w:pPr>
      <w:r w:rsidRPr="00E82028">
        <w:rPr>
          <w:rStyle w:val="FootnoteReference"/>
        </w:rPr>
        <w:footnoteRef/>
      </w:r>
      <w:r w:rsidRPr="00734ABB">
        <w:t xml:space="preserve"> </w:t>
      </w:r>
      <w:r w:rsidRPr="00734ABB">
        <w:tab/>
        <w:t>Ibid, P. 10</w:t>
      </w:r>
    </w:p>
  </w:footnote>
  <w:footnote w:id="16">
    <w:p w14:paraId="505EF342" w14:textId="77777777" w:rsidR="00FA01A1" w:rsidRPr="00734ABB" w:rsidRDefault="00FA01A1" w:rsidP="00FA01A1">
      <w:pPr>
        <w:pStyle w:val="FootnoteText"/>
      </w:pPr>
      <w:r w:rsidRPr="00E82028">
        <w:rPr>
          <w:rStyle w:val="FootnoteReference"/>
        </w:rPr>
        <w:footnoteRef/>
      </w:r>
      <w:r w:rsidRPr="00734ABB">
        <w:t xml:space="preserve"> </w:t>
      </w:r>
      <w:r w:rsidRPr="00734ABB">
        <w:tab/>
      </w:r>
      <w:r w:rsidRPr="00734ABB">
        <w:rPr>
          <w:i/>
          <w:iCs/>
        </w:rPr>
        <w:t>See</w:t>
      </w:r>
      <w:r w:rsidRPr="00734ABB">
        <w:t xml:space="preserve"> Indonesia 2016 Human Rights Report. Retrieved at https://www.state.gov/documents/organization/265550pdf</w:t>
      </w:r>
    </w:p>
  </w:footnote>
  <w:footnote w:id="17">
    <w:p w14:paraId="65A70902" w14:textId="77777777" w:rsidR="00FA01A1" w:rsidRPr="00734ABB" w:rsidRDefault="00FA01A1" w:rsidP="00FA01A1">
      <w:pPr>
        <w:pStyle w:val="FootnoteText"/>
      </w:pPr>
      <w:r w:rsidRPr="00E82028">
        <w:rPr>
          <w:rStyle w:val="FootnoteReference"/>
        </w:rPr>
        <w:footnoteRef/>
      </w:r>
      <w:r w:rsidRPr="00734ABB">
        <w:t xml:space="preserve"> </w:t>
      </w:r>
      <w:r w:rsidRPr="00734ABB">
        <w:tab/>
      </w:r>
      <w:r w:rsidRPr="00734ABB">
        <w:rPr>
          <w:i/>
          <w:iCs/>
        </w:rPr>
        <w:t>See</w:t>
      </w:r>
      <w:r w:rsidRPr="00734ABB">
        <w:t xml:space="preserve"> </w:t>
      </w:r>
      <w:proofErr w:type="spellStart"/>
      <w:r w:rsidRPr="00734ABB">
        <w:t>Tabel</w:t>
      </w:r>
      <w:proofErr w:type="spellEnd"/>
      <w:r w:rsidRPr="00734ABB">
        <w:t xml:space="preserve"> 1.1. on Appendix.</w:t>
      </w:r>
    </w:p>
  </w:footnote>
  <w:footnote w:id="18">
    <w:p w14:paraId="5411905B" w14:textId="77777777" w:rsidR="00FA01A1" w:rsidRPr="00734ABB" w:rsidRDefault="00FA01A1" w:rsidP="00FA01A1">
      <w:pPr>
        <w:pStyle w:val="FootnoteText"/>
      </w:pPr>
      <w:r w:rsidRPr="00E82028">
        <w:rPr>
          <w:rStyle w:val="FootnoteReference"/>
        </w:rPr>
        <w:footnoteRef/>
      </w:r>
      <w:r w:rsidRPr="00734ABB">
        <w:t xml:space="preserve"> </w:t>
      </w:r>
      <w:r w:rsidRPr="00734ABB">
        <w:tab/>
        <w:t>See Article 1 of the IBL.</w:t>
      </w:r>
    </w:p>
  </w:footnote>
  <w:footnote w:id="19">
    <w:p w14:paraId="40DBCBD9" w14:textId="77777777" w:rsidR="00FA01A1" w:rsidRPr="00734ABB" w:rsidRDefault="00FA01A1" w:rsidP="00FA01A1">
      <w:pPr>
        <w:pStyle w:val="FootnoteText"/>
      </w:pPr>
      <w:r w:rsidRPr="00E82028">
        <w:rPr>
          <w:rStyle w:val="FootnoteReference"/>
        </w:rPr>
        <w:footnoteRef/>
      </w:r>
      <w:r w:rsidRPr="00734ABB">
        <w:t xml:space="preserve"> </w:t>
      </w:r>
      <w:r w:rsidRPr="00734ABB">
        <w:tab/>
        <w:t xml:space="preserve">Interview with AD, the </w:t>
      </w:r>
      <w:proofErr w:type="spellStart"/>
      <w:r w:rsidRPr="00734ABB">
        <w:t>Gafatar</w:t>
      </w:r>
      <w:proofErr w:type="spellEnd"/>
      <w:r w:rsidRPr="00734ABB">
        <w:t xml:space="preserve"> follower at 2:38 PM, on 4/18/2020].</w:t>
      </w:r>
    </w:p>
  </w:footnote>
  <w:footnote w:id="20">
    <w:p w14:paraId="4B282709" w14:textId="77777777" w:rsidR="00FA01A1" w:rsidRPr="00734ABB" w:rsidRDefault="00FA01A1" w:rsidP="00FA01A1">
      <w:pPr>
        <w:pStyle w:val="FootnoteText"/>
      </w:pPr>
      <w:r w:rsidRPr="00E82028">
        <w:rPr>
          <w:rStyle w:val="FootnoteReference"/>
        </w:rPr>
        <w:footnoteRef/>
      </w:r>
      <w:r w:rsidRPr="00734ABB">
        <w:t xml:space="preserve"> </w:t>
      </w:r>
      <w:r w:rsidRPr="00734ABB">
        <w:tab/>
        <w:t>the UN Special Rapporteur on Freedom of Religion and Belief 2006</w:t>
      </w:r>
    </w:p>
  </w:footnote>
  <w:footnote w:id="21">
    <w:p w14:paraId="5E6E70FD" w14:textId="77777777" w:rsidR="00FA01A1" w:rsidRPr="00734ABB" w:rsidRDefault="00FA01A1" w:rsidP="00FA01A1">
      <w:pPr>
        <w:pStyle w:val="FootnoteText"/>
      </w:pPr>
      <w:r w:rsidRPr="00E82028">
        <w:rPr>
          <w:rStyle w:val="FootnoteReference"/>
        </w:rPr>
        <w:footnoteRef/>
      </w:r>
      <w:r w:rsidRPr="00734ABB">
        <w:t xml:space="preserve"> </w:t>
      </w:r>
      <w:r w:rsidRPr="00734ABB">
        <w:tab/>
      </w:r>
      <w:proofErr w:type="spellStart"/>
      <w:r w:rsidRPr="00734ABB">
        <w:t>Yudi</w:t>
      </w:r>
      <w:proofErr w:type="spellEnd"/>
      <w:r w:rsidRPr="00734ABB">
        <w:t xml:space="preserve"> Latif (2011). “Negara </w:t>
      </w:r>
      <w:proofErr w:type="spellStart"/>
      <w:r w:rsidRPr="00734ABB">
        <w:t>Paripurna</w:t>
      </w:r>
      <w:proofErr w:type="spellEnd"/>
      <w:r w:rsidRPr="00734ABB">
        <w:t xml:space="preserve">: </w:t>
      </w:r>
      <w:proofErr w:type="spellStart"/>
      <w:r w:rsidRPr="00734ABB">
        <w:t>Historisitas</w:t>
      </w:r>
      <w:proofErr w:type="spellEnd"/>
      <w:r w:rsidRPr="00734ABB">
        <w:t xml:space="preserve">, </w:t>
      </w:r>
      <w:proofErr w:type="spellStart"/>
      <w:r w:rsidRPr="00734ABB">
        <w:t>Rasionalitas</w:t>
      </w:r>
      <w:proofErr w:type="spellEnd"/>
      <w:r w:rsidRPr="00734ABB">
        <w:t xml:space="preserve">, dun </w:t>
      </w:r>
      <w:proofErr w:type="spellStart"/>
      <w:r w:rsidRPr="00734ABB">
        <w:t>Aktualitas</w:t>
      </w:r>
      <w:proofErr w:type="spellEnd"/>
      <w:r w:rsidRPr="00734ABB">
        <w:t xml:space="preserve"> Pancasila” (Jakarta: </w:t>
      </w:r>
      <w:proofErr w:type="spellStart"/>
      <w:r w:rsidRPr="00734ABB">
        <w:t>Gramedia</w:t>
      </w:r>
      <w:proofErr w:type="spellEnd"/>
      <w:r w:rsidRPr="00734ABB">
        <w:t xml:space="preserve"> </w:t>
      </w:r>
      <w:proofErr w:type="spellStart"/>
      <w:r w:rsidRPr="00734ABB">
        <w:t>Pustaka</w:t>
      </w:r>
      <w:proofErr w:type="spellEnd"/>
      <w:r w:rsidRPr="00734ABB">
        <w:t xml:space="preserve"> Utama)</w:t>
      </w:r>
    </w:p>
  </w:footnote>
  <w:footnote w:id="22">
    <w:p w14:paraId="4DF18941" w14:textId="77777777" w:rsidR="00FA01A1" w:rsidRPr="00734ABB" w:rsidRDefault="00FA01A1" w:rsidP="00FA01A1">
      <w:pPr>
        <w:pStyle w:val="FootnoteText"/>
      </w:pPr>
      <w:r w:rsidRPr="00E82028">
        <w:rPr>
          <w:rStyle w:val="FootnoteReference"/>
        </w:rPr>
        <w:footnoteRef/>
      </w:r>
      <w:r w:rsidRPr="00734ABB">
        <w:t xml:space="preserve"> </w:t>
      </w:r>
      <w:r w:rsidRPr="00734ABB">
        <w:tab/>
      </w:r>
      <w:proofErr w:type="spellStart"/>
      <w:r w:rsidRPr="00734ABB">
        <w:t>As’ad</w:t>
      </w:r>
      <w:proofErr w:type="spellEnd"/>
      <w:r w:rsidRPr="00734ABB">
        <w:t xml:space="preserve"> Said Ali (2009). “Negara Pancasila: Jalan </w:t>
      </w:r>
      <w:proofErr w:type="spellStart"/>
      <w:r w:rsidRPr="00734ABB">
        <w:t>Kemaslahatan</w:t>
      </w:r>
      <w:proofErr w:type="spellEnd"/>
      <w:r w:rsidRPr="00734ABB">
        <w:t xml:space="preserve"> </w:t>
      </w:r>
      <w:proofErr w:type="spellStart"/>
      <w:r w:rsidRPr="00734ABB">
        <w:t>Berbangsa</w:t>
      </w:r>
      <w:proofErr w:type="spellEnd"/>
      <w:r w:rsidRPr="00734ABB">
        <w:t>” (Jakarta: LP3ES, 2009).</w:t>
      </w:r>
    </w:p>
  </w:footnote>
  <w:footnote w:id="23">
    <w:p w14:paraId="462B594E" w14:textId="77777777" w:rsidR="00FA01A1" w:rsidRPr="00734ABB" w:rsidRDefault="00FA01A1" w:rsidP="00FA01A1">
      <w:pPr>
        <w:pStyle w:val="FootnoteText"/>
      </w:pPr>
      <w:r w:rsidRPr="00E82028">
        <w:rPr>
          <w:rStyle w:val="FootnoteReference"/>
        </w:rPr>
        <w:footnoteRef/>
      </w:r>
      <w:r w:rsidRPr="00734ABB">
        <w:t xml:space="preserve"> </w:t>
      </w:r>
      <w:r w:rsidRPr="00734ABB">
        <w:tab/>
        <w:t xml:space="preserve">KH Hasyim </w:t>
      </w:r>
      <w:proofErr w:type="spellStart"/>
      <w:r w:rsidRPr="00734ABB">
        <w:t>Muzadi</w:t>
      </w:r>
      <w:proofErr w:type="spellEnd"/>
      <w:r w:rsidRPr="00734ABB">
        <w:t xml:space="preserve">, a </w:t>
      </w:r>
      <w:proofErr w:type="spellStart"/>
      <w:r w:rsidRPr="00734ABB">
        <w:t>Nahdatul</w:t>
      </w:r>
      <w:proofErr w:type="spellEnd"/>
      <w:r w:rsidRPr="00734ABB">
        <w:t xml:space="preserve"> Ulama figure, when giving a statement as an expert in the judicial review of the Anti-Defamation Law at the Constitutional Court. Quoted from the Constitutional Court Decision Number 14/PUU-/2009. Page 121.</w:t>
      </w:r>
    </w:p>
  </w:footnote>
  <w:footnote w:id="24">
    <w:p w14:paraId="080DE53F" w14:textId="77777777" w:rsidR="00FA01A1" w:rsidRPr="00734ABB" w:rsidRDefault="00FA01A1" w:rsidP="00FA01A1">
      <w:pPr>
        <w:pStyle w:val="FootnoteText"/>
      </w:pPr>
      <w:r w:rsidRPr="00E82028">
        <w:rPr>
          <w:rStyle w:val="FootnoteReference"/>
        </w:rPr>
        <w:footnoteRef/>
      </w:r>
      <w:r w:rsidRPr="00734ABB">
        <w:t xml:space="preserve"> </w:t>
      </w:r>
      <w:r w:rsidRPr="00734ABB">
        <w:tab/>
        <w:t>See the Constitutional Court Decision Number   Page 121-152.</w:t>
      </w:r>
    </w:p>
  </w:footnote>
  <w:footnote w:id="25">
    <w:p w14:paraId="1820688C" w14:textId="77777777" w:rsidR="00FA01A1" w:rsidRPr="00734ABB" w:rsidRDefault="00FA01A1" w:rsidP="00FA01A1">
      <w:pPr>
        <w:pStyle w:val="FootnoteText"/>
      </w:pPr>
      <w:r w:rsidRPr="00E82028">
        <w:rPr>
          <w:rStyle w:val="FootnoteReference"/>
        </w:rPr>
        <w:footnoteRef/>
      </w:r>
      <w:r w:rsidRPr="00734ABB">
        <w:t xml:space="preserve"> </w:t>
      </w:r>
      <w:r w:rsidRPr="00734ABB">
        <w:tab/>
        <w:t>Ibid. Page 151.</w:t>
      </w:r>
    </w:p>
  </w:footnote>
  <w:footnote w:id="26">
    <w:p w14:paraId="2E57815A" w14:textId="77777777" w:rsidR="00FA01A1" w:rsidRPr="00734ABB" w:rsidRDefault="00FA01A1" w:rsidP="00FA01A1">
      <w:pPr>
        <w:pStyle w:val="FootnoteText"/>
      </w:pPr>
      <w:r w:rsidRPr="00E82028">
        <w:rPr>
          <w:rStyle w:val="FootnoteReference"/>
        </w:rPr>
        <w:footnoteRef/>
      </w:r>
      <w:r w:rsidRPr="00734ABB">
        <w:t xml:space="preserve"> </w:t>
      </w:r>
      <w:r w:rsidRPr="00734ABB">
        <w:tab/>
        <w:t>Ibid. Page 156.</w:t>
      </w:r>
    </w:p>
  </w:footnote>
  <w:footnote w:id="27">
    <w:p w14:paraId="6E0A1FE7" w14:textId="77777777" w:rsidR="00FA01A1" w:rsidRPr="00734ABB" w:rsidRDefault="00FA01A1" w:rsidP="00FA01A1">
      <w:pPr>
        <w:pStyle w:val="FootnoteText"/>
      </w:pPr>
      <w:r w:rsidRPr="00E82028">
        <w:rPr>
          <w:rStyle w:val="FootnoteReference"/>
        </w:rPr>
        <w:footnoteRef/>
      </w:r>
      <w:r w:rsidRPr="00734ABB">
        <w:t xml:space="preserve"> </w:t>
      </w:r>
      <w:r w:rsidRPr="00734ABB">
        <w:tab/>
        <w:t>Page. 157.</w:t>
      </w:r>
    </w:p>
  </w:footnote>
  <w:footnote w:id="28">
    <w:p w14:paraId="1576C254" w14:textId="77777777" w:rsidR="00FA01A1" w:rsidRPr="00734ABB" w:rsidRDefault="00FA01A1" w:rsidP="00FA01A1">
      <w:pPr>
        <w:pStyle w:val="FootnoteText"/>
      </w:pPr>
      <w:r w:rsidRPr="00E82028">
        <w:rPr>
          <w:rStyle w:val="FootnoteReference"/>
        </w:rPr>
        <w:footnoteRef/>
      </w:r>
      <w:r w:rsidRPr="00734ABB">
        <w:t xml:space="preserve"> </w:t>
      </w:r>
      <w:r w:rsidRPr="00734ABB">
        <w:tab/>
        <w:t>Ibid. Page 156.</w:t>
      </w:r>
    </w:p>
  </w:footnote>
  <w:footnote w:id="29">
    <w:p w14:paraId="0809C917" w14:textId="77777777" w:rsidR="00FA01A1" w:rsidRPr="00734ABB" w:rsidRDefault="00FA01A1" w:rsidP="00FA01A1">
      <w:pPr>
        <w:pStyle w:val="FootnoteText"/>
      </w:pPr>
      <w:r w:rsidRPr="00E82028">
        <w:rPr>
          <w:rStyle w:val="FootnoteReference"/>
        </w:rPr>
        <w:footnoteRef/>
      </w:r>
      <w:r w:rsidRPr="00734ABB">
        <w:t xml:space="preserve"> </w:t>
      </w:r>
      <w:r w:rsidRPr="00734ABB">
        <w:tab/>
        <w:t>Page 158-159.</w:t>
      </w:r>
    </w:p>
  </w:footnote>
  <w:footnote w:id="30">
    <w:p w14:paraId="7A743026" w14:textId="77777777" w:rsidR="00FA01A1" w:rsidRPr="00734ABB" w:rsidRDefault="00FA01A1" w:rsidP="00FA01A1">
      <w:pPr>
        <w:pStyle w:val="FootnoteText"/>
      </w:pPr>
      <w:r w:rsidRPr="00E82028">
        <w:rPr>
          <w:rStyle w:val="FootnoteReference"/>
        </w:rPr>
        <w:footnoteRef/>
      </w:r>
      <w:r w:rsidRPr="00734ABB">
        <w:t xml:space="preserve"> </w:t>
      </w:r>
      <w:r w:rsidRPr="00734ABB">
        <w:tab/>
        <w:t>Page 162.</w:t>
      </w:r>
    </w:p>
  </w:footnote>
  <w:footnote w:id="31">
    <w:p w14:paraId="566815DE" w14:textId="77777777" w:rsidR="00FA01A1" w:rsidRPr="00734ABB" w:rsidRDefault="00FA01A1" w:rsidP="00FA01A1">
      <w:pPr>
        <w:pStyle w:val="FootnoteText"/>
      </w:pPr>
      <w:r w:rsidRPr="00E82028">
        <w:rPr>
          <w:rStyle w:val="FootnoteReference"/>
        </w:rPr>
        <w:footnoteRef/>
      </w:r>
      <w:r w:rsidRPr="00734ABB">
        <w:t xml:space="preserve"> </w:t>
      </w:r>
      <w:r w:rsidRPr="00734ABB">
        <w:tab/>
        <w:t>Page 167-168</w:t>
      </w:r>
    </w:p>
  </w:footnote>
  <w:footnote w:id="32">
    <w:p w14:paraId="721BCD6C" w14:textId="77777777" w:rsidR="00FA01A1" w:rsidRPr="00734ABB" w:rsidRDefault="00FA01A1" w:rsidP="00FA01A1">
      <w:pPr>
        <w:pStyle w:val="FootnoteText"/>
      </w:pPr>
      <w:r w:rsidRPr="00E82028">
        <w:rPr>
          <w:rStyle w:val="FootnoteReference"/>
        </w:rPr>
        <w:footnoteRef/>
      </w:r>
      <w:r w:rsidRPr="00734ABB">
        <w:t xml:space="preserve"> </w:t>
      </w:r>
      <w:r w:rsidRPr="00734ABB">
        <w:tab/>
        <w:t>Page 304.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C752A5"/>
    <w:multiLevelType w:val="multilevel"/>
    <w:tmpl w:val="968E42B4"/>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C006113"/>
    <w:multiLevelType w:val="multilevel"/>
    <w:tmpl w:val="A630338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B72EE4"/>
    <w:multiLevelType w:val="multilevel"/>
    <w:tmpl w:val="BCF82852"/>
    <w:lvl w:ilvl="0">
      <w:start w:val="1"/>
      <w:numFmt w:val="decimal"/>
      <w:pStyle w:val="Heading1"/>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pStyle w:val="Heading2"/>
      <w:lvlText w:val="%1.%2"/>
      <w:lvlJc w:val="left"/>
      <w:pPr>
        <w:ind w:left="792" w:hanging="432"/>
      </w:pPr>
    </w:lvl>
    <w:lvl w:ilvl="2">
      <w:start w:val="1"/>
      <w:numFmt w:val="decimal"/>
      <w:pStyle w:val="Heading3"/>
      <w:lvlText w:val="%1.%2.%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pStyle w:val="Heading5"/>
      <w:lvlText w:val="%1.%2.%3.%4.%5"/>
      <w:lvlJc w:val="left"/>
      <w:pPr>
        <w:ind w:left="6038" w:hanging="792"/>
      </w:pPr>
      <w:rPr>
        <w:rFonts w:ascii="Times New Roman" w:hAnsi="Times New Roman" w:cs="Times New Roman" w:hint="default"/>
        <w:color w:val="auto"/>
        <w:sz w:val="24"/>
        <w:szCs w:val="24"/>
      </w:rPr>
    </w:lvl>
    <w:lvl w:ilvl="5">
      <w:start w:val="1"/>
      <w:numFmt w:val="decimal"/>
      <w:pStyle w:val="Heading6"/>
      <w:lvlText w:val="%6)"/>
      <w:lvlJc w:val="left"/>
      <w:pPr>
        <w:ind w:left="2736" w:hanging="936"/>
      </w:pPr>
      <w:rPr>
        <w:rFonts w:hint="default"/>
      </w:rPr>
    </w:lvl>
    <w:lvl w:ilvl="6">
      <w:start w:val="1"/>
      <w:numFmt w:val="bullet"/>
      <w:pStyle w:val="Heading7"/>
      <w:lvlText w:val=""/>
      <w:lvlJc w:val="left"/>
      <w:pPr>
        <w:ind w:left="3240" w:hanging="1080"/>
      </w:pPr>
      <w:rPr>
        <w:rFonts w:ascii="Symbol" w:hAnsi="Symbol" w:hint="default"/>
        <w:color w:val="auto"/>
      </w:rPr>
    </w:lvl>
    <w:lvl w:ilvl="7">
      <w:start w:val="1"/>
      <w:numFmt w:val="bullet"/>
      <w:pStyle w:val="Heading8"/>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EORGE HAYES">
    <w15:presenceInfo w15:providerId="None" w15:userId="MICHAEL GEORG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A1"/>
    <w:rsid w:val="0007201A"/>
    <w:rsid w:val="000D0D22"/>
    <w:rsid w:val="00263BE5"/>
    <w:rsid w:val="003477DD"/>
    <w:rsid w:val="003C5346"/>
    <w:rsid w:val="003C7223"/>
    <w:rsid w:val="0057239B"/>
    <w:rsid w:val="007A7B66"/>
    <w:rsid w:val="00A1505E"/>
    <w:rsid w:val="00CE3AD5"/>
    <w:rsid w:val="00FA01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AD36"/>
  <w15:chartTrackingRefBased/>
  <w15:docId w15:val="{CA5C8968-D08C-457B-B63E-4217138A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A1"/>
    <w:rPr>
      <w:rFonts w:ascii="Linux Libertine" w:eastAsia="Times New Roman" w:hAnsi="Linux Libertine" w:cs="Angsana New"/>
      <w:sz w:val="24"/>
      <w:szCs w:val="32"/>
      <w:lang w:val="en-GB" w:bidi="th-TH"/>
      <w14:ligatures w14:val="standard"/>
      <w14:numSpacing w14:val="proportional"/>
    </w:rPr>
  </w:style>
  <w:style w:type="paragraph" w:styleId="Heading1">
    <w:name w:val="heading 1"/>
    <w:aliases w:val="aHeading 1"/>
    <w:basedOn w:val="Normal"/>
    <w:next w:val="Normal"/>
    <w:link w:val="Heading1Char"/>
    <w:qFormat/>
    <w:rsid w:val="00FA01A1"/>
    <w:pPr>
      <w:keepNext/>
      <w:keepLines/>
      <w:numPr>
        <w:numId w:val="1"/>
      </w:numPr>
      <w:spacing w:before="480"/>
      <w:ind w:left="0"/>
      <w:jc w:val="center"/>
      <w:outlineLvl w:val="0"/>
    </w:pPr>
    <w:rPr>
      <w:rFonts w:cs="Times New Roman"/>
      <w:b/>
      <w:bCs/>
      <w:caps/>
      <w:sz w:val="28"/>
      <w:szCs w:val="28"/>
    </w:rPr>
  </w:style>
  <w:style w:type="paragraph" w:styleId="Heading2">
    <w:name w:val="heading 2"/>
    <w:aliases w:val="aHeading 2"/>
    <w:basedOn w:val="Normal"/>
    <w:next w:val="ParagraphafSubheader"/>
    <w:link w:val="Heading2Char"/>
    <w:qFormat/>
    <w:rsid w:val="00FA01A1"/>
    <w:pPr>
      <w:keepNext/>
      <w:numPr>
        <w:ilvl w:val="1"/>
        <w:numId w:val="1"/>
      </w:numPr>
      <w:tabs>
        <w:tab w:val="left" w:pos="426"/>
      </w:tabs>
      <w:spacing w:before="480" w:after="240"/>
      <w:ind w:left="432"/>
      <w:jc w:val="both"/>
      <w:outlineLvl w:val="1"/>
    </w:pPr>
    <w:rPr>
      <w:rFonts w:cs="Times New Roman"/>
      <w:b/>
      <w:bCs/>
      <w:szCs w:val="28"/>
    </w:rPr>
  </w:style>
  <w:style w:type="paragraph" w:styleId="Heading3">
    <w:name w:val="heading 3"/>
    <w:aliases w:val="aHeading 3"/>
    <w:basedOn w:val="Normal"/>
    <w:next w:val="ParagraphafSubheader"/>
    <w:link w:val="Heading3Char"/>
    <w:qFormat/>
    <w:rsid w:val="00FA01A1"/>
    <w:pPr>
      <w:keepLines/>
      <w:numPr>
        <w:ilvl w:val="2"/>
        <w:numId w:val="1"/>
      </w:numPr>
      <w:spacing w:before="360" w:after="120"/>
      <w:ind w:left="720" w:hanging="720"/>
      <w:outlineLvl w:val="2"/>
    </w:pPr>
    <w:rPr>
      <w:rFonts w:cs="Times New Roman"/>
      <w:b/>
      <w:bCs/>
      <w:szCs w:val="24"/>
    </w:rPr>
  </w:style>
  <w:style w:type="paragraph" w:styleId="Heading5">
    <w:name w:val="heading 5"/>
    <w:aliases w:val="aHeading 5"/>
    <w:basedOn w:val="Normal"/>
    <w:next w:val="Normal"/>
    <w:link w:val="Heading5Char"/>
    <w:qFormat/>
    <w:rsid w:val="00FA01A1"/>
    <w:pPr>
      <w:keepLines/>
      <w:numPr>
        <w:ilvl w:val="4"/>
        <w:numId w:val="1"/>
      </w:numPr>
      <w:tabs>
        <w:tab w:val="left" w:pos="4395"/>
      </w:tabs>
      <w:ind w:left="0" w:firstLine="3402"/>
      <w:outlineLvl w:val="4"/>
    </w:pPr>
    <w:rPr>
      <w:rFonts w:cs="Times New Roman"/>
      <w:szCs w:val="24"/>
    </w:rPr>
  </w:style>
  <w:style w:type="paragraph" w:styleId="Heading6">
    <w:name w:val="heading 6"/>
    <w:aliases w:val="aHeading 6"/>
    <w:basedOn w:val="Normal"/>
    <w:next w:val="Normal"/>
    <w:link w:val="Heading6Char"/>
    <w:qFormat/>
    <w:rsid w:val="00FA01A1"/>
    <w:pPr>
      <w:keepLines/>
      <w:numPr>
        <w:ilvl w:val="5"/>
        <w:numId w:val="1"/>
      </w:numPr>
      <w:tabs>
        <w:tab w:val="left" w:pos="3686"/>
      </w:tabs>
      <w:ind w:left="0" w:firstLine="3402"/>
      <w:outlineLvl w:val="5"/>
    </w:pPr>
    <w:rPr>
      <w:rFonts w:cs="Times New Roman"/>
      <w:szCs w:val="24"/>
    </w:rPr>
  </w:style>
  <w:style w:type="paragraph" w:styleId="Heading7">
    <w:name w:val="heading 7"/>
    <w:aliases w:val="aHeading 7"/>
    <w:basedOn w:val="Normal"/>
    <w:next w:val="Normal"/>
    <w:link w:val="Heading7Char"/>
    <w:qFormat/>
    <w:rsid w:val="00FA01A1"/>
    <w:pPr>
      <w:keepLines/>
      <w:numPr>
        <w:ilvl w:val="6"/>
        <w:numId w:val="1"/>
      </w:numPr>
      <w:ind w:left="0" w:firstLine="3402"/>
      <w:outlineLvl w:val="6"/>
    </w:pPr>
    <w:rPr>
      <w:rFonts w:cs="Times New Roman"/>
      <w:szCs w:val="24"/>
    </w:rPr>
  </w:style>
  <w:style w:type="paragraph" w:styleId="Heading8">
    <w:name w:val="heading 8"/>
    <w:aliases w:val="aHeading 8"/>
    <w:basedOn w:val="Normal"/>
    <w:next w:val="Normal"/>
    <w:link w:val="Heading8Char"/>
    <w:qFormat/>
    <w:rsid w:val="00FA01A1"/>
    <w:pPr>
      <w:keepNext/>
      <w:keepLines/>
      <w:numPr>
        <w:ilvl w:val="7"/>
        <w:numId w:val="1"/>
      </w:numPr>
      <w:tabs>
        <w:tab w:val="left" w:pos="4820"/>
      </w:tabs>
      <w:spacing w:before="40"/>
      <w:ind w:left="0" w:firstLine="4536"/>
      <w:outlineLvl w:val="7"/>
    </w:pPr>
    <w:rPr>
      <w:rFonts w:cs="Times New Roman"/>
      <w:color w:val="2727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01A1"/>
    <w:rPr>
      <w:rFonts w:ascii="Linux Libertine" w:eastAsia="Times New Roman" w:hAnsi="Linux Libertine" w:cs="Times New Roman"/>
      <w:b/>
      <w:bCs/>
      <w:caps/>
      <w:sz w:val="28"/>
      <w:szCs w:val="28"/>
      <w:lang w:val="en-GB" w:bidi="th-TH"/>
      <w14:ligatures w14:val="standard"/>
      <w14:numSpacing w14:val="proportional"/>
    </w:rPr>
  </w:style>
  <w:style w:type="character" w:customStyle="1" w:styleId="Heading2Char">
    <w:name w:val="Heading 2 Char"/>
    <w:aliases w:val="aHeading 2 Char"/>
    <w:basedOn w:val="DefaultParagraphFont"/>
    <w:link w:val="Heading2"/>
    <w:rsid w:val="00FA01A1"/>
    <w:rPr>
      <w:rFonts w:ascii="Linux Libertine" w:eastAsia="Times New Roman" w:hAnsi="Linux Libertine" w:cs="Times New Roman"/>
      <w:b/>
      <w:bCs/>
      <w:sz w:val="24"/>
      <w:szCs w:val="28"/>
      <w:lang w:val="en-GB" w:bidi="th-TH"/>
      <w14:ligatures w14:val="standard"/>
      <w14:numSpacing w14:val="proportional"/>
    </w:rPr>
  </w:style>
  <w:style w:type="character" w:customStyle="1" w:styleId="Heading3Char">
    <w:name w:val="Heading 3 Char"/>
    <w:aliases w:val="aHeading 3 Char"/>
    <w:basedOn w:val="DefaultParagraphFont"/>
    <w:link w:val="Heading3"/>
    <w:rsid w:val="00FA01A1"/>
    <w:rPr>
      <w:rFonts w:ascii="Linux Libertine" w:eastAsia="Times New Roman" w:hAnsi="Linux Libertine" w:cs="Times New Roman"/>
      <w:b/>
      <w:bCs/>
      <w:sz w:val="24"/>
      <w:szCs w:val="24"/>
      <w:lang w:val="en-GB" w:bidi="th-TH"/>
      <w14:ligatures w14:val="standard"/>
      <w14:numSpacing w14:val="proportional"/>
    </w:rPr>
  </w:style>
  <w:style w:type="character" w:customStyle="1" w:styleId="Heading5Char">
    <w:name w:val="Heading 5 Char"/>
    <w:basedOn w:val="DefaultParagraphFont"/>
    <w:link w:val="Heading5"/>
    <w:rsid w:val="00FA01A1"/>
    <w:rPr>
      <w:rFonts w:ascii="Linux Libertine" w:eastAsia="Times New Roman" w:hAnsi="Linux Libertine" w:cs="Times New Roman"/>
      <w:sz w:val="24"/>
      <w:szCs w:val="24"/>
      <w:lang w:val="en-GB" w:bidi="th-TH"/>
      <w14:ligatures w14:val="standard"/>
      <w14:numSpacing w14:val="proportional"/>
    </w:rPr>
  </w:style>
  <w:style w:type="character" w:customStyle="1" w:styleId="Heading6Char">
    <w:name w:val="Heading 6 Char"/>
    <w:basedOn w:val="DefaultParagraphFont"/>
    <w:link w:val="Heading6"/>
    <w:rsid w:val="00FA01A1"/>
    <w:rPr>
      <w:rFonts w:ascii="Linux Libertine" w:eastAsia="Times New Roman" w:hAnsi="Linux Libertine" w:cs="Times New Roman"/>
      <w:sz w:val="24"/>
      <w:szCs w:val="24"/>
      <w:lang w:val="en-GB" w:bidi="th-TH"/>
      <w14:ligatures w14:val="standard"/>
      <w14:numSpacing w14:val="proportional"/>
    </w:rPr>
  </w:style>
  <w:style w:type="character" w:customStyle="1" w:styleId="Heading7Char">
    <w:name w:val="Heading 7 Char"/>
    <w:basedOn w:val="DefaultParagraphFont"/>
    <w:link w:val="Heading7"/>
    <w:rsid w:val="00FA01A1"/>
    <w:rPr>
      <w:rFonts w:ascii="Linux Libertine" w:eastAsia="Times New Roman" w:hAnsi="Linux Libertine" w:cs="Times New Roman"/>
      <w:sz w:val="24"/>
      <w:szCs w:val="24"/>
      <w:lang w:val="en-GB" w:bidi="th-TH"/>
      <w14:ligatures w14:val="standard"/>
      <w14:numSpacing w14:val="proportional"/>
    </w:rPr>
  </w:style>
  <w:style w:type="character" w:customStyle="1" w:styleId="Heading8Char">
    <w:name w:val="Heading 8 Char"/>
    <w:basedOn w:val="DefaultParagraphFont"/>
    <w:link w:val="Heading8"/>
    <w:rsid w:val="00FA01A1"/>
    <w:rPr>
      <w:rFonts w:ascii="Linux Libertine" w:eastAsia="Times New Roman" w:hAnsi="Linux Libertine" w:cs="Times New Roman"/>
      <w:color w:val="272727"/>
      <w:sz w:val="24"/>
      <w:szCs w:val="24"/>
      <w:lang w:val="en-GB" w:bidi="th-TH"/>
      <w14:ligatures w14:val="standard"/>
      <w14:numSpacing w14:val="proportional"/>
    </w:rPr>
  </w:style>
  <w:style w:type="paragraph" w:styleId="ListParagraph">
    <w:name w:val="List Paragraph"/>
    <w:basedOn w:val="Normal"/>
    <w:uiPriority w:val="34"/>
    <w:qFormat/>
    <w:rsid w:val="00FA01A1"/>
    <w:pPr>
      <w:ind w:left="720"/>
      <w:contextualSpacing/>
    </w:pPr>
  </w:style>
  <w:style w:type="paragraph" w:styleId="Caption">
    <w:name w:val="caption"/>
    <w:basedOn w:val="Normal"/>
    <w:next w:val="Normal"/>
    <w:qFormat/>
    <w:rsid w:val="00FA01A1"/>
    <w:pPr>
      <w:spacing w:after="200"/>
      <w:jc w:val="center"/>
    </w:pPr>
    <w:rPr>
      <w:i/>
      <w:iCs/>
      <w:color w:val="44546A"/>
      <w:sz w:val="18"/>
      <w:szCs w:val="22"/>
    </w:rPr>
  </w:style>
  <w:style w:type="table" w:styleId="TableGrid">
    <w:name w:val="Table Grid"/>
    <w:basedOn w:val="TableNormal"/>
    <w:uiPriority w:val="39"/>
    <w:rsid w:val="00FA01A1"/>
    <w:rPr>
      <w:rFonts w:ascii="Times New Roman" w:eastAsia="Times New Roman" w:hAnsi="Times New Roman" w:cs="Angsana New"/>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01A1"/>
    <w:pPr>
      <w:spacing w:before="100" w:beforeAutospacing="1" w:after="100" w:afterAutospacing="1"/>
    </w:pPr>
    <w:rPr>
      <w:rFonts w:ascii="Angsana New" w:hAnsi="Angsana New"/>
      <w:sz w:val="28"/>
      <w:szCs w:val="28"/>
    </w:rPr>
  </w:style>
  <w:style w:type="paragraph" w:customStyle="1" w:styleId="CHAPsStyle14ptBoldCentered">
    <w:name w:val="CHAPs Style 14 pt Bold Centered"/>
    <w:basedOn w:val="Normal"/>
    <w:rsid w:val="00FA01A1"/>
    <w:pPr>
      <w:jc w:val="center"/>
    </w:pPr>
    <w:rPr>
      <w:rFonts w:cs="Times New Roman"/>
      <w:b/>
      <w:bCs/>
      <w:sz w:val="28"/>
      <w:szCs w:val="20"/>
    </w:rPr>
  </w:style>
  <w:style w:type="paragraph" w:customStyle="1" w:styleId="ParagraphafSubheader">
    <w:name w:val="Paragraph af Subheader"/>
    <w:basedOn w:val="Normal"/>
    <w:next w:val="ParagraphNormal"/>
    <w:qFormat/>
    <w:rsid w:val="00FA01A1"/>
    <w:pPr>
      <w:spacing w:line="360" w:lineRule="auto"/>
      <w:jc w:val="both"/>
    </w:pPr>
  </w:style>
  <w:style w:type="paragraph" w:customStyle="1" w:styleId="ParagraphNormal">
    <w:name w:val="Paragraph Normal"/>
    <w:basedOn w:val="ParagraphafSubheader"/>
    <w:qFormat/>
    <w:rsid w:val="00FA01A1"/>
    <w:pPr>
      <w:ind w:firstLine="540"/>
    </w:pPr>
  </w:style>
  <w:style w:type="paragraph" w:styleId="FootnoteText">
    <w:name w:val="footnote text"/>
    <w:aliases w:val="5_G"/>
    <w:basedOn w:val="Normal"/>
    <w:link w:val="FootnoteTextChar"/>
    <w:autoRedefine/>
    <w:uiPriority w:val="99"/>
    <w:qFormat/>
    <w:rsid w:val="00FA01A1"/>
    <w:pPr>
      <w:tabs>
        <w:tab w:val="left" w:pos="317"/>
      </w:tabs>
      <w:ind w:left="317" w:hanging="317"/>
      <w:jc w:val="both"/>
    </w:pPr>
    <w:rPr>
      <w:sz w:val="18"/>
      <w:szCs w:val="25"/>
    </w:rPr>
  </w:style>
  <w:style w:type="character" w:customStyle="1" w:styleId="FootnoteTextChar">
    <w:name w:val="Footnote Text Char"/>
    <w:aliases w:val="5_G Char"/>
    <w:basedOn w:val="DefaultParagraphFont"/>
    <w:link w:val="FootnoteText"/>
    <w:uiPriority w:val="99"/>
    <w:rsid w:val="00FA01A1"/>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FA01A1"/>
    <w:rPr>
      <w:vertAlign w:val="superscript"/>
    </w:rPr>
  </w:style>
  <w:style w:type="paragraph" w:styleId="Quote">
    <w:name w:val="Quote"/>
    <w:basedOn w:val="Normal"/>
    <w:next w:val="ParagraphNormal"/>
    <w:link w:val="QuoteChar"/>
    <w:uiPriority w:val="29"/>
    <w:qFormat/>
    <w:rsid w:val="00FA01A1"/>
    <w:pPr>
      <w:spacing w:after="200"/>
      <w:ind w:left="864" w:right="864"/>
      <w:jc w:val="both"/>
    </w:pPr>
    <w:rPr>
      <w:i/>
      <w:iCs/>
      <w:color w:val="404040" w:themeColor="text1" w:themeTint="BF"/>
    </w:rPr>
  </w:style>
  <w:style w:type="character" w:customStyle="1" w:styleId="QuoteChar">
    <w:name w:val="Quote Char"/>
    <w:basedOn w:val="DefaultParagraphFont"/>
    <w:link w:val="Quote"/>
    <w:uiPriority w:val="29"/>
    <w:rsid w:val="00FA01A1"/>
    <w:rPr>
      <w:rFonts w:ascii="Linux Libertine" w:eastAsia="Times New Roman" w:hAnsi="Linux Libertine" w:cs="Angsana New"/>
      <w:i/>
      <w:iCs/>
      <w:color w:val="404040" w:themeColor="text1" w:themeTint="BF"/>
      <w:sz w:val="24"/>
      <w:szCs w:val="32"/>
      <w:lang w:val="en-GB" w:bidi="th-TH"/>
      <w14:ligatures w14:val="standard"/>
      <w14:numSpacing w14:val="proportional"/>
    </w:rPr>
  </w:style>
  <w:style w:type="table" w:styleId="PlainTable5">
    <w:name w:val="Plain Table 5"/>
    <w:basedOn w:val="TableNormal"/>
    <w:uiPriority w:val="45"/>
    <w:rsid w:val="00FA01A1"/>
    <w:rPr>
      <w:sz w:val="24"/>
      <w:szCs w:val="24"/>
      <w:lang w:val="en-ID"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A01A1"/>
    <w:rPr>
      <w:rFonts w:ascii="Times New Roman" w:eastAsia="Times New Roman" w:hAnsi="Times New Roman" w:cs="Angsana New"/>
      <w:sz w:val="20"/>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A01A1"/>
    <w:rPr>
      <w:sz w:val="16"/>
      <w:szCs w:val="16"/>
    </w:rPr>
  </w:style>
  <w:style w:type="paragraph" w:styleId="CommentText">
    <w:name w:val="annotation text"/>
    <w:basedOn w:val="Normal"/>
    <w:link w:val="CommentTextChar"/>
    <w:uiPriority w:val="99"/>
    <w:semiHidden/>
    <w:unhideWhenUsed/>
    <w:rsid w:val="00FA01A1"/>
    <w:rPr>
      <w:sz w:val="20"/>
      <w:szCs w:val="25"/>
    </w:rPr>
  </w:style>
  <w:style w:type="character" w:customStyle="1" w:styleId="CommentTextChar">
    <w:name w:val="Comment Text Char"/>
    <w:basedOn w:val="DefaultParagraphFont"/>
    <w:link w:val="CommentText"/>
    <w:uiPriority w:val="99"/>
    <w:semiHidden/>
    <w:rsid w:val="00FA01A1"/>
    <w:rPr>
      <w:rFonts w:ascii="Linux Libertine" w:eastAsia="Times New Roman" w:hAnsi="Linux Libertine" w:cs="Angsana New"/>
      <w:sz w:val="20"/>
      <w:szCs w:val="25"/>
      <w:lang w:val="en-GB" w:bidi="th-TH"/>
      <w14:ligatures w14:val="standard"/>
      <w14:numSpacing w14:val="proportional"/>
    </w:rPr>
  </w:style>
  <w:style w:type="paragraph" w:styleId="CommentSubject">
    <w:name w:val="annotation subject"/>
    <w:basedOn w:val="CommentText"/>
    <w:next w:val="CommentText"/>
    <w:link w:val="CommentSubjectChar"/>
    <w:uiPriority w:val="99"/>
    <w:semiHidden/>
    <w:unhideWhenUsed/>
    <w:rsid w:val="00FA01A1"/>
    <w:rPr>
      <w:b/>
      <w:bCs/>
    </w:rPr>
  </w:style>
  <w:style w:type="character" w:customStyle="1" w:styleId="CommentSubjectChar">
    <w:name w:val="Comment Subject Char"/>
    <w:basedOn w:val="CommentTextChar"/>
    <w:link w:val="CommentSubject"/>
    <w:uiPriority w:val="99"/>
    <w:semiHidden/>
    <w:rsid w:val="00FA01A1"/>
    <w:rPr>
      <w:rFonts w:ascii="Linux Libertine" w:eastAsia="Times New Roman" w:hAnsi="Linux Libertine" w:cs="Angsana New"/>
      <w:b/>
      <w:bCs/>
      <w:sz w:val="20"/>
      <w:szCs w:val="25"/>
      <w:lang w:val="en-GB" w:bidi="th-TH"/>
      <w14:ligatures w14:val="standard"/>
      <w14:numSpacing w14:val="proportional"/>
    </w:rPr>
  </w:style>
  <w:style w:type="paragraph" w:styleId="BalloonText">
    <w:name w:val="Balloon Text"/>
    <w:basedOn w:val="Normal"/>
    <w:link w:val="BalloonTextChar"/>
    <w:uiPriority w:val="99"/>
    <w:semiHidden/>
    <w:unhideWhenUsed/>
    <w:rsid w:val="00FA01A1"/>
    <w:rPr>
      <w:rFonts w:ascii="Segoe UI" w:hAnsi="Segoe UI"/>
      <w:sz w:val="18"/>
      <w:szCs w:val="22"/>
    </w:rPr>
  </w:style>
  <w:style w:type="character" w:customStyle="1" w:styleId="BalloonTextChar">
    <w:name w:val="Balloon Text Char"/>
    <w:basedOn w:val="DefaultParagraphFont"/>
    <w:link w:val="BalloonText"/>
    <w:uiPriority w:val="99"/>
    <w:semiHidden/>
    <w:rsid w:val="00FA01A1"/>
    <w:rPr>
      <w:rFonts w:ascii="Segoe UI" w:eastAsia="Times New Roman" w:hAnsi="Segoe UI" w:cs="Angsana New"/>
      <w:sz w:val="18"/>
      <w:szCs w:val="22"/>
      <w:lang w:val="en-GB" w:bidi="th-TH"/>
      <w14:ligatures w14:val="standard"/>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37</Pages>
  <Words>12049</Words>
  <Characters>68683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GEORGE HAYES</dc:creator>
  <cp:keywords/>
  <dc:description/>
  <cp:lastModifiedBy>MICHAEL GEORGE HAYES</cp:lastModifiedBy>
  <cp:revision>1</cp:revision>
  <dcterms:created xsi:type="dcterms:W3CDTF">2023-03-24T06:25:00Z</dcterms:created>
  <dcterms:modified xsi:type="dcterms:W3CDTF">2023-03-24T07:52:00Z</dcterms:modified>
</cp:coreProperties>
</file>