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77777777"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8A5EF2" w:rsidP="008A5EF2">
      <w:pPr>
        <w:jc w:val="center"/>
        <w:rPr>
          <w:rFonts w:ascii="Calibri" w:eastAsia="SimSun" w:hAnsi="Calibri" w:cs="Calibri"/>
          <w:lang w:eastAsia="zh-CN"/>
        </w:rPr>
      </w:pPr>
      <w:hyperlink r:id="rId6" w:history="1">
        <w:r w:rsidRPr="00161BC1">
          <w:rPr>
            <w:rStyle w:val="Hyperlink"/>
            <w:rFonts w:ascii="Calibri" w:eastAsia="SimSun" w:hAnsi="Calibri" w:cs="Calibri"/>
            <w:lang w:eastAsia="zh-CN"/>
          </w:rPr>
          <w:t>ceklisetya.pra@student.mahidol.edu</w:t>
        </w:r>
      </w:hyperlink>
      <w:r>
        <w:rPr>
          <w:rFonts w:ascii="Calibri" w:eastAsia="SimSun" w:hAnsi="Calibri" w:cs="Calibri"/>
          <w:lang w:eastAsia="zh-CN"/>
        </w:rPr>
        <w:t xml:space="preserve"> or </w:t>
      </w:r>
      <w:hyperlink r:id="rId7" w:history="1">
        <w:r w:rsidRPr="00161BC1">
          <w:rPr>
            <w:rStyle w:val="Hyperlink"/>
            <w:rFonts w:ascii="Calibri" w:eastAsia="SimSun" w:hAnsi="Calibri" w:cs="Calibri"/>
            <w:lang w:eastAsia="zh-CN"/>
          </w:rPr>
          <w:t>cekli@umm.ac.id</w:t>
        </w:r>
      </w:hyperlink>
      <w:r>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23864424" w14:textId="77777777" w:rsidR="008A5EF2" w:rsidRPr="00042460" w:rsidRDefault="008A5EF2" w:rsidP="008A5EF2">
      <w:pPr>
        <w:ind w:firstLine="0"/>
        <w:rPr>
          <w:rFonts w:ascii="Calibri" w:eastAsia="SimSun" w:hAnsi="Calibri" w:cs="Calibri"/>
          <w:b/>
          <w:lang w:eastAsia="zh-CN"/>
        </w:rPr>
      </w:pPr>
      <w:r>
        <w:rPr>
          <w:rFonts w:ascii="Calibri" w:eastAsia="SimSun" w:hAnsi="Calibri" w:cs="Calibri"/>
          <w:b/>
          <w:lang w:eastAsia="zh-CN"/>
        </w:rPr>
        <w:t>ABSTRACT</w:t>
      </w:r>
    </w:p>
    <w:p w14:paraId="70F0EEDE" w14:textId="77777777" w:rsidR="008A5EF2" w:rsidRPr="00042460" w:rsidRDefault="008A5EF2" w:rsidP="008A5EF2">
      <w:pPr>
        <w:rPr>
          <w:rFonts w:ascii="Calibri" w:eastAsia="SimSun" w:hAnsi="Calibri" w:cs="Calibri"/>
          <w:color w:val="0000FF"/>
          <w:lang w:eastAsia="zh-CN"/>
        </w:rPr>
      </w:pPr>
    </w:p>
    <w:p w14:paraId="6608BA06" w14:textId="77777777" w:rsidR="008A5EF2" w:rsidRDefault="008A5EF2" w:rsidP="008A5EF2">
      <w:pPr>
        <w:ind w:firstLine="720"/>
        <w:jc w:val="both"/>
        <w:rPr>
          <w:rFonts w:asciiTheme="majorHAnsi" w:hAnsiTheme="majorHAnsi" w:cstheme="majorHAnsi"/>
          <w:bCs/>
          <w:color w:val="C00000"/>
          <w:lang w:val="en-AU"/>
        </w:rPr>
      </w:pPr>
      <w:r w:rsidRPr="00096B7E">
        <w:rPr>
          <w:rFonts w:asciiTheme="majorHAnsi" w:hAnsiTheme="majorHAnsi" w:cstheme="majorHAnsi"/>
          <w:bCs/>
          <w:color w:val="C00000"/>
          <w:lang w:val="en-AU"/>
        </w:rPr>
        <w:t>In previous studies on vigilantes who target common criminals, the corruption of law enforcement officials has frequently been cited as a factor that allows offenders to avoid punishment based on their feelings rather than facts supported by evidence. In instances of blasphemy in various nations, reactive religious violence results from inadequate protection of religious values against transgressions, regardless of religious affiliation. According to a separate study, in Indonesia, vigilante justice has shifted from spontaneous action to more structured and even state-sponsored action through the state's discriminatory anti-blasphemy law.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previous research, which determined that vigilante justice in blasphemy cases in Indonesia typically occurs before and after a court decision. Using strategies of hate-spinning, vigilante organizations portray themselves as victims of hatred</w:t>
      </w:r>
      <w:r>
        <w:rPr>
          <w:rFonts w:asciiTheme="majorHAnsi" w:hAnsiTheme="majorHAnsi" w:cstheme="majorHAnsi"/>
          <w:bCs/>
          <w:color w:val="C00000"/>
          <w:lang w:val="en-AU"/>
        </w:rPr>
        <w:t xml:space="preserve"> and shaped by various factors, including </w:t>
      </w:r>
      <w:r w:rsidRPr="00096B7E">
        <w:rPr>
          <w:rFonts w:asciiTheme="majorHAnsi" w:hAnsiTheme="majorHAnsi" w:cstheme="majorHAnsi"/>
          <w:bCs/>
          <w:color w:val="C00000"/>
          <w:lang w:val="en-AU"/>
        </w:rPr>
        <w:t xml:space="preserve"> </w:t>
      </w:r>
      <w:r>
        <w:rPr>
          <w:rFonts w:asciiTheme="majorHAnsi" w:hAnsiTheme="majorHAnsi" w:cstheme="majorHAnsi"/>
          <w:bCs/>
          <w:color w:val="C00000"/>
          <w:lang w:val="en-AU"/>
        </w:rPr>
        <w:t>t</w:t>
      </w:r>
      <w:r w:rsidRPr="00096B7E">
        <w:rPr>
          <w:rFonts w:asciiTheme="majorHAnsi" w:hAnsiTheme="majorHAnsi" w:cstheme="majorHAnsi"/>
          <w:bCs/>
          <w:color w:val="C00000"/>
          <w:lang w:val="en-AU"/>
        </w:rPr>
        <w:t>he existence of a nebulous blasphemy law encourages authorities to legitimize vigilante justice against blasphemy offenders. These factors influence the court's decision-making in blasphemy cases, thereby undermining its independence.</w:t>
      </w:r>
    </w:p>
    <w:p w14:paraId="77D57049" w14:textId="77777777" w:rsidR="008A5EF2" w:rsidRDefault="008A5EF2" w:rsidP="008A5EF2">
      <w:pPr>
        <w:ind w:firstLine="0"/>
        <w:jc w:val="both"/>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5241A73D" w14:textId="77777777" w:rsidR="008A5EF2" w:rsidRDefault="008A5EF2" w:rsidP="008A5EF2">
      <w:pPr>
        <w:rPr>
          <w:rFonts w:ascii="Calibri" w:eastAsia="SimSun" w:hAnsi="Calibri" w:cs="Calibri"/>
          <w:b/>
          <w:color w:val="000000"/>
          <w:lang w:eastAsia="zh-CN"/>
        </w:rPr>
      </w:pPr>
    </w:p>
    <w:p w14:paraId="3BB9BFC7" w14:textId="77777777" w:rsidR="008A5EF2" w:rsidRPr="00042460" w:rsidRDefault="008A5EF2" w:rsidP="008A5EF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FFF0F5B" w14:textId="77777777" w:rsidR="008A5EF2" w:rsidRDefault="008A5EF2" w:rsidP="008A5EF2">
      <w:pPr>
        <w:rPr>
          <w:rFonts w:ascii="Calibri" w:hAnsi="Calibri" w:cs="Calibri"/>
          <w:color w:val="000000"/>
          <w:lang w:val="en-AU"/>
        </w:rPr>
      </w:pPr>
    </w:p>
    <w:p w14:paraId="4274C63E" w14:textId="49D7E80B" w:rsidR="008A5EF2" w:rsidRPr="00042460" w:rsidRDefault="008A5EF2" w:rsidP="008A5EF2">
      <w:pPr>
        <w:ind w:firstLine="720"/>
        <w:jc w:val="both"/>
        <w:rPr>
          <w:rFonts w:ascii="Calibri" w:eastAsia="SimSun" w:hAnsi="Calibri" w:cs="Calibri"/>
          <w:lang w:val="en-AU" w:eastAsia="zh-CN"/>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w:t>
      </w:r>
      <w:r w:rsidR="00C752FE">
        <w:rPr>
          <w:rFonts w:ascii="Calibri" w:hAnsi="Calibri" w:cs="Calibri"/>
          <w:color w:val="000000"/>
          <w:lang w:val="en-AU"/>
        </w:rPr>
        <w:t>A</w:t>
      </w:r>
      <w:r>
        <w:rPr>
          <w:rFonts w:ascii="Calibri" w:hAnsi="Calibri" w:cs="Calibri"/>
          <w:color w:val="000000"/>
          <w:lang w:val="en-AU"/>
        </w:rPr>
        <w:t>ssociate</w:t>
      </w:r>
      <w:r w:rsidRPr="00426118">
        <w:rPr>
          <w:rFonts w:ascii="Calibri" w:hAnsi="Calibri" w:cs="Calibri"/>
          <w:color w:val="000000"/>
          <w:lang w:val="en-AU"/>
        </w:rPr>
        <w:t xml:space="preserve"> </w:t>
      </w:r>
      <w:r w:rsidR="00C752FE">
        <w:rPr>
          <w:rFonts w:ascii="Calibri" w:hAnsi="Calibri" w:cs="Calibri"/>
          <w:color w:val="000000"/>
          <w:lang w:val="en-AU"/>
        </w:rPr>
        <w:t>P</w:t>
      </w:r>
      <w:r w:rsidRPr="00426118">
        <w:rPr>
          <w:rFonts w:ascii="Calibri" w:hAnsi="Calibri" w:cs="Calibri"/>
          <w:color w:val="000000"/>
          <w:lang w:val="en-AU"/>
        </w:rPr>
        <w:t xml:space="preserve">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w:t>
      </w:r>
      <w:r w:rsidRPr="008A5EF2">
        <w:rPr>
          <w:rFonts w:ascii="Calibri" w:hAnsi="Calibri" w:cs="Calibri"/>
          <w:color w:val="000000"/>
          <w:lang w:val="en-AU"/>
        </w:rPr>
        <w:t xml:space="preserve">Since 2011, she has taught the Master Course on Shariah and Human Rights organized by UMM, the ICLRS, and the Norwegian </w:t>
      </w:r>
      <w:proofErr w:type="spellStart"/>
      <w:r w:rsidRPr="008A5EF2">
        <w:rPr>
          <w:rFonts w:ascii="Calibri" w:hAnsi="Calibri" w:cs="Calibri"/>
          <w:color w:val="000000"/>
          <w:lang w:val="en-AU"/>
        </w:rPr>
        <w:t>Center</w:t>
      </w:r>
      <w:proofErr w:type="spellEnd"/>
      <w:r w:rsidRPr="008A5EF2">
        <w:rPr>
          <w:rFonts w:ascii="Calibri" w:hAnsi="Calibri" w:cs="Calibri"/>
          <w:color w:val="000000"/>
          <w:lang w:val="en-AU"/>
        </w:rPr>
        <w:t xml:space="preserve"> for Human Rights. She is the editor-in-chief of </w:t>
      </w:r>
      <w:proofErr w:type="spellStart"/>
      <w:r w:rsidRPr="008A5EF2">
        <w:rPr>
          <w:rFonts w:ascii="Calibri" w:hAnsi="Calibri" w:cs="Calibri"/>
          <w:color w:val="000000"/>
          <w:lang w:val="en-AU"/>
        </w:rPr>
        <w:t>Shari'a</w:t>
      </w:r>
      <w:proofErr w:type="spellEnd"/>
      <w:r w:rsidRPr="008A5EF2">
        <w:rPr>
          <w:rFonts w:ascii="Calibri" w:hAnsi="Calibri" w:cs="Calibri"/>
          <w:color w:val="000000"/>
          <w:lang w:val="en-AU"/>
        </w:rPr>
        <w:t xml:space="preserve"> and Human Rights: A Coursebook (</w:t>
      </w:r>
      <w:proofErr w:type="spellStart"/>
      <w:r w:rsidRPr="008A5EF2">
        <w:rPr>
          <w:rFonts w:ascii="Calibri" w:hAnsi="Calibri" w:cs="Calibri"/>
          <w:color w:val="000000"/>
          <w:lang w:val="en-AU"/>
        </w:rPr>
        <w:t>Mizan</w:t>
      </w:r>
      <w:proofErr w:type="spellEnd"/>
      <w:r w:rsidRPr="008A5EF2">
        <w:rPr>
          <w:rFonts w:ascii="Calibri" w:hAnsi="Calibri" w:cs="Calibri"/>
          <w:color w:val="000000"/>
          <w:lang w:val="en-AU"/>
        </w:rPr>
        <w:t xml:space="preserve"> Publisher, 2022) in two languages and the main author of A Study of the Second Amendment of the Bill of Information and Electronic Transaction in Indonesia Relevancy to the Right of Freedom of Expression </w:t>
      </w:r>
      <w:r>
        <w:rPr>
          <w:rFonts w:ascii="Calibri" w:hAnsi="Calibri" w:cs="Calibri"/>
          <w:color w:val="000000"/>
          <w:lang w:val="en-AU"/>
        </w:rPr>
        <w:t>(</w:t>
      </w:r>
      <w:r w:rsidRPr="008A5EF2">
        <w:rPr>
          <w:rFonts w:ascii="Calibri" w:hAnsi="Calibri" w:cs="Calibri"/>
          <w:i/>
          <w:iCs/>
          <w:color w:val="000000"/>
          <w:lang w:val="en-AU"/>
        </w:rPr>
        <w:t>KOMNAS</w:t>
      </w:r>
      <w:r>
        <w:rPr>
          <w:rFonts w:ascii="Calibri" w:hAnsi="Calibri" w:cs="Calibri"/>
          <w:i/>
          <w:iCs/>
          <w:color w:val="000000"/>
          <w:lang w:val="en-AU"/>
        </w:rPr>
        <w:t>-</w:t>
      </w:r>
      <w:r w:rsidRPr="008A5EF2">
        <w:rPr>
          <w:rFonts w:ascii="Calibri" w:hAnsi="Calibri" w:cs="Calibri"/>
          <w:i/>
          <w:iCs/>
          <w:color w:val="000000"/>
          <w:lang w:val="en-AU"/>
        </w:rPr>
        <w:t>HAM</w:t>
      </w:r>
      <w:r>
        <w:rPr>
          <w:rFonts w:ascii="Calibri" w:hAnsi="Calibri" w:cs="Calibri"/>
          <w:color w:val="000000"/>
          <w:lang w:val="en-AU"/>
        </w:rPr>
        <w:t>, 2022</w:t>
      </w:r>
      <w:r w:rsidRPr="008A5EF2">
        <w:rPr>
          <w:rFonts w:ascii="Calibri" w:hAnsi="Calibri" w:cs="Calibri"/>
          <w:color w:val="000000"/>
          <w:lang w:val="en-AU"/>
        </w:rPr>
        <w:t xml:space="preserve">). </w:t>
      </w:r>
      <w:r>
        <w:rPr>
          <w:rFonts w:ascii="Calibri" w:hAnsi="Calibri" w:cs="Calibri"/>
          <w:color w:val="000000"/>
          <w:lang w:val="en-AU"/>
        </w:rPr>
        <w:t xml:space="preserve">In 2023, </w:t>
      </w:r>
      <w:r w:rsidRPr="008A5EF2">
        <w:rPr>
          <w:rFonts w:ascii="Calibri" w:hAnsi="Calibri" w:cs="Calibri"/>
          <w:i/>
          <w:iCs/>
          <w:color w:val="000000"/>
          <w:lang w:val="en-AU"/>
        </w:rPr>
        <w:t>KOMNAS</w:t>
      </w:r>
      <w:r>
        <w:rPr>
          <w:rFonts w:ascii="Calibri" w:hAnsi="Calibri" w:cs="Calibri"/>
          <w:i/>
          <w:iCs/>
          <w:color w:val="000000"/>
          <w:lang w:val="en-AU"/>
        </w:rPr>
        <w:t>-</w:t>
      </w:r>
      <w:r w:rsidRPr="008A5EF2">
        <w:rPr>
          <w:rFonts w:ascii="Calibri" w:hAnsi="Calibri" w:cs="Calibri"/>
          <w:i/>
          <w:iCs/>
          <w:color w:val="000000"/>
          <w:lang w:val="en-AU"/>
        </w:rPr>
        <w:t>HAM</w:t>
      </w:r>
      <w:r w:rsidRPr="008A5EF2">
        <w:rPr>
          <w:rFonts w:ascii="Calibri" w:hAnsi="Calibri" w:cs="Calibri"/>
          <w:color w:val="000000"/>
          <w:lang w:val="en-AU"/>
        </w:rPr>
        <w:t xml:space="preserve"> recommends </w:t>
      </w:r>
      <w:proofErr w:type="spellStart"/>
      <w:r w:rsidRPr="008A5EF2">
        <w:rPr>
          <w:rFonts w:ascii="Calibri" w:hAnsi="Calibri" w:cs="Calibri"/>
          <w:color w:val="000000"/>
          <w:lang w:val="en-AU"/>
        </w:rPr>
        <w:t>Pratiwi</w:t>
      </w:r>
      <w:proofErr w:type="spellEnd"/>
      <w:r w:rsidRPr="008A5EF2">
        <w:rPr>
          <w:rFonts w:ascii="Calibri" w:hAnsi="Calibri" w:cs="Calibri"/>
          <w:color w:val="000000"/>
          <w:lang w:val="en-AU"/>
        </w:rPr>
        <w:t xml:space="preserve"> to create a state institution human rights compliance audit guideline.</w:t>
      </w:r>
    </w:p>
    <w:p w14:paraId="04C21D38" w14:textId="77777777" w:rsidR="008A5EF2" w:rsidRDefault="008A5EF2" w:rsidP="008A5EF2">
      <w:pPr>
        <w:ind w:firstLine="0"/>
        <w:rPr>
          <w:rFonts w:ascii="Calibri" w:hAnsi="Calibri" w:cs="Calibri"/>
          <w:bCs/>
          <w:color w:val="000000"/>
          <w:lang w:val="en-AU"/>
        </w:rPr>
      </w:pPr>
    </w:p>
    <w:p w14:paraId="44926D1F" w14:textId="6A983AC1"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INTRODUCTION</w:t>
      </w:r>
    </w:p>
    <w:p w14:paraId="40711960" w14:textId="02DDC666" w:rsidR="008A5EF2" w:rsidRPr="00096B7E" w:rsidRDefault="008A5EF2" w:rsidP="00C752FE">
      <w:pPr>
        <w:ind w:firstLine="0"/>
        <w:jc w:val="both"/>
        <w:rPr>
          <w:rFonts w:asciiTheme="majorHAnsi" w:hAnsiTheme="majorHAnsi" w:cstheme="majorHAnsi"/>
          <w:bCs/>
          <w:color w:val="C00000"/>
          <w:lang w:val="en-AU"/>
        </w:rPr>
      </w:pPr>
      <w:r w:rsidRPr="00096B7E">
        <w:rPr>
          <w:rFonts w:asciiTheme="majorHAnsi" w:hAnsiTheme="majorHAnsi" w:cstheme="majorHAnsi"/>
          <w:color w:val="C00000"/>
          <w:lang w:val="en-AU"/>
        </w:rPr>
        <w:t xml:space="preserve">Indonesia is among the few countries that still uphold anti-blasphemy laws, despite commonly recognized allegations of infringement upon freedom of religion and expression in modern democratic nations leading to their repeal. Scholars argue that the Indonesia’s Anti- Blasphemy is flawed due to ambiguity in content </w:t>
      </w:r>
      <w:r w:rsidR="00251662">
        <w:rPr>
          <w:rFonts w:asciiTheme="majorHAnsi" w:hAnsiTheme="majorHAnsi" w:cstheme="majorHAnsi"/>
          <w:color w:val="C00000"/>
          <w:lang w:val="en-AU"/>
        </w:rPr>
        <w:fldChar w:fldCharType="begin"/>
      </w:r>
      <w:r w:rsidR="004E4056">
        <w:rPr>
          <w:rFonts w:asciiTheme="majorHAnsi" w:hAnsiTheme="majorHAnsi" w:cstheme="majorHAnsi"/>
          <w:color w:val="C00000"/>
          <w:lang w:val="en-AU"/>
        </w:rPr>
        <w:instrText xml:space="preserve"> ADDIN ZOTERO_ITEM CSL_CITATION {"citationID":"YT7B77Ka","properties":{"formattedCitation":"(Bielefeldt,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00251662">
        <w:rPr>
          <w:rFonts w:asciiTheme="majorHAnsi" w:hAnsiTheme="majorHAnsi" w:cstheme="majorHAnsi"/>
          <w:color w:val="C00000"/>
          <w:lang w:val="en-AU"/>
        </w:rPr>
        <w:fldChar w:fldCharType="separate"/>
      </w:r>
      <w:r w:rsidR="004E4056">
        <w:rPr>
          <w:rFonts w:asciiTheme="majorHAnsi" w:hAnsiTheme="majorHAnsi" w:cstheme="majorHAnsi"/>
          <w:noProof/>
          <w:color w:val="C00000"/>
          <w:lang w:val="en-AU"/>
        </w:rPr>
        <w:t>(Bielefeldt, 2012; Marshall, 2018; Menchik, 2014)</w:t>
      </w:r>
      <w:r w:rsidR="00251662">
        <w:rPr>
          <w:rFonts w:asciiTheme="majorHAnsi" w:hAnsiTheme="majorHAnsi" w:cstheme="majorHAnsi"/>
          <w:color w:val="C00000"/>
          <w:lang w:val="en-AU"/>
        </w:rPr>
        <w:fldChar w:fldCharType="end"/>
      </w:r>
      <w:r w:rsidRPr="00096B7E">
        <w:rPr>
          <w:rFonts w:asciiTheme="majorHAnsi" w:hAnsiTheme="majorHAnsi" w:cstheme="majorHAnsi"/>
          <w:color w:val="C00000"/>
          <w:lang w:val="en-AU"/>
        </w:rPr>
        <w:t xml:space="preserve">. </w:t>
      </w:r>
      <w:r w:rsidRPr="00096B7E">
        <w:rPr>
          <w:rFonts w:asciiTheme="majorHAnsi" w:hAnsiTheme="majorHAnsi" w:cstheme="majorHAnsi"/>
          <w:bCs/>
          <w:color w:val="C00000"/>
          <w:lang w:val="en-AU"/>
        </w:rPr>
        <w:t xml:space="preserve">In addition, recent research </w:t>
      </w:r>
      <w:r w:rsidR="00251662">
        <w:rPr>
          <w:rFonts w:asciiTheme="majorHAnsi" w:hAnsiTheme="majorHAnsi" w:cstheme="majorHAnsi"/>
          <w:bCs/>
          <w:color w:val="C00000"/>
          <w:lang w:val="en-AU"/>
        </w:rPr>
        <w:t xml:space="preserve">from </w:t>
      </w:r>
      <w:proofErr w:type="spellStart"/>
      <w:r w:rsidR="00251662" w:rsidRPr="00096B7E">
        <w:rPr>
          <w:rFonts w:asciiTheme="majorHAnsi" w:hAnsiTheme="majorHAnsi" w:cstheme="majorHAnsi"/>
          <w:bCs/>
          <w:color w:val="C00000"/>
          <w:lang w:val="en-AU"/>
        </w:rPr>
        <w:t>Pratiwi</w:t>
      </w:r>
      <w:proofErr w:type="spellEnd"/>
      <w:r w:rsidR="00251662">
        <w:rPr>
          <w:rFonts w:asciiTheme="majorHAnsi" w:hAnsiTheme="majorHAnsi" w:cstheme="majorHAnsi"/>
          <w:bCs/>
          <w:color w:val="C00000"/>
          <w:lang w:val="en-AU"/>
        </w:rPr>
        <w:t xml:space="preserve"> </w:t>
      </w:r>
      <w:r w:rsidR="00251662">
        <w:rPr>
          <w:rFonts w:asciiTheme="majorHAnsi" w:hAnsiTheme="majorHAnsi" w:cstheme="majorHAnsi"/>
          <w:bCs/>
          <w:color w:val="C00000"/>
          <w:lang w:val="en-AU"/>
        </w:rPr>
        <w:fldChar w:fldCharType="begin"/>
      </w:r>
      <w:r w:rsidR="00251662">
        <w:rPr>
          <w:rFonts w:asciiTheme="majorHAnsi" w:hAnsiTheme="majorHAnsi" w:cstheme="majorHAnsi"/>
          <w:bCs/>
          <w:color w:val="C00000"/>
          <w:lang w:val="en-AU"/>
        </w:rPr>
        <w:instrText xml:space="preserve"> ADDIN ZOTERO_ITEM CSL_CITATION {"citationID":"FRFyzgu9","properties":{"formattedCitation":"(2021)","plainCitation":"(2021)","noteIndex":0},"citationItems":[{"id":1434,"uris":["http://zotero.org/users/6396655/items/EMUMJPRJ"],"itemData":{"id":1434,"type":"article-journal","container-title":"Constitutional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S"}],"issued":{"date-parts":[["2021"]]}},"suppress-author":true}],"schema":"https://github.com/citation-style-language/schema/raw/master/csl-citation.json"} </w:instrText>
      </w:r>
      <w:r w:rsidR="00251662">
        <w:rPr>
          <w:rFonts w:asciiTheme="majorHAnsi" w:hAnsiTheme="majorHAnsi" w:cstheme="majorHAnsi"/>
          <w:bCs/>
          <w:color w:val="C00000"/>
          <w:lang w:val="en-AU"/>
        </w:rPr>
        <w:fldChar w:fldCharType="separate"/>
      </w:r>
      <w:r w:rsidR="00251662">
        <w:rPr>
          <w:rFonts w:asciiTheme="majorHAnsi" w:hAnsiTheme="majorHAnsi" w:cstheme="majorHAnsi"/>
          <w:bCs/>
          <w:noProof/>
          <w:color w:val="C00000"/>
          <w:lang w:val="en-AU"/>
        </w:rPr>
        <w:t>(2021)</w:t>
      </w:r>
      <w:r w:rsidR="00251662">
        <w:rPr>
          <w:rFonts w:asciiTheme="majorHAnsi" w:hAnsiTheme="majorHAnsi" w:cstheme="majorHAnsi"/>
          <w:bCs/>
          <w:color w:val="C00000"/>
          <w:lang w:val="en-AU"/>
        </w:rPr>
        <w:fldChar w:fldCharType="end"/>
      </w:r>
      <w:r w:rsidRPr="00096B7E">
        <w:rPr>
          <w:rFonts w:asciiTheme="majorHAnsi" w:hAnsiTheme="majorHAnsi" w:cstheme="majorHAnsi"/>
          <w:bCs/>
          <w:color w:val="C00000"/>
          <w:lang w:val="en-AU"/>
        </w:rPr>
        <w:t xml:space="preserve"> contends that the Constitutional Court of the Republic of Indonesia disregarded the principle of non-discrimination in the right to freedom of religion, thereby rejecting a request for a judicial review to annul the law out of concern for the potential for conflict between different religious communities in the event of a legal vacuum.  However, the legal philosophy of Constitutional Court does </w:t>
      </w:r>
      <w:r w:rsidRPr="00096B7E">
        <w:rPr>
          <w:rFonts w:asciiTheme="majorHAnsi" w:hAnsiTheme="majorHAnsi" w:cstheme="majorHAnsi"/>
          <w:bCs/>
          <w:color w:val="C00000"/>
          <w:lang w:val="en-AU"/>
        </w:rPr>
        <w:lastRenderedPageBreak/>
        <w:t xml:space="preserve">not reflect actuality. Despite efforts to enforce the Law Against Blasphemy of Religion, vigilante attacks on religious minorities accused of heresy persisted. </w:t>
      </w:r>
    </w:p>
    <w:p w14:paraId="4DE74CEB" w14:textId="1EA751AB" w:rsidR="008A5EF2" w:rsidRPr="00096B7E" w:rsidRDefault="008A5EF2" w:rsidP="00C752FE">
      <w:pPr>
        <w:jc w:val="both"/>
        <w:rPr>
          <w:rFonts w:asciiTheme="majorHAnsi" w:hAnsiTheme="majorHAnsi" w:cstheme="majorHAnsi"/>
          <w:color w:val="C00000"/>
          <w:lang w:val="en-AU"/>
        </w:rPr>
      </w:pPr>
      <w:r w:rsidRPr="00096B7E">
        <w:rPr>
          <w:color w:val="C00000"/>
        </w:rPr>
        <w:t xml:space="preserve">Numerous blasphemy cases in Indonesia show that not only were the accused all subjected to violent or physical attacks at their places of worship, but the courts also handed down some very harsh sentences. </w:t>
      </w:r>
      <w:r w:rsidRPr="00096B7E">
        <w:rPr>
          <w:rFonts w:asciiTheme="majorHAnsi" w:hAnsiTheme="majorHAnsi" w:cstheme="majorHAnsi"/>
          <w:color w:val="C00000"/>
          <w:lang w:val="en-AU"/>
        </w:rPr>
        <w:t>The Setara Institute found that between 1965 and 2017, 42 of the 97 blasphemy cases involved vigilante groups. Out of the total cases, 76 were resolved through "pro-</w:t>
      </w:r>
      <w:proofErr w:type="spellStart"/>
      <w:r w:rsidRPr="00096B7E">
        <w:rPr>
          <w:rFonts w:asciiTheme="majorHAnsi" w:hAnsiTheme="majorHAnsi" w:cstheme="majorHAnsi"/>
          <w:color w:val="C00000"/>
          <w:lang w:val="en-AU"/>
        </w:rPr>
        <w:t>justicia</w:t>
      </w:r>
      <w:proofErr w:type="spellEnd"/>
      <w:r w:rsidRPr="00096B7E">
        <w:rPr>
          <w:rFonts w:asciiTheme="majorHAnsi" w:hAnsiTheme="majorHAnsi" w:cstheme="majorHAnsi"/>
          <w:color w:val="C00000"/>
          <w:lang w:val="en-AU"/>
        </w:rPr>
        <w:t>," with 47 cases receiving jail sentences ranging from one to 4.5 years, five receiving over 4.5 years, and eight receiving less than a year in prison</w:t>
      </w:r>
      <w:r w:rsidR="00251662">
        <w:rPr>
          <w:rFonts w:asciiTheme="majorHAnsi" w:hAnsiTheme="majorHAnsi" w:cstheme="majorHAnsi"/>
          <w:color w:val="C00000"/>
          <w:lang w:val="en-AU"/>
        </w:rPr>
        <w:t xml:space="preserve"> </w:t>
      </w:r>
      <w:r w:rsidR="00251662">
        <w:rPr>
          <w:rFonts w:asciiTheme="majorHAnsi" w:hAnsiTheme="majorHAnsi" w:cstheme="majorHAnsi"/>
          <w:color w:val="C00000"/>
          <w:lang w:val="en-AU"/>
        </w:rPr>
        <w:fldChar w:fldCharType="begin"/>
      </w:r>
      <w:r w:rsidR="00251662">
        <w:rPr>
          <w:rFonts w:asciiTheme="majorHAnsi" w:hAnsiTheme="majorHAnsi" w:cstheme="majorHAnsi"/>
          <w:color w:val="C00000"/>
          <w:lang w:val="en-AU"/>
        </w:rPr>
        <w:instrText xml:space="preserve"> ADDIN ZOTERO_ITEM CSL_CITATION {"citationID":"mnDJFkJR","properties":{"formattedCitation":"(Nalle,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00251662">
        <w:rPr>
          <w:rFonts w:asciiTheme="majorHAnsi" w:hAnsiTheme="majorHAnsi" w:cstheme="majorHAnsi"/>
          <w:color w:val="C00000"/>
          <w:lang w:val="en-AU"/>
        </w:rPr>
        <w:fldChar w:fldCharType="separate"/>
      </w:r>
      <w:r w:rsidR="00251662">
        <w:rPr>
          <w:rFonts w:asciiTheme="majorHAnsi" w:hAnsiTheme="majorHAnsi" w:cstheme="majorHAnsi"/>
          <w:noProof/>
          <w:color w:val="C00000"/>
          <w:lang w:val="en-AU"/>
        </w:rPr>
        <w:t>(Nalle, 2017)</w:t>
      </w:r>
      <w:r w:rsidR="00251662">
        <w:rPr>
          <w:rFonts w:asciiTheme="majorHAnsi" w:hAnsiTheme="majorHAnsi" w:cstheme="majorHAnsi"/>
          <w:color w:val="C00000"/>
          <w:lang w:val="en-AU"/>
        </w:rPr>
        <w:fldChar w:fldCharType="end"/>
      </w:r>
      <w:r w:rsidRPr="00096B7E">
        <w:rPr>
          <w:rFonts w:asciiTheme="majorHAnsi" w:hAnsiTheme="majorHAnsi" w:cstheme="majorHAnsi"/>
          <w:color w:val="C00000"/>
          <w:lang w:val="en-AU"/>
        </w:rPr>
        <w:t>.</w:t>
      </w:r>
    </w:p>
    <w:p w14:paraId="3D7EB36E" w14:textId="1B760C3E" w:rsidR="008A5EF2" w:rsidRPr="00096B7E" w:rsidRDefault="008A5EF2" w:rsidP="00C752FE">
      <w:pPr>
        <w:jc w:val="both"/>
        <w:rPr>
          <w:rFonts w:asciiTheme="majorHAnsi" w:hAnsiTheme="majorHAnsi" w:cstheme="majorHAnsi"/>
          <w:bCs/>
          <w:color w:val="C00000"/>
          <w:lang w:val="en-AU"/>
        </w:rPr>
      </w:pPr>
      <w:r w:rsidRPr="00096B7E">
        <w:rPr>
          <w:rFonts w:asciiTheme="majorHAnsi" w:hAnsiTheme="majorHAnsi" w:cstheme="majorHAnsi"/>
          <w:bCs/>
          <w:color w:val="C00000"/>
          <w:lang w:val="en-AU"/>
        </w:rPr>
        <w:t xml:space="preserve">Previous studies on vigilante justice against offenders of common offenses were frequently influenced by corruption among law enforcement officials, resulting in offenders escaping legal consequences. People who take the law into their own hands based on emotions rather than evidence-based facts </w:t>
      </w:r>
      <w:r w:rsidR="00251662">
        <w:rPr>
          <w:rFonts w:asciiTheme="majorHAnsi" w:hAnsiTheme="majorHAnsi" w:cstheme="majorHAnsi"/>
          <w:bCs/>
          <w:color w:val="C00000"/>
          <w:lang w:val="en-AU"/>
        </w:rPr>
        <w:fldChar w:fldCharType="begin"/>
      </w:r>
      <w:r w:rsidR="00251662">
        <w:rPr>
          <w:rFonts w:asciiTheme="majorHAnsi" w:hAnsiTheme="majorHAnsi" w:cstheme="majorHAnsi"/>
          <w:bCs/>
          <w:color w:val="C00000"/>
          <w:lang w:val="en-AU"/>
        </w:rPr>
        <w:instrText xml:space="preserve"> ADDIN ZOTERO_ITEM CSL_CITATION {"citationID":"6pBAlWUp","properties":{"formattedCitation":"(Scheuerman,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251662">
        <w:rPr>
          <w:rFonts w:asciiTheme="majorHAnsi" w:hAnsiTheme="majorHAnsi" w:cstheme="majorHAnsi"/>
          <w:bCs/>
          <w:color w:val="C00000"/>
          <w:lang w:val="en-AU"/>
        </w:rPr>
        <w:fldChar w:fldCharType="separate"/>
      </w:r>
      <w:r w:rsidR="00251662">
        <w:rPr>
          <w:rFonts w:asciiTheme="majorHAnsi" w:hAnsiTheme="majorHAnsi" w:cstheme="majorHAnsi"/>
          <w:bCs/>
          <w:noProof/>
          <w:color w:val="C00000"/>
          <w:lang w:val="en-AU"/>
        </w:rPr>
        <w:t>(Scheuerman, 2022)</w:t>
      </w:r>
      <w:r w:rsidR="00251662">
        <w:rPr>
          <w:rFonts w:asciiTheme="majorHAnsi" w:hAnsiTheme="majorHAnsi" w:cstheme="majorHAnsi"/>
          <w:bCs/>
          <w:color w:val="C00000"/>
          <w:lang w:val="en-AU"/>
        </w:rPr>
        <w:fldChar w:fldCharType="end"/>
      </w:r>
      <w:r w:rsidRPr="00096B7E">
        <w:rPr>
          <w:rFonts w:asciiTheme="majorHAnsi" w:hAnsiTheme="majorHAnsi" w:cstheme="majorHAnsi"/>
          <w:bCs/>
          <w:color w:val="C00000"/>
          <w:lang w:val="en-AU"/>
        </w:rPr>
        <w:t xml:space="preserve">. </w:t>
      </w:r>
      <w:proofErr w:type="spellStart"/>
      <w:r w:rsidRPr="00096B7E">
        <w:rPr>
          <w:rFonts w:asciiTheme="majorHAnsi" w:hAnsiTheme="majorHAnsi" w:cstheme="majorHAnsi"/>
          <w:bCs/>
          <w:color w:val="C00000"/>
          <w:lang w:val="en-AU"/>
        </w:rPr>
        <w:t>Hassner</w:t>
      </w:r>
      <w:proofErr w:type="spellEnd"/>
      <w:r w:rsidRPr="00096B7E">
        <w:rPr>
          <w:rFonts w:asciiTheme="majorHAnsi" w:hAnsiTheme="majorHAnsi" w:cstheme="majorHAnsi"/>
          <w:bCs/>
          <w:color w:val="C00000"/>
          <w:lang w:val="en-AU"/>
        </w:rPr>
        <w:t xml:space="preserve"> </w:t>
      </w:r>
      <w:r w:rsidR="00251662">
        <w:rPr>
          <w:rFonts w:asciiTheme="majorHAnsi" w:hAnsiTheme="majorHAnsi" w:cstheme="majorHAnsi"/>
          <w:bCs/>
          <w:color w:val="C00000"/>
          <w:lang w:val="en-AU"/>
        </w:rPr>
        <w:fldChar w:fldCharType="begin"/>
      </w:r>
      <w:r w:rsidR="00251662">
        <w:rPr>
          <w:rFonts w:asciiTheme="majorHAnsi" w:hAnsiTheme="majorHAnsi" w:cstheme="majorHAnsi"/>
          <w:bCs/>
          <w:color w:val="C00000"/>
          <w:lang w:val="en-AU"/>
        </w:rPr>
        <w:instrText xml:space="preserve"> ADDIN ZOTERO_ITEM CSL_CITATION {"citationID":"m5ucWFSR","properties":{"formattedCitation":"(2011)","plainCitation":"(2011)","noteIndex":0},"citationItems":[{"id":2287,"uris":["http://zotero.org/users/6396655/items/XPNWAMKC"],"itemData":{"id":2287,"type":"article-journal","container-title":"International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E."}],"issued":{"date-parts":[["2011",3]]}},"suppress-author":true}],"schema":"https://github.com/citation-style-language/schema/raw/master/csl-citation.json"} </w:instrText>
      </w:r>
      <w:r w:rsidR="00251662">
        <w:rPr>
          <w:rFonts w:asciiTheme="majorHAnsi" w:hAnsiTheme="majorHAnsi" w:cstheme="majorHAnsi"/>
          <w:bCs/>
          <w:color w:val="C00000"/>
          <w:lang w:val="en-AU"/>
        </w:rPr>
        <w:fldChar w:fldCharType="separate"/>
      </w:r>
      <w:r w:rsidR="00251662">
        <w:rPr>
          <w:rFonts w:asciiTheme="majorHAnsi" w:hAnsiTheme="majorHAnsi" w:cstheme="majorHAnsi"/>
          <w:bCs/>
          <w:noProof/>
          <w:color w:val="C00000"/>
          <w:lang w:val="en-AU"/>
        </w:rPr>
        <w:t>(2011)</w:t>
      </w:r>
      <w:r w:rsidR="00251662">
        <w:rPr>
          <w:rFonts w:asciiTheme="majorHAnsi" w:hAnsiTheme="majorHAnsi" w:cstheme="majorHAnsi"/>
          <w:bCs/>
          <w:color w:val="C00000"/>
          <w:lang w:val="en-AU"/>
        </w:rPr>
        <w:fldChar w:fldCharType="end"/>
      </w:r>
      <w:r w:rsidRPr="00096B7E">
        <w:rPr>
          <w:rFonts w:asciiTheme="majorHAnsi" w:hAnsiTheme="majorHAnsi" w:cstheme="majorHAnsi"/>
          <w:bCs/>
          <w:color w:val="C00000"/>
          <w:lang w:val="en-AU"/>
        </w:rPr>
        <w:t xml:space="preserve"> determined, in the case of blasphemy, that reactive religious violence results from inadequate protection of religious values against transgressive acts, irrespective of religious affiliation. However, in cases of blasphemy, vigilante justice has shifted from spontaneous action to more structured and even state-sponsored actions. </w:t>
      </w:r>
      <w:r w:rsidRPr="00096B7E">
        <w:rPr>
          <w:rFonts w:asciiTheme="majorHAnsi" w:hAnsiTheme="majorHAnsi" w:cstheme="majorHAnsi"/>
          <w:bCs/>
          <w:color w:val="C00000"/>
          <w:lang w:val="en-AU"/>
        </w:rPr>
        <w:fldChar w:fldCharType="begin"/>
      </w:r>
      <w:r w:rsidRPr="00096B7E">
        <w:rPr>
          <w:rFonts w:asciiTheme="majorHAnsi" w:hAnsiTheme="majorHAnsi" w:cstheme="majorHAnsi"/>
          <w:bCs/>
          <w:color w:val="C00000"/>
          <w:lang w:val="en-AU"/>
        </w:rPr>
        <w:instrText xml:space="preserve"> ADDIN ZOTERO_ITEM CSL_CITATION {"citationID":"aZYOOTEh","properties":{"formattedCitation":"(Pratiwi &amp; Sunaryo, 2021)","plainCitation":"(Pratiwi &amp; Sunaryo, 2021)","dontUpdate":true,"noteIndex":0},"citationItems":[{"id":1906,"uris":["http://zotero.org/users/6396655/items/LRV9W25J"],"itemData":{"id":1906,"type":"article-journal","container-title":"Muslim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sidRPr="00096B7E">
        <w:rPr>
          <w:rFonts w:asciiTheme="majorHAnsi" w:hAnsiTheme="majorHAnsi" w:cstheme="majorHAnsi"/>
          <w:bCs/>
          <w:color w:val="C00000"/>
          <w:lang w:val="en-AU"/>
        </w:rPr>
        <w:fldChar w:fldCharType="separate"/>
      </w:r>
      <w:r w:rsidRPr="00096B7E">
        <w:rPr>
          <w:rFonts w:asciiTheme="majorHAnsi" w:hAnsiTheme="majorHAnsi" w:cstheme="majorHAnsi"/>
          <w:bCs/>
          <w:noProof/>
          <w:color w:val="C00000"/>
          <w:lang w:val="en-AU"/>
        </w:rPr>
        <w:t>Pratiwi &amp; Sunaryo (2021)</w:t>
      </w:r>
      <w:r w:rsidRPr="00096B7E">
        <w:rPr>
          <w:rFonts w:asciiTheme="majorHAnsi" w:hAnsiTheme="majorHAnsi" w:cstheme="majorHAnsi"/>
          <w:bCs/>
          <w:color w:val="C00000"/>
          <w:lang w:val="en-AU"/>
        </w:rPr>
        <w:fldChar w:fldCharType="end"/>
      </w:r>
      <w:r w:rsidRPr="00096B7E">
        <w:rPr>
          <w:rFonts w:asciiTheme="majorHAnsi" w:hAnsiTheme="majorHAnsi" w:cstheme="majorHAnsi"/>
          <w:bCs/>
          <w:color w:val="C00000"/>
          <w:lang w:val="en-AU"/>
        </w:rPr>
        <w:t xml:space="preserve"> argues that vigilante violence surrounding accusations of blasphemy in countries like Pakistan, Malaysia, and Indonesia cannot be separated from structural violence created by the states through discriminatory anti-blasphemy laws. </w:t>
      </w:r>
    </w:p>
    <w:p w14:paraId="13DD1D75" w14:textId="47C046EA" w:rsidR="008A5EF2" w:rsidRDefault="008A5EF2" w:rsidP="00C752FE">
      <w:pPr>
        <w:jc w:val="both"/>
        <w:rPr>
          <w:rFonts w:asciiTheme="majorHAnsi" w:hAnsiTheme="majorHAnsi" w:cstheme="majorHAnsi"/>
          <w:bCs/>
          <w:color w:val="C00000"/>
          <w:lang w:val="en-AU"/>
        </w:rPr>
      </w:pPr>
      <w:r w:rsidRPr="00096B7E">
        <w:rPr>
          <w:rFonts w:asciiTheme="majorHAnsi" w:hAnsiTheme="majorHAnsi" w:cstheme="majorHAnsi"/>
          <w:color w:val="C00000"/>
          <w:lang w:val="en-AU"/>
        </w:rPr>
        <w:t xml:space="preserve">This study has significant findings that complement previous study regarding the occurrence of vigilante justice over blasphemy allegations, its impact on judicial independence in deciding blasphemy cases, and why anti-blasphemy laws have failed to preserve justice. </w:t>
      </w:r>
      <w:r w:rsidRPr="00096B7E">
        <w:rPr>
          <w:rFonts w:asciiTheme="majorHAnsi" w:hAnsiTheme="majorHAnsi" w:cstheme="majorHAnsi"/>
          <w:bCs/>
          <w:color w:val="C00000"/>
          <w:lang w:val="en-AU"/>
        </w:rPr>
        <w:t>This study determined that vigilante justice existed before court decisions and recurred after court rulings were issued. Different vigilante organizations use hate-spinning strategies to portray themselves as victims of hatred. Existence of a vague blasphemy law encourages those in positions of authority to issue public policies to give more protection to majority religious groups, which the court cannot ignore when determining blasphemy cases, thereby undermining the court's independence to administer justice.</w:t>
      </w:r>
    </w:p>
    <w:p w14:paraId="1D12E1B4" w14:textId="77777777" w:rsidR="008A5EF2" w:rsidRPr="008A5EF2" w:rsidRDefault="008A5EF2" w:rsidP="008A5EF2">
      <w:pPr>
        <w:rPr>
          <w:rFonts w:asciiTheme="majorHAnsi" w:hAnsiTheme="majorHAnsi" w:cstheme="majorHAnsi"/>
          <w:bCs/>
          <w:color w:val="C00000"/>
          <w:lang w:val="en-AU"/>
        </w:rPr>
      </w:pPr>
    </w:p>
    <w:p w14:paraId="24BFC49B" w14:textId="77777777" w:rsidR="008A5EF2" w:rsidRPr="00315563" w:rsidRDefault="008A5EF2" w:rsidP="008A5EF2">
      <w:pPr>
        <w:ind w:firstLine="0"/>
        <w:rPr>
          <w:rFonts w:ascii="Calibri" w:hAnsi="Calibri" w:cs="Calibri"/>
          <w:b/>
          <w:lang w:val="en-US"/>
        </w:rPr>
      </w:pPr>
      <w:r w:rsidRPr="00F945CD">
        <w:rPr>
          <w:rFonts w:ascii="Calibri" w:hAnsi="Calibri" w:cs="Calibri"/>
          <w:b/>
          <w:color w:val="000000"/>
          <w:lang w:val="en-AU"/>
        </w:rPr>
        <w:t>RESEARCH METHODOLOGY</w:t>
      </w:r>
    </w:p>
    <w:p w14:paraId="6BE64380" w14:textId="77777777"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This study has gathered a wide array of data, including case studies, statutory analysis, and in-depth interviews with experts, judges, religious followers, members of religious groups, and minority religious groups. </w:t>
      </w:r>
    </w:p>
    <w:p w14:paraId="7BB8737E" w14:textId="77777777" w:rsidR="008A5EF2" w:rsidRPr="00623356" w:rsidRDefault="008A5EF2" w:rsidP="008A5EF2">
      <w:pPr>
        <w:ind w:firstLine="720"/>
        <w:jc w:val="both"/>
        <w:rPr>
          <w:rFonts w:ascii="Calibri" w:hAnsi="Calibri" w:cs="Calibri"/>
          <w:bCs/>
          <w:color w:val="000000"/>
          <w:lang w:val="en-AU"/>
        </w:rPr>
      </w:pPr>
      <w:r w:rsidRPr="00EA09FE">
        <w:rPr>
          <w:rFonts w:ascii="Calibri" w:hAnsi="Calibri" w:cs="Calibri"/>
          <w:bCs/>
          <w:color w:val="000000"/>
          <w:lang w:val="en-AU"/>
        </w:rPr>
        <w:t xml:space="preserve">The research has looked into at least </w:t>
      </w:r>
      <w:r>
        <w:rPr>
          <w:rFonts w:ascii="Calibri" w:hAnsi="Calibri" w:cs="Calibri"/>
          <w:bCs/>
          <w:color w:val="000000"/>
          <w:lang w:val="en-AU"/>
        </w:rPr>
        <w:t>four</w:t>
      </w:r>
      <w:r w:rsidRPr="00EA09FE">
        <w:rPr>
          <w:rFonts w:ascii="Calibri" w:hAnsi="Calibri" w:cs="Calibri"/>
          <w:bCs/>
          <w:color w:val="000000"/>
          <w:lang w:val="en-AU"/>
        </w:rPr>
        <w:t xml:space="preserve"> cases, with the first being the case of </w:t>
      </w:r>
      <w:r>
        <w:rPr>
          <w:rFonts w:ascii="Calibri" w:hAnsi="Calibri" w:cs="Calibri"/>
          <w:bCs/>
          <w:color w:val="000000"/>
          <w:lang w:val="en-AU"/>
        </w:rPr>
        <w:t xml:space="preserve">Ahok, a Cristian Chinese Governor of Jakarta who were found guilty of blasphemy after criticized the politization of QS. Al-Maida verse 51 to gain Muslims supports on election. The second is </w:t>
      </w:r>
      <w:r w:rsidRPr="00EA09FE">
        <w:rPr>
          <w:rFonts w:ascii="Calibri" w:hAnsi="Calibri" w:cs="Calibri"/>
          <w:bCs/>
          <w:color w:val="000000"/>
          <w:lang w:val="en-AU"/>
        </w:rPr>
        <w:t>Meiliana</w:t>
      </w:r>
      <w:r>
        <w:rPr>
          <w:rFonts w:ascii="Calibri" w:hAnsi="Calibri" w:cs="Calibri"/>
          <w:bCs/>
          <w:color w:val="000000"/>
          <w:lang w:val="en-AU"/>
        </w:rPr>
        <w:t xml:space="preserve"> case</w:t>
      </w:r>
      <w:r w:rsidRPr="00EA09FE">
        <w:rPr>
          <w:rFonts w:ascii="Calibri" w:hAnsi="Calibri" w:cs="Calibri"/>
          <w:bCs/>
          <w:color w:val="000000"/>
          <w:lang w:val="en-AU"/>
        </w:rPr>
        <w:t xml:space="preserve">, a Buddhist woman from Medan who criticized the loudness of the adhan call to prayer, exemplifying how the enforcement of blasphemy laws has often resulted in intolerance and discrimination against religious minorities. She was subjected to hateful incitement, accused of blasphemy against Islam, leading to the burning and damaging of several Buddhist temples in her area, despite undergoing trial, which resulted in a sentence of 1 year and 8 months. The </w:t>
      </w:r>
      <w:r>
        <w:rPr>
          <w:rFonts w:ascii="Calibri" w:hAnsi="Calibri" w:cs="Calibri"/>
          <w:bCs/>
          <w:color w:val="000000"/>
          <w:lang w:val="en-AU"/>
        </w:rPr>
        <w:t xml:space="preserve">third </w:t>
      </w:r>
      <w:r w:rsidRPr="00EA09FE">
        <w:rPr>
          <w:rFonts w:ascii="Calibri" w:hAnsi="Calibri" w:cs="Calibri"/>
          <w:bCs/>
          <w:color w:val="000000"/>
          <w:lang w:val="en-AU"/>
        </w:rPr>
        <w:t xml:space="preserve">and </w:t>
      </w:r>
      <w:r>
        <w:rPr>
          <w:rFonts w:ascii="Calibri" w:hAnsi="Calibri" w:cs="Calibri"/>
          <w:bCs/>
          <w:color w:val="000000"/>
          <w:lang w:val="en-AU"/>
        </w:rPr>
        <w:t>fourth</w:t>
      </w:r>
      <w:r w:rsidRPr="00EA09FE">
        <w:rPr>
          <w:rFonts w:ascii="Calibri" w:hAnsi="Calibri" w:cs="Calibri"/>
          <w:bCs/>
          <w:color w:val="000000"/>
          <w:lang w:val="en-AU"/>
        </w:rPr>
        <w:t xml:space="preserve"> cases are the experiences of the Ahmadiyya and Gafatar groups, highlighting the dangers of vigilantism in response to blasphemy law enforcement. Thus, it is crucial to re-evaluate the role of the law, ensuring that its enforcement upholds human rights principles and promotes religious tolerance, while sternly condemning acts of vigilantism aimed at harming minorities in Indonesia.</w:t>
      </w:r>
    </w:p>
    <w:p w14:paraId="6E339B7C" w14:textId="77777777" w:rsidR="008A5EF2" w:rsidRPr="00623356" w:rsidRDefault="008A5EF2" w:rsidP="008A5EF2">
      <w:pPr>
        <w:ind w:firstLine="720"/>
        <w:rPr>
          <w:rFonts w:ascii="Calibri" w:hAnsi="Calibri" w:cs="Calibri"/>
          <w:bCs/>
          <w:color w:val="000000"/>
          <w:lang w:val="en-AU"/>
        </w:rPr>
      </w:pPr>
      <w:r w:rsidRPr="00EA09FE">
        <w:rPr>
          <w:rFonts w:ascii="Calibri" w:hAnsi="Calibri" w:cs="Calibri"/>
          <w:bCs/>
          <w:color w:val="000000"/>
          <w:lang w:val="en-AU"/>
        </w:rPr>
        <w:t xml:space="preserve">Subsequently, the collected data is assessed, selected, and inventoried to address the research questions. A critical legal study approach is utilized to derive conclusions from the analysed data. By evaluating the gap between the theoretical and practical implementation of the law, </w:t>
      </w:r>
      <w:r>
        <w:rPr>
          <w:rFonts w:ascii="Calibri" w:hAnsi="Calibri" w:cs="Calibri"/>
          <w:bCs/>
          <w:color w:val="000000"/>
          <w:lang w:val="en-AU"/>
        </w:rPr>
        <w:t>t</w:t>
      </w:r>
      <w:r w:rsidRPr="00EA09FE">
        <w:rPr>
          <w:rFonts w:ascii="Calibri" w:hAnsi="Calibri" w:cs="Calibri"/>
          <w:bCs/>
          <w:color w:val="000000"/>
          <w:lang w:val="en-AU"/>
        </w:rPr>
        <w:t xml:space="preserve">he anticipated outcomes of this research are expected to </w:t>
      </w:r>
      <w:r>
        <w:rPr>
          <w:rFonts w:ascii="Calibri" w:hAnsi="Calibri" w:cs="Calibri"/>
          <w:bCs/>
          <w:color w:val="000000"/>
          <w:lang w:val="en-AU"/>
        </w:rPr>
        <w:t>answer the research questions mentioned earlier and</w:t>
      </w:r>
      <w:r w:rsidRPr="00EA09FE">
        <w:rPr>
          <w:rFonts w:ascii="Calibri" w:hAnsi="Calibri" w:cs="Calibri"/>
          <w:bCs/>
          <w:color w:val="000000"/>
          <w:lang w:val="en-AU"/>
        </w:rPr>
        <w:t xml:space="preserve"> may provide recommendations that promote the preservation of human rights and social </w:t>
      </w:r>
      <w:r>
        <w:rPr>
          <w:rFonts w:ascii="Calibri" w:hAnsi="Calibri" w:cs="Calibri"/>
          <w:bCs/>
          <w:color w:val="000000"/>
          <w:lang w:val="en-AU"/>
        </w:rPr>
        <w:t>justice</w:t>
      </w:r>
      <w:r w:rsidRPr="00EA09FE">
        <w:rPr>
          <w:rFonts w:ascii="Calibri" w:hAnsi="Calibri" w:cs="Calibri"/>
          <w:bCs/>
          <w:color w:val="000000"/>
          <w:lang w:val="en-AU"/>
        </w:rPr>
        <w:t xml:space="preserve"> in Indonesia.</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Pr="00315563" w:rsidRDefault="008A5EF2" w:rsidP="008A5EF2">
      <w:pPr>
        <w:ind w:firstLine="0"/>
        <w:rPr>
          <w:rFonts w:ascii="Calibri" w:hAnsi="Calibri" w:cs="Calibri"/>
          <w:b/>
          <w:lang w:val="en-US"/>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73E1BDBE" w14:textId="77777777"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The law prohibits </w:t>
      </w:r>
      <w:r w:rsidRPr="00782315">
        <w:rPr>
          <w:rFonts w:ascii="Calibri" w:hAnsi="Calibri" w:cs="Calibri"/>
          <w:bCs/>
          <w:color w:val="000000"/>
          <w:lang w:val="en-AU"/>
        </w:rPr>
        <w:lastRenderedPageBreak/>
        <w:t>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363924A0"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493ED8AE"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Pr="0001558F">
        <w:rPr>
          <w:rFonts w:ascii="Calibri" w:hAnsi="Calibri" w:cs="Calibri"/>
          <w:bCs/>
          <w:color w:val="000000"/>
          <w:lang w:val="en-AU"/>
        </w:rPr>
        <w:t xml:space="preserve">Alternatively,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can also be seen as arbitrary acts of power or without the consent of the affected parties, as per Manan's interpretation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(Manan, 2013)</w:t>
      </w:r>
      <w:r>
        <w:rPr>
          <w:rFonts w:ascii="Calibri" w:hAnsi="Calibri" w:cs="Calibri"/>
          <w:bCs/>
          <w:color w:val="000000"/>
          <w:lang w:val="en-AU"/>
        </w:rPr>
        <w:fldChar w:fldCharType="end"/>
      </w:r>
      <w:r w:rsidRPr="0001558F">
        <w:rPr>
          <w:rFonts w:ascii="Calibri" w:hAnsi="Calibri" w:cs="Calibri"/>
          <w:bCs/>
          <w:color w:val="000000"/>
          <w:lang w:val="en-AU"/>
        </w:rPr>
        <w:t xml:space="preserve">. In essence,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(Sebastian &amp; Arifianto, 2020)</w:t>
      </w:r>
      <w:r>
        <w:rPr>
          <w:rFonts w:ascii="Calibri" w:hAnsi="Calibri" w:cs="Calibri"/>
          <w:bCs/>
          <w:color w:val="000000"/>
          <w:lang w:val="en-AU"/>
        </w:rPr>
        <w:fldChar w:fldCharType="end"/>
      </w:r>
      <w:r w:rsidRPr="0001558F">
        <w:rPr>
          <w:rFonts w:ascii="Calibri" w:hAnsi="Calibri" w:cs="Calibri"/>
          <w:bCs/>
          <w:color w:val="000000"/>
          <w:lang w:val="en-AU"/>
        </w:rPr>
        <w:t>.</w:t>
      </w:r>
      <w:r>
        <w:rPr>
          <w:rFonts w:ascii="Calibri" w:hAnsi="Calibri" w:cs="Calibri"/>
          <w:bCs/>
          <w:color w:val="000000"/>
          <w:lang w:val="en-AU"/>
        </w:rPr>
        <w:t xml:space="preserve"> </w:t>
      </w:r>
    </w:p>
    <w:p w14:paraId="0B0B5ACA" w14:textId="77777777"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Pr="00DD2539">
        <w:rPr>
          <w:rFonts w:ascii="Calibri" w:hAnsi="Calibri" w:cs="Calibri"/>
          <w:bCs/>
          <w:color w:val="000000"/>
          <w:lang w:val="en-AU"/>
        </w:rPr>
        <w:t xml:space="preserve">.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2013). However, justice guides the rule of law. Justice seeks to create a fair and just society where everyone has equal rights and opportunities. Thus, the rule of law must promote fairness and ensure equal access to justice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2013; Zaidi, 2021). Without the rule of law, justice is impossible since an unequal judicial system would violate people's right to justice (Boer, 2020).</w:t>
      </w:r>
      <w:r>
        <w:rPr>
          <w:rFonts w:ascii="Calibri" w:hAnsi="Calibri" w:cs="Calibri"/>
          <w:bCs/>
          <w:color w:val="000000"/>
          <w:lang w:val="en-AU"/>
        </w:rPr>
        <w:t xml:space="preserve"> T</w:t>
      </w:r>
      <w:r w:rsidRPr="00096B7E">
        <w:rPr>
          <w:rFonts w:ascii="Calibri" w:hAnsi="Calibri" w:cs="Calibri"/>
          <w:bCs/>
          <w:color w:val="000000"/>
          <w:lang w:val="en-AU"/>
        </w:rPr>
        <w:t xml:space="preserve">he rule of law must ensure that the legal system does not </w:t>
      </w:r>
      <w:proofErr w:type="spellStart"/>
      <w:r w:rsidRPr="00096B7E">
        <w:rPr>
          <w:rFonts w:ascii="Calibri" w:hAnsi="Calibri" w:cs="Calibri"/>
          <w:bCs/>
          <w:color w:val="000000"/>
          <w:lang w:val="en-AU"/>
        </w:rPr>
        <w:t>favor</w:t>
      </w:r>
      <w:proofErr w:type="spellEnd"/>
      <w:r w:rsidRPr="00096B7E">
        <w:rPr>
          <w:rFonts w:ascii="Calibri" w:hAnsi="Calibri" w:cs="Calibri"/>
          <w:bCs/>
          <w:color w:val="000000"/>
          <w:lang w:val="en-AU"/>
        </w:rPr>
        <w:t xml:space="preserve"> the wealthy. This might include giving legal help to people who cannot afford it (Boer, 2020) or writing rules and regulations in a way that does not oppress underprivileged groups (Zaidi, 2021).</w:t>
      </w:r>
    </w:p>
    <w:p w14:paraId="4DA6A71D" w14:textId="77777777" w:rsidR="008A5EF2" w:rsidRDefault="008A5EF2" w:rsidP="008A5EF2">
      <w:pPr>
        <w:ind w:firstLine="720"/>
        <w:jc w:val="both"/>
      </w:pPr>
      <w:r w:rsidRPr="007F7F59">
        <w:rPr>
          <w:rFonts w:ascii="Calibri" w:hAnsi="Calibri" w:cs="Calibri"/>
          <w:bCs/>
          <w:color w:val="000000"/>
          <w:lang w:val="en-AU"/>
        </w:rPr>
        <w:t>The presence of clear and unambiguous laws is essential for judges to qualify someone's behaviour as wrong</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6A42BC">
        <w:rPr>
          <w:rFonts w:ascii="Calibri" w:hAnsi="Calibri" w:cs="Calibri"/>
          <w:bCs/>
          <w:color w:val="000000"/>
          <w:lang w:val="en-AU"/>
        </w:rPr>
        <w:t>.</w:t>
      </w:r>
      <w:r w:rsidRPr="007F7F59">
        <w:rPr>
          <w:rFonts w:ascii="Calibri" w:hAnsi="Calibri" w:cs="Calibri"/>
          <w:bCs/>
          <w:color w:val="000000"/>
          <w:lang w:val="en-AU"/>
        </w:rPr>
        <w:t xml:space="preserve"> On the other hand, ambiguous laws can make it difficult for the court to qualify whether someone's behaviour is prohibited. Ambiguous laws can cause the court to subjectively interpret criminal behaviour. In such a context, judges can easily be influenced by external factors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(Malle &amp; Nelson, 2003)</w:t>
      </w:r>
      <w:r>
        <w:rPr>
          <w:rFonts w:ascii="Calibri" w:hAnsi="Calibri" w:cs="Calibri"/>
          <w:bCs/>
          <w:color w:val="000000"/>
          <w:lang w:val="en-AU"/>
        </w:rPr>
        <w:fldChar w:fldCharType="end"/>
      </w:r>
      <w:r w:rsidRPr="00830E02">
        <w:rPr>
          <w:rFonts w:ascii="Calibri" w:hAnsi="Calibri" w:cs="Calibri"/>
          <w:bCs/>
          <w:color w:val="000000"/>
          <w:lang w:val="en-AU"/>
        </w:rPr>
        <w:t>.</w:t>
      </w:r>
      <w:r>
        <w:rPr>
          <w:rFonts w:ascii="Calibri" w:hAnsi="Calibri" w:cs="Calibri"/>
          <w:bCs/>
          <w:color w:val="000000"/>
          <w:lang w:val="en-AU"/>
        </w:rPr>
        <w:t xml:space="preserve"> </w:t>
      </w:r>
      <w:r>
        <w:t>This study will therefore provide substantial insight into the role of the rule of law and justice in elucidating the phenomenon of vigilante justice against those accused of blasphemy and the extent to which this impacts law enforcement on blasphemy cases in court in order to achieve justice.</w:t>
      </w:r>
    </w:p>
    <w:p w14:paraId="0D65D210"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The court serves as the final option for those seeking justice. Therefore, it is crucial that the court acts professionally in enforcing the law and treats every individual equally. A person suspected of a crime must be considered innocent 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7FB0A15A" w14:textId="77777777" w:rsidR="008A5EF2" w:rsidRDefault="008A5EF2" w:rsidP="008A5EF2">
      <w:pPr>
        <w:ind w:firstLine="0"/>
        <w:jc w:val="both"/>
        <w:rPr>
          <w:rFonts w:ascii="Calibri" w:hAnsi="Calibri" w:cs="Calibri"/>
          <w:bCs/>
          <w:color w:val="000000"/>
          <w:lang w:val="en-AU"/>
        </w:rPr>
      </w:pPr>
      <w:r>
        <w:t>In the midst of enforcing the Anti-Blasphemy Law, vigilante justice against religious minorities accused of blasphemy persists in Indonesia. This phenomenon undermines the Constitutional Court's argument that defending the Law Against Blasphemy of Religion can prevent horizontal conflicts between religions.</w:t>
      </w:r>
      <w:r w:rsidRPr="00D940A0">
        <w:rPr>
          <w:rFonts w:ascii="Calibri" w:hAnsi="Calibri" w:cs="Calibri"/>
          <w:bCs/>
          <w:color w:val="000000"/>
          <w:lang w:val="en-AU"/>
        </w:rPr>
        <w:t xml:space="preserve"> Referring to the </w:t>
      </w:r>
      <w:r>
        <w:rPr>
          <w:rFonts w:ascii="Calibri" w:hAnsi="Calibri" w:cs="Calibri"/>
          <w:bCs/>
          <w:color w:val="000000"/>
          <w:lang w:val="en-AU"/>
        </w:rPr>
        <w:t>h</w:t>
      </w:r>
      <w:r w:rsidRPr="00D940A0">
        <w:rPr>
          <w:rFonts w:ascii="Calibri" w:hAnsi="Calibri" w:cs="Calibri"/>
          <w:bCs/>
          <w:color w:val="000000"/>
          <w:lang w:val="en-AU"/>
        </w:rPr>
        <w:t xml:space="preserve">ate </w:t>
      </w:r>
      <w:r>
        <w:rPr>
          <w:rFonts w:ascii="Calibri" w:hAnsi="Calibri" w:cs="Calibri"/>
          <w:bCs/>
          <w:color w:val="000000"/>
          <w:lang w:val="en-AU"/>
        </w:rPr>
        <w:t>s</w:t>
      </w:r>
      <w:r w:rsidRPr="00D940A0">
        <w:rPr>
          <w:rFonts w:ascii="Calibri" w:hAnsi="Calibri" w:cs="Calibri"/>
          <w:bCs/>
          <w:color w:val="000000"/>
          <w:lang w:val="en-AU"/>
        </w:rPr>
        <w:t xml:space="preserve">pin </w:t>
      </w:r>
      <w:r>
        <w:rPr>
          <w:rFonts w:ascii="Calibri" w:hAnsi="Calibri" w:cs="Calibri"/>
          <w:bCs/>
          <w:color w:val="000000"/>
          <w:lang w:val="en-AU"/>
        </w:rPr>
        <w:t>t</w:t>
      </w:r>
      <w:r w:rsidRPr="00D940A0">
        <w:rPr>
          <w:rFonts w:ascii="Calibri" w:hAnsi="Calibri" w:cs="Calibri"/>
          <w:bCs/>
          <w:color w:val="000000"/>
          <w:lang w:val="en-AU"/>
        </w:rPr>
        <w: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Pr="00D940A0">
        <w:rPr>
          <w:rFonts w:ascii="Calibri" w:hAnsi="Calibri" w:cs="Calibri"/>
          <w:bCs/>
          <w:color w:val="000000"/>
          <w:lang w:val="en-AU"/>
        </w:rPr>
        <w:t xml:space="preserve">. One </w:t>
      </w:r>
      <w:r w:rsidRPr="00D940A0">
        <w:rPr>
          <w:rFonts w:ascii="Calibri" w:hAnsi="Calibri" w:cs="Calibri"/>
          <w:bCs/>
          <w:color w:val="000000"/>
          <w:lang w:val="en-AU"/>
        </w:rPr>
        <w:lastRenderedPageBreak/>
        <w:t>prominent minority group that has experienced acts of vigilantism is Ahmadiyya, which is a legally recognized entity in Indonesia established by the Indonesian Islamic Community and approved by the Ministry of Law in 1953</w:t>
      </w:r>
      <w:r>
        <w:rPr>
          <w:rFonts w:ascii="Calibri" w:hAnsi="Calibri" w:cs="Calibri"/>
          <w:bCs/>
          <w:color w:val="000000"/>
          <w:lang w:val="en-AU"/>
        </w:rPr>
        <w:t xml:space="preserve">. </w:t>
      </w:r>
      <w:r w:rsidRPr="00D940A0">
        <w:rPr>
          <w:rFonts w:ascii="Calibri" w:hAnsi="Calibri" w:cs="Calibri"/>
          <w:bCs/>
          <w:color w:val="000000"/>
          <w:lang w:val="en-AU"/>
        </w:rPr>
        <w:t xml:space="preserve">In 2017, a new case emerged in which five members of the </w:t>
      </w:r>
      <w:proofErr w:type="spellStart"/>
      <w:r w:rsidRPr="00D940A0">
        <w:rPr>
          <w:rFonts w:ascii="Calibri" w:hAnsi="Calibri" w:cs="Calibri"/>
          <w:bCs/>
          <w:color w:val="000000"/>
          <w:lang w:val="en-AU"/>
        </w:rPr>
        <w:t>Fajar</w:t>
      </w:r>
      <w:proofErr w:type="spellEnd"/>
      <w:r w:rsidRPr="00D940A0">
        <w:rPr>
          <w:rFonts w:ascii="Calibri" w:hAnsi="Calibri" w:cs="Calibri"/>
          <w:bCs/>
          <w:color w:val="000000"/>
          <w:lang w:val="en-AU"/>
        </w:rPr>
        <w:t xml:space="preserve"> Nusantara Movement (</w:t>
      </w:r>
      <w:r>
        <w:rPr>
          <w:rFonts w:ascii="Calibri" w:hAnsi="Calibri" w:cs="Calibri"/>
          <w:bCs/>
          <w:color w:val="000000"/>
          <w:lang w:val="en-AU"/>
        </w:rPr>
        <w:t xml:space="preserve">the </w:t>
      </w:r>
      <w:r w:rsidRPr="00D940A0">
        <w:rPr>
          <w:rFonts w:ascii="Calibri" w:hAnsi="Calibri" w:cs="Calibri"/>
          <w:bCs/>
          <w:color w:val="000000"/>
          <w:lang w:val="en-AU"/>
        </w:rPr>
        <w:t>Gafatar) were accused of using their organization to promote the heretical teachings of</w:t>
      </w:r>
      <w:r>
        <w:rPr>
          <w:rFonts w:ascii="Calibri" w:hAnsi="Calibri" w:cs="Calibri"/>
          <w:bCs/>
          <w:color w:val="000000"/>
          <w:lang w:val="en-AU"/>
        </w:rPr>
        <w:t xml:space="preserve"> the teachings of</w:t>
      </w:r>
      <w:r w:rsidRPr="00D940A0">
        <w:rPr>
          <w:rFonts w:ascii="Calibri" w:hAnsi="Calibri" w:cs="Calibri"/>
          <w:bCs/>
          <w:color w:val="000000"/>
          <w:lang w:val="en-AU"/>
        </w:rPr>
        <w:t xml:space="preserve"> </w:t>
      </w:r>
      <w:proofErr w:type="spellStart"/>
      <w:r w:rsidRPr="00096B7E">
        <w:rPr>
          <w:rFonts w:ascii="Calibri" w:hAnsi="Calibri" w:cs="Calibri"/>
          <w:bCs/>
          <w:i/>
          <w:iCs/>
          <w:color w:val="000000"/>
          <w:lang w:val="en-AU"/>
        </w:rPr>
        <w:t>Millah</w:t>
      </w:r>
      <w:proofErr w:type="spellEnd"/>
      <w:r w:rsidRPr="00096B7E">
        <w:rPr>
          <w:rFonts w:ascii="Calibri" w:hAnsi="Calibri" w:cs="Calibri"/>
          <w:bCs/>
          <w:i/>
          <w:iCs/>
          <w:color w:val="000000"/>
          <w:lang w:val="en-AU"/>
        </w:rPr>
        <w:t xml:space="preserve"> Abraham</w:t>
      </w:r>
      <w:r w:rsidRPr="00D940A0">
        <w:rPr>
          <w:rFonts w:ascii="Calibri" w:hAnsi="Calibri" w:cs="Calibri"/>
          <w:bCs/>
          <w:color w:val="000000"/>
          <w:lang w:val="en-AU"/>
        </w:rPr>
        <w:t xml:space="preserve"> and were subsequently criminalized.</w:t>
      </w:r>
      <w:r w:rsidRPr="00B1578E">
        <w:rPr>
          <w:rFonts w:ascii="Calibri" w:hAnsi="Calibri" w:cs="Calibri"/>
          <w:bCs/>
          <w:color w:val="000000"/>
          <w:lang w:val="en-AU"/>
        </w:rPr>
        <w:t xml:space="preserve"> </w:t>
      </w:r>
    </w:p>
    <w:p w14:paraId="362AF002" w14:textId="77777777" w:rsidR="008A5EF2" w:rsidRDefault="008A5EF2" w:rsidP="008A5EF2">
      <w:pPr>
        <w:ind w:firstLine="720"/>
        <w:jc w:val="both"/>
        <w:rPr>
          <w:rFonts w:ascii="Calibri" w:hAnsi="Calibri" w:cs="Calibri"/>
          <w:bCs/>
          <w:color w:val="000000"/>
          <w:lang w:val="en-AU"/>
        </w:rPr>
      </w:pPr>
      <w:r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(SETARA Institute, 2022)</w:t>
      </w:r>
      <w:r>
        <w:rPr>
          <w:rFonts w:ascii="Calibri" w:hAnsi="Calibri" w:cs="Calibri"/>
          <w:bCs/>
          <w:color w:val="000000"/>
          <w:lang w:val="en-AU"/>
        </w:rPr>
        <w:fldChar w:fldCharType="end"/>
      </w:r>
      <w:r w:rsidRPr="00D940A0">
        <w:rPr>
          <w:rFonts w:ascii="Calibri" w:hAnsi="Calibri" w:cs="Calibri"/>
          <w:bCs/>
          <w:color w:val="000000"/>
          <w:lang w:val="en-AU"/>
        </w:rPr>
        <w:t>.</w:t>
      </w:r>
      <w:r>
        <w:rPr>
          <w:rFonts w:ascii="Calibri" w:hAnsi="Calibri" w:cs="Calibri"/>
          <w:bCs/>
          <w:color w:val="000000"/>
          <w:lang w:val="en-AU"/>
        </w:rPr>
        <w:t xml:space="preserve"> </w:t>
      </w:r>
      <w:r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1"/>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This study indicates that vigilante justice was perpetuated and occurred repeatedly in the four cases examined, as shown in Table 2.</w:t>
      </w:r>
      <w:r>
        <w:rPr>
          <w:rFonts w:ascii="Calibri" w:hAnsi="Calibri" w:cs="Calibri"/>
          <w:bCs/>
          <w:color w:val="000000"/>
          <w:lang w:val="en-AU"/>
        </w:rPr>
        <w:t xml:space="preserve"> </w:t>
      </w:r>
      <w:r w:rsidRPr="00940329">
        <w:rPr>
          <w:rFonts w:ascii="Calibri" w:hAnsi="Calibri" w:cs="Calibri"/>
          <w:bCs/>
          <w:color w:val="000000"/>
          <w:lang w:val="en-AU"/>
        </w:rPr>
        <w:t xml:space="preserve">As seen by the incidents above, society might misread legal standards' ambiguity. </w:t>
      </w:r>
      <w:r w:rsidRPr="00096B7E">
        <w:rPr>
          <w:rFonts w:ascii="Calibri" w:hAnsi="Calibri" w:cs="Calibri"/>
          <w:bCs/>
          <w:color w:val="000000"/>
          <w:lang w:val="en-AU"/>
        </w:rPr>
        <w:t>Criticism of Islamic teachings (the Ahok case), criticism of Muslim religious practices (the Meiliana case), or belief in and propagation of teachings that are different from orthodox Islamic teachings (the Ahmadiyya and the Gafatar cases) runs the risk of being accused of "tarnishing Islam". Ministerial circulars, governor's regulations, and regional regulations support this interpretation. Social media continues to fabricate slander and accusations of the "true" teachings of Islam to elicit support and outrage.</w:t>
      </w:r>
    </w:p>
    <w:p w14:paraId="623F4916" w14:textId="5708D77C" w:rsidR="008A5EF2" w:rsidRDefault="008A5EF2" w:rsidP="008A5EF2">
      <w:pPr>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 xml:space="preserve">Indonesia's politics of religion exacerbates this issue because the majority, generally the Islamic community, may decide elections. </w:t>
      </w:r>
      <w:proofErr w:type="spellStart"/>
      <w:r w:rsidRPr="008A5EF2">
        <w:rPr>
          <w:rFonts w:ascii="Calibri" w:hAnsi="Calibri" w:cs="Calibri"/>
          <w:bCs/>
          <w:color w:val="000000"/>
          <w:lang w:val="en-AU"/>
        </w:rPr>
        <w:t>Ahok's</w:t>
      </w:r>
      <w:proofErr w:type="spellEnd"/>
      <w:r w:rsidRPr="008A5EF2">
        <w:rPr>
          <w:rFonts w:ascii="Calibri" w:hAnsi="Calibri" w:cs="Calibri"/>
          <w:bCs/>
          <w:color w:val="000000"/>
          <w:lang w:val="en-AU"/>
        </w:rPr>
        <w:t xml:space="preserve"> words were edited to incite hatred and denigrate Islam. To protect individuals' rights and well-being, laws must be upheld and not used for political purposes. While the Ahmadiyya and Gafatar instances were also considered deviations from "true" Islam and violations of Islamic law. Propaganda and vigilante action against these groups resulted from this enmity.</w:t>
      </w:r>
    </w:p>
    <w:p w14:paraId="30E3CE80" w14:textId="77777777" w:rsidR="008A5EF2" w:rsidRPr="00096B7E" w:rsidRDefault="008A5EF2" w:rsidP="008A5EF2">
      <w:pPr>
        <w:jc w:val="both"/>
        <w:rPr>
          <w:rFonts w:ascii="Calibri" w:hAnsi="Calibri" w:cs="Calibri"/>
          <w:bCs/>
          <w:color w:val="000000"/>
          <w:lang w:val="en-AU"/>
        </w:rPr>
      </w:pPr>
    </w:p>
    <w:p w14:paraId="2E75C17E" w14:textId="77777777" w:rsidR="008A5EF2" w:rsidRPr="00B86693" w:rsidRDefault="008A5EF2" w:rsidP="008A5EF2">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 and Hate Spin</w:t>
      </w:r>
    </w:p>
    <w:tbl>
      <w:tblPr>
        <w:tblStyle w:val="TableGrid"/>
        <w:tblW w:w="0" w:type="auto"/>
        <w:tblLook w:val="04A0" w:firstRow="1" w:lastRow="0" w:firstColumn="1" w:lastColumn="0" w:noHBand="0" w:noVBand="1"/>
      </w:tblPr>
      <w:tblGrid>
        <w:gridCol w:w="1413"/>
        <w:gridCol w:w="4252"/>
        <w:gridCol w:w="4253"/>
      </w:tblGrid>
      <w:tr w:rsidR="008A5EF2" w:rsidRPr="008A5EF2" w14:paraId="217FEFAA" w14:textId="77777777" w:rsidTr="004557E3">
        <w:tc>
          <w:tcPr>
            <w:tcW w:w="1413" w:type="dxa"/>
            <w:tcBorders>
              <w:left w:val="nil"/>
              <w:bottom w:val="single" w:sz="4" w:space="0" w:color="auto"/>
            </w:tcBorders>
            <w:shd w:val="clear" w:color="auto" w:fill="AEAAAA" w:themeFill="background2" w:themeFillShade="BF"/>
          </w:tcPr>
          <w:p w14:paraId="768CD311" w14:textId="77777777" w:rsidR="008A5EF2" w:rsidRPr="008A5EF2" w:rsidRDefault="008A5EF2" w:rsidP="004557E3">
            <w:pPr>
              <w:jc w:val="center"/>
              <w:rPr>
                <w:rFonts w:cstheme="minorHAnsi"/>
                <w:b/>
                <w:i/>
                <w:iCs/>
                <w:color w:val="000000"/>
                <w:lang w:val="en-AU"/>
              </w:rPr>
            </w:pPr>
            <w:r w:rsidRPr="008A5EF2">
              <w:rPr>
                <w:rFonts w:cstheme="minorHAnsi"/>
                <w:b/>
                <w:i/>
                <w:iCs/>
                <w:color w:val="000000"/>
                <w:lang w:val="en-AU"/>
              </w:rPr>
              <w:t>Cases</w:t>
            </w:r>
          </w:p>
        </w:tc>
        <w:tc>
          <w:tcPr>
            <w:tcW w:w="4252" w:type="dxa"/>
            <w:tcBorders>
              <w:bottom w:val="single" w:sz="4" w:space="0" w:color="auto"/>
            </w:tcBorders>
            <w:shd w:val="clear" w:color="auto" w:fill="AEAAAA" w:themeFill="background2" w:themeFillShade="BF"/>
          </w:tcPr>
          <w:p w14:paraId="138A1A48" w14:textId="77777777" w:rsidR="008A5EF2" w:rsidRPr="008A5EF2" w:rsidRDefault="008A5EF2" w:rsidP="004557E3">
            <w:pPr>
              <w:jc w:val="center"/>
              <w:rPr>
                <w:rFonts w:cstheme="minorHAnsi"/>
                <w:b/>
                <w:i/>
                <w:iCs/>
                <w:color w:val="000000"/>
                <w:lang w:val="en-AU"/>
              </w:rPr>
            </w:pPr>
            <w:r w:rsidRPr="008A5EF2">
              <w:rPr>
                <w:rFonts w:cstheme="minorHAnsi"/>
                <w:b/>
                <w:i/>
                <w:iCs/>
                <w:color w:val="000000"/>
                <w:lang w:val="en-AU"/>
              </w:rPr>
              <w:t>Vigilante Justice</w:t>
            </w:r>
          </w:p>
        </w:tc>
        <w:tc>
          <w:tcPr>
            <w:tcW w:w="4253" w:type="dxa"/>
            <w:tcBorders>
              <w:bottom w:val="single" w:sz="4" w:space="0" w:color="auto"/>
              <w:right w:val="nil"/>
            </w:tcBorders>
            <w:shd w:val="clear" w:color="auto" w:fill="AEAAAA" w:themeFill="background2" w:themeFillShade="BF"/>
          </w:tcPr>
          <w:p w14:paraId="341EED3C" w14:textId="77777777" w:rsidR="008A5EF2" w:rsidRPr="008A5EF2" w:rsidRDefault="008A5EF2" w:rsidP="004557E3">
            <w:pPr>
              <w:jc w:val="center"/>
              <w:rPr>
                <w:rFonts w:cstheme="minorHAnsi"/>
                <w:b/>
                <w:i/>
                <w:iCs/>
                <w:color w:val="000000"/>
                <w:lang w:val="en-AU"/>
              </w:rPr>
            </w:pPr>
            <w:r w:rsidRPr="008A5EF2">
              <w:rPr>
                <w:rFonts w:cstheme="minorHAnsi"/>
                <w:b/>
                <w:i/>
                <w:iCs/>
                <w:color w:val="000000"/>
                <w:lang w:val="en-AU"/>
              </w:rPr>
              <w:t>Hate Spin Strategy Against Victims</w:t>
            </w:r>
          </w:p>
        </w:tc>
      </w:tr>
      <w:tr w:rsidR="008A5EF2" w:rsidRPr="008A5EF2" w14:paraId="4B4E68FA" w14:textId="77777777" w:rsidTr="004557E3">
        <w:tc>
          <w:tcPr>
            <w:tcW w:w="1413" w:type="dxa"/>
            <w:tcBorders>
              <w:left w:val="nil"/>
              <w:bottom w:val="single" w:sz="4" w:space="0" w:color="auto"/>
            </w:tcBorders>
          </w:tcPr>
          <w:p w14:paraId="441A1091"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t>Ahok Case</w:t>
            </w:r>
          </w:p>
        </w:tc>
        <w:tc>
          <w:tcPr>
            <w:tcW w:w="4252" w:type="dxa"/>
            <w:tcBorders>
              <w:bottom w:val="single" w:sz="4" w:space="0" w:color="auto"/>
            </w:tcBorders>
          </w:tcPr>
          <w:p w14:paraId="36FA7347" w14:textId="77777777" w:rsidR="008A5EF2" w:rsidRPr="008A5EF2" w:rsidRDefault="008A5EF2" w:rsidP="004557E3">
            <w:pPr>
              <w:jc w:val="both"/>
              <w:rPr>
                <w:rFonts w:cstheme="minorHAnsi"/>
                <w:b/>
                <w:i/>
                <w:iCs/>
                <w:color w:val="000000"/>
                <w:lang w:val="en-AU"/>
              </w:rPr>
            </w:pPr>
            <w:proofErr w:type="spellStart"/>
            <w:r w:rsidRPr="008A5EF2">
              <w:rPr>
                <w:rFonts w:cstheme="minorHAnsi"/>
                <w:bCs/>
                <w:color w:val="000000"/>
                <w:lang w:val="en-AU"/>
              </w:rPr>
              <w:t>Ahok's</w:t>
            </w:r>
            <w:proofErr w:type="spellEnd"/>
            <w:r w:rsidRPr="008A5EF2">
              <w:rPr>
                <w:rFonts w:cstheme="minorHAnsi"/>
                <w:bCs/>
                <w:color w:val="000000"/>
                <w:lang w:val="en-AU"/>
              </w:rPr>
              <w:t xml:space="preserve"> statement that referenced QS. Al-Maida verse 51 regarding non-Muslim leaders to his constituents in the Thousand Islands triggered vigilante justice as Islamic groups staged mob protests, including </w:t>
            </w:r>
            <w:r w:rsidRPr="008A5EF2">
              <w:rPr>
                <w:rFonts w:cstheme="minorHAnsi"/>
                <w:bCs/>
                <w:i/>
                <w:iCs/>
                <w:color w:val="000000"/>
                <w:lang w:val="en-AU"/>
              </w:rPr>
              <w:t xml:space="preserve">the </w:t>
            </w:r>
            <w:proofErr w:type="spellStart"/>
            <w:r w:rsidRPr="008A5EF2">
              <w:rPr>
                <w:rFonts w:cstheme="minorHAnsi"/>
                <w:bCs/>
                <w:i/>
                <w:iCs/>
                <w:color w:val="000000"/>
                <w:lang w:val="en-AU"/>
              </w:rPr>
              <w:t>Aksi</w:t>
            </w:r>
            <w:proofErr w:type="spellEnd"/>
            <w:r w:rsidRPr="008A5EF2">
              <w:rPr>
                <w:rFonts w:cstheme="minorHAnsi"/>
                <w:bCs/>
                <w:i/>
                <w:iCs/>
                <w:color w:val="000000"/>
                <w:lang w:val="en-AU"/>
              </w:rPr>
              <w:t xml:space="preserve"> 212 </w:t>
            </w:r>
            <w:r w:rsidRPr="008A5EF2">
              <w:rPr>
                <w:rFonts w:cstheme="minorHAnsi"/>
                <w:bCs/>
                <w:color w:val="000000"/>
                <w:lang w:val="en-AU"/>
              </w:rPr>
              <w:t>and</w:t>
            </w:r>
            <w:r w:rsidRPr="008A5EF2">
              <w:rPr>
                <w:rFonts w:cstheme="minorHAnsi"/>
                <w:bCs/>
                <w:i/>
                <w:iCs/>
                <w:color w:val="000000"/>
                <w:lang w:val="en-AU"/>
              </w:rPr>
              <w:t xml:space="preserve"> the </w:t>
            </w:r>
            <w:proofErr w:type="spellStart"/>
            <w:r w:rsidRPr="008A5EF2">
              <w:rPr>
                <w:rFonts w:cstheme="minorHAnsi"/>
                <w:bCs/>
                <w:i/>
                <w:iCs/>
                <w:color w:val="000000"/>
                <w:lang w:val="en-AU"/>
              </w:rPr>
              <w:t>Aksi</w:t>
            </w:r>
            <w:proofErr w:type="spellEnd"/>
            <w:r w:rsidRPr="008A5EF2">
              <w:rPr>
                <w:rFonts w:cstheme="minorHAnsi"/>
                <w:bCs/>
                <w:i/>
                <w:iCs/>
                <w:color w:val="000000"/>
                <w:lang w:val="en-AU"/>
              </w:rPr>
              <w:t xml:space="preserve"> 414.</w:t>
            </w:r>
            <w:r w:rsidRPr="008A5EF2">
              <w:rPr>
                <w:rFonts w:cstheme="minorHAnsi"/>
                <w:bCs/>
                <w:color w:val="000000"/>
                <w:lang w:val="en-AU"/>
              </w:rPr>
              <w:t xml:space="preserve"> </w:t>
            </w:r>
            <w:r w:rsidRPr="008A5EF2">
              <w:rPr>
                <w:rFonts w:cstheme="minorHAnsi"/>
                <w:bCs/>
                <w:i/>
                <w:iCs/>
                <w:color w:val="000000"/>
                <w:lang w:val="en-AU"/>
              </w:rPr>
              <w:t xml:space="preserve">The </w:t>
            </w:r>
            <w:proofErr w:type="spellStart"/>
            <w:r w:rsidRPr="008A5EF2">
              <w:rPr>
                <w:rFonts w:cstheme="minorHAnsi"/>
                <w:bCs/>
                <w:i/>
                <w:iCs/>
                <w:color w:val="000000"/>
                <w:lang w:val="en-AU"/>
              </w:rPr>
              <w:t>Aksi</w:t>
            </w:r>
            <w:proofErr w:type="spellEnd"/>
            <w:r w:rsidRPr="008A5EF2">
              <w:rPr>
                <w:rFonts w:cstheme="minorHAnsi"/>
                <w:bCs/>
                <w:i/>
                <w:iCs/>
                <w:color w:val="000000"/>
                <w:lang w:val="en-AU"/>
              </w:rPr>
              <w:t xml:space="preserve"> Bela Islam 55</w:t>
            </w:r>
            <w:r w:rsidRPr="008A5EF2">
              <w:rPr>
                <w:rFonts w:cstheme="minorHAnsi"/>
                <w:bCs/>
                <w:color w:val="000000"/>
                <w:lang w:val="en-AU"/>
              </w:rPr>
              <w:t xml:space="preserve"> also marched to persuade the </w:t>
            </w:r>
            <w:r w:rsidRPr="008A5EF2">
              <w:rPr>
                <w:rFonts w:cstheme="minorHAnsi"/>
                <w:bCs/>
                <w:color w:val="000000"/>
                <w:lang w:val="en-AU"/>
              </w:rPr>
              <w:lastRenderedPageBreak/>
              <w:t xml:space="preserve">Constitutional Court to reject </w:t>
            </w:r>
            <w:proofErr w:type="spellStart"/>
            <w:r w:rsidRPr="008A5EF2">
              <w:rPr>
                <w:rFonts w:cstheme="minorHAnsi"/>
                <w:bCs/>
                <w:color w:val="000000"/>
                <w:lang w:val="en-AU"/>
              </w:rPr>
              <w:t>Ahok's</w:t>
            </w:r>
            <w:proofErr w:type="spellEnd"/>
            <w:r w:rsidRPr="008A5EF2">
              <w:rPr>
                <w:rFonts w:cstheme="minorHAnsi"/>
                <w:bCs/>
                <w:color w:val="000000"/>
                <w:lang w:val="en-AU"/>
              </w:rPr>
              <w:t xml:space="preserve"> judicial review of the anti-blasphemy bill.</w:t>
            </w:r>
          </w:p>
        </w:tc>
        <w:tc>
          <w:tcPr>
            <w:tcW w:w="4253" w:type="dxa"/>
            <w:tcBorders>
              <w:bottom w:val="single" w:sz="4" w:space="0" w:color="auto"/>
              <w:right w:val="nil"/>
            </w:tcBorders>
          </w:tcPr>
          <w:p w14:paraId="41253426" w14:textId="77777777" w:rsidR="008A5EF2" w:rsidRPr="008A5EF2" w:rsidRDefault="008A5EF2" w:rsidP="004557E3">
            <w:pPr>
              <w:jc w:val="both"/>
              <w:rPr>
                <w:rFonts w:cstheme="minorHAnsi"/>
                <w:b/>
                <w:i/>
                <w:iCs/>
                <w:color w:val="000000"/>
                <w:lang w:val="en-AU"/>
              </w:rPr>
            </w:pPr>
            <w:r w:rsidRPr="008A5EF2">
              <w:rPr>
                <w:rFonts w:cstheme="minorHAnsi"/>
                <w:bCs/>
                <w:color w:val="000000"/>
                <w:lang w:val="en-AU"/>
              </w:rPr>
              <w:lastRenderedPageBreak/>
              <w:t xml:space="preserve">The hate spin strategy was employed to frame the Ahok protest movement as defending Islam, implying that Ahok had attacked Islam and justifying the protests as retaliation for his supposed hatred of the religion. </w:t>
            </w:r>
            <w:proofErr w:type="spellStart"/>
            <w:r w:rsidRPr="008A5EF2">
              <w:rPr>
                <w:rFonts w:cstheme="minorHAnsi"/>
                <w:bCs/>
                <w:color w:val="000000"/>
                <w:lang w:val="en-AU"/>
              </w:rPr>
              <w:t>Ahok's</w:t>
            </w:r>
            <w:proofErr w:type="spellEnd"/>
            <w:r w:rsidRPr="008A5EF2">
              <w:rPr>
                <w:rFonts w:cstheme="minorHAnsi"/>
                <w:bCs/>
                <w:color w:val="000000"/>
                <w:lang w:val="en-AU"/>
              </w:rPr>
              <w:t xml:space="preserve"> critique of using QS. Al-Maida verse 51 to oppose non-Muslim candidates </w:t>
            </w:r>
            <w:r w:rsidRPr="008A5EF2">
              <w:rPr>
                <w:rFonts w:cstheme="minorHAnsi"/>
                <w:bCs/>
                <w:color w:val="000000"/>
                <w:lang w:val="en-AU"/>
              </w:rPr>
              <w:lastRenderedPageBreak/>
              <w:t xml:space="preserve">was seen as a disgrace to Islam. Budi </w:t>
            </w:r>
            <w:proofErr w:type="spellStart"/>
            <w:r w:rsidRPr="008A5EF2">
              <w:rPr>
                <w:rFonts w:cstheme="minorHAnsi"/>
                <w:bCs/>
                <w:color w:val="000000"/>
                <w:lang w:val="en-AU"/>
              </w:rPr>
              <w:t>Yani</w:t>
            </w:r>
            <w:proofErr w:type="spellEnd"/>
            <w:r w:rsidRPr="008A5EF2">
              <w:rPr>
                <w:rFonts w:cstheme="minorHAnsi"/>
                <w:bCs/>
                <w:color w:val="000000"/>
                <w:lang w:val="en-AU"/>
              </w:rPr>
              <w:t xml:space="preserve"> incited hate by editing a video of Ahok and adding a narrative that falsely accused him of disrespecting Islam.</w:t>
            </w:r>
          </w:p>
        </w:tc>
      </w:tr>
      <w:tr w:rsidR="008A5EF2" w:rsidRPr="008A5EF2" w14:paraId="1B7DF791" w14:textId="77777777" w:rsidTr="004557E3">
        <w:tc>
          <w:tcPr>
            <w:tcW w:w="1413" w:type="dxa"/>
            <w:tcBorders>
              <w:left w:val="nil"/>
            </w:tcBorders>
            <w:shd w:val="clear" w:color="auto" w:fill="D0CECE" w:themeFill="background2" w:themeFillShade="E6"/>
          </w:tcPr>
          <w:p w14:paraId="1A1E0A20"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lastRenderedPageBreak/>
              <w:t>Meiliana Case</w:t>
            </w:r>
          </w:p>
        </w:tc>
        <w:tc>
          <w:tcPr>
            <w:tcW w:w="4252" w:type="dxa"/>
            <w:shd w:val="clear" w:color="auto" w:fill="D0CECE" w:themeFill="background2" w:themeFillShade="E6"/>
          </w:tcPr>
          <w:p w14:paraId="0D773629" w14:textId="77777777" w:rsidR="008A5EF2" w:rsidRPr="008A5EF2" w:rsidRDefault="008A5EF2" w:rsidP="004557E3">
            <w:pPr>
              <w:jc w:val="both"/>
              <w:rPr>
                <w:rFonts w:cstheme="minorHAnsi"/>
                <w:bCs/>
                <w:color w:val="000000"/>
                <w:lang w:val="en-AU"/>
              </w:rPr>
            </w:pPr>
            <w:r w:rsidRPr="008A5EF2">
              <w:rPr>
                <w:rFonts w:cstheme="minorHAnsi"/>
                <w:bCs/>
                <w:color w:val="000000"/>
                <w:lang w:val="en-AU"/>
              </w:rPr>
              <w:t>The Meiliana case exposes Indonesian vigilantism against Buddhist religious minorities. Meiliana was sentenced to one year and eight months in jail for insulting Islam after complaining to her neighbour about the excessively loud call of pray (</w:t>
            </w:r>
            <w:proofErr w:type="spellStart"/>
            <w:r w:rsidRPr="008A5EF2">
              <w:rPr>
                <w:rFonts w:cstheme="minorHAnsi"/>
                <w:bCs/>
                <w:i/>
                <w:iCs/>
                <w:color w:val="000000"/>
                <w:lang w:val="en-AU"/>
              </w:rPr>
              <w:t>adzan</w:t>
            </w:r>
            <w:proofErr w:type="spellEnd"/>
            <w:r w:rsidRPr="008A5EF2">
              <w:rPr>
                <w:rFonts w:cstheme="minorHAnsi"/>
                <w:bCs/>
                <w:i/>
                <w:iCs/>
                <w:color w:val="000000"/>
                <w:lang w:val="en-AU"/>
              </w:rPr>
              <w:t>).</w:t>
            </w:r>
            <w:r w:rsidRPr="008A5EF2">
              <w:rPr>
                <w:rFonts w:cstheme="minorHAnsi"/>
                <w:bCs/>
                <w:color w:val="000000"/>
                <w:lang w:val="en-AU"/>
              </w:rPr>
              <w:t xml:space="preserve"> During the trial, vigilantes burnt many Buddhist temples, damaged </w:t>
            </w:r>
            <w:proofErr w:type="spellStart"/>
            <w:r w:rsidRPr="008A5EF2">
              <w:rPr>
                <w:rFonts w:cstheme="minorHAnsi"/>
                <w:bCs/>
                <w:color w:val="000000"/>
                <w:lang w:val="en-AU"/>
              </w:rPr>
              <w:t>Meiliana's</w:t>
            </w:r>
            <w:proofErr w:type="spellEnd"/>
            <w:r w:rsidRPr="008A5EF2">
              <w:rPr>
                <w:rFonts w:cstheme="minorHAnsi"/>
                <w:bCs/>
                <w:color w:val="000000"/>
                <w:lang w:val="en-AU"/>
              </w:rPr>
              <w:t xml:space="preserve"> home, and forced her to leave.</w:t>
            </w:r>
          </w:p>
        </w:tc>
        <w:tc>
          <w:tcPr>
            <w:tcW w:w="4253" w:type="dxa"/>
            <w:tcBorders>
              <w:right w:val="nil"/>
            </w:tcBorders>
            <w:shd w:val="clear" w:color="auto" w:fill="D0CECE" w:themeFill="background2" w:themeFillShade="E6"/>
          </w:tcPr>
          <w:p w14:paraId="31656FC7" w14:textId="77777777" w:rsidR="008A5EF2" w:rsidRPr="008A5EF2" w:rsidRDefault="008A5EF2" w:rsidP="004557E3">
            <w:pPr>
              <w:ind w:firstLine="0"/>
              <w:jc w:val="both"/>
              <w:rPr>
                <w:rFonts w:cstheme="minorHAnsi"/>
                <w:bCs/>
                <w:color w:val="000000"/>
                <w:lang w:val="en-AU"/>
              </w:rPr>
            </w:pPr>
            <w:r w:rsidRPr="008A5EF2">
              <w:rPr>
                <w:rFonts w:cstheme="minorHAnsi"/>
                <w:bCs/>
                <w:color w:val="000000"/>
                <w:lang w:val="en-AU"/>
              </w:rPr>
              <w:t xml:space="preserve">The case of Meiliana began with her complaint to a </w:t>
            </w:r>
            <w:proofErr w:type="spellStart"/>
            <w:r w:rsidRPr="008A5EF2">
              <w:rPr>
                <w:rFonts w:cstheme="minorHAnsi"/>
                <w:bCs/>
                <w:color w:val="000000"/>
                <w:lang w:val="en-AU"/>
              </w:rPr>
              <w:t>neighbor</w:t>
            </w:r>
            <w:proofErr w:type="spellEnd"/>
            <w:r w:rsidRPr="008A5EF2">
              <w:rPr>
                <w:rFonts w:cstheme="minorHAnsi"/>
                <w:bCs/>
                <w:color w:val="000000"/>
                <w:lang w:val="en-AU"/>
              </w:rPr>
              <w:t xml:space="preserve"> about the unusually loud volume of the mosque's call to prayer. However, as the information spread through social media, it was distorted to portray Meiliana, a Chinese-Indonesian Buddhist woman, as rejecting the call of pray in Islam. This shift in information represents a form of hate spin, with unclear origins, that quickly spread due to the presence of anti-Islamic sentiment</w:t>
            </w:r>
          </w:p>
        </w:tc>
      </w:tr>
      <w:tr w:rsidR="008A5EF2" w:rsidRPr="008A5EF2" w14:paraId="532499CD" w14:textId="77777777" w:rsidTr="004557E3">
        <w:tc>
          <w:tcPr>
            <w:tcW w:w="1413" w:type="dxa"/>
            <w:tcBorders>
              <w:left w:val="nil"/>
              <w:bottom w:val="single" w:sz="4" w:space="0" w:color="auto"/>
            </w:tcBorders>
          </w:tcPr>
          <w:p w14:paraId="4A8F3A16"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t>Gafatar Case</w:t>
            </w:r>
          </w:p>
        </w:tc>
        <w:tc>
          <w:tcPr>
            <w:tcW w:w="4252" w:type="dxa"/>
            <w:tcBorders>
              <w:bottom w:val="single" w:sz="4" w:space="0" w:color="auto"/>
            </w:tcBorders>
          </w:tcPr>
          <w:p w14:paraId="73B4319C" w14:textId="77777777" w:rsidR="008A5EF2" w:rsidRPr="008A5EF2" w:rsidRDefault="008A5EF2" w:rsidP="004557E3">
            <w:pPr>
              <w:ind w:firstLine="0"/>
              <w:jc w:val="both"/>
              <w:rPr>
                <w:rFonts w:cstheme="minorHAnsi"/>
                <w:bCs/>
                <w:color w:val="000000"/>
                <w:lang w:val="en-AU"/>
              </w:rPr>
            </w:pPr>
            <w:r w:rsidRPr="008A5EF2">
              <w:rPr>
                <w:rFonts w:cstheme="minorHAnsi"/>
                <w:bCs/>
                <w:color w:val="000000"/>
                <w:lang w:val="en-AU"/>
              </w:rPr>
              <w:t xml:space="preserve">Moton Panjang and </w:t>
            </w:r>
            <w:proofErr w:type="spellStart"/>
            <w:r w:rsidRPr="008A5EF2">
              <w:rPr>
                <w:rFonts w:cstheme="minorHAnsi"/>
                <w:bCs/>
                <w:color w:val="000000"/>
                <w:lang w:val="en-AU"/>
              </w:rPr>
              <w:t>Tanjung</w:t>
            </w:r>
            <w:proofErr w:type="spellEnd"/>
            <w:r w:rsidRPr="008A5EF2">
              <w:rPr>
                <w:rFonts w:cstheme="minorHAnsi"/>
                <w:bCs/>
                <w:color w:val="000000"/>
                <w:lang w:val="en-AU"/>
              </w:rPr>
              <w:t xml:space="preserve"> </w:t>
            </w:r>
            <w:proofErr w:type="spellStart"/>
            <w:r w:rsidRPr="008A5EF2">
              <w:rPr>
                <w:rFonts w:cstheme="minorHAnsi"/>
                <w:bCs/>
                <w:color w:val="000000"/>
                <w:lang w:val="en-AU"/>
              </w:rPr>
              <w:t>Pasir</w:t>
            </w:r>
            <w:proofErr w:type="spellEnd"/>
            <w:r w:rsidRPr="008A5EF2">
              <w:rPr>
                <w:rFonts w:cstheme="minorHAnsi"/>
                <w:bCs/>
                <w:color w:val="000000"/>
                <w:lang w:val="en-AU"/>
              </w:rPr>
              <w:t xml:space="preserve"> villages in Kalimantan opposed Gafatar, a legal body founded in 2012 with 55,000 members, leading to serious repercussions for its supporters. Despite initial clearance from the Ministry of Home Affairs, the Gafatar was liquidated in 2015. The Human Rights Watch reported that 2,422 families (7,916 people) were forcibly expelled from Kalimantan within two months, and over 6,000 the Gafatar members were detained in illegal detention </w:t>
            </w:r>
            <w:proofErr w:type="spellStart"/>
            <w:r w:rsidRPr="008A5EF2">
              <w:rPr>
                <w:rFonts w:cstheme="minorHAnsi"/>
                <w:bCs/>
                <w:color w:val="000000"/>
                <w:lang w:val="en-AU"/>
              </w:rPr>
              <w:t>centers</w:t>
            </w:r>
            <w:proofErr w:type="spellEnd"/>
            <w:r w:rsidRPr="008A5EF2">
              <w:rPr>
                <w:rFonts w:cstheme="minorHAnsi"/>
                <w:bCs/>
                <w:color w:val="000000"/>
                <w:lang w:val="en-AU"/>
              </w:rPr>
              <w:t xml:space="preserve"> across Indonesia. The former of Gafatar chairman, </w:t>
            </w:r>
            <w:proofErr w:type="spellStart"/>
            <w:r w:rsidRPr="008A5EF2">
              <w:rPr>
                <w:rFonts w:cstheme="minorHAnsi"/>
                <w:bCs/>
                <w:color w:val="000000"/>
                <w:lang w:val="en-AU"/>
              </w:rPr>
              <w:t>Mahful</w:t>
            </w:r>
            <w:proofErr w:type="spellEnd"/>
            <w:r w:rsidRPr="008A5EF2">
              <w:rPr>
                <w:rFonts w:cstheme="minorHAnsi"/>
                <w:bCs/>
                <w:color w:val="000000"/>
                <w:lang w:val="en-AU"/>
              </w:rPr>
              <w:t xml:space="preserve"> M </w:t>
            </w:r>
            <w:proofErr w:type="spellStart"/>
            <w:r w:rsidRPr="008A5EF2">
              <w:rPr>
                <w:rFonts w:cstheme="minorHAnsi"/>
                <w:bCs/>
                <w:color w:val="000000"/>
                <w:lang w:val="en-AU"/>
              </w:rPr>
              <w:t>Tumanurung</w:t>
            </w:r>
            <w:proofErr w:type="spellEnd"/>
            <w:r w:rsidRPr="008A5EF2">
              <w:rPr>
                <w:rFonts w:cstheme="minorHAnsi"/>
                <w:bCs/>
                <w:color w:val="000000"/>
                <w:lang w:val="en-AU"/>
              </w:rPr>
              <w:t>, expressed regret over the forced evictions, property damage, and asset looting against the Gafatar members.</w:t>
            </w:r>
          </w:p>
        </w:tc>
        <w:tc>
          <w:tcPr>
            <w:tcW w:w="4253" w:type="dxa"/>
            <w:tcBorders>
              <w:bottom w:val="single" w:sz="4" w:space="0" w:color="auto"/>
              <w:right w:val="nil"/>
            </w:tcBorders>
          </w:tcPr>
          <w:p w14:paraId="62E022C8" w14:textId="77777777" w:rsidR="008A5EF2" w:rsidRPr="008A5EF2" w:rsidRDefault="008A5EF2" w:rsidP="004557E3">
            <w:pPr>
              <w:ind w:firstLine="0"/>
              <w:jc w:val="both"/>
              <w:rPr>
                <w:rFonts w:cstheme="minorHAnsi"/>
                <w:bCs/>
                <w:color w:val="000000"/>
                <w:lang w:val="en-AU"/>
              </w:rPr>
            </w:pPr>
            <w:r w:rsidRPr="008A5EF2">
              <w:rPr>
                <w:rFonts w:cstheme="minorHAnsi"/>
                <w:bCs/>
                <w:color w:val="000000"/>
                <w:lang w:val="en-AU"/>
              </w:rPr>
              <w:t>The hate spin strategy against the Gafatar has had adverse effects on its followers, who have suffered from acts of vigilantism resulting in displacement, property damage, and severe injuries. The declaration of the Gafatar as a heretical movement has placed undue burden and harm to its members.</w:t>
            </w:r>
          </w:p>
          <w:p w14:paraId="4BA34F43" w14:textId="77777777" w:rsidR="008A5EF2" w:rsidRPr="008A5EF2" w:rsidRDefault="008A5EF2" w:rsidP="004557E3">
            <w:pPr>
              <w:ind w:firstLine="0"/>
              <w:jc w:val="both"/>
              <w:rPr>
                <w:rFonts w:cstheme="minorHAnsi"/>
                <w:b/>
                <w:i/>
                <w:iCs/>
                <w:color w:val="000000"/>
                <w:lang w:val="en-AU"/>
              </w:rPr>
            </w:pPr>
          </w:p>
        </w:tc>
      </w:tr>
      <w:tr w:rsidR="008A5EF2" w:rsidRPr="008A5EF2" w14:paraId="6EC4AF2A" w14:textId="77777777" w:rsidTr="004557E3">
        <w:tc>
          <w:tcPr>
            <w:tcW w:w="1413" w:type="dxa"/>
            <w:tcBorders>
              <w:left w:val="nil"/>
            </w:tcBorders>
            <w:shd w:val="clear" w:color="auto" w:fill="D0CECE" w:themeFill="background2" w:themeFillShade="E6"/>
          </w:tcPr>
          <w:p w14:paraId="3E2D2CDB"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t>Ahmadiyya Case</w:t>
            </w:r>
          </w:p>
        </w:tc>
        <w:tc>
          <w:tcPr>
            <w:tcW w:w="4252" w:type="dxa"/>
            <w:shd w:val="clear" w:color="auto" w:fill="D0CECE" w:themeFill="background2" w:themeFillShade="E6"/>
          </w:tcPr>
          <w:p w14:paraId="661EB02A" w14:textId="77777777" w:rsidR="008A5EF2" w:rsidRPr="008A5EF2" w:rsidRDefault="008A5EF2" w:rsidP="004557E3">
            <w:pPr>
              <w:jc w:val="both"/>
              <w:rPr>
                <w:rFonts w:cstheme="minorHAnsi"/>
                <w:b/>
                <w:i/>
                <w:iCs/>
                <w:color w:val="000000"/>
                <w:lang w:val="en-AU"/>
              </w:rPr>
            </w:pPr>
            <w:r w:rsidRPr="008A5EF2">
              <w:rPr>
                <w:rFonts w:cstheme="minorHAnsi"/>
                <w:bCs/>
                <w:color w:val="000000"/>
                <w:lang w:val="en-AU"/>
              </w:rPr>
              <w:t>Since 1980, the Indonesia's Ahmadiyya community has faced vigilante justice. The 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tolerance and understanding.</w:t>
            </w:r>
          </w:p>
        </w:tc>
        <w:tc>
          <w:tcPr>
            <w:tcW w:w="4253" w:type="dxa"/>
            <w:tcBorders>
              <w:right w:val="nil"/>
            </w:tcBorders>
            <w:shd w:val="clear" w:color="auto" w:fill="D0CECE" w:themeFill="background2" w:themeFillShade="E6"/>
          </w:tcPr>
          <w:p w14:paraId="42591698" w14:textId="77777777" w:rsidR="008A5EF2" w:rsidRPr="008A5EF2" w:rsidRDefault="008A5EF2" w:rsidP="004557E3">
            <w:pPr>
              <w:jc w:val="both"/>
              <w:rPr>
                <w:rFonts w:cstheme="minorHAnsi"/>
                <w:b/>
                <w:i/>
                <w:iCs/>
                <w:color w:val="000000"/>
                <w:lang w:val="en-AU"/>
              </w:rPr>
            </w:pPr>
            <w:r w:rsidRPr="008A5EF2">
              <w:rPr>
                <w:rFonts w:cstheme="minorHAnsi"/>
                <w:bCs/>
                <w:color w:val="000000"/>
                <w:lang w:val="en-AU"/>
              </w:rPr>
              <w:t>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the Ahmadiyya followers. Despite their religious practices being similar to mainstream Islam, they are rejected by Pakistan, Malaysia, and OIC countries. The MUI's advice for the Ahmadiyya adherents to renounce Islam has not resolved the issue, as they continue to follow Islamic precepts.</w:t>
            </w:r>
          </w:p>
        </w:tc>
      </w:tr>
    </w:tbl>
    <w:p w14:paraId="0A80D852" w14:textId="77777777" w:rsidR="008A5EF2" w:rsidRDefault="008A5EF2" w:rsidP="008A5EF2">
      <w:pPr>
        <w:jc w:val="both"/>
        <w:rPr>
          <w:rFonts w:ascii="Calibri" w:hAnsi="Calibri" w:cs="Calibri"/>
          <w:b/>
          <w:i/>
          <w:iCs/>
          <w:color w:val="000000"/>
          <w:lang w:val="en-AU"/>
        </w:rPr>
      </w:pPr>
    </w:p>
    <w:p w14:paraId="0BF77139"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Human rights defenders, such as the YLBHI, worry about social media disinformation and fact-bending. Thus, citizens must be taught to respect religious pluralism and the law. To avoid misinterpretation, the government must also clarify what constitutes blasphemy. Interfaith discourse and respect for other religions may also promote tolerance and inclusion.</w:t>
      </w:r>
      <w:r>
        <w:rPr>
          <w:rFonts w:ascii="Calibri" w:hAnsi="Calibri" w:cs="Calibri"/>
          <w:bCs/>
          <w:color w:val="000000"/>
          <w:lang w:val="en-AU"/>
        </w:rPr>
        <w:t xml:space="preserve"> </w:t>
      </w:r>
      <w:r w:rsidRPr="00096B7E">
        <w:rPr>
          <w:rFonts w:ascii="Calibri" w:hAnsi="Calibri" w:cs="Calibri"/>
          <w:bCs/>
          <w:color w:val="000000"/>
          <w:lang w:val="en-AU"/>
        </w:rPr>
        <w:t xml:space="preserve">The distortion of facts and the spread of misinformation through social media and other channels are serious concerns in Indonesia. The fact is that there is no education for citizens about the importance of respecting religious diversity and the rule of law. The government has also taken a position defending the anti-blasphemy law, which contains ambiguous legal norms, and then strengthening it by issuing various policies </w:t>
      </w:r>
      <w:r w:rsidRPr="00096B7E">
        <w:rPr>
          <w:rFonts w:ascii="Calibri" w:hAnsi="Calibri" w:cs="Calibri"/>
          <w:bCs/>
          <w:color w:val="000000"/>
          <w:lang w:val="en-AU"/>
        </w:rPr>
        <w:lastRenderedPageBreak/>
        <w:t>declaring various cases of blasphemy a form of insulting Islam or a deviant sect. Instead of opening up interreligious dialogue to mutually respect different religious beliefs, various policies actually provide legitimacy that encourages people to be intolerant of differences and exclusive.</w:t>
      </w:r>
    </w:p>
    <w:p w14:paraId="2EBF4A5C" w14:textId="77777777" w:rsidR="008A5EF2" w:rsidRDefault="008A5EF2" w:rsidP="008A5EF2">
      <w:pPr>
        <w:ind w:firstLine="0"/>
        <w:jc w:val="both"/>
        <w:rPr>
          <w:rFonts w:ascii="Calibri" w:hAnsi="Calibri" w:cs="Calibri"/>
          <w:bCs/>
          <w:color w:val="000000"/>
          <w:lang w:val="en-AU"/>
        </w:rPr>
      </w:pPr>
    </w:p>
    <w:p w14:paraId="7B947D2A" w14:textId="77777777" w:rsidR="008A5EF2" w:rsidRPr="00315563" w:rsidRDefault="008A5EF2" w:rsidP="008A5EF2">
      <w:pPr>
        <w:ind w:firstLine="0"/>
        <w:jc w:val="both"/>
        <w:rPr>
          <w:rFonts w:ascii="Calibri" w:hAnsi="Calibri" w:cs="Calibri"/>
          <w:b/>
          <w:color w:val="000000"/>
          <w:lang w:val="en-AU"/>
        </w:rPr>
      </w:pPr>
      <w:r w:rsidRPr="00B1578E">
        <w:rPr>
          <w:rFonts w:ascii="Calibri" w:hAnsi="Calibri" w:cs="Calibri"/>
          <w:b/>
          <w:color w:val="000000"/>
          <w:lang w:val="en-AU"/>
        </w:rPr>
        <w:t xml:space="preserve">Factors </w:t>
      </w:r>
      <w:r>
        <w:rPr>
          <w:rFonts w:ascii="Calibri" w:hAnsi="Calibri" w:cs="Calibri"/>
          <w:b/>
          <w:color w:val="000000"/>
          <w:lang w:val="en-AU"/>
        </w:rPr>
        <w:t>a</w:t>
      </w:r>
      <w:r w:rsidRPr="00B1578E">
        <w:rPr>
          <w:rFonts w:ascii="Calibri" w:hAnsi="Calibri" w:cs="Calibri"/>
          <w:b/>
          <w:color w:val="000000"/>
          <w:lang w:val="en-AU"/>
        </w:rPr>
        <w:t xml:space="preserve">nd Actors Influence </w:t>
      </w:r>
      <w:r>
        <w:rPr>
          <w:rFonts w:ascii="Calibri" w:hAnsi="Calibri" w:cs="Calibri"/>
          <w:b/>
          <w:color w:val="000000"/>
          <w:lang w:val="en-AU"/>
        </w:rPr>
        <w:t>t</w:t>
      </w:r>
      <w:r w:rsidRPr="00B1578E">
        <w:rPr>
          <w:rFonts w:ascii="Calibri" w:hAnsi="Calibri" w:cs="Calibri"/>
          <w:b/>
          <w:color w:val="000000"/>
          <w:lang w:val="en-AU"/>
        </w:rPr>
        <w:t xml:space="preserve">he Act </w:t>
      </w:r>
      <w:r>
        <w:rPr>
          <w:rFonts w:ascii="Calibri" w:hAnsi="Calibri" w:cs="Calibri"/>
          <w:b/>
          <w:color w:val="000000"/>
          <w:lang w:val="en-AU"/>
        </w:rPr>
        <w:t>o</w:t>
      </w:r>
      <w:r w:rsidRPr="00B1578E">
        <w:rPr>
          <w:rFonts w:ascii="Calibri" w:hAnsi="Calibri" w:cs="Calibri"/>
          <w:b/>
          <w:color w:val="000000"/>
          <w:lang w:val="en-AU"/>
        </w:rPr>
        <w:t xml:space="preserve">f </w:t>
      </w:r>
      <w:r>
        <w:rPr>
          <w:rFonts w:ascii="Calibri" w:hAnsi="Calibri" w:cs="Calibri"/>
          <w:b/>
          <w:i/>
          <w:iCs/>
          <w:color w:val="000000"/>
          <w:lang w:val="en-AU"/>
        </w:rPr>
        <w:t>Vigilante Justice over Blasphemy Allegations</w:t>
      </w:r>
    </w:p>
    <w:p w14:paraId="0A92BAFC" w14:textId="77777777" w:rsidR="008A5EF2" w:rsidRDefault="008A5EF2" w:rsidP="008A5EF2">
      <w:pPr>
        <w:ind w:firstLine="0"/>
        <w:jc w:val="both"/>
        <w:rPr>
          <w:rFonts w:ascii="Calibri" w:hAnsi="Calibri" w:cs="Calibri"/>
          <w:bCs/>
          <w:color w:val="000000"/>
          <w:lang w:val="en-AU"/>
        </w:rPr>
      </w:pPr>
      <w:r w:rsidRPr="0022722E">
        <w:rPr>
          <w:rFonts w:ascii="Calibri" w:hAnsi="Calibri" w:cs="Calibri"/>
          <w:bCs/>
          <w:color w:val="000000"/>
          <w:lang w:val="en-AU"/>
        </w:rPr>
        <w:t>The issue of vigilante justice against religious minority groups in Indonesia is a concerning problem that has been influenced by various factors and actors</w:t>
      </w:r>
      <w:r>
        <w:rPr>
          <w:rFonts w:ascii="Calibri" w:hAnsi="Calibri" w:cs="Calibri"/>
          <w:bCs/>
          <w:color w:val="000000"/>
          <w:lang w:val="en-AU"/>
        </w:rPr>
        <w:t xml:space="preserve"> as</w:t>
      </w:r>
      <w:r w:rsidRPr="0022722E">
        <w:rPr>
          <w:rFonts w:ascii="Calibri" w:hAnsi="Calibri" w:cs="Calibri"/>
          <w:bCs/>
          <w:color w:val="000000"/>
          <w:lang w:val="en-AU"/>
        </w:rPr>
        <w:t xml:space="preserve"> </w:t>
      </w:r>
      <w:r>
        <w:rPr>
          <w:rFonts w:ascii="Calibri" w:hAnsi="Calibri" w:cs="Calibri"/>
          <w:bCs/>
          <w:color w:val="000000"/>
          <w:lang w:val="en-AU"/>
        </w:rPr>
        <w:t>describe in figure 1.</w:t>
      </w:r>
    </w:p>
    <w:p w14:paraId="3A1BF970" w14:textId="77777777" w:rsidR="008A5EF2" w:rsidRDefault="008A5EF2" w:rsidP="008A5EF2">
      <w:pPr>
        <w:ind w:firstLine="0"/>
        <w:jc w:val="both"/>
        <w:rPr>
          <w:rFonts w:ascii="Calibri" w:hAnsi="Calibri" w:cs="Calibri"/>
          <w:bCs/>
          <w:color w:val="000000"/>
          <w:lang w:val="en-AU"/>
        </w:rPr>
      </w:pPr>
    </w:p>
    <w:p w14:paraId="5E3D17C0" w14:textId="77777777" w:rsidR="008A5EF2" w:rsidRDefault="008A5EF2" w:rsidP="008A5EF2">
      <w:pPr>
        <w:ind w:firstLine="0"/>
        <w:jc w:val="both"/>
        <w:rPr>
          <w:rFonts w:ascii="Calibri" w:hAnsi="Calibri" w:cs="Calibri"/>
          <w:bCs/>
          <w:color w:val="000000"/>
          <w:lang w:val="en-AU"/>
        </w:rPr>
      </w:pPr>
      <w:r>
        <w:rPr>
          <w:rFonts w:ascii="Calibri" w:hAnsi="Calibri" w:cs="Calibri"/>
          <w:bCs/>
          <w:noProof/>
          <w:color w:val="000000"/>
          <w:lang w:val="en-AU"/>
        </w:rPr>
        <w:drawing>
          <wp:inline distT="0" distB="0" distL="0" distR="0" wp14:anchorId="2640527E" wp14:editId="0CA9847E">
            <wp:extent cx="5448300" cy="3568700"/>
            <wp:effectExtent l="12700" t="12700" r="12700" b="12700"/>
            <wp:docPr id="19764420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 descr="A picture containing text, screenshot, diagram,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68C50753" w14:textId="77777777" w:rsidR="008A5EF2" w:rsidRPr="00096B7E" w:rsidRDefault="008A5EF2" w:rsidP="008A5EF2">
      <w:pPr>
        <w:pStyle w:val="Caption"/>
        <w:jc w:val="center"/>
        <w:rPr>
          <w:rFonts w:ascii="Calibri" w:hAnsi="Calibri" w:cs="Calibri"/>
          <w:bCs w:val="0"/>
          <w:color w:val="000000"/>
          <w:sz w:val="22"/>
          <w:szCs w:val="22"/>
          <w:lang w:val="en-AU"/>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D6BC0">
        <w:t xml:space="preserve">Factors and actors influence the act of </w:t>
      </w:r>
      <w:r>
        <w:t>Vigilante Justice</w:t>
      </w:r>
    </w:p>
    <w:p w14:paraId="69B6EE8A" w14:textId="77777777" w:rsidR="008A5EF2" w:rsidRPr="0022722E" w:rsidRDefault="008A5EF2" w:rsidP="008A5EF2">
      <w:pPr>
        <w:ind w:firstLine="0"/>
        <w:jc w:val="both"/>
        <w:rPr>
          <w:rFonts w:ascii="Calibri" w:hAnsi="Calibri" w:cs="Calibri"/>
          <w:bCs/>
          <w:color w:val="000000"/>
          <w:lang w:val="en-AU"/>
        </w:rPr>
      </w:pPr>
    </w:p>
    <w:p w14:paraId="29EA19D9" w14:textId="77777777" w:rsidR="008A5EF2" w:rsidRDefault="008A5EF2" w:rsidP="008A5EF2">
      <w:pPr>
        <w:jc w:val="both"/>
        <w:rPr>
          <w:rFonts w:cs="Linux Libertine"/>
          <w:color w:val="000000" w:themeColor="text1"/>
          <w:lang w:val="en-US"/>
        </w:rPr>
      </w:pPr>
      <w:r>
        <w:rPr>
          <w:rFonts w:ascii="Calibri" w:hAnsi="Calibri" w:cs="Calibri"/>
          <w:bCs/>
          <w:color w:val="000000"/>
          <w:lang w:val="en-AU"/>
        </w:rPr>
        <w:t xml:space="preserve">Firs of all, the legal factor shaped vigilante justice through </w:t>
      </w:r>
      <w:r w:rsidRPr="00940329">
        <w:rPr>
          <w:rFonts w:ascii="Calibri" w:hAnsi="Calibri" w:cs="Calibri"/>
          <w:bCs/>
          <w:color w:val="000000"/>
          <w:lang w:val="en-AU"/>
        </w:rPr>
        <w:t xml:space="preserve">the </w:t>
      </w:r>
      <w:r>
        <w:rPr>
          <w:rFonts w:ascii="Calibri" w:hAnsi="Calibri" w:cs="Calibri"/>
          <w:bCs/>
          <w:color w:val="000000"/>
          <w:lang w:val="en-AU"/>
        </w:rPr>
        <w:t>prolong existence of the flawed Indonesia’s Anti-Blasphemy Law has been manipulated by the Hardliner Islamic groups to promote war against blasphemy. T</w:t>
      </w:r>
      <w:r w:rsidRPr="00096B7E">
        <w:rPr>
          <w:rFonts w:ascii="Calibri" w:hAnsi="Calibri" w:cs="Calibri"/>
          <w:bCs/>
          <w:color w:val="000000"/>
          <w:lang w:val="en-AU"/>
        </w:rPr>
        <w:t xml:space="preserve">he close connections between state officials and vigilante groups have significantly influenced the Indonesian state's response to violence against the Ahmadiyya and the Gafatar minority communities. As study done by Hewson, the connection has allowed vigilante groups to commit violent acts against minority congregations with a degree of impunity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(Hewson, 2017)</w:t>
      </w:r>
      <w:r w:rsidRPr="00096B7E">
        <w:rPr>
          <w:rFonts w:ascii="Calibri" w:hAnsi="Calibri" w:cs="Calibri"/>
          <w:bCs/>
          <w:color w:val="000000"/>
          <w:lang w:val="en-AU"/>
        </w:rPr>
        <w:fldChar w:fldCharType="end"/>
      </w:r>
      <w:r w:rsidRPr="00096B7E">
        <w:rPr>
          <w:rFonts w:ascii="Calibri" w:hAnsi="Calibri" w:cs="Calibri"/>
          <w:bCs/>
          <w:color w:val="000000"/>
          <w:lang w:val="en-AU"/>
        </w:rPr>
        <w:t>.</w:t>
      </w:r>
      <w:r>
        <w:rPr>
          <w:rFonts w:ascii="Calibri" w:hAnsi="Calibri" w:cs="Calibri"/>
          <w:bCs/>
          <w:color w:val="000000"/>
          <w:lang w:val="en-AU"/>
        </w:rPr>
        <w:t xml:space="preserve"> </w:t>
      </w: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This was followed by a report from the Muhammadiyah Youth</w:t>
      </w:r>
      <w:r>
        <w:rPr>
          <w:rStyle w:val="FootnoteReference"/>
          <w:rFonts w:cs="Linux Libertine"/>
          <w:color w:val="000000" w:themeColor="text1"/>
          <w:lang w:val="en-US"/>
        </w:rPr>
        <w:footnoteReference w:id="2"/>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In the </w:t>
      </w:r>
      <w:r w:rsidRPr="00F832DC">
        <w:rPr>
          <w:rFonts w:cs="Linux Libertine"/>
          <w:color w:val="000000" w:themeColor="text1"/>
          <w:lang w:val="en-US"/>
        </w:rPr>
        <w:t>Ahmadiyya</w:t>
      </w:r>
      <w:r>
        <w:rPr>
          <w:rFonts w:cs="Linux Libertine"/>
          <w:color w:val="000000" w:themeColor="text1"/>
          <w:lang w:val="en-US"/>
        </w:rPr>
        <w:t>’s</w:t>
      </w:r>
      <w:r w:rsidRPr="00F832DC">
        <w:rPr>
          <w:rFonts w:cs="Linux Libertine"/>
          <w:color w:val="000000" w:themeColor="text1"/>
          <w:lang w:val="en-US"/>
        </w:rPr>
        <w:t xml:space="preserve"> </w:t>
      </w:r>
      <w:r>
        <w:rPr>
          <w:rFonts w:cs="Linux Libertine"/>
          <w:color w:val="000000" w:themeColor="text1"/>
          <w:lang w:val="en-US"/>
        </w:rPr>
        <w:t xml:space="preserve">case, the Ahmadiyya </w:t>
      </w:r>
      <w:r w:rsidRPr="00F832DC">
        <w:rPr>
          <w:rFonts w:cs="Linux Libertine"/>
          <w:color w:val="000000" w:themeColor="text1"/>
          <w:lang w:val="en-US"/>
        </w:rPr>
        <w:t>is a legal entity founded by the Indonesian Islamic Community approved by the Ministry of Law in 1953. However, since 1980 Ahmadiyya has been declared heretical by the Indonesian Council of Ulema, following several fatwas.</w:t>
      </w:r>
      <w:r>
        <w:rPr>
          <w:rFonts w:cs="Linux Libertine"/>
          <w:color w:val="000000" w:themeColor="text1"/>
          <w:lang w:val="en-US"/>
        </w:rPr>
        <w:t xml:space="preserve"> </w:t>
      </w:r>
      <w:r w:rsidRPr="00096B7E">
        <w:rPr>
          <w:rFonts w:cs="Linux Libertine"/>
          <w:color w:val="000000" w:themeColor="text1"/>
          <w:lang w:val="en-US"/>
        </w:rPr>
        <w:t>the Indonesian government's pressure against Gafatar continued. On January 14, the Minister of Home Affairs</w:t>
      </w:r>
      <w:r>
        <w:rPr>
          <w:rFonts w:cs="Linux Libertine"/>
          <w:color w:val="000000" w:themeColor="text1"/>
          <w:lang w:val="en-US"/>
        </w:rPr>
        <w:t xml:space="preserve"> </w:t>
      </w:r>
      <w:r w:rsidRPr="00096B7E">
        <w:rPr>
          <w:rFonts w:cs="Linux Libertine"/>
          <w:color w:val="000000" w:themeColor="text1"/>
          <w:lang w:val="en-US"/>
        </w:rPr>
        <w:t xml:space="preserve">instructed the local government to close all Gafatar offices. On March 24, Attorney General Muhammad </w:t>
      </w:r>
      <w:proofErr w:type="spellStart"/>
      <w:r w:rsidRPr="00096B7E">
        <w:rPr>
          <w:rFonts w:cs="Linux Libertine"/>
          <w:color w:val="000000" w:themeColor="text1"/>
          <w:lang w:val="en-US"/>
        </w:rPr>
        <w:t>Prasetyo</w:t>
      </w:r>
      <w:proofErr w:type="spellEnd"/>
      <w:r w:rsidRPr="00096B7E">
        <w:rPr>
          <w:rFonts w:cs="Linux Libertine"/>
          <w:color w:val="000000" w:themeColor="text1"/>
          <w:lang w:val="en-US"/>
        </w:rPr>
        <w:t xml:space="preserve"> announced a Joint Decree (SKB</w:t>
      </w:r>
      <w:r>
        <w:rPr>
          <w:rFonts w:cs="Linux Libertine"/>
          <w:color w:val="000000" w:themeColor="text1"/>
          <w:lang w:val="en-US"/>
        </w:rPr>
        <w:t xml:space="preserve">) </w:t>
      </w:r>
      <w:r w:rsidRPr="00096B7E">
        <w:rPr>
          <w:rFonts w:cs="Linux Libertine"/>
          <w:color w:val="000000" w:themeColor="text1"/>
          <w:lang w:val="en-US"/>
        </w:rPr>
        <w:t>warning that "former members and administrators of Gafatar" involved in "dissemination, interpretation, and activities that deviate from the main teachings of Islam" may face up to five years in prison, based on the 1965 blasphemy crime article</w:t>
      </w:r>
      <w:r>
        <w:rPr>
          <w:rFonts w:cs="Linux Libertine"/>
          <w:color w:val="000000" w:themeColor="text1"/>
          <w:lang w:val="en-US"/>
        </w:rPr>
        <w:t xml:space="preserve">. </w:t>
      </w:r>
    </w:p>
    <w:p w14:paraId="14EE5B06" w14:textId="32C86D33" w:rsidR="008A5EF2" w:rsidRDefault="008A5EF2" w:rsidP="008A5EF2">
      <w:pPr>
        <w:jc w:val="both"/>
        <w:rPr>
          <w:rFonts w:ascii="Calibri" w:hAnsi="Calibri" w:cs="Calibri"/>
          <w:bCs/>
          <w:color w:val="000000"/>
          <w:lang w:val="en-AU"/>
        </w:rPr>
      </w:pPr>
      <w:r>
        <w:rPr>
          <w:rFonts w:ascii="Calibri" w:hAnsi="Calibri" w:cs="Calibri"/>
          <w:bCs/>
          <w:color w:val="000000"/>
          <w:lang w:val="en-AU"/>
        </w:rPr>
        <w:t>Second, the i</w:t>
      </w:r>
      <w:r w:rsidRPr="00096B7E">
        <w:rPr>
          <w:rFonts w:ascii="Calibri" w:hAnsi="Calibri" w:cs="Calibri"/>
          <w:bCs/>
          <w:color w:val="000000"/>
          <w:lang w:val="en-AU"/>
        </w:rPr>
        <w:t xml:space="preserve">deology factor indicate that 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w:t>
      </w:r>
      <w:r w:rsidRPr="00096B7E">
        <w:rPr>
          <w:rFonts w:ascii="Calibri" w:hAnsi="Calibri" w:cs="Calibri"/>
          <w:bCs/>
          <w:color w:val="000000"/>
          <w:lang w:val="en-AU"/>
        </w:rPr>
        <w:lastRenderedPageBreak/>
        <w:t xml:space="preserve">seen as contrary to blasphemy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(Menchik, 2014; Telle, 2017)</w:t>
      </w:r>
      <w:r w:rsidRPr="00096B7E">
        <w:rPr>
          <w:rFonts w:ascii="Calibri" w:hAnsi="Calibri" w:cs="Calibri"/>
          <w:bCs/>
          <w:color w:val="000000"/>
          <w:lang w:val="en-AU"/>
        </w:rPr>
        <w:fldChar w:fldCharType="end"/>
      </w:r>
      <w:r w:rsidRPr="00096B7E">
        <w:rPr>
          <w:rFonts w:ascii="Calibri" w:hAnsi="Calibri" w:cs="Calibri"/>
          <w:bCs/>
          <w:color w:val="000000"/>
          <w:lang w:val="en-AU"/>
        </w:rPr>
        <w:t>. Indonesia's political climate further reinforces the 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7971B3DE"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 xml:space="preserve">Thirdly, structural factor means that various state institutions interference religious life of the people through releasing various policies of deviant religions against Ahok,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the Ahmadiyya and the Gafatar. 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58DB2BDF" w14:textId="414E71D4" w:rsidR="008A5EF2" w:rsidRPr="008A5EF2" w:rsidRDefault="008A5EF2" w:rsidP="008A5EF2">
      <w:pPr>
        <w:jc w:val="both"/>
        <w:rPr>
          <w:rFonts w:ascii="Calibri" w:hAnsi="Calibri" w:cs="Calibri"/>
          <w:bCs/>
          <w:color w:val="000000"/>
          <w:lang w:val="en-AU"/>
        </w:rPr>
      </w:pPr>
      <w:r w:rsidRPr="008A5EF2">
        <w:rPr>
          <w:rFonts w:ascii="Calibri" w:hAnsi="Calibri" w:cs="Calibri"/>
          <w:bCs/>
          <w:color w:val="000000"/>
          <w:lang w:val="en-AU"/>
        </w:rPr>
        <w:t>Fourth, blasphemy lawsuits are used by radical Islamic groups to win public support as Islamism rises. Although Ahmadiyya followers and other Muslim minority groups destroy most mosques that violate interfaith cooperation, Islamist populism has a role (</w:t>
      </w:r>
      <w:proofErr w:type="spellStart"/>
      <w:r w:rsidRPr="008A5EF2">
        <w:rPr>
          <w:rFonts w:ascii="Calibri" w:hAnsi="Calibri" w:cs="Calibri"/>
          <w:bCs/>
          <w:color w:val="000000"/>
          <w:lang w:val="en-AU"/>
        </w:rPr>
        <w:t>Suryana</w:t>
      </w:r>
      <w:proofErr w:type="spellEnd"/>
      <w:r w:rsidRPr="008A5EF2">
        <w:rPr>
          <w:rFonts w:ascii="Calibri" w:hAnsi="Calibri" w:cs="Calibri"/>
          <w:bCs/>
          <w:color w:val="000000"/>
          <w:lang w:val="en-AU"/>
        </w:rPr>
        <w:t xml:space="preserve">, 2019). Thus, populism of Islam refers to Indonesia's majority Islam. Barton et al. (2021) found that the Front Defender of Islam (FPI), led by </w:t>
      </w:r>
      <w:proofErr w:type="spellStart"/>
      <w:r w:rsidRPr="008A5EF2">
        <w:rPr>
          <w:rFonts w:ascii="Calibri" w:hAnsi="Calibri" w:cs="Calibri"/>
          <w:bCs/>
          <w:color w:val="000000"/>
          <w:lang w:val="en-AU"/>
        </w:rPr>
        <w:t>Rizieq</w:t>
      </w:r>
      <w:proofErr w:type="spellEnd"/>
      <w:r w:rsidRPr="008A5EF2">
        <w:rPr>
          <w:rFonts w:ascii="Calibri" w:hAnsi="Calibri" w:cs="Calibri"/>
          <w:bCs/>
          <w:color w:val="000000"/>
          <w:lang w:val="en-AU"/>
        </w:rPr>
        <w:t xml:space="preserve"> Shihab (RS), is a vigilante Islamic group. Hate narratives are used to alienate outsiders, particularly politicians and the government, and push followers to vigilantly oppose all actions that violate Islamic ideals. RS has exploited his prominence to influence FPI in several anti-Ahok rallies, accused of degrading Islam, under the guise of protecting Islam, and FPI regularly joins Main Hakim </w:t>
      </w:r>
      <w:proofErr w:type="spellStart"/>
      <w:r w:rsidRPr="008A5EF2">
        <w:rPr>
          <w:rFonts w:ascii="Calibri" w:hAnsi="Calibri" w:cs="Calibri"/>
          <w:bCs/>
          <w:color w:val="000000"/>
          <w:lang w:val="en-AU"/>
        </w:rPr>
        <w:t>Sendiri</w:t>
      </w:r>
      <w:proofErr w:type="spellEnd"/>
      <w:r w:rsidRPr="008A5EF2">
        <w:rPr>
          <w:rFonts w:ascii="Calibri" w:hAnsi="Calibri" w:cs="Calibri"/>
          <w:bCs/>
          <w:color w:val="000000"/>
          <w:lang w:val="en-AU"/>
        </w:rPr>
        <w:t xml:space="preserve"> in blasphemy cases.</w:t>
      </w:r>
    </w:p>
    <w:p w14:paraId="6B2EFD66" w14:textId="77777777" w:rsidR="008A5EF2" w:rsidRPr="008A5EF2" w:rsidRDefault="008A5EF2" w:rsidP="008A5EF2">
      <w:pPr>
        <w:jc w:val="both"/>
        <w:rPr>
          <w:rFonts w:ascii="Calibri" w:hAnsi="Calibri" w:cs="Calibri"/>
          <w:bCs/>
          <w:color w:val="000000"/>
          <w:lang w:val="en-AU"/>
        </w:rPr>
      </w:pPr>
      <w:r w:rsidRPr="008A5EF2">
        <w:rPr>
          <w:rFonts w:ascii="Calibri" w:hAnsi="Calibri" w:cs="Calibri"/>
          <w:bCs/>
          <w:color w:val="000000"/>
          <w:lang w:val="en-AU"/>
        </w:rPr>
        <w:t>Ultimately, self-declared "justice" undermines Indonesia's rule of law and democracy. To promote tolerance and individual rights, strong legislative frameworks and their execution are necessary. Allowing extreme Islamic organizations to break the law in the name of religion will destroy Indonesia's national character and democracy.</w:t>
      </w:r>
    </w:p>
    <w:p w14:paraId="0E5629B9" w14:textId="77777777" w:rsidR="008A5EF2" w:rsidRDefault="008A5EF2" w:rsidP="008A5EF2">
      <w:pPr>
        <w:ind w:firstLine="0"/>
        <w:jc w:val="both"/>
        <w:rPr>
          <w:rFonts w:ascii="Calibri" w:hAnsi="Calibri" w:cs="Calibri"/>
          <w:bCs/>
          <w:color w:val="000000"/>
          <w:lang w:val="en-AU"/>
        </w:rPr>
      </w:pPr>
    </w:p>
    <w:p w14:paraId="1A8B5F06" w14:textId="77777777" w:rsidR="008A5EF2" w:rsidRPr="00443E35" w:rsidRDefault="008A5EF2" w:rsidP="008A5EF2">
      <w:pPr>
        <w:ind w:firstLine="0"/>
        <w:jc w:val="both"/>
        <w:rPr>
          <w:rFonts w:ascii="Calibri" w:hAnsi="Calibri" w:cs="Calibri"/>
          <w:b/>
          <w:color w:val="000000"/>
          <w:lang w:val="en-AU"/>
        </w:rPr>
      </w:pPr>
      <w:r>
        <w:rPr>
          <w:rFonts w:ascii="Calibri" w:hAnsi="Calibri" w:cs="Calibri"/>
          <w:b/>
          <w:color w:val="000000"/>
          <w:lang w:val="en-AU"/>
        </w:rPr>
        <w:t>Vigilante Justice</w:t>
      </w:r>
      <w:r w:rsidRPr="00B14A95">
        <w:rPr>
          <w:rFonts w:ascii="Calibri" w:hAnsi="Calibri" w:cs="Calibri"/>
          <w:b/>
          <w:color w:val="000000"/>
          <w:lang w:val="en-AU"/>
        </w:rPr>
        <w:t xml:space="preserve"> Upsetting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r>
        <w:rPr>
          <w:rFonts w:ascii="Calibri" w:hAnsi="Calibri" w:cs="Calibri"/>
          <w:b/>
          <w:color w:val="000000"/>
          <w:lang w:val="en-AU"/>
        </w:rPr>
        <w:t xml:space="preserve"> to preserve justice</w:t>
      </w:r>
    </w:p>
    <w:p w14:paraId="6FC92139" w14:textId="77777777" w:rsidR="008A5EF2" w:rsidRDefault="008A5EF2" w:rsidP="008A5EF2">
      <w:pPr>
        <w:ind w:firstLine="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r>
        <w:rPr>
          <w:rFonts w:ascii="Calibri" w:hAnsi="Calibri" w:cs="Calibri"/>
          <w:bCs/>
          <w:color w:val="000000"/>
          <w:lang w:val="en-AU"/>
        </w:rPr>
        <w:t xml:space="preserve"> </w:t>
      </w: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w:t>
      </w:r>
    </w:p>
    <w:p w14:paraId="120C82D1" w14:textId="77777777" w:rsidR="008A5EF2"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Before the trial, many government entities through public policy had proclaimed all the defendants guilty of insulting Islam or heresy, threatening the court's independence. Courts violate due process, undercut the evidence process, and follow public policies to convict prisoners.</w:t>
      </w:r>
      <w:r>
        <w:rPr>
          <w:rFonts w:ascii="Calibri" w:hAnsi="Calibri" w:cs="Calibri"/>
          <w:bCs/>
          <w:color w:val="000000"/>
          <w:lang w:val="en-AU"/>
        </w:rPr>
        <w:t xml:space="preserve"> </w:t>
      </w:r>
    </w:p>
    <w:p w14:paraId="05035030" w14:textId="77777777" w:rsidR="008A5EF2" w:rsidRDefault="008A5EF2" w:rsidP="008A5EF2">
      <w:pPr>
        <w:ind w:firstLine="720"/>
        <w:jc w:val="both"/>
        <w:rPr>
          <w:rFonts w:ascii="Calibri" w:hAnsi="Calibri" w:cs="Calibri"/>
          <w:bCs/>
          <w:color w:val="000000"/>
          <w:lang w:val="en-AU"/>
        </w:rPr>
      </w:pPr>
      <w:r w:rsidRPr="00B86693">
        <w:rPr>
          <w:rFonts w:ascii="Calibri" w:hAnsi="Calibri" w:cs="Calibri"/>
          <w:bCs/>
          <w:color w:val="000000"/>
          <w:lang w:val="en-AU"/>
        </w:rPr>
        <w:t xml:space="preserve">The court's independence was undermined in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 due to the lack of thorough investigation and reliance on biased testimony.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categorization as a suspect was a result of MUI's demands, influencing the court's decision making. </w:t>
      </w:r>
      <w:r w:rsidRPr="00096B7E">
        <w:rPr>
          <w:rFonts w:ascii="Calibri" w:hAnsi="Calibri" w:cs="Calibri"/>
          <w:bCs/>
          <w:color w:val="000000"/>
          <w:lang w:val="en-AU"/>
        </w:rPr>
        <w:t xml:space="preserve">Meiliana, Ahmadiyya, and Gafatar leaders were condemned to criminal punishment without due process, hence the court's ruling failed to give justice. The court's failure to prove the defendants' "intention" to blaspheme Islam shows that it overlooked the Anti-Blasphemy Law's significant flaws and compelled judgment based on social justice. The court failed to give justice by convicting the defendants using a defective legislation. In Meiliana, the court failed to give procedural justice since the defendants' guilt was not proven. The Panel of Judges exclusively followed the Fatwa of the MUI (Council of Muslim Scholars) of North Sumatra Province No. 001/KF/MUI-SU/I/2017, ignoring several expert testimony. MUI Fatwas are not legal in Indonesia. The MUI Fatwa was based on "Request for MUI Fatwa relating to blasphemy committed by Chinese ethnicity named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xml:space="preserve">." The Medan District Court ruled based on this MUI Fatwa. Some called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xml:space="preserve"> a "woman who incited the riot." </w:t>
      </w:r>
    </w:p>
    <w:p w14:paraId="6B28071E" w14:textId="77777777" w:rsidR="008A5EF2" w:rsidRPr="00096B7E"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 xml:space="preserve">The Ahmadiyya and Gafatar prosecutions also relied on vigilantism and reinforced the MUI's one-sided truth assertions. </w:t>
      </w:r>
      <w:proofErr w:type="spellStart"/>
      <w:r w:rsidRPr="00096B7E">
        <w:rPr>
          <w:rFonts w:ascii="Calibri" w:hAnsi="Calibri" w:cs="Calibri"/>
          <w:bCs/>
          <w:color w:val="000000"/>
          <w:lang w:val="en-AU"/>
        </w:rPr>
        <w:t>Mahful</w:t>
      </w:r>
      <w:proofErr w:type="spellEnd"/>
      <w:r w:rsidRPr="00096B7E">
        <w:rPr>
          <w:rFonts w:ascii="Calibri" w:hAnsi="Calibri" w:cs="Calibri"/>
          <w:bCs/>
          <w:color w:val="000000"/>
          <w:lang w:val="en-AU"/>
        </w:rPr>
        <w:t xml:space="preserve"> </w:t>
      </w:r>
      <w:proofErr w:type="spellStart"/>
      <w:r w:rsidRPr="00096B7E">
        <w:rPr>
          <w:rFonts w:ascii="Calibri" w:hAnsi="Calibri" w:cs="Calibri"/>
          <w:bCs/>
          <w:color w:val="000000"/>
          <w:lang w:val="en-AU"/>
        </w:rPr>
        <w:t>Muis</w:t>
      </w:r>
      <w:proofErr w:type="spellEnd"/>
      <w:r w:rsidRPr="00096B7E">
        <w:rPr>
          <w:rFonts w:ascii="Calibri" w:hAnsi="Calibri" w:cs="Calibri"/>
          <w:bCs/>
          <w:color w:val="000000"/>
          <w:lang w:val="en-AU"/>
        </w:rPr>
        <w:t xml:space="preserve"> and Ahmad </w:t>
      </w:r>
      <w:proofErr w:type="spellStart"/>
      <w:r w:rsidRPr="00096B7E">
        <w:rPr>
          <w:rFonts w:ascii="Calibri" w:hAnsi="Calibri" w:cs="Calibri"/>
          <w:bCs/>
          <w:color w:val="000000"/>
          <w:lang w:val="en-AU"/>
        </w:rPr>
        <w:t>Musaddeq's</w:t>
      </w:r>
      <w:proofErr w:type="spellEnd"/>
      <w:r w:rsidRPr="00096B7E">
        <w:rPr>
          <w:rFonts w:ascii="Calibri" w:hAnsi="Calibri" w:cs="Calibri"/>
          <w:bCs/>
          <w:color w:val="000000"/>
          <w:lang w:val="en-AU"/>
        </w:rPr>
        <w:t xml:space="preserve"> court ruling was also questioned for lacking evidence to support the prosecutor's claim. Legal rights and the rule of law prohibit vigilantism and protect religious minorities.</w:t>
      </w:r>
      <w:r>
        <w:rPr>
          <w:rFonts w:ascii="Calibri" w:hAnsi="Calibri" w:cs="Calibri"/>
          <w:bCs/>
          <w:color w:val="000000"/>
          <w:lang w:val="en-AU"/>
        </w:rPr>
        <w:t xml:space="preserve"> </w:t>
      </w:r>
      <w:r w:rsidRPr="00096B7E">
        <w:rPr>
          <w:rFonts w:ascii="Calibri" w:hAnsi="Calibri" w:cs="Calibri"/>
          <w:bCs/>
          <w:color w:val="000000"/>
          <w:lang w:val="en-AU"/>
        </w:rPr>
        <w:t xml:space="preserve">Both the court of first instance and the high court ruled in the Ahmadiyya case that blasphemy against a religion other than Indonesia's is illegal. The court targeted Ahmadiyya members who "intentionally commit an act publicly that is basically blasphemy against a religion adhered to in Indonesia." If their faith violates mainstream Islam, Ahmadiyya adherents cannot preach in Indonesia. </w:t>
      </w:r>
    </w:p>
    <w:p w14:paraId="79A60740" w14:textId="77777777" w:rsidR="008A5EF2" w:rsidRPr="00096B7E"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 xml:space="preserve">The 1964 Supreme Court Circular Letter Number 11 directed courts within its authority to harshly punish blasphemers. Judges maintain the Anti-Blasphemy Law notwithstanding its flaws. The Supreme Court's Circular </w:t>
      </w:r>
      <w:r w:rsidRPr="00096B7E">
        <w:rPr>
          <w:rFonts w:ascii="Calibri" w:hAnsi="Calibri" w:cs="Calibri"/>
          <w:bCs/>
          <w:color w:val="000000"/>
          <w:lang w:val="en-AU"/>
        </w:rPr>
        <w:lastRenderedPageBreak/>
        <w:t>Letter must be followed, according to Gafatar Trial Panel Chair Mohammad Said. The Supreme Court spokeswoman also said the letter was never cancelled.</w:t>
      </w:r>
    </w:p>
    <w:p w14:paraId="71711E1B" w14:textId="77777777" w:rsidR="008A5EF2"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In comparable blasphemy instances, law enforcement will certainly fail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4F54E603"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Vigilantism in cases of blasphemy is not solely motivated by crime in society, but by the monopoly of religious truth by established religions, which views different religious teachings as crimes. The Indonesian Constitution guarantees freedom of religion and belief, but "Godly Nationalism" is too restricted. </w:t>
      </w:r>
    </w:p>
    <w:p w14:paraId="0708E4C0"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Indonesian Ulama Council or religious authorities from the majority group's fatwas </w:t>
      </w:r>
      <w:proofErr w:type="spellStart"/>
      <w:r w:rsidRPr="008A5EF2">
        <w:rPr>
          <w:rFonts w:ascii="Calibri" w:hAnsi="Calibri" w:cs="Calibri"/>
          <w:bCs/>
          <w:color w:val="000000"/>
          <w:lang w:val="en-AU"/>
        </w:rPr>
        <w:t>labeling</w:t>
      </w:r>
      <w:proofErr w:type="spellEnd"/>
      <w:r w:rsidRPr="008A5EF2">
        <w:rPr>
          <w:rFonts w:ascii="Calibri" w:hAnsi="Calibri" w:cs="Calibri"/>
          <w:bCs/>
          <w:color w:val="000000"/>
          <w:lang w:val="en-AU"/>
        </w:rPr>
        <w:t xml:space="preserve"> suspected as deviant, desecrating, or insulting Islam legitimize this injustice. The vigilantes use hate speech and fake news to manipulate social situations and put pressure on law enforcement and courts to speed up the legal process and violate minority religious groups' rights with the support of city, regency, and province policymakers. </w:t>
      </w:r>
    </w:p>
    <w:p w14:paraId="7B3C3D30"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analysis disproves the Constitutional Court's claim that eliminating the Anti-Blasphemy Law will threaten society in the case of horizontal religious disputes. However, Ahok, Meiliana, Gafatar, and Ahmadiyya all lead to vigilante retribution. Maintaining a faulty Anti-Blasphemy Law allows hard-line Islamic groups to engage in hate mongering and prevents the courts from rendering fair and reasonable judgments. </w:t>
      </w:r>
    </w:p>
    <w:p w14:paraId="6570474C" w14:textId="77777777" w:rsid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hate spin tactic can be used to interpret the defective anti-blasphemy laws to make criticism of religious manipulation, intolerance, or preaching of various religions blasphemous against Indonesia's main religions. This tactic has gained acceptance, legitimizing vigilante justice before trial. Second, structural forces, such as the MUI and national and regional governments that </w:t>
      </w:r>
      <w:proofErr w:type="spellStart"/>
      <w:r w:rsidRPr="008A5EF2">
        <w:rPr>
          <w:rFonts w:ascii="Calibri" w:hAnsi="Calibri" w:cs="Calibri"/>
          <w:bCs/>
          <w:color w:val="000000"/>
          <w:lang w:val="en-AU"/>
        </w:rPr>
        <w:t>favor</w:t>
      </w:r>
      <w:proofErr w:type="spellEnd"/>
      <w:r w:rsidRPr="008A5EF2">
        <w:rPr>
          <w:rFonts w:ascii="Calibri" w:hAnsi="Calibri" w:cs="Calibri"/>
          <w:bCs/>
          <w:color w:val="000000"/>
          <w:lang w:val="en-AU"/>
        </w:rPr>
        <w:t xml:space="preserve"> heterodox faiths, legitimize vigilante groups to keep up pressure. Thirdly, the monopolization of truth by orthodox religions denies minority religions the right to freely practice their religion under Article 29 of the Indonesian Constitution. Hardliner Muslim populism Islam is popular.</w:t>
      </w:r>
    </w:p>
    <w:p w14:paraId="48D1A3F5" w14:textId="2D8BC0CD"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To prevent minority groups' religious freedom from being violated, policymakers and law enforcers must examine the Anti-Blasphemy Law's shortcomings and stop implementing it. Social justice and a legislation that upholds the rule of law and human rights are essential. This research urges Indonesia to reconsider its Anti-Blasphemy Law to defend human rights and achieve social fairness. The report urges law enforcement to reconsider its limits and difficulties in religious intolerance by identifying the numerous elements that promote vigilante justice. The study's findings may help Indonesian lawmakers enhance fairness and justice.</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1139A15D" w14:textId="77777777" w:rsidR="004E4056" w:rsidRPr="004E4056" w:rsidRDefault="008A5EF2" w:rsidP="004E4056">
      <w:pPr>
        <w:pStyle w:val="Bibliography"/>
        <w:rPr>
          <w:rFonts w:ascii="Calibri" w:hAnsi="Calibri" w:cs="Calibri"/>
          <w:color w:val="000000"/>
          <w:lang w:val="en-GB"/>
        </w:rPr>
      </w:pPr>
      <w:r>
        <w:rPr>
          <w:rFonts w:ascii="Calibri" w:hAnsi="Calibri" w:cs="Calibri"/>
          <w:bCs/>
          <w:color w:val="000000"/>
          <w:lang w:val="en-AU"/>
        </w:rPr>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proofErr w:type="spellStart"/>
      <w:r w:rsidR="004E4056" w:rsidRPr="004E4056">
        <w:rPr>
          <w:rFonts w:ascii="Calibri" w:hAnsi="Calibri" w:cs="Calibri"/>
          <w:color w:val="000000"/>
          <w:lang w:val="en-GB"/>
        </w:rPr>
        <w:t>Banakar</w:t>
      </w:r>
      <w:proofErr w:type="spellEnd"/>
      <w:r w:rsidR="004E4056" w:rsidRPr="004E4056">
        <w:rPr>
          <w:rFonts w:ascii="Calibri" w:hAnsi="Calibri" w:cs="Calibri"/>
          <w:color w:val="000000"/>
          <w:lang w:val="en-GB"/>
        </w:rPr>
        <w:t xml:space="preserve">, R. (2019). </w:t>
      </w:r>
      <w:r w:rsidR="004E4056" w:rsidRPr="004E4056">
        <w:rPr>
          <w:rFonts w:ascii="Calibri" w:hAnsi="Calibri" w:cs="Calibri"/>
          <w:i/>
          <w:iCs/>
          <w:color w:val="000000"/>
          <w:lang w:val="en-GB"/>
        </w:rPr>
        <w:t>On Socio-Legal Design</w:t>
      </w:r>
      <w:r w:rsidR="004E4056" w:rsidRPr="004E4056">
        <w:rPr>
          <w:rFonts w:ascii="Calibri" w:hAnsi="Calibri" w:cs="Calibri"/>
          <w:color w:val="000000"/>
          <w:lang w:val="en-GB"/>
        </w:rPr>
        <w:t>. https://papers.ssrn.com/sol3/papers.cfm?abstract_id=3463028</w:t>
      </w:r>
    </w:p>
    <w:p w14:paraId="6AF02055"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Beckett, K., Beach, L., </w:t>
      </w:r>
      <w:proofErr w:type="spellStart"/>
      <w:r w:rsidRPr="004E4056">
        <w:rPr>
          <w:rFonts w:ascii="Calibri" w:hAnsi="Calibri" w:cs="Calibri"/>
          <w:color w:val="000000"/>
          <w:lang w:val="en-GB"/>
        </w:rPr>
        <w:t>Knaphus</w:t>
      </w:r>
      <w:proofErr w:type="spellEnd"/>
      <w:r w:rsidRPr="004E4056">
        <w:rPr>
          <w:rFonts w:ascii="Calibri" w:hAnsi="Calibri" w:cs="Calibri"/>
          <w:color w:val="000000"/>
          <w:lang w:val="en-GB"/>
        </w:rPr>
        <w:t xml:space="preserve">, E., &amp; </w:t>
      </w:r>
      <w:proofErr w:type="spellStart"/>
      <w:r w:rsidRPr="004E4056">
        <w:rPr>
          <w:rFonts w:ascii="Calibri" w:hAnsi="Calibri" w:cs="Calibri"/>
          <w:color w:val="000000"/>
          <w:lang w:val="en-GB"/>
        </w:rPr>
        <w:t>Reosti</w:t>
      </w:r>
      <w:proofErr w:type="spellEnd"/>
      <w:r w:rsidRPr="004E4056">
        <w:rPr>
          <w:rFonts w:ascii="Calibri" w:hAnsi="Calibri" w:cs="Calibri"/>
          <w:color w:val="000000"/>
          <w:lang w:val="en-GB"/>
        </w:rPr>
        <w:t xml:space="preserve">, A. (2018). US criminal justice policy and practice in the twenty-first century: Toward the end of mass incarceration? </w:t>
      </w:r>
      <w:r w:rsidRPr="004E4056">
        <w:rPr>
          <w:rFonts w:ascii="Calibri" w:hAnsi="Calibri" w:cs="Calibri"/>
          <w:i/>
          <w:iCs/>
          <w:color w:val="000000"/>
          <w:lang w:val="en-GB"/>
        </w:rPr>
        <w:t>Law &amp; Policy</w:t>
      </w:r>
      <w:r w:rsidRPr="004E4056">
        <w:rPr>
          <w:rFonts w:ascii="Calibri" w:hAnsi="Calibri" w:cs="Calibri"/>
          <w:color w:val="000000"/>
          <w:lang w:val="en-GB"/>
        </w:rPr>
        <w:t xml:space="preserve">, </w:t>
      </w:r>
      <w:r w:rsidRPr="004E4056">
        <w:rPr>
          <w:rFonts w:ascii="Calibri" w:hAnsi="Calibri" w:cs="Calibri"/>
          <w:i/>
          <w:iCs/>
          <w:color w:val="000000"/>
          <w:lang w:val="en-GB"/>
        </w:rPr>
        <w:t>40</w:t>
      </w:r>
      <w:r w:rsidRPr="004E4056">
        <w:rPr>
          <w:rFonts w:ascii="Calibri" w:hAnsi="Calibri" w:cs="Calibri"/>
          <w:color w:val="000000"/>
          <w:lang w:val="en-GB"/>
        </w:rPr>
        <w:t>(4), 321–345.</w:t>
      </w:r>
    </w:p>
    <w:p w14:paraId="19155BE3"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Bedner</w:t>
      </w:r>
      <w:proofErr w:type="spellEnd"/>
      <w:r w:rsidRPr="004E4056">
        <w:rPr>
          <w:rFonts w:ascii="Calibri" w:hAnsi="Calibri" w:cs="Calibri"/>
          <w:color w:val="000000"/>
          <w:lang w:val="en-GB"/>
        </w:rPr>
        <w:t xml:space="preserve">, A., &amp; </w:t>
      </w:r>
      <w:proofErr w:type="spellStart"/>
      <w:r w:rsidRPr="004E4056">
        <w:rPr>
          <w:rFonts w:ascii="Calibri" w:hAnsi="Calibri" w:cs="Calibri"/>
          <w:color w:val="000000"/>
          <w:lang w:val="en-GB"/>
        </w:rPr>
        <w:t>Vel</w:t>
      </w:r>
      <w:proofErr w:type="spellEnd"/>
      <w:r w:rsidRPr="004E4056">
        <w:rPr>
          <w:rFonts w:ascii="Calibri" w:hAnsi="Calibri" w:cs="Calibri"/>
          <w:color w:val="000000"/>
          <w:lang w:val="en-GB"/>
        </w:rPr>
        <w:t xml:space="preserve">, J. A. C. (2010). An Analytical Framework for Empirical Research on Access to Justice. </w:t>
      </w:r>
      <w:r w:rsidRPr="004E4056">
        <w:rPr>
          <w:rFonts w:ascii="Calibri" w:hAnsi="Calibri" w:cs="Calibri"/>
          <w:i/>
          <w:iCs/>
          <w:color w:val="000000"/>
          <w:lang w:val="en-GB"/>
        </w:rPr>
        <w:t>Law, Social Justice &amp; Global Development Journal (LGD)</w:t>
      </w:r>
      <w:r w:rsidRPr="004E4056">
        <w:rPr>
          <w:rFonts w:ascii="Calibri" w:hAnsi="Calibri" w:cs="Calibri"/>
          <w:color w:val="000000"/>
          <w:lang w:val="en-GB"/>
        </w:rPr>
        <w:t>.</w:t>
      </w:r>
    </w:p>
    <w:p w14:paraId="6372C271"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Bellamy, R. (2017). </w:t>
      </w:r>
      <w:r w:rsidRPr="004E4056">
        <w:rPr>
          <w:rFonts w:ascii="Calibri" w:hAnsi="Calibri" w:cs="Calibri"/>
          <w:i/>
          <w:iCs/>
          <w:color w:val="000000"/>
          <w:lang w:val="en-GB"/>
        </w:rPr>
        <w:t>The rule of law and the separation of powers</w:t>
      </w:r>
      <w:r w:rsidRPr="004E4056">
        <w:rPr>
          <w:rFonts w:ascii="Calibri" w:hAnsi="Calibri" w:cs="Calibri"/>
          <w:color w:val="000000"/>
          <w:lang w:val="en-GB"/>
        </w:rPr>
        <w:t>. Routledge.</w:t>
      </w:r>
    </w:p>
    <w:p w14:paraId="449A64FB"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Bielefeldt</w:t>
      </w:r>
      <w:proofErr w:type="spellEnd"/>
      <w:r w:rsidRPr="004E4056">
        <w:rPr>
          <w:rFonts w:ascii="Calibri" w:hAnsi="Calibri" w:cs="Calibri"/>
          <w:color w:val="000000"/>
          <w:lang w:val="en-GB"/>
        </w:rPr>
        <w:t xml:space="preserve">, H. (2012). Freedom of Religion or Belief–A Human Right under Pressure. </w:t>
      </w:r>
      <w:r w:rsidRPr="004E4056">
        <w:rPr>
          <w:rFonts w:ascii="Calibri" w:hAnsi="Calibri" w:cs="Calibri"/>
          <w:i/>
          <w:iCs/>
          <w:color w:val="000000"/>
          <w:lang w:val="en-GB"/>
        </w:rPr>
        <w:t>Oxford Journal of Law and Religion</w:t>
      </w:r>
      <w:r w:rsidRPr="004E4056">
        <w:rPr>
          <w:rFonts w:ascii="Calibri" w:hAnsi="Calibri" w:cs="Calibri"/>
          <w:color w:val="000000"/>
          <w:lang w:val="en-GB"/>
        </w:rPr>
        <w:t xml:space="preserve">, </w:t>
      </w:r>
      <w:r w:rsidRPr="004E4056">
        <w:rPr>
          <w:rFonts w:ascii="Calibri" w:hAnsi="Calibri" w:cs="Calibri"/>
          <w:i/>
          <w:iCs/>
          <w:color w:val="000000"/>
          <w:lang w:val="en-GB"/>
        </w:rPr>
        <w:t>1</w:t>
      </w:r>
      <w:r w:rsidRPr="004E4056">
        <w:rPr>
          <w:rFonts w:ascii="Calibri" w:hAnsi="Calibri" w:cs="Calibri"/>
          <w:color w:val="000000"/>
          <w:lang w:val="en-GB"/>
        </w:rPr>
        <w:t>(1), 15–35. https://doi.org/10.1093/ojlr/rwr018</w:t>
      </w:r>
    </w:p>
    <w:p w14:paraId="7220DBA7"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Bush, R. (2015). 13 Religious politics and minority rights during the Yudhoyono presidency. </w:t>
      </w:r>
      <w:r w:rsidRPr="004E4056">
        <w:rPr>
          <w:rFonts w:ascii="Calibri" w:hAnsi="Calibri" w:cs="Calibri"/>
          <w:i/>
          <w:iCs/>
          <w:color w:val="000000"/>
          <w:lang w:val="en-GB"/>
        </w:rPr>
        <w:t>The Yudhoyono Presidency: Indonesia’s Decade of Stability and Stagnation</w:t>
      </w:r>
      <w:r w:rsidRPr="004E4056">
        <w:rPr>
          <w:rFonts w:ascii="Calibri" w:hAnsi="Calibri" w:cs="Calibri"/>
          <w:color w:val="000000"/>
          <w:lang w:val="en-GB"/>
        </w:rPr>
        <w:t>, 239.</w:t>
      </w:r>
    </w:p>
    <w:p w14:paraId="71979A23"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lastRenderedPageBreak/>
        <w:t xml:space="preserve">Fischer, M. (2021). Hate Speech Laws and Blasphemy Laws: Parallels Show Problems with the UN Strategy and Plan of Action on Hate Speech. </w:t>
      </w:r>
      <w:r w:rsidRPr="004E4056">
        <w:rPr>
          <w:rFonts w:ascii="Calibri" w:hAnsi="Calibri" w:cs="Calibri"/>
          <w:i/>
          <w:iCs/>
          <w:color w:val="000000"/>
          <w:lang w:val="en-GB"/>
        </w:rPr>
        <w:t>Emory Int’l L. Rev.</w:t>
      </w:r>
      <w:r w:rsidRPr="004E4056">
        <w:rPr>
          <w:rFonts w:ascii="Calibri" w:hAnsi="Calibri" w:cs="Calibri"/>
          <w:color w:val="000000"/>
          <w:lang w:val="en-GB"/>
        </w:rPr>
        <w:t xml:space="preserve">, </w:t>
      </w:r>
      <w:r w:rsidRPr="004E4056">
        <w:rPr>
          <w:rFonts w:ascii="Calibri" w:hAnsi="Calibri" w:cs="Calibri"/>
          <w:i/>
          <w:iCs/>
          <w:color w:val="000000"/>
          <w:lang w:val="en-GB"/>
        </w:rPr>
        <w:t>35</w:t>
      </w:r>
      <w:r w:rsidRPr="004E4056">
        <w:rPr>
          <w:rFonts w:ascii="Calibri" w:hAnsi="Calibri" w:cs="Calibri"/>
          <w:color w:val="000000"/>
          <w:lang w:val="en-GB"/>
        </w:rPr>
        <w:t>, 177.</w:t>
      </w:r>
    </w:p>
    <w:p w14:paraId="6001364F"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George, C. (2017). Hate spin: The twin political strategies of religious incitement and offense-taking. </w:t>
      </w:r>
      <w:r w:rsidRPr="004E4056">
        <w:rPr>
          <w:rFonts w:ascii="Calibri" w:hAnsi="Calibri" w:cs="Calibri"/>
          <w:i/>
          <w:iCs/>
          <w:color w:val="000000"/>
          <w:lang w:val="en-GB"/>
        </w:rPr>
        <w:t>Communication Theory</w:t>
      </w:r>
      <w:r w:rsidRPr="004E4056">
        <w:rPr>
          <w:rFonts w:ascii="Calibri" w:hAnsi="Calibri" w:cs="Calibri"/>
          <w:color w:val="000000"/>
          <w:lang w:val="en-GB"/>
        </w:rPr>
        <w:t xml:space="preserve">, </w:t>
      </w:r>
      <w:r w:rsidRPr="004E4056">
        <w:rPr>
          <w:rFonts w:ascii="Calibri" w:hAnsi="Calibri" w:cs="Calibri"/>
          <w:i/>
          <w:iCs/>
          <w:color w:val="000000"/>
          <w:lang w:val="en-GB"/>
        </w:rPr>
        <w:t>27</w:t>
      </w:r>
      <w:r w:rsidRPr="004E4056">
        <w:rPr>
          <w:rFonts w:ascii="Calibri" w:hAnsi="Calibri" w:cs="Calibri"/>
          <w:color w:val="000000"/>
          <w:lang w:val="en-GB"/>
        </w:rPr>
        <w:t>(2), 156–175.</w:t>
      </w:r>
    </w:p>
    <w:p w14:paraId="298D6FCF"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Hassner</w:t>
      </w:r>
      <w:proofErr w:type="spellEnd"/>
      <w:r w:rsidRPr="004E4056">
        <w:rPr>
          <w:rFonts w:ascii="Calibri" w:hAnsi="Calibri" w:cs="Calibri"/>
          <w:color w:val="000000"/>
          <w:lang w:val="en-GB"/>
        </w:rPr>
        <w:t xml:space="preserve">, R. E. (2011). Blasphemy and Violence1: Blasphemy and Violence. </w:t>
      </w:r>
      <w:r w:rsidRPr="004E4056">
        <w:rPr>
          <w:rFonts w:ascii="Calibri" w:hAnsi="Calibri" w:cs="Calibri"/>
          <w:i/>
          <w:iCs/>
          <w:color w:val="000000"/>
          <w:lang w:val="en-GB"/>
        </w:rPr>
        <w:t>International Studies Quarterly</w:t>
      </w:r>
      <w:r w:rsidRPr="004E4056">
        <w:rPr>
          <w:rFonts w:ascii="Calibri" w:hAnsi="Calibri" w:cs="Calibri"/>
          <w:color w:val="000000"/>
          <w:lang w:val="en-GB"/>
        </w:rPr>
        <w:t xml:space="preserve">, </w:t>
      </w:r>
      <w:r w:rsidRPr="004E4056">
        <w:rPr>
          <w:rFonts w:ascii="Calibri" w:hAnsi="Calibri" w:cs="Calibri"/>
          <w:i/>
          <w:iCs/>
          <w:color w:val="000000"/>
          <w:lang w:val="en-GB"/>
        </w:rPr>
        <w:t>55</w:t>
      </w:r>
      <w:r w:rsidRPr="004E4056">
        <w:rPr>
          <w:rFonts w:ascii="Calibri" w:hAnsi="Calibri" w:cs="Calibri"/>
          <w:color w:val="000000"/>
          <w:lang w:val="en-GB"/>
        </w:rPr>
        <w:t>(1), 23–45. https://doi.org/10.1111/j.1468-2478.2010.00634.x</w:t>
      </w:r>
    </w:p>
    <w:p w14:paraId="32071C63"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Hewson, J. (2017). </w:t>
      </w:r>
      <w:r w:rsidRPr="004E4056">
        <w:rPr>
          <w:rFonts w:ascii="Calibri" w:hAnsi="Calibri" w:cs="Calibri"/>
          <w:i/>
          <w:iCs/>
          <w:color w:val="000000"/>
          <w:lang w:val="en-GB"/>
        </w:rPr>
        <w:t>Focus—Mob justice on the rise in Indonesia</w:t>
      </w:r>
      <w:r w:rsidRPr="004E4056">
        <w:rPr>
          <w:rFonts w:ascii="Calibri" w:hAnsi="Calibri" w:cs="Calibri"/>
          <w:color w:val="000000"/>
          <w:lang w:val="en-GB"/>
        </w:rPr>
        <w:t>. https://www.france24.com/en/20170928-focus-indonesia-mob-justice-rise-vigilante-violence-ethnic-religious-minorities</w:t>
      </w:r>
    </w:p>
    <w:p w14:paraId="55D8C0AE"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Malle</w:t>
      </w:r>
      <w:proofErr w:type="spellEnd"/>
      <w:r w:rsidRPr="004E4056">
        <w:rPr>
          <w:rFonts w:ascii="Calibri" w:hAnsi="Calibri" w:cs="Calibri"/>
          <w:color w:val="000000"/>
          <w:lang w:val="en-GB"/>
        </w:rPr>
        <w:t xml:space="preserve">, B. F., &amp; Nelson, S. E. (2003). Judging </w:t>
      </w:r>
      <w:proofErr w:type="spellStart"/>
      <w:r w:rsidRPr="004E4056">
        <w:rPr>
          <w:rFonts w:ascii="Calibri" w:hAnsi="Calibri" w:cs="Calibri"/>
          <w:color w:val="000000"/>
          <w:lang w:val="en-GB"/>
        </w:rPr>
        <w:t>mens</w:t>
      </w:r>
      <w:proofErr w:type="spellEnd"/>
      <w:r w:rsidRPr="004E4056">
        <w:rPr>
          <w:rFonts w:ascii="Calibri" w:hAnsi="Calibri" w:cs="Calibri"/>
          <w:color w:val="000000"/>
          <w:lang w:val="en-GB"/>
        </w:rPr>
        <w:t xml:space="preserve"> rea: The tension between folk concepts and legal concepts of intentionality. </w:t>
      </w:r>
      <w:proofErr w:type="spellStart"/>
      <w:r w:rsidRPr="004E4056">
        <w:rPr>
          <w:rFonts w:ascii="Calibri" w:hAnsi="Calibri" w:cs="Calibri"/>
          <w:i/>
          <w:iCs/>
          <w:color w:val="000000"/>
          <w:lang w:val="en-GB"/>
        </w:rPr>
        <w:t>Behavioral</w:t>
      </w:r>
      <w:proofErr w:type="spellEnd"/>
      <w:r w:rsidRPr="004E4056">
        <w:rPr>
          <w:rFonts w:ascii="Calibri" w:hAnsi="Calibri" w:cs="Calibri"/>
          <w:i/>
          <w:iCs/>
          <w:color w:val="000000"/>
          <w:lang w:val="en-GB"/>
        </w:rPr>
        <w:t xml:space="preserve"> Sciences &amp; the Law</w:t>
      </w:r>
      <w:r w:rsidRPr="004E4056">
        <w:rPr>
          <w:rFonts w:ascii="Calibri" w:hAnsi="Calibri" w:cs="Calibri"/>
          <w:color w:val="000000"/>
          <w:lang w:val="en-GB"/>
        </w:rPr>
        <w:t xml:space="preserve">, </w:t>
      </w:r>
      <w:r w:rsidRPr="004E4056">
        <w:rPr>
          <w:rFonts w:ascii="Calibri" w:hAnsi="Calibri" w:cs="Calibri"/>
          <w:i/>
          <w:iCs/>
          <w:color w:val="000000"/>
          <w:lang w:val="en-GB"/>
        </w:rPr>
        <w:t>21</w:t>
      </w:r>
      <w:r w:rsidRPr="004E4056">
        <w:rPr>
          <w:rFonts w:ascii="Calibri" w:hAnsi="Calibri" w:cs="Calibri"/>
          <w:color w:val="000000"/>
          <w:lang w:val="en-GB"/>
        </w:rPr>
        <w:t>(5), 563–580.</w:t>
      </w:r>
    </w:p>
    <w:p w14:paraId="7764AE52"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Manan, A. (2013). </w:t>
      </w:r>
      <w:proofErr w:type="spellStart"/>
      <w:r w:rsidRPr="004E4056">
        <w:rPr>
          <w:rFonts w:ascii="Calibri" w:hAnsi="Calibri" w:cs="Calibri"/>
          <w:color w:val="000000"/>
          <w:lang w:val="en-GB"/>
        </w:rPr>
        <w:t>Penemuan</w:t>
      </w:r>
      <w:proofErr w:type="spellEnd"/>
      <w:r w:rsidRPr="004E4056">
        <w:rPr>
          <w:rFonts w:ascii="Calibri" w:hAnsi="Calibri" w:cs="Calibri"/>
          <w:color w:val="000000"/>
          <w:lang w:val="en-GB"/>
        </w:rPr>
        <w:t xml:space="preserve"> Hukum Oleh Hakim </w:t>
      </w:r>
      <w:proofErr w:type="spellStart"/>
      <w:r w:rsidRPr="004E4056">
        <w:rPr>
          <w:rFonts w:ascii="Calibri" w:hAnsi="Calibri" w:cs="Calibri"/>
          <w:color w:val="000000"/>
          <w:lang w:val="en-GB"/>
        </w:rPr>
        <w:t>Dalam</w:t>
      </w:r>
      <w:proofErr w:type="spellEnd"/>
      <w:r w:rsidRPr="004E4056">
        <w:rPr>
          <w:rFonts w:ascii="Calibri" w:hAnsi="Calibri" w:cs="Calibri"/>
          <w:color w:val="000000"/>
          <w:lang w:val="en-GB"/>
        </w:rPr>
        <w:t xml:space="preserve"> </w:t>
      </w:r>
      <w:proofErr w:type="spellStart"/>
      <w:r w:rsidRPr="004E4056">
        <w:rPr>
          <w:rFonts w:ascii="Calibri" w:hAnsi="Calibri" w:cs="Calibri"/>
          <w:color w:val="000000"/>
          <w:lang w:val="en-GB"/>
        </w:rPr>
        <w:t>Praktek</w:t>
      </w:r>
      <w:proofErr w:type="spellEnd"/>
      <w:r w:rsidRPr="004E4056">
        <w:rPr>
          <w:rFonts w:ascii="Calibri" w:hAnsi="Calibri" w:cs="Calibri"/>
          <w:color w:val="000000"/>
          <w:lang w:val="en-GB"/>
        </w:rPr>
        <w:t xml:space="preserve"> Hukum Acara Di </w:t>
      </w:r>
      <w:proofErr w:type="spellStart"/>
      <w:r w:rsidRPr="004E4056">
        <w:rPr>
          <w:rFonts w:ascii="Calibri" w:hAnsi="Calibri" w:cs="Calibri"/>
          <w:color w:val="000000"/>
          <w:lang w:val="en-GB"/>
        </w:rPr>
        <w:t>Peradilan</w:t>
      </w:r>
      <w:proofErr w:type="spellEnd"/>
      <w:r w:rsidRPr="004E4056">
        <w:rPr>
          <w:rFonts w:ascii="Calibri" w:hAnsi="Calibri" w:cs="Calibri"/>
          <w:color w:val="000000"/>
          <w:lang w:val="en-GB"/>
        </w:rPr>
        <w:t xml:space="preserve"> Agama. </w:t>
      </w:r>
      <w:proofErr w:type="spellStart"/>
      <w:r w:rsidRPr="004E4056">
        <w:rPr>
          <w:rFonts w:ascii="Calibri" w:hAnsi="Calibri" w:cs="Calibri"/>
          <w:i/>
          <w:iCs/>
          <w:color w:val="000000"/>
          <w:lang w:val="en-GB"/>
        </w:rPr>
        <w:t>Jurnal</w:t>
      </w:r>
      <w:proofErr w:type="spellEnd"/>
      <w:r w:rsidRPr="004E4056">
        <w:rPr>
          <w:rFonts w:ascii="Calibri" w:hAnsi="Calibri" w:cs="Calibri"/>
          <w:i/>
          <w:iCs/>
          <w:color w:val="000000"/>
          <w:lang w:val="en-GB"/>
        </w:rPr>
        <w:t xml:space="preserve"> Hukum Dan </w:t>
      </w:r>
      <w:proofErr w:type="spellStart"/>
      <w:r w:rsidRPr="004E4056">
        <w:rPr>
          <w:rFonts w:ascii="Calibri" w:hAnsi="Calibri" w:cs="Calibri"/>
          <w:i/>
          <w:iCs/>
          <w:color w:val="000000"/>
          <w:lang w:val="en-GB"/>
        </w:rPr>
        <w:t>Peradilan</w:t>
      </w:r>
      <w:proofErr w:type="spellEnd"/>
      <w:r w:rsidRPr="004E4056">
        <w:rPr>
          <w:rFonts w:ascii="Calibri" w:hAnsi="Calibri" w:cs="Calibri"/>
          <w:color w:val="000000"/>
          <w:lang w:val="en-GB"/>
        </w:rPr>
        <w:t xml:space="preserve">, </w:t>
      </w:r>
      <w:r w:rsidRPr="004E4056">
        <w:rPr>
          <w:rFonts w:ascii="Calibri" w:hAnsi="Calibri" w:cs="Calibri"/>
          <w:i/>
          <w:iCs/>
          <w:color w:val="000000"/>
          <w:lang w:val="en-GB"/>
        </w:rPr>
        <w:t>2</w:t>
      </w:r>
      <w:r w:rsidRPr="004E4056">
        <w:rPr>
          <w:rFonts w:ascii="Calibri" w:hAnsi="Calibri" w:cs="Calibri"/>
          <w:color w:val="000000"/>
          <w:lang w:val="en-GB"/>
        </w:rPr>
        <w:t>(2), 189–202.</w:t>
      </w:r>
    </w:p>
    <w:p w14:paraId="6C807B32"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Marshall, P. (2018). The Ambiguities of Religious Freedom in Indonesia. </w:t>
      </w:r>
      <w:r w:rsidRPr="004E4056">
        <w:rPr>
          <w:rFonts w:ascii="Calibri" w:hAnsi="Calibri" w:cs="Calibri"/>
          <w:i/>
          <w:iCs/>
          <w:color w:val="000000"/>
          <w:lang w:val="en-GB"/>
        </w:rPr>
        <w:t>The Review of Faith &amp; International Affairs</w:t>
      </w:r>
      <w:r w:rsidRPr="004E4056">
        <w:rPr>
          <w:rFonts w:ascii="Calibri" w:hAnsi="Calibri" w:cs="Calibri"/>
          <w:color w:val="000000"/>
          <w:lang w:val="en-GB"/>
        </w:rPr>
        <w:t xml:space="preserve">, </w:t>
      </w:r>
      <w:r w:rsidRPr="004E4056">
        <w:rPr>
          <w:rFonts w:ascii="Calibri" w:hAnsi="Calibri" w:cs="Calibri"/>
          <w:i/>
          <w:iCs/>
          <w:color w:val="000000"/>
          <w:lang w:val="en-GB"/>
        </w:rPr>
        <w:t>16</w:t>
      </w:r>
      <w:r w:rsidRPr="004E4056">
        <w:rPr>
          <w:rFonts w:ascii="Calibri" w:hAnsi="Calibri" w:cs="Calibri"/>
          <w:color w:val="000000"/>
          <w:lang w:val="en-GB"/>
        </w:rPr>
        <w:t>(1), 85–96. https://doi.org/10.1080/15570274.2018.1433588</w:t>
      </w:r>
    </w:p>
    <w:p w14:paraId="18030D4D"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Menchik</w:t>
      </w:r>
      <w:proofErr w:type="spellEnd"/>
      <w:r w:rsidRPr="004E4056">
        <w:rPr>
          <w:rFonts w:ascii="Calibri" w:hAnsi="Calibri" w:cs="Calibri"/>
          <w:color w:val="000000"/>
          <w:lang w:val="en-GB"/>
        </w:rPr>
        <w:t xml:space="preserve">, J. (2014). Productive intolerance: Godly nationalism in Indonesia. </w:t>
      </w:r>
      <w:r w:rsidRPr="004E4056">
        <w:rPr>
          <w:rFonts w:ascii="Calibri" w:hAnsi="Calibri" w:cs="Calibri"/>
          <w:i/>
          <w:iCs/>
          <w:color w:val="000000"/>
          <w:lang w:val="en-GB"/>
        </w:rPr>
        <w:t>Comparative Studies in Society and History</w:t>
      </w:r>
      <w:r w:rsidRPr="004E4056">
        <w:rPr>
          <w:rFonts w:ascii="Calibri" w:hAnsi="Calibri" w:cs="Calibri"/>
          <w:color w:val="000000"/>
          <w:lang w:val="en-GB"/>
        </w:rPr>
        <w:t xml:space="preserve">, </w:t>
      </w:r>
      <w:r w:rsidRPr="004E4056">
        <w:rPr>
          <w:rFonts w:ascii="Calibri" w:hAnsi="Calibri" w:cs="Calibri"/>
          <w:i/>
          <w:iCs/>
          <w:color w:val="000000"/>
          <w:lang w:val="en-GB"/>
        </w:rPr>
        <w:t>56</w:t>
      </w:r>
      <w:r w:rsidRPr="004E4056">
        <w:rPr>
          <w:rFonts w:ascii="Calibri" w:hAnsi="Calibri" w:cs="Calibri"/>
          <w:color w:val="000000"/>
          <w:lang w:val="en-GB"/>
        </w:rPr>
        <w:t>(3), 591–621. https://doi.org/10.1017/S0010417514000267</w:t>
      </w:r>
    </w:p>
    <w:p w14:paraId="4821F83F"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Merkel, W. (2012). Measuring the Quality of Rule of Law. </w:t>
      </w:r>
      <w:r w:rsidRPr="004E4056">
        <w:rPr>
          <w:rFonts w:ascii="Calibri" w:hAnsi="Calibri" w:cs="Calibri"/>
          <w:i/>
          <w:iCs/>
          <w:color w:val="000000"/>
          <w:lang w:val="en-GB"/>
        </w:rPr>
        <w:t>Rule of Law Dynamics: In an Era of International and Transnational Governance</w:t>
      </w:r>
      <w:r w:rsidRPr="004E4056">
        <w:rPr>
          <w:rFonts w:ascii="Calibri" w:hAnsi="Calibri" w:cs="Calibri"/>
          <w:color w:val="000000"/>
          <w:lang w:val="en-GB"/>
        </w:rPr>
        <w:t>, 21–47.</w:t>
      </w:r>
    </w:p>
    <w:p w14:paraId="5A3D6858"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Mulyartono</w:t>
      </w:r>
      <w:proofErr w:type="spellEnd"/>
      <w:r w:rsidRPr="004E4056">
        <w:rPr>
          <w:rFonts w:ascii="Calibri" w:hAnsi="Calibri" w:cs="Calibri"/>
          <w:color w:val="000000"/>
          <w:lang w:val="en-GB"/>
        </w:rPr>
        <w:t xml:space="preserve">, S., RAFSADIE, IRSYAD, &amp; NUR SAHID, Ali. (2021). </w:t>
      </w:r>
      <w:r w:rsidRPr="004E4056">
        <w:rPr>
          <w:rFonts w:ascii="Calibri" w:hAnsi="Calibri" w:cs="Calibri"/>
          <w:i/>
          <w:iCs/>
          <w:color w:val="000000"/>
          <w:lang w:val="en-GB"/>
        </w:rPr>
        <w:t>How did a complaint about a mosque loudspeaker end up in a blasphemy conviction?</w:t>
      </w:r>
      <w:r w:rsidRPr="004E4056">
        <w:rPr>
          <w:rFonts w:ascii="Calibri" w:hAnsi="Calibri" w:cs="Calibri"/>
          <w:color w:val="000000"/>
          <w:lang w:val="en-GB"/>
        </w:rPr>
        <w:t xml:space="preserve"> University of Melbourne. https://indonesiaatmelbourne.unimelb.edu.au/how-did-a-complaint-about-a-mosque-loudspeaker-end-up-in-a-blasphemy-conviction/</w:t>
      </w:r>
    </w:p>
    <w:p w14:paraId="00D8E18C"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Nalle</w:t>
      </w:r>
      <w:proofErr w:type="spellEnd"/>
      <w:r w:rsidRPr="004E4056">
        <w:rPr>
          <w:rFonts w:ascii="Calibri" w:hAnsi="Calibri" w:cs="Calibri"/>
          <w:color w:val="000000"/>
          <w:lang w:val="en-GB"/>
        </w:rPr>
        <w:t xml:space="preserve">, V. I. W. (2017). Blasphemy Law and Public Neutrality in Indonesia. </w:t>
      </w:r>
      <w:r w:rsidRPr="004E4056">
        <w:rPr>
          <w:rFonts w:ascii="Calibri" w:hAnsi="Calibri" w:cs="Calibri"/>
          <w:i/>
          <w:iCs/>
          <w:color w:val="000000"/>
          <w:lang w:val="en-GB"/>
        </w:rPr>
        <w:t>Mediterranean Journal of Social Sciences</w:t>
      </w:r>
      <w:r w:rsidRPr="004E4056">
        <w:rPr>
          <w:rFonts w:ascii="Calibri" w:hAnsi="Calibri" w:cs="Calibri"/>
          <w:color w:val="000000"/>
          <w:lang w:val="en-GB"/>
        </w:rPr>
        <w:t xml:space="preserve">, </w:t>
      </w:r>
      <w:r w:rsidRPr="004E4056">
        <w:rPr>
          <w:rFonts w:ascii="Calibri" w:hAnsi="Calibri" w:cs="Calibri"/>
          <w:i/>
          <w:iCs/>
          <w:color w:val="000000"/>
          <w:lang w:val="en-GB"/>
        </w:rPr>
        <w:t>8</w:t>
      </w:r>
      <w:r w:rsidRPr="004E4056">
        <w:rPr>
          <w:rFonts w:ascii="Calibri" w:hAnsi="Calibri" w:cs="Calibri"/>
          <w:color w:val="000000"/>
          <w:lang w:val="en-GB"/>
        </w:rPr>
        <w:t>(2), 57–62.</w:t>
      </w:r>
    </w:p>
    <w:p w14:paraId="1B5168B7"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Pratiwi</w:t>
      </w:r>
      <w:proofErr w:type="spellEnd"/>
      <w:r w:rsidRPr="004E4056">
        <w:rPr>
          <w:rFonts w:ascii="Calibri" w:hAnsi="Calibri" w:cs="Calibri"/>
          <w:color w:val="000000"/>
          <w:lang w:val="en-GB"/>
        </w:rPr>
        <w:t xml:space="preserve">, C. S. (2021). Rethinking the Constitutionality of Indonesia’s Flawed Anti Blasphemy Law. </w:t>
      </w:r>
      <w:r w:rsidRPr="004E4056">
        <w:rPr>
          <w:rFonts w:ascii="Calibri" w:hAnsi="Calibri" w:cs="Calibri"/>
          <w:i/>
          <w:iCs/>
          <w:color w:val="000000"/>
          <w:lang w:val="en-GB"/>
        </w:rPr>
        <w:t>Constitutional Review</w:t>
      </w:r>
      <w:r w:rsidRPr="004E4056">
        <w:rPr>
          <w:rFonts w:ascii="Calibri" w:hAnsi="Calibri" w:cs="Calibri"/>
          <w:color w:val="000000"/>
          <w:lang w:val="en-GB"/>
        </w:rPr>
        <w:t xml:space="preserve">, </w:t>
      </w:r>
      <w:r w:rsidRPr="004E4056">
        <w:rPr>
          <w:rFonts w:ascii="Calibri" w:hAnsi="Calibri" w:cs="Calibri"/>
          <w:i/>
          <w:iCs/>
          <w:color w:val="000000"/>
          <w:lang w:val="en-GB"/>
        </w:rPr>
        <w:t>7</w:t>
      </w:r>
      <w:r w:rsidRPr="004E4056">
        <w:rPr>
          <w:rFonts w:ascii="Calibri" w:hAnsi="Calibri" w:cs="Calibri"/>
          <w:color w:val="000000"/>
          <w:lang w:val="en-GB"/>
        </w:rPr>
        <w:t>(2), 273–299. https://doi.org/10.31078/consrev724</w:t>
      </w:r>
    </w:p>
    <w:p w14:paraId="1D2AF872"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lastRenderedPageBreak/>
        <w:t>Pratiwi</w:t>
      </w:r>
      <w:proofErr w:type="spellEnd"/>
      <w:r w:rsidRPr="004E4056">
        <w:rPr>
          <w:rFonts w:ascii="Calibri" w:hAnsi="Calibri" w:cs="Calibri"/>
          <w:color w:val="000000"/>
          <w:lang w:val="en-GB"/>
        </w:rPr>
        <w:t xml:space="preserve">, C. S., &amp; </w:t>
      </w:r>
      <w:proofErr w:type="spellStart"/>
      <w:r w:rsidRPr="004E4056">
        <w:rPr>
          <w:rFonts w:ascii="Calibri" w:hAnsi="Calibri" w:cs="Calibri"/>
          <w:color w:val="000000"/>
          <w:lang w:val="en-GB"/>
        </w:rPr>
        <w:t>Sunaryo</w:t>
      </w:r>
      <w:proofErr w:type="spellEnd"/>
      <w:r w:rsidRPr="004E4056">
        <w:rPr>
          <w:rFonts w:ascii="Calibri" w:hAnsi="Calibri" w:cs="Calibri"/>
          <w:color w:val="000000"/>
          <w:lang w:val="en-GB"/>
        </w:rPr>
        <w:t xml:space="preserve">, S. (2021). Blasphemy law as a structural violence: A challenge for maintaining sustainable peace. </w:t>
      </w:r>
      <w:r w:rsidRPr="004E4056">
        <w:rPr>
          <w:rFonts w:ascii="Calibri" w:hAnsi="Calibri" w:cs="Calibri"/>
          <w:i/>
          <w:iCs/>
          <w:color w:val="000000"/>
          <w:lang w:val="en-GB"/>
        </w:rPr>
        <w:t>Muslim World Journal of Human Rights</w:t>
      </w:r>
      <w:r w:rsidRPr="004E4056">
        <w:rPr>
          <w:rFonts w:ascii="Calibri" w:hAnsi="Calibri" w:cs="Calibri"/>
          <w:color w:val="000000"/>
          <w:lang w:val="en-GB"/>
        </w:rPr>
        <w:t xml:space="preserve">, </w:t>
      </w:r>
      <w:r w:rsidRPr="004E4056">
        <w:rPr>
          <w:rFonts w:ascii="Calibri" w:hAnsi="Calibri" w:cs="Calibri"/>
          <w:i/>
          <w:iCs/>
          <w:color w:val="000000"/>
          <w:lang w:val="en-GB"/>
        </w:rPr>
        <w:t>18</w:t>
      </w:r>
      <w:r w:rsidRPr="004E4056">
        <w:rPr>
          <w:rFonts w:ascii="Calibri" w:hAnsi="Calibri" w:cs="Calibri"/>
          <w:color w:val="000000"/>
          <w:lang w:val="en-GB"/>
        </w:rPr>
        <w:t>(1), 133–165. https://doi.org/10.1515/mwjhr-2020-0019</w:t>
      </w:r>
    </w:p>
    <w:p w14:paraId="1489E2BB"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Scheuerman</w:t>
      </w:r>
      <w:proofErr w:type="spellEnd"/>
      <w:r w:rsidRPr="004E4056">
        <w:rPr>
          <w:rFonts w:ascii="Calibri" w:hAnsi="Calibri" w:cs="Calibri"/>
          <w:color w:val="000000"/>
          <w:lang w:val="en-GB"/>
        </w:rPr>
        <w:t xml:space="preserve">, W. E. (2022). Why not uncivil disobedience? </w:t>
      </w:r>
      <w:r w:rsidRPr="004E4056">
        <w:rPr>
          <w:rFonts w:ascii="Calibri" w:hAnsi="Calibri" w:cs="Calibri"/>
          <w:i/>
          <w:iCs/>
          <w:color w:val="000000"/>
          <w:lang w:val="en-GB"/>
        </w:rPr>
        <w:t>Critical Review of International Social and Political Philosophy</w:t>
      </w:r>
      <w:r w:rsidRPr="004E4056">
        <w:rPr>
          <w:rFonts w:ascii="Calibri" w:hAnsi="Calibri" w:cs="Calibri"/>
          <w:color w:val="000000"/>
          <w:lang w:val="en-GB"/>
        </w:rPr>
        <w:t xml:space="preserve">, </w:t>
      </w:r>
      <w:r w:rsidRPr="004E4056">
        <w:rPr>
          <w:rFonts w:ascii="Calibri" w:hAnsi="Calibri" w:cs="Calibri"/>
          <w:i/>
          <w:iCs/>
          <w:color w:val="000000"/>
          <w:lang w:val="en-GB"/>
        </w:rPr>
        <w:t>25</w:t>
      </w:r>
      <w:r w:rsidRPr="004E4056">
        <w:rPr>
          <w:rFonts w:ascii="Calibri" w:hAnsi="Calibri" w:cs="Calibri"/>
          <w:color w:val="000000"/>
          <w:lang w:val="en-GB"/>
        </w:rPr>
        <w:t>(7), 980–999.</w:t>
      </w:r>
    </w:p>
    <w:p w14:paraId="08CBC956"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Sebastian, L. C., &amp; </w:t>
      </w:r>
      <w:proofErr w:type="spellStart"/>
      <w:r w:rsidRPr="004E4056">
        <w:rPr>
          <w:rFonts w:ascii="Calibri" w:hAnsi="Calibri" w:cs="Calibri"/>
          <w:color w:val="000000"/>
          <w:lang w:val="en-GB"/>
        </w:rPr>
        <w:t>Arifianto</w:t>
      </w:r>
      <w:proofErr w:type="spellEnd"/>
      <w:r w:rsidRPr="004E4056">
        <w:rPr>
          <w:rFonts w:ascii="Calibri" w:hAnsi="Calibri" w:cs="Calibri"/>
          <w:color w:val="000000"/>
          <w:lang w:val="en-GB"/>
        </w:rPr>
        <w:t xml:space="preserve">, A. R. (2020). </w:t>
      </w:r>
      <w:proofErr w:type="spellStart"/>
      <w:r w:rsidRPr="004E4056">
        <w:rPr>
          <w:rFonts w:ascii="Calibri" w:hAnsi="Calibri" w:cs="Calibri"/>
          <w:color w:val="000000"/>
          <w:lang w:val="en-GB"/>
        </w:rPr>
        <w:t>TRaNS</w:t>
      </w:r>
      <w:proofErr w:type="spellEnd"/>
      <w:r w:rsidRPr="004E4056">
        <w:rPr>
          <w:rFonts w:ascii="Calibri" w:hAnsi="Calibri" w:cs="Calibri"/>
          <w:color w:val="000000"/>
          <w:lang w:val="en-GB"/>
        </w:rPr>
        <w:t xml:space="preserve"> special section on “Growing Religious Intolerance in Indonesia.” </w:t>
      </w:r>
      <w:proofErr w:type="spellStart"/>
      <w:r w:rsidRPr="004E4056">
        <w:rPr>
          <w:rFonts w:ascii="Calibri" w:hAnsi="Calibri" w:cs="Calibri"/>
          <w:i/>
          <w:iCs/>
          <w:color w:val="000000"/>
          <w:lang w:val="en-GB"/>
        </w:rPr>
        <w:t>TRaNS</w:t>
      </w:r>
      <w:proofErr w:type="spellEnd"/>
      <w:r w:rsidRPr="004E4056">
        <w:rPr>
          <w:rFonts w:ascii="Calibri" w:hAnsi="Calibri" w:cs="Calibri"/>
          <w:i/>
          <w:iCs/>
          <w:color w:val="000000"/>
          <w:lang w:val="en-GB"/>
        </w:rPr>
        <w:t>: Trans -Regional and -National Studies of Southeast Asia</w:t>
      </w:r>
      <w:r w:rsidRPr="004E4056">
        <w:rPr>
          <w:rFonts w:ascii="Calibri" w:hAnsi="Calibri" w:cs="Calibri"/>
          <w:color w:val="000000"/>
          <w:lang w:val="en-GB"/>
        </w:rPr>
        <w:t xml:space="preserve">, </w:t>
      </w:r>
      <w:r w:rsidRPr="004E4056">
        <w:rPr>
          <w:rFonts w:ascii="Calibri" w:hAnsi="Calibri" w:cs="Calibri"/>
          <w:i/>
          <w:iCs/>
          <w:color w:val="000000"/>
          <w:lang w:val="en-GB"/>
        </w:rPr>
        <w:t>8</w:t>
      </w:r>
      <w:r w:rsidRPr="004E4056">
        <w:rPr>
          <w:rFonts w:ascii="Calibri" w:hAnsi="Calibri" w:cs="Calibri"/>
          <w:color w:val="000000"/>
          <w:lang w:val="en-GB"/>
        </w:rPr>
        <w:t>(1), 1–5. https://doi.org/10.1017/trn.2020.1</w:t>
      </w:r>
    </w:p>
    <w:p w14:paraId="0CF79637"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SETARA Institute. (2022, November). </w:t>
      </w:r>
      <w:proofErr w:type="spellStart"/>
      <w:r w:rsidRPr="004E4056">
        <w:rPr>
          <w:rFonts w:ascii="Calibri" w:hAnsi="Calibri" w:cs="Calibri"/>
          <w:i/>
          <w:iCs/>
          <w:color w:val="000000"/>
          <w:lang w:val="en-GB"/>
        </w:rPr>
        <w:t>Mengatasi</w:t>
      </w:r>
      <w:proofErr w:type="spellEnd"/>
      <w:r w:rsidRPr="004E4056">
        <w:rPr>
          <w:rFonts w:ascii="Calibri" w:hAnsi="Calibri" w:cs="Calibri"/>
          <w:i/>
          <w:iCs/>
          <w:color w:val="000000"/>
          <w:lang w:val="en-GB"/>
        </w:rPr>
        <w:t xml:space="preserve"> </w:t>
      </w:r>
      <w:proofErr w:type="spellStart"/>
      <w:r w:rsidRPr="004E4056">
        <w:rPr>
          <w:rFonts w:ascii="Calibri" w:hAnsi="Calibri" w:cs="Calibri"/>
          <w:i/>
          <w:iCs/>
          <w:color w:val="000000"/>
          <w:lang w:val="en-GB"/>
        </w:rPr>
        <w:t>intoleransi</w:t>
      </w:r>
      <w:proofErr w:type="spellEnd"/>
      <w:r w:rsidRPr="004E4056">
        <w:rPr>
          <w:rFonts w:ascii="Calibri" w:hAnsi="Calibri" w:cs="Calibri"/>
          <w:i/>
          <w:iCs/>
          <w:color w:val="000000"/>
          <w:lang w:val="en-GB"/>
        </w:rPr>
        <w:t xml:space="preserve"> </w:t>
      </w:r>
      <w:proofErr w:type="spellStart"/>
      <w:r w:rsidRPr="004E4056">
        <w:rPr>
          <w:rFonts w:ascii="Calibri" w:hAnsi="Calibri" w:cs="Calibri"/>
          <w:i/>
          <w:iCs/>
          <w:color w:val="000000"/>
          <w:lang w:val="en-GB"/>
        </w:rPr>
        <w:t>dalam</w:t>
      </w:r>
      <w:proofErr w:type="spellEnd"/>
      <w:r w:rsidRPr="004E4056">
        <w:rPr>
          <w:rFonts w:ascii="Calibri" w:hAnsi="Calibri" w:cs="Calibri"/>
          <w:i/>
          <w:iCs/>
          <w:color w:val="000000"/>
          <w:lang w:val="en-GB"/>
        </w:rPr>
        <w:t xml:space="preserve"> tata </w:t>
      </w:r>
      <w:proofErr w:type="spellStart"/>
      <w:r w:rsidRPr="004E4056">
        <w:rPr>
          <w:rFonts w:ascii="Calibri" w:hAnsi="Calibri" w:cs="Calibri"/>
          <w:i/>
          <w:iCs/>
          <w:color w:val="000000"/>
          <w:lang w:val="en-GB"/>
        </w:rPr>
        <w:t>kebinekaan</w:t>
      </w:r>
      <w:proofErr w:type="spellEnd"/>
      <w:r w:rsidRPr="004E4056">
        <w:rPr>
          <w:rFonts w:ascii="Calibri" w:hAnsi="Calibri" w:cs="Calibri"/>
          <w:i/>
          <w:iCs/>
          <w:color w:val="000000"/>
          <w:lang w:val="en-GB"/>
        </w:rPr>
        <w:t xml:space="preserve"> </w:t>
      </w:r>
      <w:proofErr w:type="spellStart"/>
      <w:r w:rsidRPr="004E4056">
        <w:rPr>
          <w:rFonts w:ascii="Calibri" w:hAnsi="Calibri" w:cs="Calibri"/>
          <w:i/>
          <w:iCs/>
          <w:color w:val="000000"/>
          <w:lang w:val="en-GB"/>
        </w:rPr>
        <w:t>indonesia</w:t>
      </w:r>
      <w:proofErr w:type="spellEnd"/>
      <w:r w:rsidRPr="004E4056">
        <w:rPr>
          <w:rFonts w:ascii="Calibri" w:hAnsi="Calibri" w:cs="Calibri"/>
          <w:i/>
          <w:iCs/>
          <w:color w:val="000000"/>
          <w:lang w:val="en-GB"/>
        </w:rPr>
        <w:t xml:space="preserve">: Update dan </w:t>
      </w:r>
      <w:proofErr w:type="spellStart"/>
      <w:r w:rsidRPr="004E4056">
        <w:rPr>
          <w:rFonts w:ascii="Calibri" w:hAnsi="Calibri" w:cs="Calibri"/>
          <w:i/>
          <w:iCs/>
          <w:color w:val="000000"/>
          <w:lang w:val="en-GB"/>
        </w:rPr>
        <w:t>rekomendasi</w:t>
      </w:r>
      <w:proofErr w:type="spellEnd"/>
      <w:r w:rsidRPr="004E4056">
        <w:rPr>
          <w:rFonts w:ascii="Calibri" w:hAnsi="Calibri" w:cs="Calibri"/>
          <w:i/>
          <w:iCs/>
          <w:color w:val="000000"/>
          <w:lang w:val="en-GB"/>
        </w:rPr>
        <w:t xml:space="preserve"> </w:t>
      </w:r>
      <w:proofErr w:type="spellStart"/>
      <w:r w:rsidRPr="004E4056">
        <w:rPr>
          <w:rFonts w:ascii="Calibri" w:hAnsi="Calibri" w:cs="Calibri"/>
          <w:i/>
          <w:iCs/>
          <w:color w:val="000000"/>
          <w:lang w:val="en-GB"/>
        </w:rPr>
        <w:t>terkait</w:t>
      </w:r>
      <w:proofErr w:type="spellEnd"/>
      <w:r w:rsidRPr="004E4056">
        <w:rPr>
          <w:rFonts w:ascii="Calibri" w:hAnsi="Calibri" w:cs="Calibri"/>
          <w:i/>
          <w:iCs/>
          <w:color w:val="000000"/>
          <w:lang w:val="en-GB"/>
        </w:rPr>
        <w:t xml:space="preserve"> </w:t>
      </w:r>
      <w:proofErr w:type="spellStart"/>
      <w:r w:rsidRPr="004E4056">
        <w:rPr>
          <w:rFonts w:ascii="Calibri" w:hAnsi="Calibri" w:cs="Calibri"/>
          <w:i/>
          <w:iCs/>
          <w:color w:val="000000"/>
          <w:lang w:val="en-GB"/>
        </w:rPr>
        <w:t>peribadatan</w:t>
      </w:r>
      <w:proofErr w:type="spellEnd"/>
      <w:r w:rsidRPr="004E4056">
        <w:rPr>
          <w:rFonts w:ascii="Calibri" w:hAnsi="Calibri" w:cs="Calibri"/>
          <w:color w:val="000000"/>
          <w:lang w:val="en-GB"/>
        </w:rPr>
        <w:t>. https://setara-institute.org/mengatasi-intoleransi-dalam-tata-kebinekaan-indonesia-update-dan-rekomendasi-terkait-peribadatan/</w:t>
      </w:r>
    </w:p>
    <w:p w14:paraId="114A6D06" w14:textId="77777777" w:rsidR="004E4056" w:rsidRPr="004E4056" w:rsidRDefault="004E4056" w:rsidP="004E4056">
      <w:pPr>
        <w:pStyle w:val="Bibliography"/>
        <w:rPr>
          <w:rFonts w:ascii="Calibri" w:hAnsi="Calibri" w:cs="Calibri"/>
          <w:color w:val="000000"/>
          <w:lang w:val="en-GB"/>
        </w:rPr>
      </w:pPr>
      <w:r w:rsidRPr="004E4056">
        <w:rPr>
          <w:rFonts w:ascii="Calibri" w:hAnsi="Calibri" w:cs="Calibri"/>
          <w:color w:val="000000"/>
          <w:lang w:val="en-GB"/>
        </w:rPr>
        <w:t xml:space="preserve">Telle, K. (2017). Faith on Trial: Blasphemy and ‘Lawfare’ in Indonesia. </w:t>
      </w:r>
      <w:r w:rsidRPr="004E4056">
        <w:rPr>
          <w:rFonts w:ascii="Calibri" w:hAnsi="Calibri" w:cs="Calibri"/>
          <w:i/>
          <w:iCs/>
          <w:color w:val="000000"/>
          <w:lang w:val="en-GB"/>
        </w:rPr>
        <w:t>Ethnos</w:t>
      </w:r>
      <w:r w:rsidRPr="004E4056">
        <w:rPr>
          <w:rFonts w:ascii="Calibri" w:hAnsi="Calibri" w:cs="Calibri"/>
          <w:color w:val="000000"/>
          <w:lang w:val="en-GB"/>
        </w:rPr>
        <w:t xml:space="preserve">, </w:t>
      </w:r>
      <w:r w:rsidRPr="004E4056">
        <w:rPr>
          <w:rFonts w:ascii="Calibri" w:hAnsi="Calibri" w:cs="Calibri"/>
          <w:i/>
          <w:iCs/>
          <w:color w:val="000000"/>
          <w:lang w:val="en-GB"/>
        </w:rPr>
        <w:t>83</w:t>
      </w:r>
      <w:r w:rsidRPr="004E4056">
        <w:rPr>
          <w:rFonts w:ascii="Calibri" w:hAnsi="Calibri" w:cs="Calibri"/>
          <w:color w:val="000000"/>
          <w:lang w:val="en-GB"/>
        </w:rPr>
        <w:t>(2), 371–391. https://doi.org/10.1080/00141844.2017.1282973</w:t>
      </w:r>
    </w:p>
    <w:p w14:paraId="6F454160" w14:textId="77777777" w:rsidR="004E4056" w:rsidRPr="004E4056" w:rsidRDefault="004E4056" w:rsidP="004E4056">
      <w:pPr>
        <w:pStyle w:val="Bibliography"/>
        <w:rPr>
          <w:rFonts w:ascii="Calibri" w:hAnsi="Calibri" w:cs="Calibri"/>
          <w:color w:val="000000"/>
          <w:lang w:val="en-GB"/>
        </w:rPr>
      </w:pPr>
      <w:proofErr w:type="spellStart"/>
      <w:r w:rsidRPr="004E4056">
        <w:rPr>
          <w:rFonts w:ascii="Calibri" w:hAnsi="Calibri" w:cs="Calibri"/>
          <w:color w:val="000000"/>
          <w:lang w:val="en-GB"/>
        </w:rPr>
        <w:t>Temperman</w:t>
      </w:r>
      <w:proofErr w:type="spellEnd"/>
      <w:r w:rsidRPr="004E4056">
        <w:rPr>
          <w:rFonts w:ascii="Calibri" w:hAnsi="Calibri" w:cs="Calibri"/>
          <w:color w:val="000000"/>
          <w:lang w:val="en-GB"/>
        </w:rPr>
        <w:t xml:space="preserve">, J., &amp; </w:t>
      </w:r>
      <w:proofErr w:type="spellStart"/>
      <w:r w:rsidRPr="004E4056">
        <w:rPr>
          <w:rFonts w:ascii="Calibri" w:hAnsi="Calibri" w:cs="Calibri"/>
          <w:color w:val="000000"/>
          <w:lang w:val="en-GB"/>
        </w:rPr>
        <w:t>Koltay</w:t>
      </w:r>
      <w:proofErr w:type="spellEnd"/>
      <w:r w:rsidRPr="004E4056">
        <w:rPr>
          <w:rFonts w:ascii="Calibri" w:hAnsi="Calibri" w:cs="Calibri"/>
          <w:color w:val="000000"/>
          <w:lang w:val="en-GB"/>
        </w:rPr>
        <w:t xml:space="preserve">, A. (2017). </w:t>
      </w:r>
      <w:r w:rsidRPr="004E4056">
        <w:rPr>
          <w:rFonts w:ascii="Calibri" w:hAnsi="Calibri" w:cs="Calibri"/>
          <w:i/>
          <w:iCs/>
          <w:color w:val="000000"/>
          <w:lang w:val="en-GB"/>
        </w:rPr>
        <w:t>Blasphemy and Freedom of Expression: Comparative, Theoretical and Historical Reflections after the Charlie Hebdo Massacre</w:t>
      </w:r>
      <w:r w:rsidRPr="004E4056">
        <w:rPr>
          <w:rFonts w:ascii="Calibri" w:hAnsi="Calibri" w:cs="Calibri"/>
          <w:color w:val="000000"/>
          <w:lang w:val="en-GB"/>
        </w:rPr>
        <w:t>. Cambridge University Press.</w:t>
      </w:r>
    </w:p>
    <w:p w14:paraId="40981A93" w14:textId="01F3A269" w:rsidR="008A5EF2" w:rsidRPr="00FA3EE7" w:rsidRDefault="008A5EF2" w:rsidP="008A5EF2">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9"/>
      <w:headerReference w:type="default" r:id="rId10"/>
      <w:footerReference w:type="even" r:id="rId11"/>
      <w:footerReference w:type="default" r:id="rId12"/>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43CD" w14:textId="77777777" w:rsidR="00D35169" w:rsidRDefault="00D35169" w:rsidP="008A5EF2">
      <w:r>
        <w:separator/>
      </w:r>
    </w:p>
  </w:endnote>
  <w:endnote w:type="continuationSeparator" w:id="0">
    <w:p w14:paraId="37B9BD5D" w14:textId="77777777" w:rsidR="00D35169" w:rsidRDefault="00D35169"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 xml:space="preserve">Draft Copy – </w:t>
    </w:r>
    <w:r w:rsidRPr="0077334F">
      <w:rPr>
        <w:rFonts w:ascii="Calibri" w:hAnsi="Calibri"/>
        <w:sz w:val="21"/>
        <w:szCs w:val="21"/>
      </w:rPr>
      <w:t>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84CF" w14:textId="77777777" w:rsidR="00D35169" w:rsidRDefault="00D35169" w:rsidP="008A5EF2">
      <w:r>
        <w:separator/>
      </w:r>
    </w:p>
  </w:footnote>
  <w:footnote w:type="continuationSeparator" w:id="0">
    <w:p w14:paraId="2C2F3183" w14:textId="77777777" w:rsidR="00D35169" w:rsidRDefault="00D35169" w:rsidP="008A5EF2">
      <w:r>
        <w:continuationSeparator/>
      </w:r>
    </w:p>
  </w:footnote>
  <w:footnote w:id="1">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 w:id="2">
    <w:p w14:paraId="399629C9" w14:textId="77777777" w:rsidR="008A5EF2" w:rsidRPr="00F832DC" w:rsidRDefault="008A5EF2" w:rsidP="008A5EF2">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w:t>
    </w:r>
    <w:r>
      <w:rPr>
        <w:rFonts w:ascii="Century Gothic" w:hAnsi="Century Gothic"/>
        <w:b/>
        <w:sz w:val="28"/>
        <w:szCs w:val="28"/>
      </w:rPr>
      <w:t>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19-23</w:t>
    </w:r>
    <w:r>
      <w:rPr>
        <w:rFonts w:ascii="Century Gothic" w:hAnsi="Century Gothic" w:cs="Calibri"/>
      </w:rPr>
      <w:t xml:space="preserve"> Ju</w:t>
    </w:r>
    <w:r>
      <w:rPr>
        <w:rFonts w:ascii="Century Gothic" w:hAnsi="Century Gothic" w:cs="Calibri"/>
      </w:rPr>
      <w:t>ne</w:t>
    </w:r>
    <w:r>
      <w:rPr>
        <w:rFonts w:ascii="Century Gothic" w:hAnsi="Century Gothic" w:cs="Calibri"/>
      </w:rPr>
      <w:t xml:space="preserve"> 20</w:t>
    </w:r>
    <w:r>
      <w:rPr>
        <w:rFonts w:ascii="Century Gothic" w:hAnsi="Century Gothic" w:cs="Calibri"/>
      </w:rPr>
      <w:t>2</w:t>
    </w:r>
    <w:r>
      <w:rPr>
        <w:rFonts w:ascii="Century Gothic" w:hAnsi="Century Gothic" w:cs="Calibri"/>
      </w:rPr>
      <w:t>3</w:t>
    </w:r>
    <w:r>
      <w:rPr>
        <w:rFonts w:ascii="Century Gothic" w:hAnsi="Century Gothic" w:cs="Calibri"/>
      </w:rPr>
      <w:t xml:space="preserve">,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251662"/>
    <w:rsid w:val="004E4056"/>
    <w:rsid w:val="00640BF0"/>
    <w:rsid w:val="00880F44"/>
    <w:rsid w:val="008A5EF2"/>
    <w:rsid w:val="00A27FE0"/>
    <w:rsid w:val="00B60F7D"/>
    <w:rsid w:val="00C752FE"/>
    <w:rsid w:val="00D351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ekli@umm.ac.id"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klisetya.pra@student.mahidol.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8578</Words>
  <Characters>48896</Characters>
  <Application>Microsoft Office Word</Application>
  <DocSecurity>0</DocSecurity>
  <Lines>407</Lines>
  <Paragraphs>114</Paragraphs>
  <ScaleCrop>false</ScaleCrop>
  <Company/>
  <LinksUpToDate>false</LinksUpToDate>
  <CharactersWithSpaces>57360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2023-05-20T02:07:00Z</dcterms:created>
  <dcterms:modified xsi:type="dcterms:W3CDTF">2023-05-20T02:07:00Z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id="eHgZtuJS"/&gt;&lt;style id="http://www.zotero.org/styles/apa" locale="en-US" hasBibliography="1" bibliographyStyleHasBeenSet="1"/&gt;&lt;prefs&gt;&lt;pref name="fieldType" value="Field"/&gt;&lt;/prefs&gt;&lt;/data&gt;</vt:lpwstr>
  </property>
</Properties>
</file>