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11DD3" w14:textId="16CAEDC2" w:rsidR="008A5EF2" w:rsidRDefault="008A5EF2" w:rsidP="008A5EF2">
      <w:pPr>
        <w:jc w:val="center"/>
        <w:rPr>
          <w:rFonts w:ascii="Calibri" w:eastAsia="SimSun" w:hAnsi="Calibri" w:cs="Calibri"/>
          <w:b/>
          <w:bCs/>
          <w:sz w:val="28"/>
          <w:szCs w:val="28"/>
          <w:lang w:eastAsia="zh-CN"/>
        </w:rPr>
      </w:pPr>
      <w:r w:rsidRPr="00AB17C8">
        <w:rPr>
          <w:rFonts w:ascii="Calibri" w:eastAsia="SimSun" w:hAnsi="Calibri" w:cs="Calibri"/>
          <w:b/>
          <w:bCs/>
          <w:sz w:val="28"/>
          <w:szCs w:val="28"/>
          <w:lang w:eastAsia="zh-CN"/>
        </w:rPr>
        <w:t>Vigilante Justice Persists Amid the Enforcement of Indonesian Anti-Blasphemy Law's Failure to Preserve Justice</w:t>
      </w:r>
      <w:r w:rsidR="0016562A">
        <w:rPr>
          <w:rStyle w:val="FootnoteReference"/>
          <w:rFonts w:ascii="Calibri" w:eastAsia="SimSun" w:hAnsi="Calibri" w:cs="Calibri"/>
          <w:b/>
          <w:bCs/>
          <w:sz w:val="28"/>
          <w:szCs w:val="28"/>
          <w:lang w:eastAsia="zh-CN"/>
        </w:rPr>
        <w:footnoteReference w:id="1"/>
      </w:r>
    </w:p>
    <w:p w14:paraId="6B4B4976" w14:textId="77777777" w:rsidR="008A5EF2" w:rsidRPr="00042460" w:rsidRDefault="008A5EF2" w:rsidP="008A5EF2">
      <w:pPr>
        <w:ind w:firstLine="0"/>
        <w:rPr>
          <w:rFonts w:ascii="Calibri" w:eastAsia="SimSun" w:hAnsi="Calibri" w:cs="Calibri"/>
          <w:lang w:eastAsia="zh-CN"/>
        </w:rPr>
      </w:pPr>
    </w:p>
    <w:p w14:paraId="424E14E7" w14:textId="77777777" w:rsidR="008A5EF2" w:rsidRPr="00042460" w:rsidRDefault="008A5EF2" w:rsidP="008A5EF2">
      <w:pPr>
        <w:jc w:val="center"/>
        <w:rPr>
          <w:rFonts w:ascii="Calibri" w:eastAsia="SimSun" w:hAnsi="Calibri" w:cs="Calibri"/>
          <w:b/>
          <w:lang w:eastAsia="zh-CN"/>
        </w:rPr>
      </w:pPr>
      <w:proofErr w:type="spellStart"/>
      <w:r w:rsidRPr="000B267C">
        <w:rPr>
          <w:rFonts w:ascii="Calibri" w:eastAsia="SimSun" w:hAnsi="Calibri" w:cs="Calibri"/>
          <w:b/>
          <w:lang w:eastAsia="zh-CN"/>
        </w:rPr>
        <w:t>Cekli</w:t>
      </w:r>
      <w:proofErr w:type="spellEnd"/>
      <w:r w:rsidRPr="000B267C">
        <w:rPr>
          <w:rFonts w:ascii="Calibri" w:eastAsia="SimSun" w:hAnsi="Calibri" w:cs="Calibri"/>
          <w:b/>
          <w:lang w:eastAsia="zh-CN"/>
        </w:rPr>
        <w:t xml:space="preserve"> </w:t>
      </w:r>
      <w:proofErr w:type="spellStart"/>
      <w:r w:rsidRPr="000B267C">
        <w:rPr>
          <w:rFonts w:ascii="Calibri" w:eastAsia="SimSun" w:hAnsi="Calibri" w:cs="Calibri"/>
          <w:b/>
          <w:lang w:eastAsia="zh-CN"/>
        </w:rPr>
        <w:t>Setya</w:t>
      </w:r>
      <w:proofErr w:type="spellEnd"/>
      <w:r w:rsidRPr="000B267C">
        <w:rPr>
          <w:rFonts w:ascii="Calibri" w:eastAsia="SimSun" w:hAnsi="Calibri" w:cs="Calibri"/>
          <w:b/>
          <w:lang w:eastAsia="zh-CN"/>
        </w:rPr>
        <w:t xml:space="preserve"> </w:t>
      </w:r>
      <w:proofErr w:type="spellStart"/>
      <w:r w:rsidRPr="000B267C">
        <w:rPr>
          <w:rFonts w:ascii="Calibri" w:eastAsia="SimSun" w:hAnsi="Calibri" w:cs="Calibri"/>
          <w:b/>
          <w:lang w:eastAsia="zh-CN"/>
        </w:rPr>
        <w:t>Pratiwi</w:t>
      </w:r>
      <w:proofErr w:type="spellEnd"/>
    </w:p>
    <w:p w14:paraId="4884B503" w14:textId="77777777" w:rsidR="008A5EF2" w:rsidRPr="00042460" w:rsidRDefault="008A5EF2" w:rsidP="008A5EF2">
      <w:pPr>
        <w:jc w:val="center"/>
        <w:rPr>
          <w:rFonts w:ascii="Calibri" w:eastAsia="SimSun" w:hAnsi="Calibri" w:cs="Calibri"/>
          <w:lang w:eastAsia="zh-CN"/>
        </w:rPr>
      </w:pPr>
      <w:r>
        <w:rPr>
          <w:rFonts w:ascii="Calibri" w:eastAsia="SimSun" w:hAnsi="Calibri" w:cs="Calibri"/>
          <w:lang w:eastAsia="zh-CN"/>
        </w:rPr>
        <w:t xml:space="preserve">Institute of </w:t>
      </w:r>
      <w:r w:rsidRPr="000B267C">
        <w:rPr>
          <w:rFonts w:ascii="Calibri" w:eastAsia="SimSun" w:hAnsi="Calibri" w:cs="Calibri"/>
          <w:lang w:eastAsia="zh-CN"/>
        </w:rPr>
        <w:t>Human Rights and Peace Studies at Mahidol University</w:t>
      </w:r>
      <w:r>
        <w:rPr>
          <w:rFonts w:ascii="Calibri" w:eastAsia="SimSun" w:hAnsi="Calibri" w:cs="Calibri"/>
          <w:lang w:eastAsia="zh-CN"/>
        </w:rPr>
        <w:t xml:space="preserve">, </w:t>
      </w:r>
      <w:r>
        <w:rPr>
          <w:rFonts w:ascii="Calibri" w:eastAsia="SimSun" w:hAnsi="Calibri" w:cs="Calibri"/>
          <w:lang w:eastAsia="zh-CN"/>
        </w:rPr>
        <w:br/>
      </w:r>
      <w:r w:rsidRPr="000B267C">
        <w:rPr>
          <w:rFonts w:ascii="Calibri" w:eastAsia="SimSun" w:hAnsi="Calibri" w:cs="Calibri"/>
          <w:lang w:eastAsia="zh-CN"/>
        </w:rPr>
        <w:t>Faculty of Law, Universi</w:t>
      </w:r>
      <w:r>
        <w:rPr>
          <w:rFonts w:ascii="Calibri" w:eastAsia="SimSun" w:hAnsi="Calibri" w:cs="Calibri"/>
          <w:lang w:eastAsia="zh-CN"/>
        </w:rPr>
        <w:t>ty of</w:t>
      </w:r>
      <w:r w:rsidRPr="000B267C">
        <w:rPr>
          <w:rFonts w:ascii="Calibri" w:eastAsia="SimSun" w:hAnsi="Calibri" w:cs="Calibri"/>
          <w:lang w:eastAsia="zh-CN"/>
        </w:rPr>
        <w:t xml:space="preserve"> Muhammadiyah Malang</w:t>
      </w:r>
    </w:p>
    <w:p w14:paraId="26211ECA" w14:textId="77777777" w:rsidR="008A5EF2" w:rsidRDefault="00000000" w:rsidP="008A5EF2">
      <w:pPr>
        <w:jc w:val="center"/>
        <w:rPr>
          <w:rFonts w:ascii="Calibri" w:eastAsia="SimSun" w:hAnsi="Calibri" w:cs="Calibri"/>
          <w:lang w:eastAsia="zh-CN"/>
        </w:rPr>
      </w:pPr>
      <w:hyperlink r:id="rId8" w:history="1">
        <w:r w:rsidR="008A5EF2" w:rsidRPr="00161BC1">
          <w:rPr>
            <w:rStyle w:val="Hyperlink"/>
            <w:rFonts w:ascii="Calibri" w:eastAsia="SimSun" w:hAnsi="Calibri" w:cs="Calibri"/>
            <w:lang w:eastAsia="zh-CN"/>
          </w:rPr>
          <w:t>ceklisetya.pra@student.mahidol.edu</w:t>
        </w:r>
      </w:hyperlink>
      <w:r w:rsidR="008A5EF2">
        <w:rPr>
          <w:rFonts w:ascii="Calibri" w:eastAsia="SimSun" w:hAnsi="Calibri" w:cs="Calibri"/>
          <w:lang w:eastAsia="zh-CN"/>
        </w:rPr>
        <w:t xml:space="preserve"> or </w:t>
      </w:r>
      <w:hyperlink r:id="rId9" w:history="1">
        <w:r w:rsidR="008A5EF2" w:rsidRPr="00161BC1">
          <w:rPr>
            <w:rStyle w:val="Hyperlink"/>
            <w:rFonts w:ascii="Calibri" w:eastAsia="SimSun" w:hAnsi="Calibri" w:cs="Calibri"/>
            <w:lang w:eastAsia="zh-CN"/>
          </w:rPr>
          <w:t>cekli@umm.ac.id</w:t>
        </w:r>
      </w:hyperlink>
      <w:r w:rsidR="008A5EF2">
        <w:rPr>
          <w:rFonts w:ascii="Calibri" w:eastAsia="SimSun" w:hAnsi="Calibri" w:cs="Calibri"/>
          <w:lang w:eastAsia="zh-CN"/>
        </w:rPr>
        <w:t xml:space="preserve">; </w:t>
      </w:r>
    </w:p>
    <w:p w14:paraId="5FA6F808" w14:textId="77777777" w:rsidR="008A5EF2" w:rsidRPr="00042460" w:rsidRDefault="008A5EF2" w:rsidP="008A5EF2">
      <w:pPr>
        <w:pBdr>
          <w:bottom w:val="single" w:sz="6" w:space="1" w:color="auto"/>
        </w:pBdr>
        <w:rPr>
          <w:rFonts w:ascii="Calibri" w:eastAsia="SimSun" w:hAnsi="Calibri" w:cs="Calibri"/>
          <w:lang w:eastAsia="zh-CN"/>
        </w:rPr>
      </w:pPr>
    </w:p>
    <w:p w14:paraId="3EE8E421" w14:textId="102D4CC5" w:rsidR="00465E86" w:rsidRPr="00465E86" w:rsidRDefault="008A5EF2" w:rsidP="00465E86">
      <w:pPr>
        <w:ind w:firstLine="0"/>
        <w:rPr>
          <w:rFonts w:ascii="Calibri" w:eastAsia="SimSun" w:hAnsi="Calibri" w:cs="Calibri"/>
          <w:b/>
          <w:lang w:eastAsia="zh-CN"/>
        </w:rPr>
      </w:pPr>
      <w:r>
        <w:rPr>
          <w:rFonts w:ascii="Calibri" w:eastAsia="SimSun" w:hAnsi="Calibri" w:cs="Calibri"/>
          <w:b/>
          <w:lang w:eastAsia="zh-CN"/>
        </w:rPr>
        <w:t>ABSTRACT</w:t>
      </w:r>
    </w:p>
    <w:p w14:paraId="30983394" w14:textId="12F4E15C" w:rsidR="00FD59A2" w:rsidRDefault="002D75B0" w:rsidP="00FD59A2">
      <w:pPr>
        <w:ind w:firstLine="720"/>
        <w:jc w:val="both"/>
      </w:pPr>
      <w:r w:rsidRPr="002D75B0">
        <w:rPr>
          <w:rFonts w:cstheme="minorHAnsi"/>
          <w:bCs/>
          <w:color w:val="000000" w:themeColor="text1"/>
          <w:lang w:val="en-AU"/>
        </w:rPr>
        <w:t xml:space="preserve">Previous studies on vigilante justice against blasphemy in various nations indicate that reactive religious violence results from inadequate protection of religious values against transgressions, regardless of religious affiliation. According to a separate study, conservative religious groups engaged in vigilante justice against blasphemy in Indonesia and put pressure on law enforcement to undermine judicial legitimacy. Using a socio-legal approach, this study aims to apprehend the factors and actors that encourage vigilantism over purported blasphemy, assess their impact on the independence of the judiciary in deciding blasphemy cases, and evaluate the failure of the courts to uphold justice. This study adds to the findings of a previous study, which determined that vigilante justice against blasphemy in Indonesia has shifted from spontaneous action to more structured or state-sponsored action. Even though the Blasphemy Law is still in effect, vigilante justice persists. Involved in vigilante justice are not only fundamentalist religious organizations but also religious institutions and state actors who continue to enact extended discriminatory policies to emphasize Indonesia's anti-blasphemy legislation. In addition to the legal factor, Indonesia embraces the ideology of "Godly Nationalism," which promotes society's monopolization of the truth and offers the dominant religious group justification to reject religious minorities accused of heresy. </w:t>
      </w:r>
      <w:r w:rsidR="00FD59A2" w:rsidRPr="00FD59A2">
        <w:rPr>
          <w:rFonts w:cstheme="minorHAnsi"/>
          <w:bCs/>
          <w:color w:val="000000" w:themeColor="text1"/>
          <w:lang w:val="en-AU"/>
        </w:rPr>
        <w:t>Hard</w:t>
      </w:r>
      <w:r w:rsidR="00FD59A2">
        <w:rPr>
          <w:rFonts w:cstheme="minorHAnsi"/>
          <w:bCs/>
          <w:color w:val="000000" w:themeColor="text1"/>
          <w:lang w:val="en-AU"/>
        </w:rPr>
        <w:t>-</w:t>
      </w:r>
      <w:r w:rsidR="00FD59A2" w:rsidRPr="00FD59A2">
        <w:rPr>
          <w:rFonts w:cstheme="minorHAnsi"/>
          <w:bCs/>
          <w:color w:val="000000" w:themeColor="text1"/>
          <w:lang w:val="en-AU"/>
        </w:rPr>
        <w:t xml:space="preserve">line religious organizations exploit religious hatred to mobilize vigilante justice by portraying themselves as victims of religious hatred instigated by the accused. </w:t>
      </w:r>
      <w:r w:rsidR="00FD59A2">
        <w:t>As a result, the complexity of state-sponsored vigilantism outside of court creates the pattern, jeopardizes the independence of the judiciary, and prevents the court from delivering justice to the accused.</w:t>
      </w:r>
    </w:p>
    <w:p w14:paraId="77D57049" w14:textId="56024830" w:rsidR="008A5EF2" w:rsidRPr="00465E86" w:rsidRDefault="008A5EF2" w:rsidP="00FD59A2">
      <w:pPr>
        <w:ind w:firstLine="0"/>
        <w:jc w:val="both"/>
        <w:rPr>
          <w:rFonts w:ascii="Calibri" w:eastAsia="SimSun" w:hAnsi="Calibri" w:cs="Calibri"/>
          <w:bCs/>
          <w:color w:val="000000"/>
          <w:lang w:eastAsia="zh-CN"/>
        </w:rPr>
      </w:pPr>
      <w:r>
        <w:rPr>
          <w:rFonts w:ascii="Calibri" w:eastAsia="SimSun" w:hAnsi="Calibri" w:cs="Calibri"/>
          <w:b/>
          <w:color w:val="000000"/>
          <w:lang w:eastAsia="zh-CN"/>
        </w:rPr>
        <w:t xml:space="preserve">Keywords: </w:t>
      </w:r>
      <w:r w:rsidRPr="00465E86">
        <w:rPr>
          <w:rFonts w:ascii="Calibri" w:eastAsia="SimSun" w:hAnsi="Calibri" w:cs="Calibri"/>
          <w:bCs/>
          <w:color w:val="000000"/>
          <w:lang w:eastAsia="zh-CN"/>
        </w:rPr>
        <w:t>vigilante justice, Indonesia</w:t>
      </w:r>
      <w:r w:rsidR="00465E86">
        <w:rPr>
          <w:rFonts w:ascii="Calibri" w:eastAsia="SimSun" w:hAnsi="Calibri" w:cs="Calibri"/>
          <w:bCs/>
          <w:color w:val="000000"/>
          <w:lang w:eastAsia="zh-CN"/>
        </w:rPr>
        <w:t>’s anti blasphemy law</w:t>
      </w:r>
      <w:r w:rsidRPr="00465E86">
        <w:rPr>
          <w:rFonts w:ascii="Calibri" w:eastAsia="SimSun" w:hAnsi="Calibri" w:cs="Calibri"/>
          <w:bCs/>
          <w:color w:val="000000"/>
          <w:lang w:eastAsia="zh-CN"/>
        </w:rPr>
        <w:t>,</w:t>
      </w:r>
      <w:r w:rsidR="00465E86">
        <w:rPr>
          <w:rFonts w:ascii="Calibri" w:eastAsia="SimSun" w:hAnsi="Calibri" w:cs="Calibri"/>
          <w:bCs/>
          <w:color w:val="000000"/>
          <w:lang w:eastAsia="zh-CN"/>
        </w:rPr>
        <w:t xml:space="preserve"> law enforcement,</w:t>
      </w:r>
      <w:r w:rsidRPr="00465E86">
        <w:rPr>
          <w:rFonts w:ascii="Calibri" w:eastAsia="SimSun" w:hAnsi="Calibri" w:cs="Calibri"/>
          <w:bCs/>
          <w:color w:val="000000"/>
          <w:lang w:eastAsia="zh-CN"/>
        </w:rPr>
        <w:t xml:space="preserve"> </w:t>
      </w:r>
      <w:r w:rsidR="00465E86">
        <w:rPr>
          <w:rFonts w:ascii="Calibri" w:eastAsia="SimSun" w:hAnsi="Calibri" w:cs="Calibri"/>
          <w:bCs/>
          <w:color w:val="000000"/>
          <w:lang w:eastAsia="zh-CN"/>
        </w:rPr>
        <w:t>judicial independency</w:t>
      </w:r>
      <w:r w:rsidRPr="00465E86">
        <w:rPr>
          <w:rFonts w:ascii="Calibri" w:eastAsia="SimSun" w:hAnsi="Calibri" w:cs="Calibri"/>
          <w:bCs/>
          <w:color w:val="000000"/>
          <w:lang w:eastAsia="zh-CN"/>
        </w:rPr>
        <w:t>, justice.</w:t>
      </w:r>
    </w:p>
    <w:p w14:paraId="5241A73D" w14:textId="77777777" w:rsidR="008A5EF2" w:rsidRDefault="008A5EF2" w:rsidP="008A5EF2">
      <w:pPr>
        <w:rPr>
          <w:rFonts w:ascii="Calibri" w:eastAsia="SimSun" w:hAnsi="Calibri" w:cs="Calibri"/>
          <w:b/>
          <w:color w:val="000000"/>
          <w:lang w:eastAsia="zh-CN"/>
        </w:rPr>
      </w:pPr>
    </w:p>
    <w:p w14:paraId="5FFF0F5B" w14:textId="1D8D298F" w:rsidR="008A5EF2" w:rsidRPr="00CE1532" w:rsidRDefault="008A5EF2" w:rsidP="00CE1532">
      <w:pPr>
        <w:ind w:firstLine="0"/>
        <w:rPr>
          <w:rFonts w:ascii="Calibri" w:eastAsia="SimSun" w:hAnsi="Calibri" w:cs="Calibri"/>
          <w:b/>
          <w:color w:val="000000"/>
          <w:lang w:eastAsia="zh-CN"/>
        </w:rPr>
      </w:pPr>
      <w:r>
        <w:rPr>
          <w:rFonts w:ascii="Calibri" w:eastAsia="SimSun" w:hAnsi="Calibri" w:cs="Calibri"/>
          <w:b/>
          <w:color w:val="000000"/>
          <w:lang w:eastAsia="zh-CN"/>
        </w:rPr>
        <w:t>ABOUT THE SPEAKER</w:t>
      </w:r>
    </w:p>
    <w:p w14:paraId="52E1B295" w14:textId="0CD9FDEA" w:rsidR="002D75B0" w:rsidRDefault="008A5EF2" w:rsidP="002D75B0">
      <w:pPr>
        <w:ind w:firstLine="720"/>
        <w:jc w:val="both"/>
        <w:rPr>
          <w:rFonts w:ascii="Calibri" w:hAnsi="Calibri" w:cs="Calibri"/>
          <w:color w:val="000000"/>
          <w:lang w:val="en-AU"/>
        </w:rPr>
      </w:pPr>
      <w:proofErr w:type="spellStart"/>
      <w:r w:rsidRPr="00426118">
        <w:rPr>
          <w:rFonts w:ascii="Calibri" w:hAnsi="Calibri" w:cs="Calibri"/>
          <w:color w:val="000000"/>
          <w:lang w:val="en-AU"/>
        </w:rPr>
        <w:t>Cekli</w:t>
      </w:r>
      <w:proofErr w:type="spellEnd"/>
      <w:r w:rsidRPr="00426118">
        <w:rPr>
          <w:rFonts w:ascii="Calibri" w:hAnsi="Calibri" w:cs="Calibri"/>
          <w:color w:val="000000"/>
          <w:lang w:val="en-AU"/>
        </w:rPr>
        <w:t xml:space="preserve"> </w:t>
      </w:r>
      <w:proofErr w:type="spellStart"/>
      <w:r w:rsidRPr="00426118">
        <w:rPr>
          <w:rFonts w:ascii="Calibri" w:hAnsi="Calibri" w:cs="Calibri"/>
          <w:color w:val="000000"/>
          <w:lang w:val="en-AU"/>
        </w:rPr>
        <w:t>Setya</w:t>
      </w:r>
      <w:proofErr w:type="spellEnd"/>
      <w:r w:rsidRPr="00426118">
        <w:rPr>
          <w:rFonts w:ascii="Calibri" w:hAnsi="Calibri" w:cs="Calibri"/>
          <w:color w:val="000000"/>
          <w:lang w:val="en-AU"/>
        </w:rPr>
        <w:t xml:space="preserve"> </w:t>
      </w:r>
      <w:proofErr w:type="spellStart"/>
      <w:r w:rsidRPr="00426118">
        <w:rPr>
          <w:rFonts w:ascii="Calibri" w:hAnsi="Calibri" w:cs="Calibri"/>
          <w:color w:val="000000"/>
          <w:lang w:val="en-AU"/>
        </w:rPr>
        <w:t>Pratiwi</w:t>
      </w:r>
      <w:proofErr w:type="spellEnd"/>
      <w:r w:rsidRPr="00426118">
        <w:rPr>
          <w:rFonts w:ascii="Calibri" w:hAnsi="Calibri" w:cs="Calibri"/>
          <w:color w:val="000000"/>
          <w:lang w:val="en-AU"/>
        </w:rPr>
        <w:t xml:space="preserve"> is an </w:t>
      </w:r>
      <w:r w:rsidR="00C752FE">
        <w:rPr>
          <w:rFonts w:ascii="Calibri" w:hAnsi="Calibri" w:cs="Calibri"/>
          <w:color w:val="000000"/>
          <w:lang w:val="en-AU"/>
        </w:rPr>
        <w:t>A</w:t>
      </w:r>
      <w:r>
        <w:rPr>
          <w:rFonts w:ascii="Calibri" w:hAnsi="Calibri" w:cs="Calibri"/>
          <w:color w:val="000000"/>
          <w:lang w:val="en-AU"/>
        </w:rPr>
        <w:t>ssociate</w:t>
      </w:r>
      <w:r w:rsidRPr="00426118">
        <w:rPr>
          <w:rFonts w:ascii="Calibri" w:hAnsi="Calibri" w:cs="Calibri"/>
          <w:color w:val="000000"/>
          <w:lang w:val="en-AU"/>
        </w:rPr>
        <w:t xml:space="preserve"> </w:t>
      </w:r>
      <w:r w:rsidR="00C752FE">
        <w:rPr>
          <w:rFonts w:ascii="Calibri" w:hAnsi="Calibri" w:cs="Calibri"/>
          <w:color w:val="000000"/>
          <w:lang w:val="en-AU"/>
        </w:rPr>
        <w:t>P</w:t>
      </w:r>
      <w:r w:rsidRPr="00426118">
        <w:rPr>
          <w:rFonts w:ascii="Calibri" w:hAnsi="Calibri" w:cs="Calibri"/>
          <w:color w:val="000000"/>
          <w:lang w:val="en-AU"/>
        </w:rPr>
        <w:t>rofessor at the Law Faculty of Universitas Muhammadiyah Malang (UMM)</w:t>
      </w:r>
      <w:r w:rsidR="00CE1532">
        <w:rPr>
          <w:rFonts w:ascii="Calibri" w:hAnsi="Calibri" w:cs="Calibri"/>
          <w:color w:val="000000"/>
          <w:lang w:val="en-AU"/>
        </w:rPr>
        <w:t xml:space="preserve">. She </w:t>
      </w:r>
      <w:r w:rsidRPr="00426118">
        <w:rPr>
          <w:rFonts w:ascii="Calibri" w:hAnsi="Calibri" w:cs="Calibri"/>
          <w:color w:val="000000"/>
          <w:lang w:val="en-AU"/>
        </w:rPr>
        <w:t>is</w:t>
      </w:r>
      <w:r w:rsidR="00CE1532">
        <w:rPr>
          <w:rFonts w:ascii="Calibri" w:hAnsi="Calibri" w:cs="Calibri"/>
          <w:color w:val="000000"/>
          <w:lang w:val="en-AU"/>
        </w:rPr>
        <w:t xml:space="preserve"> doing</w:t>
      </w:r>
      <w:r w:rsidRPr="00426118">
        <w:rPr>
          <w:rFonts w:ascii="Calibri" w:hAnsi="Calibri" w:cs="Calibri"/>
          <w:color w:val="000000"/>
          <w:lang w:val="en-AU"/>
        </w:rPr>
        <w:t xml:space="preserve"> a PhD candidate</w:t>
      </w:r>
      <w:r w:rsidR="00CE1532">
        <w:rPr>
          <w:rFonts w:ascii="Calibri" w:hAnsi="Calibri" w:cs="Calibri"/>
          <w:color w:val="000000"/>
          <w:lang w:val="en-AU"/>
        </w:rPr>
        <w:t xml:space="preserve"> </w:t>
      </w:r>
      <w:r w:rsidRPr="00426118">
        <w:rPr>
          <w:rFonts w:ascii="Calibri" w:hAnsi="Calibri" w:cs="Calibri"/>
          <w:color w:val="000000"/>
          <w:lang w:val="en-AU"/>
        </w:rPr>
        <w:t>at the I</w:t>
      </w:r>
      <w:r w:rsidR="00CE1532">
        <w:rPr>
          <w:rFonts w:ascii="Calibri" w:hAnsi="Calibri" w:cs="Calibri"/>
          <w:color w:val="000000"/>
          <w:lang w:val="en-AU"/>
        </w:rPr>
        <w:t xml:space="preserve">nstitute of </w:t>
      </w:r>
      <w:r w:rsidRPr="00426118">
        <w:rPr>
          <w:rFonts w:ascii="Calibri" w:hAnsi="Calibri" w:cs="Calibri"/>
          <w:color w:val="000000"/>
          <w:lang w:val="en-AU"/>
        </w:rPr>
        <w:t>H</w:t>
      </w:r>
      <w:r w:rsidR="00CE1532">
        <w:rPr>
          <w:rFonts w:ascii="Calibri" w:hAnsi="Calibri" w:cs="Calibri"/>
          <w:color w:val="000000"/>
          <w:lang w:val="en-AU"/>
        </w:rPr>
        <w:t xml:space="preserve">uman </w:t>
      </w:r>
      <w:r w:rsidRPr="00426118">
        <w:rPr>
          <w:rFonts w:ascii="Calibri" w:hAnsi="Calibri" w:cs="Calibri"/>
          <w:color w:val="000000"/>
          <w:lang w:val="en-AU"/>
        </w:rPr>
        <w:t>R</w:t>
      </w:r>
      <w:r w:rsidR="00CE1532">
        <w:rPr>
          <w:rFonts w:ascii="Calibri" w:hAnsi="Calibri" w:cs="Calibri"/>
          <w:color w:val="000000"/>
          <w:lang w:val="en-AU"/>
        </w:rPr>
        <w:t xml:space="preserve">ights and </w:t>
      </w:r>
      <w:r w:rsidRPr="00426118">
        <w:rPr>
          <w:rFonts w:ascii="Calibri" w:hAnsi="Calibri" w:cs="Calibri"/>
          <w:color w:val="000000"/>
          <w:lang w:val="en-AU"/>
        </w:rPr>
        <w:t>P</w:t>
      </w:r>
      <w:r w:rsidR="00CE1532">
        <w:rPr>
          <w:rFonts w:ascii="Calibri" w:hAnsi="Calibri" w:cs="Calibri"/>
          <w:color w:val="000000"/>
          <w:lang w:val="en-AU"/>
        </w:rPr>
        <w:t>eace Studies</w:t>
      </w:r>
      <w:r w:rsidRPr="00426118">
        <w:rPr>
          <w:rFonts w:ascii="Calibri" w:hAnsi="Calibri" w:cs="Calibri"/>
          <w:color w:val="000000"/>
          <w:lang w:val="en-AU"/>
        </w:rPr>
        <w:t xml:space="preserve"> Mahidol University</w:t>
      </w:r>
      <w:r w:rsidR="00CE1532">
        <w:rPr>
          <w:rFonts w:ascii="Calibri" w:hAnsi="Calibri" w:cs="Calibri"/>
          <w:color w:val="000000"/>
          <w:lang w:val="en-AU"/>
        </w:rPr>
        <w:t>,  Thailand</w:t>
      </w:r>
      <w:r w:rsidRPr="00426118">
        <w:rPr>
          <w:rFonts w:ascii="Calibri" w:hAnsi="Calibri" w:cs="Calibri"/>
          <w:color w:val="000000"/>
          <w:lang w:val="en-AU"/>
        </w:rPr>
        <w:t xml:space="preserve">. </w:t>
      </w:r>
      <w:r w:rsidR="00CE1532">
        <w:rPr>
          <w:rFonts w:ascii="Calibri" w:hAnsi="Calibri" w:cs="Calibri"/>
          <w:color w:val="000000"/>
          <w:lang w:val="en-AU"/>
        </w:rPr>
        <w:t>She</w:t>
      </w:r>
      <w:r w:rsidR="00CE1532" w:rsidRPr="00CE1532">
        <w:rPr>
          <w:rFonts w:ascii="Calibri" w:hAnsi="Calibri" w:cs="Calibri"/>
          <w:color w:val="000000"/>
          <w:lang w:val="en-AU"/>
        </w:rPr>
        <w:t xml:space="preserve"> holds a Master of Laws in Comparative Law from J. Reuben Clark Law School, Brigham Young University</w:t>
      </w:r>
      <w:r w:rsidR="00CE1532">
        <w:rPr>
          <w:rFonts w:ascii="Calibri" w:hAnsi="Calibri" w:cs="Calibri"/>
          <w:color w:val="000000"/>
          <w:lang w:val="en-AU"/>
        </w:rPr>
        <w:t>, the USA</w:t>
      </w:r>
      <w:r w:rsidR="00CE1532" w:rsidRPr="00CE1532">
        <w:rPr>
          <w:rFonts w:ascii="Calibri" w:hAnsi="Calibri" w:cs="Calibri"/>
          <w:color w:val="000000"/>
          <w:lang w:val="en-AU"/>
        </w:rPr>
        <w:t xml:space="preserve"> (2019) and an LL</w:t>
      </w:r>
      <w:r w:rsidR="00CE1532">
        <w:rPr>
          <w:rFonts w:ascii="Calibri" w:hAnsi="Calibri" w:cs="Calibri"/>
          <w:color w:val="000000"/>
          <w:lang w:val="en-AU"/>
        </w:rPr>
        <w:t>.</w:t>
      </w:r>
      <w:r w:rsidR="00CE1532" w:rsidRPr="00CE1532">
        <w:rPr>
          <w:rFonts w:ascii="Calibri" w:hAnsi="Calibri" w:cs="Calibri"/>
          <w:color w:val="000000"/>
          <w:lang w:val="en-AU"/>
        </w:rPr>
        <w:t>M</w:t>
      </w:r>
      <w:r w:rsidR="00CE1532">
        <w:rPr>
          <w:rFonts w:ascii="Calibri" w:hAnsi="Calibri" w:cs="Calibri"/>
          <w:color w:val="000000"/>
          <w:lang w:val="en-AU"/>
        </w:rPr>
        <w:t>.</w:t>
      </w:r>
      <w:r w:rsidR="00CE1532" w:rsidRPr="00CE1532">
        <w:rPr>
          <w:rFonts w:ascii="Calibri" w:hAnsi="Calibri" w:cs="Calibri"/>
          <w:color w:val="000000"/>
          <w:lang w:val="en-AU"/>
        </w:rPr>
        <w:t xml:space="preserve"> in International and European Protection of Human Rights from Utrecht </w:t>
      </w:r>
      <w:r w:rsidR="00CE1532">
        <w:rPr>
          <w:rFonts w:ascii="Calibri" w:hAnsi="Calibri" w:cs="Calibri"/>
          <w:color w:val="000000"/>
          <w:lang w:val="en-AU"/>
        </w:rPr>
        <w:t xml:space="preserve">University </w:t>
      </w:r>
      <w:r w:rsidR="00CE1532" w:rsidRPr="00CE1532">
        <w:rPr>
          <w:rFonts w:ascii="Calibri" w:hAnsi="Calibri" w:cs="Calibri"/>
          <w:color w:val="000000"/>
          <w:lang w:val="en-AU"/>
        </w:rPr>
        <w:t>School of Law</w:t>
      </w:r>
      <w:r w:rsidR="00CE1532">
        <w:rPr>
          <w:rFonts w:ascii="Calibri" w:hAnsi="Calibri" w:cs="Calibri"/>
          <w:color w:val="000000"/>
          <w:lang w:val="en-AU"/>
        </w:rPr>
        <w:t>, the Netherlands</w:t>
      </w:r>
      <w:r w:rsidR="00CE1532" w:rsidRPr="00CE1532">
        <w:rPr>
          <w:rFonts w:ascii="Calibri" w:hAnsi="Calibri" w:cs="Calibri"/>
          <w:color w:val="000000"/>
          <w:lang w:val="en-AU"/>
        </w:rPr>
        <w:t xml:space="preserve"> (2006). Her </w:t>
      </w:r>
      <w:r w:rsidR="00CE1532">
        <w:rPr>
          <w:rFonts w:ascii="Calibri" w:hAnsi="Calibri" w:cs="Calibri"/>
          <w:color w:val="000000"/>
          <w:lang w:val="en-AU"/>
        </w:rPr>
        <w:t xml:space="preserve">current </w:t>
      </w:r>
      <w:r w:rsidR="00CE1532" w:rsidRPr="00CE1532">
        <w:rPr>
          <w:rFonts w:ascii="Calibri" w:hAnsi="Calibri" w:cs="Calibri"/>
          <w:color w:val="000000"/>
          <w:lang w:val="en-AU"/>
        </w:rPr>
        <w:t xml:space="preserve">peer-reviewed articles include Blasphemy Law as Structural Violence (Muslim World Journal of Human Rights, 2020), Rethinking the Constitutionality of Anti-Blasphemy Law (Constitutional Review, 2021), and Indonesia's Legal Policies amidst Covid-19: Balancing Public Health and Religious Freedom (Journal of Southeast Asian Human Rights, 2018). </w:t>
      </w:r>
      <w:r w:rsidR="00CE1532">
        <w:rPr>
          <w:rFonts w:ascii="Calibri" w:hAnsi="Calibri" w:cs="Calibri"/>
          <w:color w:val="000000"/>
          <w:lang w:val="en-AU"/>
        </w:rPr>
        <w:t>She</w:t>
      </w:r>
      <w:r w:rsidR="00CE1532" w:rsidRPr="00CE1532">
        <w:rPr>
          <w:rFonts w:ascii="Calibri" w:hAnsi="Calibri" w:cs="Calibri"/>
          <w:color w:val="000000"/>
          <w:lang w:val="en-AU"/>
        </w:rPr>
        <w:t xml:space="preserve"> has instructed the Master Course on Shariah and Human Rights organized by UMM, ICLRS, and the Norwegian </w:t>
      </w:r>
      <w:r w:rsidR="00CE1532" w:rsidRPr="00CE1532">
        <w:rPr>
          <w:rFonts w:ascii="Calibri" w:hAnsi="Calibri" w:cs="Calibri"/>
          <w:color w:val="000000"/>
          <w:lang w:val="en-AU"/>
        </w:rPr>
        <w:t>Centre</w:t>
      </w:r>
      <w:r w:rsidR="00CE1532" w:rsidRPr="00CE1532">
        <w:rPr>
          <w:rFonts w:ascii="Calibri" w:hAnsi="Calibri" w:cs="Calibri"/>
          <w:color w:val="000000"/>
          <w:lang w:val="en-AU"/>
        </w:rPr>
        <w:t xml:space="preserve"> for Human Rights from 2011 to 2020. </w:t>
      </w:r>
      <w:proofErr w:type="spellStart"/>
      <w:r w:rsidR="00CE1532" w:rsidRPr="00CE1532">
        <w:rPr>
          <w:rFonts w:ascii="Calibri" w:hAnsi="Calibri" w:cs="Calibri"/>
          <w:color w:val="000000"/>
          <w:lang w:val="en-AU"/>
        </w:rPr>
        <w:t>Pratiwi</w:t>
      </w:r>
      <w:proofErr w:type="spellEnd"/>
      <w:r w:rsidR="00CE1532" w:rsidRPr="00CE1532">
        <w:rPr>
          <w:rFonts w:ascii="Calibri" w:hAnsi="Calibri" w:cs="Calibri"/>
          <w:color w:val="000000"/>
          <w:lang w:val="en-AU"/>
        </w:rPr>
        <w:t xml:space="preserve"> is the editor-in-chief of </w:t>
      </w:r>
      <w:proofErr w:type="spellStart"/>
      <w:r w:rsidR="00CE1532" w:rsidRPr="00CE1532">
        <w:rPr>
          <w:rFonts w:ascii="Calibri" w:hAnsi="Calibri" w:cs="Calibri"/>
          <w:color w:val="000000"/>
          <w:lang w:val="en-AU"/>
        </w:rPr>
        <w:t>Shari'a</w:t>
      </w:r>
      <w:proofErr w:type="spellEnd"/>
      <w:r w:rsidR="00CE1532" w:rsidRPr="00CE1532">
        <w:rPr>
          <w:rFonts w:ascii="Calibri" w:hAnsi="Calibri" w:cs="Calibri"/>
          <w:color w:val="000000"/>
          <w:lang w:val="en-AU"/>
        </w:rPr>
        <w:t xml:space="preserve"> and Human Rights: A Coursebook in two languages (</w:t>
      </w:r>
      <w:proofErr w:type="spellStart"/>
      <w:r w:rsidR="00CE1532" w:rsidRPr="00CE1532">
        <w:rPr>
          <w:rFonts w:ascii="Calibri" w:hAnsi="Calibri" w:cs="Calibri"/>
          <w:color w:val="000000"/>
          <w:lang w:val="en-AU"/>
        </w:rPr>
        <w:t>Mizan</w:t>
      </w:r>
      <w:proofErr w:type="spellEnd"/>
      <w:r w:rsidR="00CE1532" w:rsidRPr="00CE1532">
        <w:rPr>
          <w:rFonts w:ascii="Calibri" w:hAnsi="Calibri" w:cs="Calibri"/>
          <w:color w:val="000000"/>
          <w:lang w:val="en-AU"/>
        </w:rPr>
        <w:t xml:space="preserve"> Publisher, 2022) and the </w:t>
      </w:r>
      <w:r w:rsidR="00CE1532">
        <w:rPr>
          <w:rFonts w:ascii="Calibri" w:hAnsi="Calibri" w:cs="Calibri"/>
          <w:color w:val="000000"/>
          <w:lang w:val="en-AU"/>
        </w:rPr>
        <w:t xml:space="preserve">chief </w:t>
      </w:r>
      <w:r w:rsidR="00CE1532" w:rsidRPr="00CE1532">
        <w:rPr>
          <w:rFonts w:ascii="Calibri" w:hAnsi="Calibri" w:cs="Calibri"/>
          <w:color w:val="000000"/>
          <w:lang w:val="en-AU"/>
        </w:rPr>
        <w:t>author of A Study of the Second Amendment of the Bill of Information and Electronic Transaction in Indonesia Relevance to the Right to Freedom of Expression (KOMNAS_HAM, 2022). Currently, she is developing an audit guideline for state institutions' compliance with human rights for KOMNAS_HAM.</w:t>
      </w:r>
    </w:p>
    <w:p w14:paraId="69494522" w14:textId="77777777" w:rsidR="00CE1532" w:rsidRPr="002D75B0" w:rsidRDefault="00CE1532" w:rsidP="002D75B0">
      <w:pPr>
        <w:ind w:firstLine="720"/>
        <w:jc w:val="both"/>
        <w:rPr>
          <w:rFonts w:ascii="Calibri" w:hAnsi="Calibri" w:cs="Calibri"/>
          <w:color w:val="000000"/>
          <w:lang w:val="en-AU"/>
        </w:rPr>
      </w:pPr>
    </w:p>
    <w:p w14:paraId="519328EC" w14:textId="4F3D3119" w:rsidR="002D75B0" w:rsidRDefault="008A5EF2" w:rsidP="008A5EF2">
      <w:pPr>
        <w:ind w:firstLine="0"/>
        <w:rPr>
          <w:rFonts w:ascii="Calibri" w:hAnsi="Calibri" w:cs="Calibri"/>
          <w:b/>
          <w:color w:val="000000"/>
          <w:lang w:val="en-AU"/>
        </w:rPr>
      </w:pPr>
      <w:r w:rsidRPr="00F945CD">
        <w:rPr>
          <w:rFonts w:ascii="Calibri" w:hAnsi="Calibri" w:cs="Calibri"/>
          <w:b/>
          <w:color w:val="000000"/>
          <w:lang w:val="en-AU"/>
        </w:rPr>
        <w:t>INTRODUCTION</w:t>
      </w:r>
    </w:p>
    <w:p w14:paraId="0B9A4411" w14:textId="3852C95B" w:rsidR="00C76A71" w:rsidRPr="00F011C0" w:rsidRDefault="00C76A71" w:rsidP="00C76A71">
      <w:pPr>
        <w:ind w:firstLine="0"/>
        <w:jc w:val="both"/>
        <w:rPr>
          <w:rFonts w:cstheme="minorHAnsi"/>
          <w:color w:val="000000" w:themeColor="text1"/>
          <w:lang w:val="en-AU"/>
        </w:rPr>
      </w:pPr>
      <w:r w:rsidRPr="00F011C0">
        <w:rPr>
          <w:rFonts w:cstheme="minorHAnsi"/>
          <w:color w:val="000000" w:themeColor="text1"/>
          <w:lang w:val="en-AU"/>
        </w:rPr>
        <w:t xml:space="preserve">Indonesia, despite international recognition of allegations of infringement of freedom of religion and expression, retains anti-blasphemy laws. The issue of blasphemy often becomes a weapon against political opponents, resulting </w:t>
      </w:r>
      <w:r w:rsidRPr="00F011C0">
        <w:rPr>
          <w:rFonts w:cstheme="minorHAnsi"/>
          <w:color w:val="000000" w:themeColor="text1"/>
          <w:lang w:val="en-AU"/>
        </w:rPr>
        <w:lastRenderedPageBreak/>
        <w:t xml:space="preserve">in much polemic </w:t>
      </w:r>
      <w:r w:rsidRPr="00F011C0">
        <w:rPr>
          <w:rFonts w:cstheme="minorHAnsi"/>
          <w:color w:val="000000" w:themeColor="text1"/>
          <w:lang w:val="en-AU"/>
        </w:rPr>
        <w:fldChar w:fldCharType="begin"/>
      </w:r>
      <w:r w:rsidRPr="00F011C0">
        <w:rPr>
          <w:rFonts w:cstheme="minorHAnsi"/>
          <w:color w:val="000000" w:themeColor="text1"/>
          <w:lang w:val="en-AU"/>
        </w:rPr>
        <w:instrText xml:space="preserve"> ADDIN ZOTERO_ITEM CSL_CITATION {"citationID":"YBLe8vU4","properties":{"formattedCitation":"(Villa, 2022)","plainCitation":"(Villa, 2022)","noteIndex":0},"citationItems":[{"id":2290,"uris":["http://zotero.org/users/6396655/items/TTMHLLLI"],"itemData":{"id":2290,"type":"document","abstract":"According to a 2019 study, 4 in 10 countries and territories worldwide had blasphemy laws. The concept of blasphemy is often linked to ethno-religious sensitivity and is proscribed under the laws of many countries. Blasphemy is defined as an act of speech, attitudes, or actions committed by a person or group that insults or degrades religion, religious teachings, or religious attributes or symbols that are viewed as sacred. The terms applied to religious offenses in different countries lack clarity and uniformity. There is no internationally harmonized definition of blasphemy. The punishment for blasphemy varies from country to country, with some countries imposing the death penalty. The issue of blasphemy raises a lot of polemics and is often used as a weapon against political opponents.","publisher":"Pew Research Center","title":"40% of world’s countries and territories had blasphemy laws in 2019 | Pew Research Center","URL":"https://www.pewresearch.org/short-reads/2022/01/25/four-in-ten-countries-and-territories-worldwide-had-blasphemy-laws-in-2019-2/","author":[{"family":"Villa","given":"Virginia"}],"issued":{"date-parts":[["2022",1]]}}}],"schema":"https://github.com/citation-style-language/schema/raw/master/csl-citation.json"} </w:instrText>
      </w:r>
      <w:r w:rsidRPr="00F011C0">
        <w:rPr>
          <w:rFonts w:cstheme="minorHAnsi"/>
          <w:color w:val="000000" w:themeColor="text1"/>
          <w:lang w:val="en-AU"/>
        </w:rPr>
        <w:fldChar w:fldCharType="separate"/>
      </w:r>
      <w:r w:rsidRPr="00F011C0">
        <w:rPr>
          <w:rFonts w:cstheme="minorHAnsi"/>
          <w:noProof/>
          <w:color w:val="000000" w:themeColor="text1"/>
          <w:lang w:val="en-AU"/>
        </w:rPr>
        <w:t>(Villa, 2022)</w:t>
      </w:r>
      <w:r w:rsidRPr="00F011C0">
        <w:rPr>
          <w:rFonts w:cstheme="minorHAnsi"/>
          <w:color w:val="000000" w:themeColor="text1"/>
          <w:lang w:val="en-AU"/>
        </w:rPr>
        <w:fldChar w:fldCharType="end"/>
      </w:r>
      <w:r w:rsidRPr="00F011C0">
        <w:rPr>
          <w:rFonts w:cstheme="minorHAnsi"/>
          <w:color w:val="000000" w:themeColor="text1"/>
          <w:lang w:val="en-AU"/>
        </w:rPr>
        <w:t xml:space="preserve">. Scholars argue that the content ambiguity of Indonesia’s Anti-Blasphemy law is a flaw </w:t>
      </w:r>
      <w:r w:rsidRPr="00F011C0">
        <w:rPr>
          <w:rFonts w:cstheme="minorHAnsi"/>
          <w:color w:val="000000" w:themeColor="text1"/>
          <w:lang w:val="en-AU"/>
        </w:rPr>
        <w:fldChar w:fldCharType="begin"/>
      </w:r>
      <w:r w:rsidRPr="00F011C0">
        <w:rPr>
          <w:rFonts w:cstheme="minorHAnsi"/>
          <w:color w:val="000000" w:themeColor="text1"/>
          <w:lang w:val="en-AU"/>
        </w:rPr>
        <w:instrText xml:space="preserve"> ADDIN ZOTERO_ITEM CSL_CITATION {"citationID":"aUIFDuIT","properties":{"formattedCitation":"(Bielefeldt, 2012; Marshall, 2018; Menchik, 2014)","plainCitation":"(Bielefeldt, 2012; Marshall, 2018; Menchik, 2014)","noteIndex":0},"citationItems":[{"id":1905,"uris":["http://zotero.org/users/6396655/items/Z5NK2SFY"],"itemData":{"id":1905,"type":"article-journal","container-title":"Oxford Journal of Law and Religion","DOI":"10.1093/ojlr/rwr018","issue":"1","page":"15-35","title":"Freedom of Religion or Belief–A Human Right under Pressure","volume":"1","author":[{"family":"Bielefeldt","given":"H"}],"issued":{"date-parts":[["2012"]]}}},{"id":1912,"uris":["http://zotero.org/users/6396655/items/DXLIJNAG"],"itemData":{"id":1912,"type":"article-journal","container-title":"The Review of Faith &amp; International Affairs","DOI":"10.1080/15570274.2018.1433588","issue":"1","page":"85-96","title":"The Ambiguities of Religious Freedom in Indonesia","volume":"16","author":[{"family":"Marshall","given":"Paul"}],"issued":{"date-parts":[["2018"]]}}},{"id":1806,"uris":["http://zotero.org/users/6396655/items/XYN34VLG"],"itemData":{"id":1806,"type":"article-journal","container-title":"Comparative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Indonesia","volume":"56","author":[{"family":"Menchik","given":"Jeremy"}],"issued":{"date-parts":[["2014"]]}}}],"schema":"https://github.com/citation-style-language/schema/raw/master/csl-citation.json"} </w:instrText>
      </w:r>
      <w:r w:rsidRPr="00F011C0">
        <w:rPr>
          <w:rFonts w:cstheme="minorHAnsi"/>
          <w:color w:val="000000" w:themeColor="text1"/>
          <w:lang w:val="en-AU"/>
        </w:rPr>
        <w:fldChar w:fldCharType="separate"/>
      </w:r>
      <w:r w:rsidRPr="00F011C0">
        <w:rPr>
          <w:rFonts w:cstheme="minorHAnsi"/>
          <w:noProof/>
          <w:color w:val="000000" w:themeColor="text1"/>
          <w:lang w:val="en-AU"/>
        </w:rPr>
        <w:t>(Bielefeldt, 2012; Marshall, 2018; Menchik, 2014)</w:t>
      </w:r>
      <w:r w:rsidRPr="00F011C0">
        <w:rPr>
          <w:rFonts w:cstheme="minorHAnsi"/>
          <w:color w:val="000000" w:themeColor="text1"/>
          <w:lang w:val="en-AU"/>
        </w:rPr>
        <w:fldChar w:fldCharType="end"/>
      </w:r>
      <w:r w:rsidRPr="00F011C0">
        <w:rPr>
          <w:rFonts w:cstheme="minorHAnsi"/>
          <w:color w:val="000000" w:themeColor="text1"/>
          <w:lang w:val="en-AU"/>
        </w:rPr>
        <w:t xml:space="preserve">. </w:t>
      </w:r>
      <w:proofErr w:type="spellStart"/>
      <w:r w:rsidRPr="00F011C0">
        <w:rPr>
          <w:rFonts w:cstheme="minorHAnsi"/>
          <w:color w:val="000000" w:themeColor="text1"/>
          <w:lang w:val="en-AU"/>
        </w:rPr>
        <w:t>Pratiwi's</w:t>
      </w:r>
      <w:proofErr w:type="spellEnd"/>
      <w:r w:rsidRPr="00F011C0">
        <w:rPr>
          <w:rFonts w:cstheme="minorHAnsi"/>
          <w:color w:val="000000" w:themeColor="text1"/>
          <w:lang w:val="en-AU"/>
        </w:rPr>
        <w:t xml:space="preserve"> </w:t>
      </w:r>
      <w:r w:rsidRPr="00F011C0">
        <w:rPr>
          <w:rFonts w:cstheme="minorHAnsi"/>
          <w:color w:val="000000" w:themeColor="text1"/>
          <w:lang w:val="en-AU"/>
        </w:rPr>
        <w:fldChar w:fldCharType="begin"/>
      </w:r>
      <w:r w:rsidRPr="00F011C0">
        <w:rPr>
          <w:rFonts w:cstheme="minorHAnsi"/>
          <w:color w:val="000000" w:themeColor="text1"/>
          <w:lang w:val="en-AU"/>
        </w:rPr>
        <w:instrText xml:space="preserve"> ADDIN ZOTERO_ITEM CSL_CITATION {"citationID":"LrLDA4nh","properties":{"formattedCitation":"(2021)","plainCitation":"(2021)","noteIndex":0},"citationItems":[{"id":1434,"uris":["http://zotero.org/users/6396655/items/EMUMJPRJ"],"itemData":{"id":1434,"type":"article-journal","container-title":"Constitutional Review","DOI":"https://doi.org/10.31078/consrev724","issue":"2","page":"273-299","title":"Rethinking the Constitutionality of Indonesia’s Flawed Anti Blasphemy Law","volume":"7","author":[{"family":"Pratiwi","given":"Cekli S"}],"issued":{"date-parts":[["2021"]]}},"label":"page","suppress-author":true}],"schema":"https://github.com/citation-style-language/schema/raw/master/csl-citation.json"} </w:instrText>
      </w:r>
      <w:r w:rsidRPr="00F011C0">
        <w:rPr>
          <w:rFonts w:cstheme="minorHAnsi"/>
          <w:color w:val="000000" w:themeColor="text1"/>
          <w:lang w:val="en-AU"/>
        </w:rPr>
        <w:fldChar w:fldCharType="separate"/>
      </w:r>
      <w:r w:rsidRPr="00F011C0">
        <w:rPr>
          <w:rFonts w:cstheme="minorHAnsi"/>
          <w:noProof/>
          <w:color w:val="000000" w:themeColor="text1"/>
          <w:lang w:val="en-AU"/>
        </w:rPr>
        <w:t>(2021)</w:t>
      </w:r>
      <w:r w:rsidRPr="00F011C0">
        <w:rPr>
          <w:rFonts w:cstheme="minorHAnsi"/>
          <w:color w:val="000000" w:themeColor="text1"/>
          <w:lang w:val="en-AU"/>
        </w:rPr>
        <w:fldChar w:fldCharType="end"/>
      </w:r>
      <w:r w:rsidRPr="00F011C0">
        <w:rPr>
          <w:rFonts w:cstheme="minorHAnsi"/>
          <w:color w:val="000000" w:themeColor="text1"/>
          <w:lang w:val="en-AU"/>
        </w:rPr>
        <w:t xml:space="preserve"> recent research suggests that the Constitutional Court of the Republic of Indonesia disregarded the principle of non-discrimination in the right to freedom of religion, rejecting a request for a judicial review to annul the blasphemy law out of concern for the potential for conflict between different religious communities in the event of a legal vacuum. Nonetheless, current reality deviates from the legal philosophy of Constitutional Court, and despite efforts to enforce the Law Against Blasphemy of Religion, vigilante attacks on religious minorities accused of heresy persist.</w:t>
      </w:r>
    </w:p>
    <w:p w14:paraId="4DE74CEB" w14:textId="54D011CE" w:rsidR="008A5EF2" w:rsidRPr="00F011C0" w:rsidRDefault="00C76A71" w:rsidP="00465E86">
      <w:pPr>
        <w:ind w:firstLine="720"/>
        <w:jc w:val="both"/>
        <w:rPr>
          <w:rFonts w:cstheme="minorHAnsi"/>
          <w:color w:val="000000" w:themeColor="text1"/>
          <w:lang w:val="en-AU"/>
        </w:rPr>
      </w:pPr>
      <w:r w:rsidRPr="00F011C0">
        <w:rPr>
          <w:rFonts w:cstheme="minorHAnsi"/>
          <w:color w:val="000000" w:themeColor="text1"/>
          <w:lang w:val="en-AU"/>
        </w:rPr>
        <w:t>In Indonesia, blasphemy cases demonstrate that the accused subjected to violent or physical attacks at their places of worship, and the courts have handed down harsh sentences. The Setara Institute reports that 42 of the 97 blasphemy cases between 1965 and 2017 involved vigilante groups. Overall, 76 cases were settled through "pro-</w:t>
      </w:r>
      <w:proofErr w:type="spellStart"/>
      <w:r w:rsidRPr="00F011C0">
        <w:rPr>
          <w:rFonts w:cstheme="minorHAnsi"/>
          <w:color w:val="000000" w:themeColor="text1"/>
          <w:lang w:val="en-AU"/>
        </w:rPr>
        <w:t>justicia</w:t>
      </w:r>
      <w:proofErr w:type="spellEnd"/>
      <w:r w:rsidRPr="00F011C0">
        <w:rPr>
          <w:rFonts w:cstheme="minorHAnsi"/>
          <w:color w:val="000000" w:themeColor="text1"/>
          <w:lang w:val="en-AU"/>
        </w:rPr>
        <w:t xml:space="preserve">," with 47 receiving jail terms ranging from one to 4.5 years, five over 4.5 years, and eight less than a year in prison </w:t>
      </w:r>
      <w:r w:rsidRPr="00F011C0">
        <w:rPr>
          <w:rFonts w:cstheme="minorHAnsi"/>
          <w:color w:val="000000" w:themeColor="text1"/>
          <w:lang w:val="en-AU"/>
        </w:rPr>
        <w:fldChar w:fldCharType="begin"/>
      </w:r>
      <w:r w:rsidRPr="00F011C0">
        <w:rPr>
          <w:rFonts w:cstheme="minorHAnsi"/>
          <w:color w:val="000000" w:themeColor="text1"/>
          <w:lang w:val="en-AU"/>
        </w:rPr>
        <w:instrText xml:space="preserve"> ADDIN ZOTERO_ITEM CSL_CITATION {"citationID":"uOATKz4s","properties":{"formattedCitation":"(Nalle, 2021)","plainCitation":"(Nalle, 2021)","noteIndex":0},"citationItems":[{"id":2274,"uris":["http://zotero.org/users/6396655/items/D5JITMMX"],"itemData":{"id":2274,"type":"article-journal","container-title":"Asian Journal of Law and Society","issue":"3","note":"publisher: Cambridge University Press","page":"558–576","title":"The politics of intolerant laws against adherents of indigenous beliefs or aliran kepercayaan in Indonesia","volume":"8","author":[{"family":"Nalle","given":"Victor Imanuel W"}],"issued":{"date-parts":[["2021"]]}}}],"schema":"https://github.com/citation-style-language/schema/raw/master/csl-citation.json"} </w:instrText>
      </w:r>
      <w:r w:rsidRPr="00F011C0">
        <w:rPr>
          <w:rFonts w:cstheme="minorHAnsi"/>
          <w:color w:val="000000" w:themeColor="text1"/>
          <w:lang w:val="en-AU"/>
        </w:rPr>
        <w:fldChar w:fldCharType="separate"/>
      </w:r>
      <w:r w:rsidRPr="00F011C0">
        <w:rPr>
          <w:rFonts w:cstheme="minorHAnsi"/>
          <w:noProof/>
          <w:color w:val="000000" w:themeColor="text1"/>
          <w:lang w:val="en-AU"/>
        </w:rPr>
        <w:t>(Nalle, 2021)</w:t>
      </w:r>
      <w:r w:rsidRPr="00F011C0">
        <w:rPr>
          <w:rFonts w:cstheme="minorHAnsi"/>
          <w:color w:val="000000" w:themeColor="text1"/>
          <w:lang w:val="en-AU"/>
        </w:rPr>
        <w:fldChar w:fldCharType="end"/>
      </w:r>
      <w:r w:rsidRPr="00F011C0">
        <w:rPr>
          <w:rFonts w:cstheme="minorHAnsi"/>
          <w:color w:val="000000" w:themeColor="text1"/>
          <w:lang w:val="en-AU"/>
        </w:rPr>
        <w:t>.</w:t>
      </w:r>
    </w:p>
    <w:p w14:paraId="7C35E731" w14:textId="791A20BF" w:rsidR="00C76A71" w:rsidRPr="00F011C0" w:rsidRDefault="008409CD" w:rsidP="00465E86">
      <w:pPr>
        <w:ind w:firstLine="720"/>
        <w:jc w:val="both"/>
        <w:rPr>
          <w:rFonts w:cstheme="minorHAnsi"/>
          <w:bCs/>
          <w:color w:val="000000" w:themeColor="text1"/>
          <w:lang w:val="en-AU"/>
        </w:rPr>
      </w:pPr>
      <w:r w:rsidRPr="00F011C0">
        <w:rPr>
          <w:rFonts w:cstheme="minorHAnsi"/>
          <w:bCs/>
          <w:color w:val="000000" w:themeColor="text1"/>
          <w:lang w:val="en-AU"/>
        </w:rPr>
        <w:t>Vigilante actions often arise from community dissatisfaction with law enforcement processes, such as poorly handled criminal cases, instances of protected illegal activities, or perpetrators being allowed to go free without being held accountable. Therefore, communities may take matters into their own hands and punish the perpetrators even without considering the rule of law</w:t>
      </w:r>
      <w:r w:rsidR="00C76A71" w:rsidRPr="00F011C0">
        <w:rPr>
          <w:rFonts w:cstheme="minorHAnsi"/>
          <w:bCs/>
          <w:color w:val="000000" w:themeColor="text1"/>
          <w:lang w:val="en-AU"/>
        </w:rPr>
        <w:t xml:space="preserve"> </w:t>
      </w:r>
      <w:r w:rsidR="00C76A71" w:rsidRPr="00F011C0">
        <w:rPr>
          <w:rFonts w:cstheme="minorHAnsi"/>
          <w:bCs/>
          <w:color w:val="000000" w:themeColor="text1"/>
          <w:lang w:val="en-AU"/>
        </w:rPr>
        <w:fldChar w:fldCharType="begin"/>
      </w:r>
      <w:r w:rsidR="00C76A71" w:rsidRPr="00F011C0">
        <w:rPr>
          <w:rFonts w:cstheme="minorHAnsi"/>
          <w:bCs/>
          <w:color w:val="000000" w:themeColor="text1"/>
          <w:lang w:val="en-AU"/>
        </w:rPr>
        <w:instrText xml:space="preserve"> ADDIN ZOTERO_ITEM CSL_CITATION {"citationID":"vES2rQIK","properties":{"formattedCitation":"(Scheuerman, 2022)","plainCitation":"(Scheuerman, 2022)","noteIndex":0},"citationItems":[{"id":2271,"uris":["http://zotero.org/users/6396655/items/XIE6IVT2"],"itemData":{"id":2271,"type":"article-journal","container-title":"Critical Review of International Social and Political Philosophy","issue":"7","note":"publisher: Taylor &amp; Francis","page":"980–999","title":"Why not uncivil disobedience?","volume":"25","author":[{"family":"Scheuerman","given":"William E"}],"issued":{"date-parts":[["2022"]]}}}],"schema":"https://github.com/citation-style-language/schema/raw/master/csl-citation.json"} </w:instrText>
      </w:r>
      <w:r w:rsidR="00C76A71" w:rsidRPr="00F011C0">
        <w:rPr>
          <w:rFonts w:cstheme="minorHAnsi"/>
          <w:bCs/>
          <w:color w:val="000000" w:themeColor="text1"/>
          <w:lang w:val="en-AU"/>
        </w:rPr>
        <w:fldChar w:fldCharType="separate"/>
      </w:r>
      <w:r w:rsidR="00C76A71" w:rsidRPr="00F011C0">
        <w:rPr>
          <w:rFonts w:cstheme="minorHAnsi"/>
          <w:bCs/>
          <w:noProof/>
          <w:color w:val="000000" w:themeColor="text1"/>
          <w:lang w:val="en-AU"/>
        </w:rPr>
        <w:t>(Scheuerman, 2022)</w:t>
      </w:r>
      <w:r w:rsidR="00C76A71" w:rsidRPr="00F011C0">
        <w:rPr>
          <w:rFonts w:cstheme="minorHAnsi"/>
          <w:bCs/>
          <w:color w:val="000000" w:themeColor="text1"/>
          <w:lang w:val="en-AU"/>
        </w:rPr>
        <w:fldChar w:fldCharType="end"/>
      </w:r>
      <w:r w:rsidR="00C76A71" w:rsidRPr="00F011C0">
        <w:rPr>
          <w:rFonts w:cstheme="minorHAnsi"/>
          <w:bCs/>
          <w:color w:val="000000" w:themeColor="text1"/>
          <w:lang w:val="en-AU"/>
        </w:rPr>
        <w:t>.</w:t>
      </w:r>
    </w:p>
    <w:p w14:paraId="1F1F68FA" w14:textId="053EB09B" w:rsidR="00C76A71" w:rsidRPr="00F011C0" w:rsidRDefault="00C76A71" w:rsidP="00465E86">
      <w:pPr>
        <w:ind w:firstLine="720"/>
        <w:jc w:val="both"/>
        <w:rPr>
          <w:rFonts w:cstheme="minorHAnsi"/>
          <w:bCs/>
          <w:color w:val="000000" w:themeColor="text1"/>
          <w:lang w:val="en-AU"/>
        </w:rPr>
      </w:pPr>
      <w:r w:rsidRPr="00F011C0">
        <w:rPr>
          <w:rFonts w:cstheme="minorHAnsi"/>
          <w:bCs/>
          <w:color w:val="000000" w:themeColor="text1"/>
          <w:lang w:val="en-AU"/>
        </w:rPr>
        <w:t xml:space="preserve">In cases of blasphemy, </w:t>
      </w:r>
      <w:proofErr w:type="spellStart"/>
      <w:r w:rsidRPr="00F011C0">
        <w:rPr>
          <w:rFonts w:cstheme="minorHAnsi"/>
          <w:bCs/>
          <w:color w:val="000000" w:themeColor="text1"/>
          <w:lang w:val="en-AU"/>
        </w:rPr>
        <w:t>Hassner's</w:t>
      </w:r>
      <w:proofErr w:type="spellEnd"/>
      <w:r w:rsidRPr="00F011C0">
        <w:rPr>
          <w:rFonts w:cstheme="minorHAnsi"/>
          <w:bCs/>
          <w:color w:val="000000" w:themeColor="text1"/>
          <w:lang w:val="en-AU"/>
        </w:rPr>
        <w:t xml:space="preserve"> </w:t>
      </w:r>
      <w:r w:rsidRPr="00F011C0">
        <w:rPr>
          <w:rFonts w:cstheme="minorHAnsi"/>
          <w:bCs/>
          <w:color w:val="000000" w:themeColor="text1"/>
          <w:lang w:val="en-AU"/>
        </w:rPr>
        <w:fldChar w:fldCharType="begin"/>
      </w:r>
      <w:r w:rsidRPr="00F011C0">
        <w:rPr>
          <w:rFonts w:cstheme="minorHAnsi"/>
          <w:bCs/>
          <w:color w:val="000000" w:themeColor="text1"/>
          <w:lang w:val="en-AU"/>
        </w:rPr>
        <w:instrText xml:space="preserve"> ADDIN ZOTERO_ITEM CSL_CITATION {"citationID":"eq8w2AFI","properties":{"formattedCitation":"(2011)","plainCitation":"(2011)","noteIndex":0},"citationItems":[{"id":2287,"uris":["http://zotero.org/users/6396655/items/XPNWAMKC"],"itemData":{"id":2287,"type":"article-journal","container-title":"International Studies Quarterly","DOI":"10.1111/j.1468-2478.2010.00634.x","ISSN":"00208833","issue":"1","language":"en","page":"23-45","source":"DOI.org (Crossref)","title":"Blasphemy and Violence1: Blasphemy and Violence","title-short":"Blasphemy and Violence1","volume":"55","author":[{"family":"Hassner","given":"Ron E."}],"issued":{"date-parts":[["2011",3]]}},"label":"page","suppress-author":true}],"schema":"https://github.com/citation-style-language/schema/raw/master/csl-citation.json"} </w:instrText>
      </w:r>
      <w:r w:rsidRPr="00F011C0">
        <w:rPr>
          <w:rFonts w:cstheme="minorHAnsi"/>
          <w:bCs/>
          <w:color w:val="000000" w:themeColor="text1"/>
          <w:lang w:val="en-AU"/>
        </w:rPr>
        <w:fldChar w:fldCharType="separate"/>
      </w:r>
      <w:r w:rsidRPr="00F011C0">
        <w:rPr>
          <w:rFonts w:cstheme="minorHAnsi"/>
          <w:bCs/>
          <w:noProof/>
          <w:color w:val="000000" w:themeColor="text1"/>
          <w:lang w:val="en-AU"/>
        </w:rPr>
        <w:t>(2011)</w:t>
      </w:r>
      <w:r w:rsidRPr="00F011C0">
        <w:rPr>
          <w:rFonts w:cstheme="minorHAnsi"/>
          <w:bCs/>
          <w:color w:val="000000" w:themeColor="text1"/>
          <w:lang w:val="en-AU"/>
        </w:rPr>
        <w:fldChar w:fldCharType="end"/>
      </w:r>
      <w:r w:rsidRPr="00F011C0">
        <w:rPr>
          <w:rFonts w:cstheme="minorHAnsi"/>
          <w:bCs/>
          <w:color w:val="000000" w:themeColor="text1"/>
          <w:lang w:val="en-AU"/>
        </w:rPr>
        <w:t xml:space="preserve"> research found that reactive religious violence results from inadequate protection of religious values against transgressive acts, regardless of religious affiliation. </w:t>
      </w:r>
      <w:proofErr w:type="spellStart"/>
      <w:r w:rsidRPr="00F011C0">
        <w:rPr>
          <w:rFonts w:cstheme="minorHAnsi"/>
          <w:bCs/>
          <w:color w:val="000000" w:themeColor="text1"/>
          <w:lang w:val="en-AU"/>
        </w:rPr>
        <w:t>Pratiwi</w:t>
      </w:r>
      <w:proofErr w:type="spellEnd"/>
      <w:r w:rsidRPr="00F011C0">
        <w:rPr>
          <w:rFonts w:cstheme="minorHAnsi"/>
          <w:bCs/>
          <w:color w:val="000000" w:themeColor="text1"/>
          <w:lang w:val="en-AU"/>
        </w:rPr>
        <w:t xml:space="preserve"> and </w:t>
      </w:r>
      <w:proofErr w:type="spellStart"/>
      <w:r w:rsidRPr="00F011C0">
        <w:rPr>
          <w:rFonts w:cstheme="minorHAnsi"/>
          <w:bCs/>
          <w:color w:val="000000" w:themeColor="text1"/>
          <w:lang w:val="en-AU"/>
        </w:rPr>
        <w:t>Sunaryo</w:t>
      </w:r>
      <w:proofErr w:type="spellEnd"/>
      <w:r w:rsidRPr="00F011C0">
        <w:rPr>
          <w:rFonts w:cstheme="minorHAnsi"/>
          <w:bCs/>
          <w:color w:val="000000" w:themeColor="text1"/>
          <w:lang w:val="en-AU"/>
        </w:rPr>
        <w:t xml:space="preserve"> </w:t>
      </w:r>
      <w:r w:rsidRPr="00F011C0">
        <w:rPr>
          <w:rFonts w:cstheme="minorHAnsi"/>
          <w:bCs/>
          <w:color w:val="000000" w:themeColor="text1"/>
          <w:lang w:val="en-AU"/>
        </w:rPr>
        <w:fldChar w:fldCharType="begin"/>
      </w:r>
      <w:r w:rsidRPr="00F011C0">
        <w:rPr>
          <w:rFonts w:cstheme="minorHAnsi"/>
          <w:bCs/>
          <w:color w:val="000000" w:themeColor="text1"/>
          <w:lang w:val="en-AU"/>
        </w:rPr>
        <w:instrText xml:space="preserve"> ADDIN ZOTERO_ITEM CSL_CITATION {"citationID":"C8rTCHHl","properties":{"formattedCitation":"(2021)","plainCitation":"(2021)","noteIndex":0},"citationItems":[{"id":1434,"uris":["http://zotero.org/users/6396655/items/EMUMJPRJ"],"itemData":{"id":1434,"type":"article-journal","container-title":"Constitutional Review","DOI":"https://doi.org/10.31078/consrev724","issue":"2","page":"273-299","title":"Rethinking the Constitutionality of Indonesia’s Flawed Anti Blasphemy Law","volume":"7","author":[{"family":"Pratiwi","given":"Cekli S"}],"issued":{"date-parts":[["2021"]]}},"label":"page","suppress-author":true}],"schema":"https://github.com/citation-style-language/schema/raw/master/csl-citation.json"} </w:instrText>
      </w:r>
      <w:r w:rsidRPr="00F011C0">
        <w:rPr>
          <w:rFonts w:cstheme="minorHAnsi"/>
          <w:bCs/>
          <w:color w:val="000000" w:themeColor="text1"/>
          <w:lang w:val="en-AU"/>
        </w:rPr>
        <w:fldChar w:fldCharType="separate"/>
      </w:r>
      <w:r w:rsidRPr="00F011C0">
        <w:rPr>
          <w:rFonts w:cstheme="minorHAnsi"/>
          <w:bCs/>
          <w:noProof/>
          <w:color w:val="000000" w:themeColor="text1"/>
          <w:lang w:val="en-AU"/>
        </w:rPr>
        <w:t>(2021)</w:t>
      </w:r>
      <w:r w:rsidRPr="00F011C0">
        <w:rPr>
          <w:rFonts w:cstheme="minorHAnsi"/>
          <w:bCs/>
          <w:color w:val="000000" w:themeColor="text1"/>
          <w:lang w:val="en-AU"/>
        </w:rPr>
        <w:fldChar w:fldCharType="end"/>
      </w:r>
      <w:r w:rsidRPr="00F011C0">
        <w:rPr>
          <w:rFonts w:cstheme="minorHAnsi"/>
          <w:bCs/>
          <w:color w:val="000000" w:themeColor="text1"/>
          <w:lang w:val="en-AU"/>
        </w:rPr>
        <w:t xml:space="preserve"> argue that vigilante violence surrounding blasphemy accusations in countries such as Indonesia, Malaysia, and Pakistan cannot be separated from State-created structural violence resulting from discriminatory anti-blasphemy laws.</w:t>
      </w:r>
    </w:p>
    <w:p w14:paraId="098A4FD3" w14:textId="6AFD1EE1" w:rsidR="00FD59A2" w:rsidRDefault="00C76A71" w:rsidP="00FD59A2">
      <w:pPr>
        <w:ind w:firstLine="720"/>
        <w:jc w:val="both"/>
      </w:pPr>
      <w:r w:rsidRPr="00F011C0">
        <w:rPr>
          <w:rFonts w:cstheme="minorHAnsi"/>
          <w:bCs/>
          <w:color w:val="000000" w:themeColor="text1"/>
          <w:lang w:val="en-AU"/>
        </w:rPr>
        <w:t xml:space="preserve">This study complements previous findings by </w:t>
      </w:r>
      <w:r w:rsidR="00CE2AB4" w:rsidRPr="00F011C0">
        <w:rPr>
          <w:rFonts w:cstheme="minorHAnsi"/>
          <w:bCs/>
          <w:color w:val="000000" w:themeColor="text1"/>
          <w:lang w:val="en-AU"/>
        </w:rPr>
        <w:t>analysing</w:t>
      </w:r>
      <w:r w:rsidRPr="00F011C0">
        <w:rPr>
          <w:rFonts w:cstheme="minorHAnsi"/>
          <w:bCs/>
          <w:color w:val="000000" w:themeColor="text1"/>
          <w:lang w:val="en-AU"/>
        </w:rPr>
        <w:t xml:space="preserve"> the occurrence of vigilante justice over blasphemy allegations, its impact on judicial independence in blasphemy cases, and why anti-blasphemy laws have failed to preserve justice. The study </w:t>
      </w:r>
      <w:r w:rsidR="00FD59A2">
        <w:rPr>
          <w:rFonts w:cstheme="minorHAnsi"/>
          <w:bCs/>
          <w:color w:val="000000" w:themeColor="text1"/>
          <w:lang w:val="en-AU"/>
        </w:rPr>
        <w:t xml:space="preserve">argues </w:t>
      </w:r>
      <w:r w:rsidR="00FD59A2">
        <w:t>the complexity of state-sponsored vigilantism outside of court creates the pattern, jeopardizes the independence of the judiciary, and prevents the court from delivering justice to the accused.</w:t>
      </w:r>
    </w:p>
    <w:p w14:paraId="1D12E1B4" w14:textId="1A2505BB" w:rsidR="008A5EF2" w:rsidRPr="008A5EF2" w:rsidRDefault="008A5EF2" w:rsidP="00FD59A2">
      <w:pPr>
        <w:ind w:firstLine="720"/>
        <w:jc w:val="both"/>
        <w:rPr>
          <w:rFonts w:asciiTheme="majorHAnsi" w:hAnsiTheme="majorHAnsi" w:cstheme="majorHAnsi"/>
          <w:bCs/>
          <w:color w:val="C00000"/>
          <w:lang w:val="en-AU"/>
        </w:rPr>
      </w:pPr>
    </w:p>
    <w:p w14:paraId="24BFC49B" w14:textId="77777777" w:rsidR="008A5EF2" w:rsidRDefault="008A5EF2" w:rsidP="008A5EF2">
      <w:pPr>
        <w:ind w:firstLine="0"/>
        <w:rPr>
          <w:rFonts w:ascii="Calibri" w:hAnsi="Calibri" w:cs="Calibri"/>
          <w:b/>
          <w:color w:val="000000"/>
          <w:lang w:val="en-AU"/>
        </w:rPr>
      </w:pPr>
      <w:r w:rsidRPr="00F945CD">
        <w:rPr>
          <w:rFonts w:ascii="Calibri" w:hAnsi="Calibri" w:cs="Calibri"/>
          <w:b/>
          <w:color w:val="000000"/>
          <w:lang w:val="en-AU"/>
        </w:rPr>
        <w:t>RESEARCH METHODOLOGY</w:t>
      </w:r>
    </w:p>
    <w:p w14:paraId="2D5BF6A5" w14:textId="77777777" w:rsidR="002D75B0" w:rsidRPr="00315563" w:rsidRDefault="002D75B0" w:rsidP="008A5EF2">
      <w:pPr>
        <w:ind w:firstLine="0"/>
        <w:rPr>
          <w:rFonts w:ascii="Calibri" w:hAnsi="Calibri" w:cs="Calibri"/>
          <w:b/>
          <w:lang w:val="en-US"/>
        </w:rPr>
      </w:pPr>
    </w:p>
    <w:p w14:paraId="6BE64380" w14:textId="3FF26FD7" w:rsidR="008A5EF2" w:rsidRPr="00EA09FE" w:rsidRDefault="008A5EF2" w:rsidP="008A5EF2">
      <w:pPr>
        <w:ind w:firstLine="0"/>
        <w:jc w:val="both"/>
        <w:rPr>
          <w:rFonts w:ascii="Calibri" w:hAnsi="Calibri" w:cs="Calibri"/>
          <w:bCs/>
          <w:color w:val="000000"/>
          <w:lang w:val="en-AU"/>
        </w:rPr>
      </w:pPr>
      <w:r w:rsidRPr="00EA09FE">
        <w:rPr>
          <w:rFonts w:ascii="Calibri" w:hAnsi="Calibri" w:cs="Calibri"/>
          <w:bCs/>
          <w:color w:val="000000"/>
          <w:lang w:val="en-AU"/>
        </w:rPr>
        <w:t xml:space="preserve">Numerous studies have analysed the Anti-Blasphemy Law in Indonesia, primarily focusing on normative evaluations of the law's substance and its non-conformity with international human rights standards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{"citationID":"jmv6AMDf","properties":{"formattedCitation":"(Bielefeldt, 2012; Pratiwi, 2021)","plainCitation":"(Bielefeldt, 2012; Pratiwi, 2021)","noteIndex":0},"citationItems":[{"id":1905,"uris":["http://zotero.org/users/6396655/items/Z5NK2SFY"],"itemData":{"id":1905,"type":"article-journal","container-title":"Oxford Journal of Law and Religion","DOI":"10.1093/ojlr/rwr018","issue":"1","page":"15-35","title":"Freedom of Religion or Belief–A Human Right under Pressure","volume":"1","author":[{"family":"Bielefeldt","given":"H"}],"issued":{"date-parts":[["2012"]]}}},{"id":1434,"uris":["http://zotero.org/users/6396655/items/EMUMJPRJ"],"itemData":{"id":1434,"type":"article-journal","container-title":"Constitutional Review","DOI":"https://doi.org/10.31078/consrev724","issue":"2","page":"273-299","title":"Rethinking the Constitutionality of Indonesia’s Flawed Anti Blasphemy Law","volume":"7","author":[{"family":"Pratiwi","given":"Cekli S"}],"issued":{"date-parts":[["2021"]]}}}],"schema":"https://github.com/citation-style-language/schema/raw/master/csl-citation.json"}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(Bielefeldt, 2012; Pratiwi, 2021)</w:t>
      </w:r>
      <w:r>
        <w:rPr>
          <w:rFonts w:ascii="Calibri" w:hAnsi="Calibri" w:cs="Calibri"/>
          <w:bCs/>
          <w:color w:val="000000"/>
          <w:lang w:val="en-AU"/>
        </w:rPr>
        <w:fldChar w:fldCharType="end"/>
      </w:r>
      <w:r w:rsidRPr="00EA09FE">
        <w:rPr>
          <w:rFonts w:ascii="Calibri" w:hAnsi="Calibri" w:cs="Calibri"/>
          <w:bCs/>
          <w:color w:val="000000"/>
          <w:lang w:val="en-AU"/>
        </w:rPr>
        <w:t xml:space="preserve">. Other studies have examined public perceptions of the law through empirical legal analysis utilizing a socio-legal approach to explore the gap between ideal legal norms and the reality of law's implementation in society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{"citationID":"A0Naqzd9","properties":{"formattedCitation":"(Banakar, 2019; Bedner &amp; Vel, 2010)","plainCitation":"(Banakar, 2019; Bedner &amp; Vel, 2010)","noteIndex":0},"citationItems":[{"id":2094,"uris":["http://zotero.org/users/6396655/items/DKQMQD88"],"itemData":{"id":2094,"type":"manuscript","title":"On Socio-Legal Design","URL":"https://papers.ssrn.com/sol3/papers.cfm?abstract_id=3463028","author":[{"family":"Banakar","given":"Reza"}],"accessed":{"date-parts":[["2022",12,6]]},"issued":{"date-parts":[["2019",10]]}}},{"id":2063,"uris":["http://zotero.org/users/6396655/items/GZMIU8XG"],"itemData":{"id":2063,"type":"article-journal","container-title":"Law, Social Justice &amp; Global Development Journal (LGD)","title":"An Analytical Framework for Empirical Research on Access to Justice","author":[{"family":"Bedner","given":"A."},{"family":"Vel","given":"J.A.C."}],"issued":{"date-parts":[["2010"]]}}}],"schema":"https://github.com/citation-style-language/schema/raw/master/csl-citation.json"}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(Banakar, 2019; Bedner &amp; Vel, 2010)</w:t>
      </w:r>
      <w:r>
        <w:rPr>
          <w:rFonts w:ascii="Calibri" w:hAnsi="Calibri" w:cs="Calibri"/>
          <w:bCs/>
          <w:color w:val="000000"/>
          <w:lang w:val="en-AU"/>
        </w:rPr>
        <w:fldChar w:fldCharType="end"/>
      </w:r>
      <w:r w:rsidRPr="00EA09FE">
        <w:rPr>
          <w:rFonts w:ascii="Calibri" w:hAnsi="Calibri" w:cs="Calibri"/>
          <w:bCs/>
          <w:color w:val="000000"/>
          <w:lang w:val="en-AU"/>
        </w:rPr>
        <w:t xml:space="preserve">. </w:t>
      </w:r>
      <w:r w:rsidR="007D0788" w:rsidRPr="007D0788">
        <w:rPr>
          <w:rFonts w:ascii="Calibri" w:hAnsi="Calibri" w:cs="Calibri"/>
          <w:bCs/>
          <w:color w:val="000000"/>
          <w:lang w:val="en-AU"/>
        </w:rPr>
        <w:t>This study aims to analyse vigilante justice's occurrence linked to blasphemy allegations regarding its impact on judicial independence and the ineffectiveness of the law at preserving justice.</w:t>
      </w:r>
      <w:r w:rsidR="00CE2AB4" w:rsidRPr="00F011C0">
        <w:rPr>
          <w:rFonts w:cstheme="minorHAnsi"/>
          <w:bCs/>
          <w:color w:val="000000" w:themeColor="text1"/>
          <w:lang w:val="en-AU"/>
        </w:rPr>
        <w:t xml:space="preserve"> </w:t>
      </w:r>
      <w:r w:rsidR="00CE2AB4">
        <w:rPr>
          <w:rFonts w:cstheme="minorHAnsi"/>
          <w:bCs/>
          <w:color w:val="000000" w:themeColor="text1"/>
          <w:lang w:val="en-AU"/>
        </w:rPr>
        <w:t xml:space="preserve">We have </w:t>
      </w:r>
      <w:r w:rsidRPr="00EA09FE">
        <w:rPr>
          <w:rFonts w:ascii="Calibri" w:hAnsi="Calibri" w:cs="Calibri"/>
          <w:bCs/>
          <w:color w:val="000000"/>
          <w:lang w:val="en-AU"/>
        </w:rPr>
        <w:t xml:space="preserve">gathered a wide array of data, including case studies, statutory analysis, and in-depth interviews with experts, judges, religious followers, members of religious groups, and minority religious groups. </w:t>
      </w:r>
    </w:p>
    <w:p w14:paraId="6E339B7C" w14:textId="5C8A23C8" w:rsidR="008A5EF2" w:rsidRPr="00623356" w:rsidRDefault="0057022E" w:rsidP="0035468F">
      <w:pPr>
        <w:ind w:firstLine="720"/>
        <w:jc w:val="both"/>
        <w:rPr>
          <w:rFonts w:ascii="Calibri" w:hAnsi="Calibri" w:cs="Calibri"/>
          <w:bCs/>
          <w:color w:val="000000"/>
          <w:lang w:val="en-AU"/>
        </w:rPr>
      </w:pPr>
      <w:r w:rsidRPr="0057022E">
        <w:rPr>
          <w:rFonts w:ascii="Calibri" w:hAnsi="Calibri" w:cs="Calibri"/>
          <w:bCs/>
          <w:color w:val="000000"/>
          <w:lang w:val="en-AU"/>
        </w:rPr>
        <w:t>The four cases examined include Ahok, a Christian Chinese Governor of Jakarta, Meiliana, a Buddhist critic of the loudness of the call to prayer, and experiences related to Ahmadiyya and Gafatar groups. The findings are presented in a categorized table, highlighting the form of vigilante action, judicial independence, and public justice in each case. The classified data is further evaluated to address research questions on the effectiveness of the anti-blasphemy law at preserving justice.</w:t>
      </w:r>
    </w:p>
    <w:p w14:paraId="011783EB" w14:textId="77777777" w:rsidR="008A5EF2" w:rsidRDefault="008A5EF2" w:rsidP="008A5EF2">
      <w:pPr>
        <w:ind w:firstLine="0"/>
        <w:rPr>
          <w:rFonts w:ascii="Calibri" w:hAnsi="Calibri" w:cs="Calibri"/>
          <w:b/>
          <w:color w:val="000000"/>
          <w:lang w:val="en-AU"/>
        </w:rPr>
      </w:pPr>
    </w:p>
    <w:p w14:paraId="6B2B36C9" w14:textId="77777777" w:rsidR="008A5EF2" w:rsidRDefault="008A5EF2" w:rsidP="008A5EF2">
      <w:pPr>
        <w:ind w:firstLine="0"/>
        <w:rPr>
          <w:rFonts w:ascii="Calibri" w:hAnsi="Calibri" w:cs="Calibri"/>
          <w:b/>
          <w:color w:val="000000"/>
          <w:lang w:val="en-AU"/>
        </w:rPr>
      </w:pPr>
      <w:r w:rsidRPr="007F7F59">
        <w:rPr>
          <w:rFonts w:ascii="Calibri" w:hAnsi="Calibri" w:cs="Calibri"/>
          <w:b/>
          <w:color w:val="000000"/>
          <w:lang w:val="en-AU"/>
        </w:rPr>
        <w:t>LITERATURE REVIEW</w:t>
      </w:r>
      <w:r>
        <w:rPr>
          <w:rFonts w:ascii="Calibri" w:hAnsi="Calibri" w:cs="Calibri"/>
          <w:b/>
          <w:color w:val="000000"/>
          <w:lang w:val="en-AU"/>
        </w:rPr>
        <w:t xml:space="preserve"> AND THEORITICAL FRAMEWORK</w:t>
      </w:r>
    </w:p>
    <w:p w14:paraId="1472F9FE" w14:textId="77777777" w:rsidR="002D75B0" w:rsidRPr="00315563" w:rsidRDefault="002D75B0" w:rsidP="008A5EF2">
      <w:pPr>
        <w:ind w:firstLine="0"/>
        <w:rPr>
          <w:rFonts w:ascii="Calibri" w:hAnsi="Calibri" w:cs="Calibri"/>
          <w:b/>
          <w:lang w:val="en-US"/>
        </w:rPr>
      </w:pPr>
    </w:p>
    <w:p w14:paraId="73E1BDBE" w14:textId="6678BEAE" w:rsidR="008A5EF2" w:rsidRDefault="008A5EF2" w:rsidP="008A5EF2">
      <w:pPr>
        <w:ind w:firstLine="0"/>
        <w:jc w:val="both"/>
        <w:rPr>
          <w:rFonts w:ascii="Calibri" w:hAnsi="Calibri" w:cs="Calibri"/>
          <w:bCs/>
          <w:color w:val="000000"/>
          <w:lang w:val="en-AU"/>
        </w:rPr>
      </w:pPr>
      <w:r w:rsidRPr="00782315">
        <w:rPr>
          <w:rFonts w:ascii="Calibri" w:hAnsi="Calibri" w:cs="Calibri"/>
          <w:bCs/>
          <w:color w:val="000000"/>
          <w:lang w:val="en-AU"/>
        </w:rPr>
        <w:t>The Anti-Blasphemy Law is a remnant of the old order that has been maintained until today</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{"citationID":"74sp82R0","properties":{"formattedCitation":"(Temperman &amp; Koltay, 2017)","plainCitation":"(Temperman &amp; Koltay, 2017)","noteIndex":0},"citationItems":[{"id":2282,"uris":["http://zotero.org/users/6396655/items/6EPA4Z3A"],"itemData":{"id":2282,"type":"book","publisher":"Cambridge University Press","title":"Blasphemy and Freedom of Expression: Comparative, Theoretical and Historical Reflections after the Charlie Hebdo Massacre","author":[{"family":"Temperman","given":"Jeroen"},{"family":"Koltay","given":"András"}],"issued":{"date-parts":[["2017"]]}}}],"schema":"https://github.com/citation-style-language/schema/raw/master/csl-citation.json"}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(Temperman &amp; Koltay, 2017)</w:t>
      </w:r>
      <w:r>
        <w:rPr>
          <w:rFonts w:ascii="Calibri" w:hAnsi="Calibri" w:cs="Calibri"/>
          <w:bCs/>
          <w:color w:val="000000"/>
          <w:lang w:val="en-AU"/>
        </w:rPr>
        <w:fldChar w:fldCharType="end"/>
      </w:r>
      <w:r w:rsidRPr="00782315">
        <w:rPr>
          <w:rFonts w:ascii="Calibri" w:hAnsi="Calibri" w:cs="Calibri"/>
          <w:bCs/>
          <w:color w:val="000000"/>
          <w:lang w:val="en-AU"/>
        </w:rPr>
        <w:t xml:space="preserve">. Several studies have indicated that the law has two main weaknesses. </w:t>
      </w:r>
      <w:r w:rsidR="004754B1" w:rsidRPr="004754B1">
        <w:rPr>
          <w:rFonts w:ascii="Calibri" w:hAnsi="Calibri" w:cs="Calibri"/>
          <w:bCs/>
          <w:color w:val="000000"/>
          <w:lang w:val="en-AU"/>
        </w:rPr>
        <w:t xml:space="preserve">The lack of alignment with </w:t>
      </w:r>
      <w:r w:rsidR="004754B1">
        <w:rPr>
          <w:rFonts w:ascii="Calibri" w:hAnsi="Calibri" w:cs="Calibri"/>
          <w:bCs/>
          <w:color w:val="000000"/>
          <w:lang w:val="en-AU"/>
        </w:rPr>
        <w:t xml:space="preserve">the international </w:t>
      </w:r>
      <w:r w:rsidR="004754B1" w:rsidRPr="004754B1">
        <w:rPr>
          <w:rFonts w:ascii="Calibri" w:hAnsi="Calibri" w:cs="Calibri"/>
          <w:bCs/>
          <w:color w:val="000000"/>
          <w:lang w:val="en-AU"/>
        </w:rPr>
        <w:t xml:space="preserve">human rights </w:t>
      </w:r>
      <w:r w:rsidR="004754B1">
        <w:rPr>
          <w:rFonts w:ascii="Calibri" w:hAnsi="Calibri" w:cs="Calibri"/>
          <w:bCs/>
          <w:color w:val="000000"/>
          <w:lang w:val="en-AU"/>
        </w:rPr>
        <w:t>standard</w:t>
      </w:r>
      <w:r w:rsidR="004754B1" w:rsidRPr="004754B1">
        <w:rPr>
          <w:rFonts w:ascii="Calibri" w:hAnsi="Calibri" w:cs="Calibri"/>
          <w:bCs/>
          <w:color w:val="000000"/>
          <w:lang w:val="en-AU"/>
        </w:rPr>
        <w:t xml:space="preserve"> is the first weakness</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{"citationID":"XUduA8Uz","properties":{"formattedCitation":"(Bush, 2015; Fischer, 2021; Telle, 2017)","plainCitation":"(Bush, 2015; Fischer, 2021; Telle, 2017)","noteIndex":0},"citationItems":[{"id":2280,"uris":["http://zotero.org/users/6396655/items/XFT7KCEM"],"itemData":{"id":2280,"type":"article-journal","container-title":"The Yudhoyono presidency: Indonesia's decade of stability and stagnation","note":"publisher: Institute of Southeast Asian Studies","page":"239","title":"13 Religious politics and minority rights during the Yudhoyono presidency","author":[{"family":"Bush","given":"Robin"}],"issued":{"date-parts":[["2015"]]}}},{"id":2267,"uris":["http://zotero.org/users/6396655/items/YSVPU6IU"],"itemData":{"id":2267,"type":"article-journal","container-title":"Emory Int'l L. Rev.","note":"publisher: HeinOnline","page":"177","title":"Hate Speech Laws and Blasphemy Laws: Parallels Show Problems with the UN Strategy and Plan of Action on Hate Speech","volume":"35","author":[{"family":"Fischer","given":"Meghan"}],"issued":{"date-parts":[["2021"]]}}},{"id":2049,"uris":["http://zotero.org/users/6396655/items/U5SJQZEW"],"itemData":{"id":2049,"type":"article-journal","container-title":"Ethnos","DOI":"10.1080/00141844.2017.1282973","issue":"2","page":"371-391","title":"Faith on Trial: Blasphemy and ‘Lawfare’ in Indonesia","volume":"83","author":[{"family":"Telle","given":"Kari"}],"issued":{"date-parts":[["2017"]]}}}],"schema":"https://github.com/citation-style-language/schema/raw/master/csl-citation.json"}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(Bush, 2015; Fischer, 2021; Telle, 2017)</w:t>
      </w:r>
      <w:r>
        <w:rPr>
          <w:rFonts w:ascii="Calibri" w:hAnsi="Calibri" w:cs="Calibri"/>
          <w:bCs/>
          <w:color w:val="000000"/>
          <w:lang w:val="en-AU"/>
        </w:rPr>
        <w:fldChar w:fldCharType="end"/>
      </w:r>
      <w:r w:rsidRPr="00782315">
        <w:rPr>
          <w:rFonts w:ascii="Calibri" w:hAnsi="Calibri" w:cs="Calibri"/>
          <w:bCs/>
          <w:color w:val="000000"/>
          <w:lang w:val="en-AU"/>
        </w:rPr>
        <w:t xml:space="preserve">. </w:t>
      </w:r>
      <w:r w:rsidR="00275822" w:rsidRPr="00275822">
        <w:rPr>
          <w:rFonts w:ascii="Calibri" w:hAnsi="Calibri" w:cs="Calibri"/>
          <w:bCs/>
          <w:color w:val="000000"/>
          <w:lang w:val="en-AU"/>
        </w:rPr>
        <w:t>Blasphemy laws are enforced in 40% of countries and territories, criminalizing speech, thoughts, or acts labelled as insulting or degrading to religion, teachings, and sacred symbols</w:t>
      </w:r>
      <w:r w:rsidR="00084432">
        <w:rPr>
          <w:rFonts w:ascii="Calibri" w:hAnsi="Calibri" w:cs="Calibri"/>
          <w:bCs/>
          <w:color w:val="000000"/>
          <w:lang w:val="en-AU"/>
        </w:rPr>
        <w:t xml:space="preserve"> </w:t>
      </w:r>
      <w:r w:rsidR="00084432">
        <w:rPr>
          <w:rFonts w:ascii="Calibri" w:hAnsi="Calibri" w:cs="Calibri"/>
          <w:bCs/>
          <w:color w:val="000000"/>
          <w:lang w:val="en-AU"/>
        </w:rPr>
        <w:fldChar w:fldCharType="begin"/>
      </w:r>
      <w:r w:rsidR="00084432">
        <w:rPr>
          <w:rFonts w:ascii="Calibri" w:hAnsi="Calibri" w:cs="Calibri"/>
          <w:bCs/>
          <w:color w:val="000000"/>
          <w:lang w:val="en-AU"/>
        </w:rPr>
        <w:instrText xml:space="preserve"> ADDIN ZOTERO_ITEM CSL_CITATION {"citationID":"1XIuPH7O","properties":{"formattedCitation":"(Villa, 2022)","plainCitation":"(Villa, 2022)","noteIndex":0},"citationItems":[{"id":2290,"uris":["http://zotero.org/users/6396655/items/TTMHLLLI"],"itemData":{"id":2290,"type":"document","abstract":"According to a 2019 study, 4 in 10 countries and territories worldwide had blasphemy laws. The concept of blasphemy is often linked to ethno-religious sensitivity and is proscribed under the laws of many countries. Blasphemy is defined as an act of speech, attitudes, or actions committed by a person or group that insults or degrades religion, religious teachings, or religious attributes or symbols that are viewed as sacred. The terms applied to religious offenses in different countries lack clarity and uniformity. There is no internationally harmonized definition of blasphemy. The punishment for blasphemy varies from country to country, with some countries imposing the death penalty. The issue of blasphemy raises a lot of polemics and is often used as a weapon against political opponents.","publisher":"Pew Research Center","title":"40% of world’s countries and territories had blasphemy laws in 2019 | Pew Research Center","URL":"https://www.pewresearch.org/short-reads/2022/01/25/four-in-ten-countries-and-territories-worldwide-had-blasphemy-laws-in-2019-2/","author":[{"family":"Villa","given":"Virginia"}],"issued":{"date-parts":[["2022",1]]}}}],"schema":"https://github.com/citation-style-language/schema/raw/master/csl-citation.json"} </w:instrText>
      </w:r>
      <w:r w:rsidR="00084432">
        <w:rPr>
          <w:rFonts w:ascii="Calibri" w:hAnsi="Calibri" w:cs="Calibri"/>
          <w:bCs/>
          <w:color w:val="000000"/>
          <w:lang w:val="en-AU"/>
        </w:rPr>
        <w:fldChar w:fldCharType="separate"/>
      </w:r>
      <w:r w:rsidR="00084432">
        <w:rPr>
          <w:rFonts w:ascii="Calibri" w:hAnsi="Calibri" w:cs="Calibri"/>
          <w:bCs/>
          <w:noProof/>
          <w:color w:val="000000"/>
          <w:lang w:val="en-AU"/>
        </w:rPr>
        <w:t>(Villa, 2022)</w:t>
      </w:r>
      <w:r w:rsidR="00084432">
        <w:rPr>
          <w:rFonts w:ascii="Calibri" w:hAnsi="Calibri" w:cs="Calibri"/>
          <w:bCs/>
          <w:color w:val="000000"/>
          <w:lang w:val="en-AU"/>
        </w:rPr>
        <w:fldChar w:fldCharType="end"/>
      </w:r>
      <w:r w:rsidR="00505A3E" w:rsidRPr="00505A3E">
        <w:rPr>
          <w:rFonts w:ascii="Calibri" w:hAnsi="Calibri" w:cs="Calibri"/>
          <w:bCs/>
          <w:color w:val="000000"/>
          <w:lang w:val="en-AU"/>
        </w:rPr>
        <w:t xml:space="preserve">. </w:t>
      </w:r>
      <w:r w:rsidR="00464655" w:rsidRPr="00464655">
        <w:rPr>
          <w:rFonts w:ascii="Calibri" w:hAnsi="Calibri" w:cs="Calibri"/>
          <w:bCs/>
          <w:color w:val="000000"/>
          <w:lang w:val="en-AU"/>
        </w:rPr>
        <w:t xml:space="preserve">The definition of </w:t>
      </w:r>
      <w:r w:rsidR="00464655">
        <w:rPr>
          <w:rFonts w:ascii="Calibri" w:hAnsi="Calibri" w:cs="Calibri"/>
          <w:bCs/>
          <w:color w:val="000000"/>
          <w:lang w:val="en-AU"/>
        </w:rPr>
        <w:t xml:space="preserve">blasphemy in Indonesia </w:t>
      </w:r>
      <w:r w:rsidR="00464655" w:rsidRPr="00464655">
        <w:rPr>
          <w:rFonts w:ascii="Calibri" w:hAnsi="Calibri" w:cs="Calibri"/>
          <w:bCs/>
          <w:color w:val="000000"/>
          <w:lang w:val="en-AU"/>
        </w:rPr>
        <w:t>lacks clarity and uniformity, and they are often controversially weaponized against political opponents.</w:t>
      </w:r>
      <w:r w:rsidR="00505A3E">
        <w:rPr>
          <w:rFonts w:ascii="Calibri" w:hAnsi="Calibri" w:cs="Calibri"/>
          <w:bCs/>
          <w:color w:val="000000"/>
          <w:lang w:val="en-AU"/>
        </w:rPr>
        <w:t xml:space="preserve"> </w:t>
      </w:r>
      <w:r w:rsidR="00505A3E">
        <w:rPr>
          <w:rFonts w:ascii="Calibri" w:hAnsi="Calibri" w:cs="Calibri"/>
          <w:bCs/>
          <w:color w:val="000000"/>
          <w:lang w:val="en-AU"/>
        </w:rPr>
        <w:fldChar w:fldCharType="begin"/>
      </w:r>
      <w:r w:rsidR="00505A3E">
        <w:rPr>
          <w:rFonts w:ascii="Calibri" w:hAnsi="Calibri" w:cs="Calibri"/>
          <w:bCs/>
          <w:color w:val="000000"/>
          <w:lang w:val="en-AU"/>
        </w:rPr>
        <w:instrText xml:space="preserve"> ADDIN ZOTERO_ITEM CSL_CITATION {"citationID":"Fz1S7Jdl","properties":{"formattedCitation":"(Villa, 2022)","plainCitation":"(Villa, 2022)","noteIndex":0},"citationItems":[{"id":2290,"uris":["http://zotero.org/users/6396655/items/TTMHLLLI"],"itemData":{"id":2290,"type":"document","abstract":"According to a 2019 study, 4 in 10 countries and territories worldwide had blasphemy laws. The concept of blasphemy is often linked to ethno-religious sensitivity and is proscribed under the laws of many countries. Blasphemy is defined as an act of speech, attitudes, or actions committed by a person or group that insults or degrades religion, religious teachings, or religious attributes or symbols that are viewed as sacred. The terms applied to religious offenses in different countries lack clarity and uniformity. There is no internationally harmonized definition of blasphemy. The punishment for blasphemy varies from country to country, with some countries imposing the death penalty. The issue of blasphemy raises a lot of polemics and is often used as a weapon against political opponents.","publisher":"Pew Research Center","title":"40% of world’s countries and territories had blasphemy laws in 2019 | Pew Research Center","URL":"https://www.pewresearch.org/short-reads/2022/01/25/four-in-ten-countries-and-territories-worldwide-had-blasphemy-laws-in-2019-2/","author":[{"family":"Villa","given":"Virginia"}],"issued":{"date-parts":[["2022",1]]}}}],"schema":"https://github.com/citation-style-language/schema/raw/master/csl-citation.json"} </w:instrText>
      </w:r>
      <w:r w:rsidR="00505A3E">
        <w:rPr>
          <w:rFonts w:ascii="Calibri" w:hAnsi="Calibri" w:cs="Calibri"/>
          <w:bCs/>
          <w:color w:val="000000"/>
          <w:lang w:val="en-AU"/>
        </w:rPr>
        <w:fldChar w:fldCharType="separate"/>
      </w:r>
      <w:r w:rsidR="00505A3E">
        <w:rPr>
          <w:rFonts w:ascii="Calibri" w:hAnsi="Calibri" w:cs="Calibri"/>
          <w:bCs/>
          <w:noProof/>
          <w:color w:val="000000"/>
          <w:lang w:val="en-AU"/>
        </w:rPr>
        <w:t>(Villa, 2022)</w:t>
      </w:r>
      <w:r w:rsidR="00505A3E">
        <w:rPr>
          <w:rFonts w:ascii="Calibri" w:hAnsi="Calibri" w:cs="Calibri"/>
          <w:bCs/>
          <w:color w:val="000000"/>
          <w:lang w:val="en-AU"/>
        </w:rPr>
        <w:fldChar w:fldCharType="end"/>
      </w:r>
      <w:r w:rsidR="00505A3E" w:rsidRPr="00505A3E">
        <w:rPr>
          <w:rFonts w:ascii="Calibri" w:hAnsi="Calibri" w:cs="Calibri"/>
          <w:bCs/>
          <w:color w:val="000000"/>
          <w:lang w:val="en-AU"/>
        </w:rPr>
        <w:t>.</w:t>
      </w:r>
      <w:r w:rsidR="00505A3E">
        <w:rPr>
          <w:rFonts w:ascii="Calibri" w:hAnsi="Calibri" w:cs="Calibri"/>
          <w:bCs/>
          <w:color w:val="000000"/>
          <w:lang w:val="en-AU"/>
        </w:rPr>
        <w:t xml:space="preserve"> </w:t>
      </w:r>
      <w:r w:rsidRPr="00782315">
        <w:rPr>
          <w:rFonts w:ascii="Calibri" w:hAnsi="Calibri" w:cs="Calibri"/>
          <w:bCs/>
          <w:color w:val="000000"/>
          <w:lang w:val="en-AU"/>
        </w:rPr>
        <w:t xml:space="preserve">The law prohibits individuals who hold beliefs or teachings that differ from officially recognized religions in Indonesia. Consequently, minority religious teachings can be deemed heretical, and freedom of religion or belief can be </w:t>
      </w:r>
      <w:r w:rsidRPr="00782315">
        <w:rPr>
          <w:rFonts w:ascii="Calibri" w:hAnsi="Calibri" w:cs="Calibri"/>
          <w:bCs/>
          <w:color w:val="000000"/>
          <w:lang w:val="en-AU"/>
        </w:rPr>
        <w:lastRenderedPageBreak/>
        <w:t xml:space="preserve">violated. </w:t>
      </w:r>
      <w:r w:rsidR="00086B48" w:rsidRPr="00086B48">
        <w:rPr>
          <w:rFonts w:ascii="Calibri" w:hAnsi="Calibri" w:cs="Calibri"/>
          <w:bCs/>
          <w:color w:val="000000"/>
          <w:lang w:val="en-AU"/>
        </w:rPr>
        <w:t>The second weakness is the law's ambiguous normative provisions that allow for subjective interpretation and could lead to the discrimination against religious minority groups. Furthermore, this could result in discriminatory decisions against groups that differ from officially recognized religions in Indonesia.</w:t>
      </w:r>
    </w:p>
    <w:p w14:paraId="363924A0" w14:textId="1490705A" w:rsidR="008A5EF2" w:rsidRDefault="00D65C10" w:rsidP="008A5EF2">
      <w:pPr>
        <w:ind w:firstLine="720"/>
        <w:jc w:val="both"/>
        <w:rPr>
          <w:rFonts w:ascii="Calibri" w:hAnsi="Calibri" w:cs="Calibri"/>
          <w:bCs/>
          <w:color w:val="000000"/>
          <w:lang w:val="en-AU"/>
        </w:rPr>
      </w:pPr>
      <w:r w:rsidRPr="00D65C10">
        <w:rPr>
          <w:rFonts w:ascii="Calibri" w:hAnsi="Calibri" w:cs="Calibri"/>
          <w:bCs/>
          <w:color w:val="000000"/>
          <w:lang w:val="en-AU"/>
        </w:rPr>
        <w:t xml:space="preserve">Hate spin is identified as a contributing factor that supports the enforcement of the blasphemy law. Opportunistic groups utilize sentiments of the dominant religious group to seek extensive support through the dissemination of vilification or anger in the form of manufactured hate spin. Indiscriminate public rage over criminal offenses or immoral </w:t>
      </w:r>
      <w:proofErr w:type="spellStart"/>
      <w:r w:rsidRPr="00D65C10">
        <w:rPr>
          <w:rFonts w:ascii="Calibri" w:hAnsi="Calibri" w:cs="Calibri"/>
          <w:bCs/>
          <w:color w:val="000000"/>
          <w:lang w:val="en-AU"/>
        </w:rPr>
        <w:t>behavior</w:t>
      </w:r>
      <w:proofErr w:type="spellEnd"/>
      <w:r w:rsidRPr="00D65C10">
        <w:rPr>
          <w:rFonts w:ascii="Calibri" w:hAnsi="Calibri" w:cs="Calibri"/>
          <w:bCs/>
          <w:color w:val="000000"/>
          <w:lang w:val="en-AU"/>
        </w:rPr>
        <w:t xml:space="preserve"> caught red-handed causes spontaneous vigilante justice, which is generally regarded as illegal</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{"citationID":"uNs5Un1W","properties":{"formattedCitation":"(George, 2017)","plainCitation":"(George, 2017)","noteIndex":0},"citationItems":[{"id":2277,"uris":["http://zotero.org/users/6396655/items/YSQNWZ66"],"itemData":{"id":2277,"type":"article-journal","container-title":"Communication Theory","issue":"2","note":"publisher: Oxford University Press","page":"156–175","title":"Hate spin: The twin political strategies of religious incitement and offense-taking","volume":"27","author":[{"family":"George","given":"Cherian"}],"issued":{"date-parts":[["2017"]]}}}],"schema":"https://github.com/citation-style-language/schema/raw/master/csl-citation.json"}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(George, 2017)</w:t>
      </w:r>
      <w:r>
        <w:rPr>
          <w:rFonts w:ascii="Calibri" w:hAnsi="Calibri" w:cs="Calibri"/>
          <w:bCs/>
          <w:color w:val="000000"/>
          <w:lang w:val="en-AU"/>
        </w:rPr>
        <w:fldChar w:fldCharType="end"/>
      </w:r>
      <w:r w:rsidR="008A5EF2" w:rsidRPr="00782315">
        <w:rPr>
          <w:rFonts w:ascii="Calibri" w:hAnsi="Calibri" w:cs="Calibri"/>
          <w:bCs/>
          <w:color w:val="000000"/>
          <w:lang w:val="en-AU"/>
        </w:rPr>
        <w:t>. This tactic of hate spin is disseminated in a way that opportunistic or hardliner groups exploit sentiments of the dominant religious group to seek extensive support, aided by online communication mediums that travel swiftly and unfiltered.</w:t>
      </w:r>
    </w:p>
    <w:p w14:paraId="1BEA3826" w14:textId="29533A0F" w:rsidR="00FD59A2" w:rsidRDefault="008A5EF2" w:rsidP="008A5EF2">
      <w:pPr>
        <w:ind w:firstLine="720"/>
        <w:jc w:val="both"/>
        <w:rPr>
          <w:rFonts w:ascii="Calibri" w:hAnsi="Calibri" w:cs="Calibri"/>
          <w:bCs/>
          <w:color w:val="000000"/>
          <w:lang w:val="en-AU"/>
        </w:rPr>
      </w:pPr>
      <w:r w:rsidRPr="00782315">
        <w:rPr>
          <w:rFonts w:ascii="Calibri" w:hAnsi="Calibri" w:cs="Calibri"/>
          <w:bCs/>
          <w:color w:val="000000"/>
          <w:lang w:val="en-AU"/>
        </w:rPr>
        <w:t xml:space="preserve">Fischer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{"citationID":"vLHehQTe","properties":{"formattedCitation":"(2021)","plainCitation":"(2021)","noteIndex":0},"citationItems":[{"id":2267,"uris":["http://zotero.org/users/6396655/items/YSVPU6IU"],"itemData":{"id":2267,"type":"article-journal","container-title":"Emory Int'l L. Rev.","note":"publisher: HeinOnline","page":"177","title":"Hate Speech Laws and Blasphemy Laws: Parallels Show Problems with the UN Strategy and Plan of Action on Hate Speech","volume":"35","author":[{"family":"Fischer","given":"Meghan"}],"issued":{"date-parts":[["2021"]]}},"suppress-author":true}],"schema":"https://github.com/citation-style-language/schema/raw/master/csl-citation.json"}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(2021)</w:t>
      </w:r>
      <w:r>
        <w:rPr>
          <w:rFonts w:ascii="Calibri" w:hAnsi="Calibri" w:cs="Calibri"/>
          <w:bCs/>
          <w:color w:val="000000"/>
          <w:lang w:val="en-AU"/>
        </w:rPr>
        <w:fldChar w:fldCharType="end"/>
      </w:r>
      <w:r w:rsidRPr="00782315">
        <w:rPr>
          <w:rFonts w:ascii="Calibri" w:hAnsi="Calibri" w:cs="Calibri"/>
          <w:bCs/>
          <w:color w:val="000000"/>
          <w:lang w:val="en-AU"/>
        </w:rPr>
        <w:t xml:space="preserve"> stated that out of the 164 observations of anti-blasphemy law enforcement in different countries in 2020, 76 of them were accompanied by mass mobilization activities, threats of violence, and actual violence. Vigilante justice, also known as </w:t>
      </w:r>
      <w:r w:rsidRPr="00F92891">
        <w:rPr>
          <w:rFonts w:ascii="Calibri" w:hAnsi="Calibri" w:cs="Calibri"/>
          <w:bCs/>
          <w:i/>
          <w:iCs/>
          <w:color w:val="000000"/>
          <w:lang w:val="en-AU"/>
        </w:rPr>
        <w:t xml:space="preserve">Main Hakim </w:t>
      </w:r>
      <w:proofErr w:type="spellStart"/>
      <w:r w:rsidRPr="00F92891">
        <w:rPr>
          <w:rFonts w:ascii="Calibri" w:hAnsi="Calibri" w:cs="Calibri"/>
          <w:bCs/>
          <w:i/>
          <w:iCs/>
          <w:color w:val="000000"/>
          <w:lang w:val="en-AU"/>
        </w:rPr>
        <w:t>Sendiri</w:t>
      </w:r>
      <w:proofErr w:type="spellEnd"/>
      <w:r w:rsidRPr="00782315">
        <w:rPr>
          <w:rFonts w:ascii="Calibri" w:hAnsi="Calibri" w:cs="Calibri"/>
          <w:bCs/>
          <w:color w:val="000000"/>
          <w:lang w:val="en-AU"/>
        </w:rPr>
        <w:t xml:space="preserve"> in Indonesia, </w:t>
      </w:r>
      <w:r w:rsidRPr="0001558F">
        <w:rPr>
          <w:rFonts w:ascii="Calibri" w:hAnsi="Calibri" w:cs="Calibri"/>
          <w:bCs/>
          <w:color w:val="000000"/>
          <w:lang w:val="en-AU"/>
        </w:rPr>
        <w:t xml:space="preserve">is typically described as the act of trying to convict an accused individual without proper legal proceedings or taking justice into one's own hands. </w:t>
      </w:r>
      <w:r>
        <w:rPr>
          <w:rFonts w:ascii="Calibri" w:hAnsi="Calibri" w:cs="Calibri"/>
          <w:bCs/>
          <w:color w:val="000000"/>
          <w:lang w:val="en-AU"/>
        </w:rPr>
        <w:t xml:space="preserve">It is </w:t>
      </w:r>
      <w:r w:rsidRPr="00782315">
        <w:rPr>
          <w:rFonts w:ascii="Calibri" w:hAnsi="Calibri" w:cs="Calibri"/>
          <w:bCs/>
          <w:color w:val="000000"/>
          <w:lang w:val="en-AU"/>
        </w:rPr>
        <w:t xml:space="preserve">generally considered illegal and occurs spontaneously as a result of public anger over criminal offenses or immoral behaviour that is caught red-handed. </w:t>
      </w:r>
      <w:r w:rsidR="00FD59A2" w:rsidRPr="00FD59A2">
        <w:rPr>
          <w:rFonts w:ascii="Calibri" w:hAnsi="Calibri" w:cs="Calibri"/>
          <w:bCs/>
          <w:color w:val="000000"/>
          <w:lang w:val="en-AU"/>
        </w:rPr>
        <w:t>In the majority of blasphemy cases, vigilante justice occurs because the state does not safeguard sacred values (</w:t>
      </w:r>
      <w:proofErr w:type="spellStart"/>
      <w:r w:rsidR="00FD59A2" w:rsidRPr="00FD59A2">
        <w:rPr>
          <w:rFonts w:ascii="Calibri" w:hAnsi="Calibri" w:cs="Calibri"/>
          <w:bCs/>
          <w:color w:val="000000"/>
          <w:lang w:val="en-AU"/>
        </w:rPr>
        <w:t>Hasnerr</w:t>
      </w:r>
      <w:proofErr w:type="spellEnd"/>
      <w:r w:rsidR="00FD59A2" w:rsidRPr="00FD59A2">
        <w:rPr>
          <w:rFonts w:ascii="Calibri" w:hAnsi="Calibri" w:cs="Calibri"/>
          <w:bCs/>
          <w:color w:val="000000"/>
          <w:lang w:val="en-AU"/>
        </w:rPr>
        <w:t xml:space="preserve">, 2018). </w:t>
      </w:r>
    </w:p>
    <w:p w14:paraId="0B0B5ACA" w14:textId="4D143962" w:rsidR="008A5EF2" w:rsidRPr="00096B7E" w:rsidRDefault="008A5EF2" w:rsidP="008A5EF2">
      <w:pPr>
        <w:ind w:firstLine="720"/>
        <w:jc w:val="both"/>
        <w:rPr>
          <w:rFonts w:ascii="Calibri" w:hAnsi="Calibri" w:cs="Calibri"/>
          <w:bCs/>
          <w:color w:val="000000"/>
          <w:lang w:val="en-AU"/>
        </w:rPr>
      </w:pPr>
      <w:r>
        <w:rPr>
          <w:rFonts w:ascii="Calibri" w:hAnsi="Calibri" w:cs="Calibri"/>
          <w:bCs/>
          <w:color w:val="000000"/>
          <w:lang w:val="en-AU"/>
        </w:rPr>
        <w:t>This study departs from the</w:t>
      </w:r>
      <w:r w:rsidRPr="007F7F59">
        <w:rPr>
          <w:rFonts w:ascii="Calibri" w:hAnsi="Calibri" w:cs="Calibri"/>
          <w:bCs/>
          <w:color w:val="000000"/>
          <w:lang w:val="en-AU"/>
        </w:rPr>
        <w:t xml:space="preserve"> theories of the </w:t>
      </w:r>
      <w:r>
        <w:rPr>
          <w:rFonts w:ascii="Calibri" w:hAnsi="Calibri" w:cs="Calibri"/>
          <w:bCs/>
          <w:color w:val="000000"/>
          <w:lang w:val="en-AU"/>
        </w:rPr>
        <w:t>r</w:t>
      </w:r>
      <w:r w:rsidRPr="007F7F59">
        <w:rPr>
          <w:rFonts w:ascii="Calibri" w:hAnsi="Calibri" w:cs="Calibri"/>
          <w:bCs/>
          <w:color w:val="000000"/>
          <w:lang w:val="en-AU"/>
        </w:rPr>
        <w:t xml:space="preserve">ule of </w:t>
      </w:r>
      <w:r>
        <w:rPr>
          <w:rFonts w:ascii="Calibri" w:hAnsi="Calibri" w:cs="Calibri"/>
          <w:bCs/>
          <w:color w:val="000000"/>
          <w:lang w:val="en-AU"/>
        </w:rPr>
        <w:t>l</w:t>
      </w:r>
      <w:r w:rsidRPr="007F7F59">
        <w:rPr>
          <w:rFonts w:ascii="Calibri" w:hAnsi="Calibri" w:cs="Calibri"/>
          <w:bCs/>
          <w:color w:val="000000"/>
          <w:lang w:val="en-AU"/>
        </w:rPr>
        <w:t xml:space="preserve">aw and </w:t>
      </w:r>
      <w:r>
        <w:rPr>
          <w:rFonts w:ascii="Calibri" w:hAnsi="Calibri" w:cs="Calibri"/>
          <w:bCs/>
          <w:color w:val="000000"/>
          <w:lang w:val="en-AU"/>
        </w:rPr>
        <w:t>j</w:t>
      </w:r>
      <w:r w:rsidRPr="007F7F59">
        <w:rPr>
          <w:rFonts w:ascii="Calibri" w:hAnsi="Calibri" w:cs="Calibri"/>
          <w:bCs/>
          <w:color w:val="000000"/>
          <w:lang w:val="en-AU"/>
        </w:rPr>
        <w:t>ustice</w:t>
      </w:r>
      <w:r>
        <w:rPr>
          <w:rFonts w:ascii="Calibri" w:hAnsi="Calibri" w:cs="Calibri"/>
          <w:bCs/>
          <w:color w:val="000000"/>
          <w:lang w:val="en-AU"/>
        </w:rPr>
        <w:t xml:space="preserve"> that </w:t>
      </w:r>
      <w:r w:rsidRPr="00DD2539">
        <w:rPr>
          <w:rFonts w:ascii="Calibri" w:hAnsi="Calibri" w:cs="Calibri"/>
          <w:bCs/>
          <w:color w:val="000000"/>
          <w:lang w:val="en-AU"/>
        </w:rPr>
        <w:t xml:space="preserve">are essential for creating fair and equitable societies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{"citationID":"mfRBRYPr","properties":{"formattedCitation":"(Bellamy, 2017; Merkel, 2012)","plainCitation":"(Bellamy, 2017; Merkel, 2012)","noteIndex":0},"citationItems":[{"id":2272,"uris":["http://zotero.org/users/6396655/items/JKIFE38U"],"itemData":{"id":2272,"type":"book","publisher":"Routledge","title":"The rule of law and the separation of powers","author":[{"family":"Bellamy","given":"Richard"}],"issued":{"date-parts":[["2017"]]}}},{"id":2273,"uris":["http://zotero.org/users/6396655/items/5C59XE9I"],"itemData":{"id":2273,"type":"article-journal","container-title":"Rule of Law Dynamics: In an Era of International and Transnational Governance","note":"publisher: Cambridge University Press Cambridge","page":"21–47","title":"Measuring the Quality of Rule of Law","author":[{"family":"Merkel","given":"Wolfgang"}],"issued":{"date-parts":[["2012"]]}}}],"schema":"https://github.com/citation-style-language/schema/raw/master/csl-citation.json"}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(Bellamy, 2017; Merkel, 2012)</w:t>
      </w:r>
      <w:r>
        <w:rPr>
          <w:rFonts w:ascii="Calibri" w:hAnsi="Calibri" w:cs="Calibri"/>
          <w:bCs/>
          <w:color w:val="000000"/>
          <w:lang w:val="en-AU"/>
        </w:rPr>
        <w:fldChar w:fldCharType="end"/>
      </w:r>
      <w:r w:rsidR="005F0844">
        <w:rPr>
          <w:rFonts w:ascii="Calibri" w:hAnsi="Calibri" w:cs="Calibri"/>
          <w:bCs/>
          <w:color w:val="000000"/>
          <w:lang w:val="en-AU"/>
        </w:rPr>
        <w:t xml:space="preserve">; </w:t>
      </w:r>
      <w:proofErr w:type="spellStart"/>
      <w:r w:rsidR="005F0844">
        <w:rPr>
          <w:rFonts w:ascii="Calibri" w:hAnsi="Calibri" w:cs="Calibri"/>
          <w:bCs/>
          <w:color w:val="000000"/>
          <w:lang w:val="en-AU"/>
        </w:rPr>
        <w:t>Baxi</w:t>
      </w:r>
      <w:proofErr w:type="spellEnd"/>
      <w:r w:rsidR="005F0844">
        <w:rPr>
          <w:rFonts w:ascii="Calibri" w:hAnsi="Calibri" w:cs="Calibri"/>
          <w:bCs/>
          <w:color w:val="000000"/>
          <w:lang w:val="en-AU"/>
        </w:rPr>
        <w:t xml:space="preserve">, 2013; Zaidi, 2021). </w:t>
      </w:r>
      <w:r w:rsidRPr="00096B7E">
        <w:rPr>
          <w:rFonts w:ascii="Calibri" w:hAnsi="Calibri" w:cs="Calibri"/>
          <w:bCs/>
          <w:color w:val="000000"/>
          <w:lang w:val="en-AU"/>
        </w:rPr>
        <w:t>Justice and the rule of law are closely related. Fair and equitable society require both (Kramer, 2017; Merkel, 2013). The rule of law applies to everyone, regardless of socioeconomic class (</w:t>
      </w:r>
      <w:proofErr w:type="spellStart"/>
      <w:r w:rsidRPr="00096B7E">
        <w:rPr>
          <w:rFonts w:ascii="Calibri" w:hAnsi="Calibri" w:cs="Calibri"/>
          <w:bCs/>
          <w:color w:val="000000"/>
          <w:lang w:val="en-AU"/>
        </w:rPr>
        <w:t>Baxi</w:t>
      </w:r>
      <w:proofErr w:type="spellEnd"/>
      <w:r w:rsidRPr="00096B7E">
        <w:rPr>
          <w:rFonts w:ascii="Calibri" w:hAnsi="Calibri" w:cs="Calibri"/>
          <w:bCs/>
          <w:color w:val="000000"/>
          <w:lang w:val="en-AU"/>
        </w:rPr>
        <w:t xml:space="preserve">, 2013). </w:t>
      </w:r>
      <w:r w:rsidR="005F0844">
        <w:rPr>
          <w:rFonts w:ascii="Calibri" w:hAnsi="Calibri" w:cs="Calibri"/>
          <w:bCs/>
          <w:color w:val="000000"/>
          <w:lang w:val="en-AU"/>
        </w:rPr>
        <w:t>J</w:t>
      </w:r>
      <w:r w:rsidRPr="00096B7E">
        <w:rPr>
          <w:rFonts w:ascii="Calibri" w:hAnsi="Calibri" w:cs="Calibri"/>
          <w:bCs/>
          <w:color w:val="000000"/>
          <w:lang w:val="en-AU"/>
        </w:rPr>
        <w:t>ustice guides the rule of law</w:t>
      </w:r>
      <w:r w:rsidR="005F0844">
        <w:rPr>
          <w:rFonts w:ascii="Calibri" w:hAnsi="Calibri" w:cs="Calibri"/>
          <w:bCs/>
          <w:color w:val="000000"/>
          <w:lang w:val="en-AU"/>
        </w:rPr>
        <w:t xml:space="preserve"> and </w:t>
      </w:r>
      <w:r w:rsidRPr="00096B7E">
        <w:rPr>
          <w:rFonts w:ascii="Calibri" w:hAnsi="Calibri" w:cs="Calibri"/>
          <w:bCs/>
          <w:color w:val="000000"/>
          <w:lang w:val="en-AU"/>
        </w:rPr>
        <w:t>seeks to create a fair and just society where everyone has equal rights and opportunities. Without the rule of law, justice is impossible since an unequal judicial system would violate people's right to justice (Boer, 2020).</w:t>
      </w:r>
      <w:r>
        <w:rPr>
          <w:rFonts w:ascii="Calibri" w:hAnsi="Calibri" w:cs="Calibri"/>
          <w:bCs/>
          <w:color w:val="000000"/>
          <w:lang w:val="en-AU"/>
        </w:rPr>
        <w:t xml:space="preserve"> </w:t>
      </w:r>
    </w:p>
    <w:p w14:paraId="4D0DD1EB" w14:textId="77777777" w:rsidR="00FD59A2" w:rsidRDefault="0037365B" w:rsidP="008A5EF2">
      <w:pPr>
        <w:ind w:firstLine="720"/>
        <w:jc w:val="both"/>
        <w:rPr>
          <w:rFonts w:ascii="Calibri" w:hAnsi="Calibri" w:cs="Calibri"/>
          <w:bCs/>
          <w:color w:val="000000"/>
          <w:lang w:val="en-AU"/>
        </w:rPr>
      </w:pPr>
      <w:r w:rsidRPr="0037365B">
        <w:rPr>
          <w:rFonts w:ascii="Calibri" w:hAnsi="Calibri" w:cs="Calibri"/>
          <w:bCs/>
          <w:color w:val="000000"/>
          <w:lang w:val="en-AU"/>
        </w:rPr>
        <w:t>To accurately determine whether an action is prohibited in a legal context, judges require clear and unambiguous laws</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{"citationID":"4BkPWLEx","properties":{"formattedCitation":"(Beckett et al., 2018)","plainCitation":"(Beckett et al., 2018)","noteIndex":0},"citationItems":[{"id":2270,"uris":["http://zotero.org/users/6396655/items/XLR6EQGD"],"itemData":{"id":2270,"type":"article-journal","container-title":"Law &amp; Policy","issue":"4","note":"publisher: Wiley Online Library","page":"321–345","title":"US criminal justice policy and practice in the twenty-first century: Toward the end of mass incarceration?","volume":"40","author":[{"family":"Beckett","given":"Katherine"},{"family":"Beach","given":"Lindsey"},{"family":"Knaphus","given":"Emily"},{"family":"Reosti","given":"Anna"}],"issued":{"date-parts":[["2018"]]}}}],"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(Beckett et al., 2018)</w:t>
      </w:r>
      <w:r>
        <w:rPr>
          <w:rFonts w:ascii="Calibri" w:hAnsi="Calibri" w:cs="Calibri"/>
          <w:bCs/>
          <w:color w:val="000000"/>
          <w:lang w:val="en-AU"/>
        </w:rPr>
        <w:fldChar w:fldCharType="end"/>
      </w:r>
      <w:r w:rsidRPr="0037365B">
        <w:rPr>
          <w:rFonts w:ascii="Calibri" w:hAnsi="Calibri" w:cs="Calibri"/>
          <w:bCs/>
          <w:color w:val="000000"/>
          <w:lang w:val="en-AU"/>
        </w:rPr>
        <w:t>. Conversely, ambiguous laws can lead to subjective interpretations, making it difficult for judges to determine if conduct is prohibited, and increasing susceptibility to external factors</w:t>
      </w:r>
      <w:r w:rsidR="00A50F98">
        <w:rPr>
          <w:rFonts w:ascii="Calibri" w:hAnsi="Calibri" w:cs="Calibri"/>
          <w:bCs/>
          <w:color w:val="000000"/>
          <w:lang w:val="en-AU"/>
        </w:rPr>
        <w:t xml:space="preserve"> </w:t>
      </w:r>
      <w:r w:rsidR="00A50F98">
        <w:rPr>
          <w:rFonts w:ascii="Calibri" w:hAnsi="Calibri" w:cs="Calibri"/>
          <w:bCs/>
          <w:color w:val="000000"/>
          <w:lang w:val="en-AU"/>
        </w:rPr>
        <w:fldChar w:fldCharType="begin"/>
      </w:r>
      <w:r w:rsidR="00A50F98">
        <w:rPr>
          <w:rFonts w:ascii="Calibri" w:hAnsi="Calibri" w:cs="Calibri"/>
          <w:bCs/>
          <w:color w:val="000000"/>
          <w:lang w:val="en-AU"/>
        </w:rPr>
        <w:instrText xml:space="preserve"> ADDIN ZOTERO_ITEM CSL_CITATION {"citationID":"3C2tPEJe","properties":{"formattedCitation":"(Malle &amp; Nelson, 2003)","plainCitation":"(Malle &amp; Nelson, 2003)","noteIndex":0},"citationItems":[{"id":2269,"uris":["http://zotero.org/users/6396655/items/4G8CRUP2"],"itemData":{"id":2269,"type":"article-journal","container-title":"Behavioral sciences &amp; the law","issue":"5","note":"publisher: Wiley Online Library","page":"563–580","title":"Judging mens rea: The tension between folk concepts and legal concepts of intentionality","volume":"21","author":[{"family":"Malle","given":"Bertram F"},{"family":"Nelson","given":"Sarah E"}],"issued":{"date-parts":[["2003"]]}}}],"schema":"https://github.com/citation-style-language/schema/raw/master/csl-citation.json"} </w:instrText>
      </w:r>
      <w:r w:rsidR="00A50F98">
        <w:rPr>
          <w:rFonts w:ascii="Calibri" w:hAnsi="Calibri" w:cs="Calibri"/>
          <w:bCs/>
          <w:color w:val="000000"/>
          <w:lang w:val="en-AU"/>
        </w:rPr>
        <w:fldChar w:fldCharType="separate"/>
      </w:r>
      <w:r w:rsidR="00A50F98">
        <w:rPr>
          <w:rFonts w:ascii="Calibri" w:hAnsi="Calibri" w:cs="Calibri"/>
          <w:bCs/>
          <w:noProof/>
          <w:color w:val="000000"/>
          <w:lang w:val="en-AU"/>
        </w:rPr>
        <w:t>(Malle &amp; Nelson, 2003)</w:t>
      </w:r>
      <w:r w:rsidR="00A50F98">
        <w:rPr>
          <w:rFonts w:ascii="Calibri" w:hAnsi="Calibri" w:cs="Calibri"/>
          <w:bCs/>
          <w:color w:val="000000"/>
          <w:lang w:val="en-AU"/>
        </w:rPr>
        <w:fldChar w:fldCharType="end"/>
      </w:r>
      <w:r w:rsidRPr="0037365B">
        <w:rPr>
          <w:rFonts w:ascii="Calibri" w:hAnsi="Calibri" w:cs="Calibri"/>
          <w:bCs/>
          <w:color w:val="000000"/>
          <w:lang w:val="en-AU"/>
        </w:rPr>
        <w:t>. Fair trial is a human right, as highlighted in Articles 9-15 of the ICCPR, and it is the obligation of the state (the judiciary) to ensure it (General Comment No. 3 on Article 10; General Comment No. 13 on Article 14; and the Basic Principles on the Independence of the Judiciary 1985). To achieve fair trial</w:t>
      </w:r>
      <w:r w:rsidR="00FD59A2">
        <w:rPr>
          <w:rFonts w:ascii="Calibri" w:hAnsi="Calibri" w:cs="Calibri"/>
          <w:bCs/>
          <w:color w:val="000000"/>
          <w:lang w:val="en-AU"/>
        </w:rPr>
        <w:t xml:space="preserve">, </w:t>
      </w:r>
      <w:r w:rsidRPr="0037365B">
        <w:rPr>
          <w:rFonts w:ascii="Calibri" w:hAnsi="Calibri" w:cs="Calibri"/>
          <w:bCs/>
          <w:color w:val="000000"/>
          <w:lang w:val="en-AU"/>
        </w:rPr>
        <w:t xml:space="preserve">judicial independence are pivotal. In essence, an impartial court must base its decisions on factual evidence without being influenced by any restriction, improper influence, inducements, pressure, threats and interference, direct or indirect, from anywhere or for any reason. </w:t>
      </w:r>
    </w:p>
    <w:p w14:paraId="0D65D210" w14:textId="46A2481A" w:rsidR="008A5EF2" w:rsidRDefault="000B19A0" w:rsidP="008A5EF2">
      <w:pPr>
        <w:ind w:firstLine="720"/>
        <w:jc w:val="both"/>
        <w:rPr>
          <w:rFonts w:ascii="Calibri" w:hAnsi="Calibri" w:cs="Calibri"/>
          <w:bCs/>
          <w:color w:val="000000"/>
          <w:lang w:val="en-AU"/>
        </w:rPr>
      </w:pPr>
      <w:r w:rsidRPr="000B19A0">
        <w:rPr>
          <w:rFonts w:ascii="Calibri" w:hAnsi="Calibri" w:cs="Calibri"/>
          <w:bCs/>
          <w:color w:val="000000"/>
          <w:lang w:val="en-AU"/>
        </w:rPr>
        <w:t>Vigilante justice and government regulations that prevent it can both undermine judicial independence during blasphemy cases. Courts must treat all individuals equally, presume their innocence, and consider their defence evidence. The presence of hate spin often influences court proceedings, leading to the punishment of suspects without proof of intent due to external factors. In practice, judges' subjective considerations and external factors can affect the classification of blasphemy offenses. Despite this, courts must maintain impartiality to ensure a just trial, respecting human rights regardless of the accused crime.</w:t>
      </w:r>
    </w:p>
    <w:p w14:paraId="15AAE393" w14:textId="77777777" w:rsidR="008A5EF2" w:rsidRDefault="008A5EF2" w:rsidP="008A5EF2">
      <w:pPr>
        <w:ind w:firstLine="0"/>
        <w:jc w:val="both"/>
        <w:rPr>
          <w:rFonts w:ascii="Calibri" w:hAnsi="Calibri" w:cs="Calibri"/>
          <w:bCs/>
          <w:color w:val="000000"/>
          <w:lang w:val="en-AU"/>
        </w:rPr>
      </w:pPr>
    </w:p>
    <w:p w14:paraId="0E56C7C3" w14:textId="77777777" w:rsidR="008A5EF2" w:rsidRDefault="008A5EF2" w:rsidP="008A5EF2">
      <w:pPr>
        <w:ind w:firstLine="0"/>
        <w:jc w:val="both"/>
        <w:rPr>
          <w:rFonts w:ascii="Calibri" w:hAnsi="Calibri" w:cs="Calibri"/>
          <w:b/>
          <w:color w:val="000000"/>
          <w:lang w:val="en-AU"/>
        </w:rPr>
      </w:pPr>
      <w:r w:rsidRPr="003F72EC">
        <w:rPr>
          <w:rFonts w:ascii="Calibri" w:hAnsi="Calibri" w:cs="Calibri"/>
          <w:b/>
          <w:color w:val="000000"/>
          <w:lang w:val="en-AU"/>
        </w:rPr>
        <w:t>RESULT, DISCUSSION AND ANALYS</w:t>
      </w:r>
      <w:r>
        <w:rPr>
          <w:rFonts w:ascii="Calibri" w:hAnsi="Calibri" w:cs="Calibri"/>
          <w:b/>
          <w:color w:val="000000"/>
          <w:lang w:val="en-AU"/>
        </w:rPr>
        <w:t>IS</w:t>
      </w:r>
    </w:p>
    <w:p w14:paraId="1C585117" w14:textId="77777777" w:rsidR="002D75B0" w:rsidRDefault="002D75B0" w:rsidP="008A5EF2">
      <w:pPr>
        <w:ind w:firstLine="0"/>
        <w:jc w:val="both"/>
        <w:rPr>
          <w:rFonts w:ascii="Calibri" w:hAnsi="Calibri" w:cs="Calibri"/>
          <w:b/>
          <w:color w:val="000000"/>
          <w:lang w:val="en-AU"/>
        </w:rPr>
      </w:pPr>
    </w:p>
    <w:p w14:paraId="323A3FDC" w14:textId="77777777" w:rsidR="008A5EF2" w:rsidRPr="00096B7E" w:rsidRDefault="008A5EF2" w:rsidP="008A5EF2">
      <w:pPr>
        <w:ind w:firstLine="0"/>
        <w:jc w:val="both"/>
        <w:rPr>
          <w:rFonts w:ascii="Calibri" w:hAnsi="Calibri" w:cs="Calibri"/>
          <w:b/>
          <w:color w:val="000000"/>
          <w:lang w:val="en-AU"/>
        </w:rPr>
      </w:pPr>
      <w:r>
        <w:rPr>
          <w:rFonts w:ascii="Calibri" w:hAnsi="Calibri" w:cs="Calibri"/>
          <w:b/>
          <w:color w:val="000000"/>
          <w:lang w:val="en-AU"/>
        </w:rPr>
        <w:t>Perpetuation of v</w:t>
      </w:r>
      <w:r w:rsidRPr="00096B7E">
        <w:rPr>
          <w:rFonts w:ascii="Calibri" w:hAnsi="Calibri" w:cs="Calibri"/>
          <w:b/>
          <w:color w:val="000000"/>
          <w:lang w:val="en-AU"/>
        </w:rPr>
        <w:t xml:space="preserve">igilante </w:t>
      </w:r>
      <w:r>
        <w:rPr>
          <w:rFonts w:ascii="Calibri" w:hAnsi="Calibri" w:cs="Calibri"/>
          <w:b/>
          <w:color w:val="000000"/>
          <w:lang w:val="en-AU"/>
        </w:rPr>
        <w:t>j</w:t>
      </w:r>
      <w:r w:rsidRPr="00096B7E">
        <w:rPr>
          <w:rFonts w:ascii="Calibri" w:hAnsi="Calibri" w:cs="Calibri"/>
          <w:b/>
          <w:color w:val="000000"/>
          <w:lang w:val="en-AU"/>
        </w:rPr>
        <w:t xml:space="preserve">ustice </w:t>
      </w:r>
      <w:r>
        <w:rPr>
          <w:rFonts w:ascii="Calibri" w:hAnsi="Calibri" w:cs="Calibri"/>
          <w:b/>
          <w:color w:val="000000"/>
          <w:lang w:val="en-AU"/>
        </w:rPr>
        <w:t xml:space="preserve">against blasphemers </w:t>
      </w:r>
      <w:r w:rsidRPr="00096B7E">
        <w:rPr>
          <w:rFonts w:ascii="Calibri" w:hAnsi="Calibri" w:cs="Calibri"/>
          <w:b/>
          <w:color w:val="000000"/>
          <w:lang w:val="en-AU"/>
        </w:rPr>
        <w:t xml:space="preserve">influenced by the hate spin strategy </w:t>
      </w:r>
    </w:p>
    <w:p w14:paraId="362AF002" w14:textId="18D32665" w:rsidR="008A5EF2" w:rsidRDefault="000D376E" w:rsidP="000D376E">
      <w:pPr>
        <w:ind w:firstLine="0"/>
        <w:jc w:val="both"/>
        <w:rPr>
          <w:rFonts w:ascii="Calibri" w:hAnsi="Calibri" w:cs="Calibri"/>
          <w:bCs/>
          <w:color w:val="000000"/>
          <w:lang w:val="en-AU"/>
        </w:rPr>
      </w:pPr>
      <w:r w:rsidRPr="000D376E">
        <w:t xml:space="preserve">The Constitutional Court's rationale for upholding the </w:t>
      </w:r>
      <w:r w:rsidR="004E4715">
        <w:t>Anti-</w:t>
      </w:r>
      <w:r w:rsidRPr="000D376E">
        <w:t>Blasphemy in Indonesia is to prevent conflicts between religious groups by prohibiting one group from insulting another's religion. However, the reality is that it is still easy to falsely accuse religious minorities of blasphemy, making the anti-blasphemy law a weapon against them. If law enforcement authorities do not take these accusations seriously, the accusing groups may take matters into their own hands, leading to physical attacks, property damage, and forced eviction. This phenomenon contravenes the Constitutional Court's argument that the anti-blasphemy law prevents inter-religious conflicts. According to the hate spin theory suggested by Josh Cherian, vigilantism is motivated by hate speech from influential figures within hardcore Islamic groups, perpetrated against minority groups</w:t>
      </w:r>
      <w:r>
        <w:t xml:space="preserve"> </w:t>
      </w:r>
      <w:r>
        <w:fldChar w:fldCharType="begin"/>
      </w:r>
      <w:r>
        <w:instrText xml:space="preserve"> ADDIN ZOTERO_ITEM CSL_CITATION {"citationID":"fa4iW36X","properties":{"formattedCitation":"(George, 2017)","plainCitation":"(George, 2017)","noteIndex":0},"citationItems":[{"id":2277,"uris":["http://zotero.org/users/6396655/items/YSQNWZ66"],"itemData":{"id":2277,"type":"article-journal","container-title":"Communication Theory","issue":"2","note":"publisher: Oxford University Press","page":"156–175","title":"Hate spin: The twin political strategies of religious incitement and offense-taking","volume":"27","author":[{"family":"George","given":"Cherian"}],"issued":{"date-parts":[["2017"]]}}}],"schema":"https://github.com/citation-style-language/schema/raw/master/csl-citation.json"} </w:instrText>
      </w:r>
      <w:r>
        <w:fldChar w:fldCharType="separate"/>
      </w:r>
      <w:r>
        <w:rPr>
          <w:noProof/>
        </w:rPr>
        <w:t>(George, 2017)</w:t>
      </w:r>
      <w:r>
        <w:fldChar w:fldCharType="end"/>
      </w:r>
      <w:r w:rsidRPr="000D376E">
        <w:t xml:space="preserve">. </w:t>
      </w:r>
      <w:r w:rsidR="004663C1" w:rsidRPr="004663C1">
        <w:t xml:space="preserve">The SETARA Institute's data illustrates that persecution against religious minorities in Indonesia takes multiple forms, with disturbances of places of worship being a prevalent occurrence. The disturbances of places of worship involve a range of attacks, including the rejection of building or construction disruptions, sealing off worship places, destruction or attacks on </w:t>
      </w:r>
      <w:r w:rsidR="004663C1" w:rsidRPr="004663C1">
        <w:lastRenderedPageBreak/>
        <w:t>individuals in places of worship from non-state and/or state actors. The Anti-Blasphemy Law's ambiguity allows for subjective interpretations and leaves room for discriminatory decisions against religious minority groups.</w:t>
      </w:r>
      <w:r w:rsidR="008A5EF2">
        <w:rPr>
          <w:rFonts w:ascii="Calibri" w:hAnsi="Calibri" w:cs="Calibri"/>
          <w:bCs/>
          <w:color w:val="000000"/>
          <w:lang w:val="en-AU"/>
        </w:rPr>
        <w:t xml:space="preserve"> </w:t>
      </w:r>
      <w:r w:rsidR="008A5EF2">
        <w:rPr>
          <w:rFonts w:ascii="Calibri" w:hAnsi="Calibri" w:cs="Calibri"/>
          <w:bCs/>
          <w:color w:val="000000"/>
          <w:lang w:val="en-AU"/>
        </w:rPr>
        <w:fldChar w:fldCharType="begin"/>
      </w:r>
      <w:r w:rsidR="008A5EF2">
        <w:rPr>
          <w:rFonts w:ascii="Calibri" w:hAnsi="Calibri" w:cs="Calibri"/>
          <w:bCs/>
          <w:color w:val="000000"/>
          <w:lang w:val="en-AU"/>
        </w:rPr>
        <w:instrText xml:space="preserve"> ADDIN ZOTERO_ITEM CSL_CITATION {"citationID":"LKBafPsX","properties":{"formattedCitation":"(SETARA Institute, 2022)","plainCitation":"(SETARA Institute, 2022)","noteIndex":0},"citationItems":[{"id":2279,"uris":["http://zotero.org/users/6396655/items/I9B38J8U"],"itemData":{"id":2279,"type":"webpage","title":"Mengatasi intoleransi dalam tata kebinekaan indonesia: update dan rekomendasi terkait peribadatan","URL":"https://setara-institute.org/mengatasi-intoleransi-dalam-tata-kebinekaan-indonesia-update-dan-rekomendasi-terkait-peribadatan/","author":[{"literal":"SETARA Institute"}],"issued":{"date-parts":[["2022",11]]}}}],"schema":"https://github.com/citation-style-language/schema/raw/master/csl-citation.json"} </w:instrText>
      </w:r>
      <w:r w:rsidR="008A5EF2">
        <w:rPr>
          <w:rFonts w:ascii="Calibri" w:hAnsi="Calibri" w:cs="Calibri"/>
          <w:bCs/>
          <w:color w:val="000000"/>
          <w:lang w:val="en-AU"/>
        </w:rPr>
        <w:fldChar w:fldCharType="separate"/>
      </w:r>
      <w:r w:rsidR="008A5EF2">
        <w:rPr>
          <w:rFonts w:ascii="Calibri" w:hAnsi="Calibri" w:cs="Calibri"/>
          <w:bCs/>
          <w:noProof/>
          <w:color w:val="000000"/>
          <w:lang w:val="en-AU"/>
        </w:rPr>
        <w:t>(SETARA Institute, 2022)</w:t>
      </w:r>
      <w:r w:rsidR="008A5EF2">
        <w:rPr>
          <w:rFonts w:ascii="Calibri" w:hAnsi="Calibri" w:cs="Calibri"/>
          <w:bCs/>
          <w:color w:val="000000"/>
          <w:lang w:val="en-AU"/>
        </w:rPr>
        <w:fldChar w:fldCharType="end"/>
      </w:r>
      <w:r w:rsidR="008A5EF2" w:rsidRPr="00D940A0">
        <w:rPr>
          <w:rFonts w:ascii="Calibri" w:hAnsi="Calibri" w:cs="Calibri"/>
          <w:bCs/>
          <w:color w:val="000000"/>
          <w:lang w:val="en-AU"/>
        </w:rPr>
        <w:t>.</w:t>
      </w:r>
      <w:r w:rsidR="008A5EF2">
        <w:rPr>
          <w:rFonts w:ascii="Calibri" w:hAnsi="Calibri" w:cs="Calibri"/>
          <w:bCs/>
          <w:color w:val="000000"/>
          <w:lang w:val="en-AU"/>
        </w:rPr>
        <w:t xml:space="preserve"> </w:t>
      </w:r>
      <w:r w:rsidR="008A5EF2" w:rsidRPr="00D940A0">
        <w:rPr>
          <w:rFonts w:ascii="Calibri" w:hAnsi="Calibri" w:cs="Calibri"/>
          <w:bCs/>
          <w:color w:val="000000"/>
          <w:lang w:val="en-AU"/>
        </w:rPr>
        <w:t>Table 1 indicates the number of incidents of disturbances to interfaith harmony in Indonesia.</w:t>
      </w:r>
    </w:p>
    <w:p w14:paraId="28464F60" w14:textId="77777777" w:rsidR="008A5EF2" w:rsidRDefault="008A5EF2" w:rsidP="008A5EF2">
      <w:pPr>
        <w:pStyle w:val="Caption"/>
        <w:keepNext/>
        <w:jc w:val="center"/>
      </w:pPr>
    </w:p>
    <w:p w14:paraId="2C5FD6C4" w14:textId="77777777" w:rsidR="008A5EF2" w:rsidRPr="00940329" w:rsidRDefault="008A5EF2" w:rsidP="008A5EF2">
      <w:pPr>
        <w:pStyle w:val="Caption"/>
        <w:keepNext/>
        <w:jc w:val="center"/>
        <w:rPr>
          <w:sz w:val="22"/>
          <w:szCs w:val="22"/>
        </w:rPr>
      </w:pPr>
      <w:r w:rsidRPr="00940329">
        <w:rPr>
          <w:sz w:val="22"/>
          <w:szCs w:val="22"/>
        </w:rPr>
        <w:t xml:space="preserve">Table </w:t>
      </w:r>
      <w:r w:rsidRPr="00940329">
        <w:rPr>
          <w:sz w:val="22"/>
          <w:szCs w:val="22"/>
        </w:rPr>
        <w:fldChar w:fldCharType="begin"/>
      </w:r>
      <w:r w:rsidRPr="00940329">
        <w:rPr>
          <w:sz w:val="22"/>
          <w:szCs w:val="22"/>
        </w:rPr>
        <w:instrText xml:space="preserve"> SEQ Table \* ARABIC </w:instrText>
      </w:r>
      <w:r w:rsidRPr="00940329">
        <w:rPr>
          <w:sz w:val="22"/>
          <w:szCs w:val="22"/>
        </w:rPr>
        <w:fldChar w:fldCharType="separate"/>
      </w:r>
      <w:r>
        <w:rPr>
          <w:noProof/>
          <w:sz w:val="22"/>
          <w:szCs w:val="22"/>
        </w:rPr>
        <w:t>1</w:t>
      </w:r>
      <w:r w:rsidRPr="00940329">
        <w:rPr>
          <w:sz w:val="22"/>
          <w:szCs w:val="22"/>
        </w:rPr>
        <w:fldChar w:fldCharType="end"/>
      </w:r>
      <w:r w:rsidRPr="00940329">
        <w:rPr>
          <w:sz w:val="22"/>
          <w:szCs w:val="22"/>
        </w:rPr>
        <w:t>. Incidents Related to the Interreligious Harmony in Indonesia</w:t>
      </w:r>
      <w:r w:rsidRPr="00940329">
        <w:rPr>
          <w:rStyle w:val="FootnoteReference"/>
        </w:rPr>
        <w:footnoteReference w:id="2"/>
      </w:r>
    </w:p>
    <w:tbl>
      <w:tblPr>
        <w:tblStyle w:val="GridTable2"/>
        <w:tblW w:w="0" w:type="auto"/>
        <w:tblInd w:w="1980" w:type="dxa"/>
        <w:tblLook w:val="04A0" w:firstRow="1" w:lastRow="0" w:firstColumn="1" w:lastColumn="0" w:noHBand="0" w:noVBand="1"/>
      </w:tblPr>
      <w:tblGrid>
        <w:gridCol w:w="2786"/>
        <w:gridCol w:w="3378"/>
      </w:tblGrid>
      <w:tr w:rsidR="008A5EF2" w14:paraId="04E48EA8" w14:textId="77777777" w:rsidTr="004557E3">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786" w:type="dxa"/>
          </w:tcPr>
          <w:p w14:paraId="73BEDC37" w14:textId="77777777" w:rsidR="008A5EF2" w:rsidRDefault="008A5EF2" w:rsidP="004557E3">
            <w:pPr>
              <w:jc w:val="center"/>
              <w:rPr>
                <w:rFonts w:ascii="Calibri" w:hAnsi="Calibri" w:cs="Calibri"/>
                <w:bCs w:val="0"/>
                <w:color w:val="000000"/>
                <w:lang w:val="en-AU"/>
              </w:rPr>
            </w:pPr>
            <w:r w:rsidRPr="00273B73">
              <w:rPr>
                <w:rFonts w:ascii="Calibri" w:hAnsi="Calibri" w:cs="Calibri"/>
                <w:color w:val="000000"/>
                <w:lang w:val="en-AU"/>
              </w:rPr>
              <w:t>Year</w:t>
            </w:r>
          </w:p>
        </w:tc>
        <w:tc>
          <w:tcPr>
            <w:tcW w:w="3378" w:type="dxa"/>
          </w:tcPr>
          <w:p w14:paraId="7C1320F7" w14:textId="77777777" w:rsidR="008A5EF2" w:rsidRDefault="008A5EF2" w:rsidP="004557E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lang w:val="en-AU"/>
              </w:rPr>
            </w:pPr>
            <w:r w:rsidRPr="00273B73">
              <w:rPr>
                <w:rFonts w:ascii="Calibri" w:hAnsi="Calibri" w:cs="Calibri"/>
                <w:color w:val="000000"/>
                <w:lang w:val="en-AU"/>
              </w:rPr>
              <w:t>Number of Incidents</w:t>
            </w:r>
          </w:p>
        </w:tc>
      </w:tr>
      <w:tr w:rsidR="008A5EF2" w14:paraId="26519793" w14:textId="77777777" w:rsidTr="004557E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786" w:type="dxa"/>
          </w:tcPr>
          <w:p w14:paraId="4F417E4D" w14:textId="77777777" w:rsidR="008A5EF2" w:rsidRDefault="008A5EF2" w:rsidP="004557E3">
            <w:pPr>
              <w:jc w:val="center"/>
              <w:rPr>
                <w:rFonts w:ascii="Calibri" w:hAnsi="Calibri" w:cs="Calibri"/>
                <w:bCs w:val="0"/>
                <w:color w:val="000000"/>
                <w:lang w:val="en-AU"/>
              </w:rPr>
            </w:pPr>
            <w:r w:rsidRPr="00273B73">
              <w:rPr>
                <w:rFonts w:ascii="Calibri" w:hAnsi="Calibri" w:cs="Calibri"/>
                <w:color w:val="000000"/>
                <w:lang w:val="en-AU"/>
              </w:rPr>
              <w:t>2017</w:t>
            </w:r>
          </w:p>
        </w:tc>
        <w:tc>
          <w:tcPr>
            <w:tcW w:w="3378" w:type="dxa"/>
          </w:tcPr>
          <w:p w14:paraId="1E971D73" w14:textId="77777777" w:rsidR="008A5EF2" w:rsidRDefault="008A5EF2" w:rsidP="004557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17</w:t>
            </w:r>
          </w:p>
        </w:tc>
      </w:tr>
      <w:tr w:rsidR="008A5EF2" w14:paraId="47E551A0" w14:textId="77777777" w:rsidTr="004557E3">
        <w:trPr>
          <w:trHeight w:val="332"/>
        </w:trPr>
        <w:tc>
          <w:tcPr>
            <w:cnfStyle w:val="001000000000" w:firstRow="0" w:lastRow="0" w:firstColumn="1" w:lastColumn="0" w:oddVBand="0" w:evenVBand="0" w:oddHBand="0" w:evenHBand="0" w:firstRowFirstColumn="0" w:firstRowLastColumn="0" w:lastRowFirstColumn="0" w:lastRowLastColumn="0"/>
            <w:tcW w:w="2786" w:type="dxa"/>
          </w:tcPr>
          <w:p w14:paraId="2330B13B" w14:textId="77777777" w:rsidR="008A5EF2" w:rsidRDefault="008A5EF2" w:rsidP="004557E3">
            <w:pPr>
              <w:jc w:val="center"/>
              <w:rPr>
                <w:rFonts w:ascii="Calibri" w:hAnsi="Calibri" w:cs="Calibri"/>
                <w:bCs w:val="0"/>
                <w:color w:val="000000"/>
                <w:lang w:val="en-AU"/>
              </w:rPr>
            </w:pPr>
            <w:r w:rsidRPr="00273B73">
              <w:rPr>
                <w:rFonts w:ascii="Calibri" w:hAnsi="Calibri" w:cs="Calibri"/>
                <w:color w:val="000000"/>
                <w:lang w:val="en-AU"/>
              </w:rPr>
              <w:t>2018</w:t>
            </w:r>
          </w:p>
        </w:tc>
        <w:tc>
          <w:tcPr>
            <w:tcW w:w="3378" w:type="dxa"/>
          </w:tcPr>
          <w:p w14:paraId="1E0BDB35" w14:textId="77777777" w:rsidR="008A5EF2" w:rsidRDefault="008A5EF2" w:rsidP="004557E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20</w:t>
            </w:r>
          </w:p>
        </w:tc>
      </w:tr>
      <w:tr w:rsidR="008A5EF2" w14:paraId="59235728" w14:textId="77777777" w:rsidTr="004557E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786" w:type="dxa"/>
          </w:tcPr>
          <w:p w14:paraId="43794B01" w14:textId="77777777" w:rsidR="008A5EF2" w:rsidRDefault="008A5EF2" w:rsidP="004557E3">
            <w:pPr>
              <w:jc w:val="center"/>
              <w:rPr>
                <w:rFonts w:ascii="Calibri" w:hAnsi="Calibri" w:cs="Calibri"/>
                <w:bCs w:val="0"/>
                <w:color w:val="000000"/>
                <w:lang w:val="en-AU"/>
              </w:rPr>
            </w:pPr>
            <w:r w:rsidRPr="00273B73">
              <w:rPr>
                <w:rFonts w:ascii="Calibri" w:hAnsi="Calibri" w:cs="Calibri"/>
                <w:color w:val="000000"/>
                <w:lang w:val="en-AU"/>
              </w:rPr>
              <w:t>2019</w:t>
            </w:r>
          </w:p>
        </w:tc>
        <w:tc>
          <w:tcPr>
            <w:tcW w:w="3378" w:type="dxa"/>
          </w:tcPr>
          <w:p w14:paraId="1F3F4413" w14:textId="77777777" w:rsidR="008A5EF2" w:rsidRDefault="008A5EF2" w:rsidP="004557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31</w:t>
            </w:r>
          </w:p>
        </w:tc>
      </w:tr>
      <w:tr w:rsidR="008A5EF2" w14:paraId="24BB8323" w14:textId="77777777" w:rsidTr="004557E3">
        <w:trPr>
          <w:trHeight w:val="332"/>
        </w:trPr>
        <w:tc>
          <w:tcPr>
            <w:cnfStyle w:val="001000000000" w:firstRow="0" w:lastRow="0" w:firstColumn="1" w:lastColumn="0" w:oddVBand="0" w:evenVBand="0" w:oddHBand="0" w:evenHBand="0" w:firstRowFirstColumn="0" w:firstRowLastColumn="0" w:lastRowFirstColumn="0" w:lastRowLastColumn="0"/>
            <w:tcW w:w="2786" w:type="dxa"/>
          </w:tcPr>
          <w:p w14:paraId="3BD37398" w14:textId="77777777" w:rsidR="008A5EF2" w:rsidRDefault="008A5EF2" w:rsidP="004557E3">
            <w:pPr>
              <w:jc w:val="center"/>
              <w:rPr>
                <w:rFonts w:ascii="Calibri" w:hAnsi="Calibri" w:cs="Calibri"/>
                <w:bCs w:val="0"/>
                <w:color w:val="000000"/>
                <w:lang w:val="en-AU"/>
              </w:rPr>
            </w:pPr>
            <w:r w:rsidRPr="00273B73">
              <w:rPr>
                <w:rFonts w:ascii="Calibri" w:hAnsi="Calibri" w:cs="Calibri"/>
                <w:color w:val="000000"/>
                <w:lang w:val="en-AU"/>
              </w:rPr>
              <w:t>2020</w:t>
            </w:r>
          </w:p>
        </w:tc>
        <w:tc>
          <w:tcPr>
            <w:tcW w:w="3378" w:type="dxa"/>
          </w:tcPr>
          <w:p w14:paraId="3A0674CC" w14:textId="77777777" w:rsidR="008A5EF2" w:rsidRDefault="008A5EF2" w:rsidP="004557E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24</w:t>
            </w:r>
          </w:p>
        </w:tc>
      </w:tr>
      <w:tr w:rsidR="008A5EF2" w14:paraId="6B9C50AC" w14:textId="77777777" w:rsidTr="004557E3">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786" w:type="dxa"/>
          </w:tcPr>
          <w:p w14:paraId="48A2A510" w14:textId="77777777" w:rsidR="008A5EF2" w:rsidRDefault="008A5EF2" w:rsidP="004557E3">
            <w:pPr>
              <w:jc w:val="center"/>
              <w:rPr>
                <w:rFonts w:ascii="Calibri" w:hAnsi="Calibri" w:cs="Calibri"/>
                <w:bCs w:val="0"/>
                <w:color w:val="000000"/>
                <w:lang w:val="en-AU"/>
              </w:rPr>
            </w:pPr>
            <w:r w:rsidRPr="00273B73">
              <w:rPr>
                <w:rFonts w:ascii="Calibri" w:hAnsi="Calibri" w:cs="Calibri"/>
                <w:color w:val="000000"/>
                <w:lang w:val="en-AU"/>
              </w:rPr>
              <w:t>2021</w:t>
            </w:r>
          </w:p>
        </w:tc>
        <w:tc>
          <w:tcPr>
            <w:tcW w:w="3378" w:type="dxa"/>
          </w:tcPr>
          <w:p w14:paraId="22A33E5E" w14:textId="77777777" w:rsidR="008A5EF2" w:rsidRDefault="008A5EF2" w:rsidP="004557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44</w:t>
            </w:r>
          </w:p>
        </w:tc>
      </w:tr>
      <w:tr w:rsidR="008A5EF2" w14:paraId="5D7C2C90" w14:textId="77777777" w:rsidTr="004557E3">
        <w:trPr>
          <w:trHeight w:val="332"/>
        </w:trPr>
        <w:tc>
          <w:tcPr>
            <w:cnfStyle w:val="001000000000" w:firstRow="0" w:lastRow="0" w:firstColumn="1" w:lastColumn="0" w:oddVBand="0" w:evenVBand="0" w:oddHBand="0" w:evenHBand="0" w:firstRowFirstColumn="0" w:firstRowLastColumn="0" w:lastRowFirstColumn="0" w:lastRowLastColumn="0"/>
            <w:tcW w:w="2786" w:type="dxa"/>
          </w:tcPr>
          <w:p w14:paraId="66CFBCFC" w14:textId="77777777" w:rsidR="008A5EF2" w:rsidRDefault="008A5EF2" w:rsidP="004557E3">
            <w:pPr>
              <w:jc w:val="center"/>
              <w:rPr>
                <w:rFonts w:ascii="Calibri" w:hAnsi="Calibri" w:cs="Calibri"/>
                <w:bCs w:val="0"/>
                <w:color w:val="000000"/>
                <w:lang w:val="en-AU"/>
              </w:rPr>
            </w:pPr>
            <w:r w:rsidRPr="00273B73">
              <w:rPr>
                <w:rFonts w:ascii="Calibri" w:hAnsi="Calibri" w:cs="Calibri"/>
                <w:color w:val="000000"/>
                <w:lang w:val="en-AU"/>
              </w:rPr>
              <w:t>2022 (Jan-Sep)</w:t>
            </w:r>
          </w:p>
        </w:tc>
        <w:tc>
          <w:tcPr>
            <w:tcW w:w="3378" w:type="dxa"/>
          </w:tcPr>
          <w:p w14:paraId="4A91FBF8" w14:textId="77777777" w:rsidR="008A5EF2" w:rsidRDefault="008A5EF2" w:rsidP="004557E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32</w:t>
            </w:r>
          </w:p>
        </w:tc>
      </w:tr>
    </w:tbl>
    <w:p w14:paraId="7FC6777C" w14:textId="77777777" w:rsidR="008A5EF2" w:rsidRPr="00273B73" w:rsidRDefault="008A5EF2" w:rsidP="008A5EF2">
      <w:pPr>
        <w:rPr>
          <w:rFonts w:ascii="Calibri" w:hAnsi="Calibri" w:cs="Calibri"/>
          <w:bCs/>
          <w:color w:val="000000"/>
          <w:sz w:val="20"/>
          <w:szCs w:val="20"/>
          <w:lang w:val="en-AU"/>
        </w:rPr>
      </w:pPr>
      <w:r>
        <w:rPr>
          <w:rFonts w:ascii="Calibri" w:hAnsi="Calibri" w:cs="Calibri"/>
          <w:bCs/>
          <w:color w:val="000000"/>
          <w:sz w:val="20"/>
          <w:szCs w:val="20"/>
          <w:lang w:val="en-AU"/>
        </w:rPr>
        <w:t xml:space="preserve">                                              </w:t>
      </w:r>
      <w:r w:rsidRPr="00273B73">
        <w:rPr>
          <w:rFonts w:ascii="Calibri" w:hAnsi="Calibri" w:cs="Calibri"/>
          <w:bCs/>
          <w:color w:val="000000"/>
          <w:sz w:val="20"/>
          <w:szCs w:val="20"/>
          <w:lang w:val="en-AU"/>
        </w:rPr>
        <w:t>Source:</w:t>
      </w:r>
      <w:r w:rsidRPr="00273B73">
        <w:rPr>
          <w:rFonts w:ascii="Calibri" w:hAnsi="Calibri" w:cs="Calibri"/>
          <w:bCs/>
          <w:color w:val="000000"/>
          <w:sz w:val="20"/>
          <w:szCs w:val="20"/>
          <w:lang w:val="en-AU"/>
        </w:rPr>
        <w:fldChar w:fldCharType="begin"/>
      </w:r>
      <w:r>
        <w:rPr>
          <w:rFonts w:ascii="Calibri" w:hAnsi="Calibri" w:cs="Calibri"/>
          <w:bCs/>
          <w:color w:val="000000"/>
          <w:sz w:val="20"/>
          <w:szCs w:val="20"/>
          <w:lang w:val="en-AU"/>
        </w:rPr>
        <w:instrText xml:space="preserve"> ADDIN ZOTERO_ITEM CSL_CITATION {"citationID":"ytIFs8I6","properties":{"formattedCitation":"(SETARA Institute, 2022)","plainCitation":"(SETARA Institute, 2022)","noteIndex":0},"citationItems":[{"id":2279,"uris":["http://zotero.org/users/6396655/items/I9B38J8U"],"itemData":{"id":2279,"type":"webpage","title":"Mengatasi intoleransi dalam tata kebinekaan indonesia: update dan rekomendasi terkait peribadatan","URL":"https://setara-institute.org/mengatasi-intoleransi-dalam-tata-kebinekaan-indonesia-update-dan-rekomendasi-terkait-peribadatan/","author":[{"literal":"SETARA Institute"}],"issued":{"date-parts":[["2022",11]]}}}],"schema":"https://github.com/citation-style-language/schema/raw/master/csl-citation.json"} </w:instrText>
      </w:r>
      <w:r w:rsidRPr="00273B73">
        <w:rPr>
          <w:rFonts w:ascii="Calibri" w:hAnsi="Calibri" w:cs="Calibri"/>
          <w:bCs/>
          <w:color w:val="000000"/>
          <w:sz w:val="20"/>
          <w:szCs w:val="20"/>
          <w:lang w:val="en-AU"/>
        </w:rPr>
        <w:fldChar w:fldCharType="separate"/>
      </w:r>
      <w:r>
        <w:rPr>
          <w:rFonts w:ascii="Calibri" w:hAnsi="Calibri" w:cs="Calibri"/>
          <w:bCs/>
          <w:noProof/>
          <w:color w:val="000000"/>
          <w:sz w:val="20"/>
          <w:szCs w:val="20"/>
          <w:lang w:val="en-AU"/>
        </w:rPr>
        <w:t>(SETARA Institute, 2022)</w:t>
      </w:r>
      <w:r w:rsidRPr="00273B73">
        <w:rPr>
          <w:rFonts w:ascii="Calibri" w:hAnsi="Calibri" w:cs="Calibri"/>
          <w:bCs/>
          <w:color w:val="000000"/>
          <w:sz w:val="20"/>
          <w:szCs w:val="20"/>
          <w:lang w:val="en-AU"/>
        </w:rPr>
        <w:fldChar w:fldCharType="end"/>
      </w:r>
    </w:p>
    <w:p w14:paraId="7BE2D4D1" w14:textId="77777777" w:rsidR="008A5EF2" w:rsidRDefault="008A5EF2" w:rsidP="008A5EF2">
      <w:pPr>
        <w:jc w:val="both"/>
        <w:rPr>
          <w:rFonts w:ascii="Calibri" w:hAnsi="Calibri" w:cs="Calibri"/>
          <w:bCs/>
          <w:color w:val="000000"/>
          <w:lang w:val="en-AU"/>
        </w:rPr>
      </w:pPr>
    </w:p>
    <w:p w14:paraId="480B5108" w14:textId="74E13710" w:rsidR="008A5EF2" w:rsidRDefault="009F096F" w:rsidP="00FD59A2">
      <w:pPr>
        <w:ind w:firstLine="720"/>
        <w:jc w:val="both"/>
        <w:rPr>
          <w:rFonts w:ascii="Calibri" w:hAnsi="Calibri" w:cs="Calibri"/>
          <w:bCs/>
          <w:color w:val="000000"/>
          <w:lang w:val="en-AU"/>
        </w:rPr>
      </w:pPr>
      <w:r w:rsidRPr="009F096F">
        <w:rPr>
          <w:rFonts w:ascii="Calibri" w:hAnsi="Calibri" w:cs="Calibri"/>
          <w:bCs/>
          <w:color w:val="000000"/>
          <w:lang w:val="en-AU"/>
        </w:rPr>
        <w:t>This study reveals that vigilantism occurred repeatedly in the four cases examined, as illustrated in Table 2. Ambiguous legal standards might be misinterpreted by society, resulting in accusations of "tarnishing Islam" for criticizing Islamic teachings (the Ahok case), Muslim religious practices (the Meiliana case), or beliefs that vary from orthodox Islamic teachings (the Ahmadiyya and the Gafatar cases). Ministerial circulars, governor's regulations, and regional regulations support this interpretation. Social media also perpetuates slander and accusations of the "true" teachings of Islam to elicit support and outrage. It should be noted that even though legal proceedings were ongoing or had been reported to authorities during vigilantism incidents, they still occurred.</w:t>
      </w:r>
    </w:p>
    <w:p w14:paraId="30E3CE80" w14:textId="323A0718" w:rsidR="008A5EF2" w:rsidRDefault="008A5EF2" w:rsidP="00FD59A2">
      <w:pPr>
        <w:ind w:firstLine="720"/>
        <w:jc w:val="both"/>
        <w:rPr>
          <w:rFonts w:ascii="Calibri" w:hAnsi="Calibri" w:cs="Calibri"/>
          <w:bCs/>
          <w:color w:val="000000"/>
          <w:lang w:val="en-AU"/>
        </w:rPr>
      </w:pPr>
      <w:r>
        <w:rPr>
          <w:rFonts w:ascii="Calibri" w:hAnsi="Calibri" w:cs="Calibri"/>
          <w:bCs/>
          <w:color w:val="000000"/>
          <w:lang w:val="en-AU"/>
        </w:rPr>
        <w:t xml:space="preserve">The </w:t>
      </w:r>
      <w:r w:rsidRPr="00940329">
        <w:rPr>
          <w:rFonts w:ascii="Calibri" w:hAnsi="Calibri" w:cs="Calibri"/>
          <w:bCs/>
          <w:color w:val="000000"/>
          <w:lang w:val="en-AU"/>
        </w:rPr>
        <w:t>Hardliner Islamic groups</w:t>
      </w:r>
      <w:r>
        <w:rPr>
          <w:rFonts w:ascii="Calibri" w:hAnsi="Calibri" w:cs="Calibri"/>
          <w:bCs/>
          <w:color w:val="000000"/>
          <w:lang w:val="en-AU"/>
        </w:rPr>
        <w:t>, such as the Front Islamic Defender</w:t>
      </w:r>
      <w:r w:rsidRPr="00940329">
        <w:rPr>
          <w:rFonts w:ascii="Calibri" w:hAnsi="Calibri" w:cs="Calibri"/>
          <w:bCs/>
          <w:color w:val="000000"/>
          <w:lang w:val="en-AU"/>
        </w:rPr>
        <w:t xml:space="preserve"> organize</w:t>
      </w:r>
      <w:r>
        <w:rPr>
          <w:rFonts w:ascii="Calibri" w:hAnsi="Calibri" w:cs="Calibri"/>
          <w:bCs/>
          <w:color w:val="000000"/>
          <w:lang w:val="en-AU"/>
        </w:rPr>
        <w:t>d</w:t>
      </w:r>
      <w:r w:rsidRPr="00940329">
        <w:rPr>
          <w:rFonts w:ascii="Calibri" w:hAnsi="Calibri" w:cs="Calibri"/>
          <w:bCs/>
          <w:color w:val="000000"/>
          <w:lang w:val="en-AU"/>
        </w:rPr>
        <w:t xml:space="preserve"> enormous protests to demand justice, which often leads to vigilante punishment. Ahok and Meiliana were convicted for Islam-related charges because hatred was organized.</w:t>
      </w:r>
      <w:r>
        <w:rPr>
          <w:rFonts w:ascii="Calibri" w:hAnsi="Calibri" w:cs="Calibri"/>
          <w:bCs/>
          <w:color w:val="000000"/>
          <w:lang w:val="en-AU"/>
        </w:rPr>
        <w:t xml:space="preserve"> </w:t>
      </w:r>
      <w:r w:rsidRPr="00B86693">
        <w:rPr>
          <w:rFonts w:ascii="Calibri" w:hAnsi="Calibri" w:cs="Calibri"/>
          <w:bCs/>
          <w:color w:val="000000"/>
          <w:lang w:val="en-AU"/>
        </w:rPr>
        <w:t xml:space="preserve">The politicization of religion, through blasphemy laws, has led to the prosecution of political opponents in Indonesia, as seen in Ahok and </w:t>
      </w:r>
      <w:proofErr w:type="spellStart"/>
      <w:r w:rsidRPr="00B86693">
        <w:rPr>
          <w:rFonts w:ascii="Calibri" w:hAnsi="Calibri" w:cs="Calibri"/>
          <w:bCs/>
          <w:color w:val="000000"/>
          <w:lang w:val="en-AU"/>
        </w:rPr>
        <w:t>Meiliana's</w:t>
      </w:r>
      <w:proofErr w:type="spellEnd"/>
      <w:r w:rsidRPr="00B86693">
        <w:rPr>
          <w:rFonts w:ascii="Calibri" w:hAnsi="Calibri" w:cs="Calibri"/>
          <w:bCs/>
          <w:color w:val="000000"/>
          <w:lang w:val="en-AU"/>
        </w:rPr>
        <w:t xml:space="preserve"> cases</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{"citationID":"l00f3BNf","properties":{"formattedCitation":"(Mulyartono et al., 2021)","plainCitation":"(Mulyartono et al., 2021)","noteIndex":0},"citationItems":[{"id":2289,"uris":["http://zotero.org/users/6396655/items/355RDBCF"],"itemData":{"id":2289,"type":"document","publisher":"University of Melbourne","title":"How did a complaint about a mosque loudspeaker end up in a blasphemy conviction?","URL":"https://indonesiaatmelbourne.unimelb.edu.au/how-did-a-complaint-about-a-mosque-loudspeaker-end-up-in-a-blasphemy-conviction/","author":[{"family":"Mulyartono","given":"Siswo"},{"literal":"RAFSADIE, IRSYAD"},{"literal":"NUR SAHID, Ali"}],"issued":{"date-parts":[["2021",1]]}}}],"schema":"https://github.com/citation-style-language/schema/raw/master/csl-citation.json"}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(Mulyartono et al., 2021)</w:t>
      </w:r>
      <w:r>
        <w:rPr>
          <w:rFonts w:ascii="Calibri" w:hAnsi="Calibri" w:cs="Calibri"/>
          <w:bCs/>
          <w:color w:val="000000"/>
          <w:lang w:val="en-AU"/>
        </w:rPr>
        <w:fldChar w:fldCharType="end"/>
      </w:r>
      <w:r w:rsidRPr="00B86693">
        <w:rPr>
          <w:rFonts w:ascii="Calibri" w:hAnsi="Calibri" w:cs="Calibri"/>
          <w:bCs/>
          <w:color w:val="000000"/>
          <w:lang w:val="en-AU"/>
        </w:rPr>
        <w:t xml:space="preserve">. </w:t>
      </w:r>
      <w:r w:rsidRPr="008A5EF2">
        <w:rPr>
          <w:rFonts w:ascii="Calibri" w:hAnsi="Calibri" w:cs="Calibri"/>
          <w:bCs/>
          <w:color w:val="000000"/>
          <w:lang w:val="en-AU"/>
        </w:rPr>
        <w:t>While the Ahmadiyya and Gafatar instances were also considered deviations from "true" Islam and violations of Islamic law. Propaganda and vigilante action against these groups resulted from this enmity.</w:t>
      </w:r>
    </w:p>
    <w:p w14:paraId="25903903" w14:textId="77777777" w:rsidR="002D75B0" w:rsidRPr="00096B7E" w:rsidRDefault="002D75B0" w:rsidP="00F1009C">
      <w:pPr>
        <w:jc w:val="both"/>
        <w:rPr>
          <w:rFonts w:ascii="Calibri" w:hAnsi="Calibri" w:cs="Calibri"/>
          <w:bCs/>
          <w:color w:val="000000"/>
          <w:lang w:val="en-AU"/>
        </w:rPr>
      </w:pPr>
    </w:p>
    <w:p w14:paraId="2E75C17E" w14:textId="13199BF7" w:rsidR="008A5EF2" w:rsidRPr="008F0259" w:rsidRDefault="008A5EF2" w:rsidP="008A5EF2">
      <w:pPr>
        <w:pStyle w:val="Caption"/>
        <w:keepNext/>
        <w:jc w:val="center"/>
        <w:rPr>
          <w:rFonts w:ascii="Calibri" w:hAnsi="Calibri" w:cs="Calibri"/>
          <w:sz w:val="22"/>
          <w:szCs w:val="22"/>
        </w:rPr>
      </w:pPr>
      <w:r w:rsidRPr="008F0259">
        <w:rPr>
          <w:rFonts w:ascii="Calibri" w:hAnsi="Calibri" w:cs="Calibri"/>
          <w:sz w:val="22"/>
          <w:szCs w:val="22"/>
        </w:rPr>
        <w:t xml:space="preserve">Table </w:t>
      </w:r>
      <w:r w:rsidRPr="008F0259">
        <w:rPr>
          <w:rFonts w:ascii="Calibri" w:hAnsi="Calibri" w:cs="Calibri"/>
          <w:sz w:val="22"/>
          <w:szCs w:val="22"/>
        </w:rPr>
        <w:fldChar w:fldCharType="begin"/>
      </w:r>
      <w:r w:rsidRPr="008F0259">
        <w:rPr>
          <w:rFonts w:ascii="Calibri" w:hAnsi="Calibri" w:cs="Calibri"/>
          <w:sz w:val="22"/>
          <w:szCs w:val="22"/>
        </w:rPr>
        <w:instrText xml:space="preserve"> SEQ Table \* ARABIC </w:instrText>
      </w:r>
      <w:r w:rsidRPr="008F0259">
        <w:rPr>
          <w:rFonts w:ascii="Calibri" w:hAnsi="Calibri" w:cs="Calibri"/>
          <w:sz w:val="22"/>
          <w:szCs w:val="22"/>
        </w:rPr>
        <w:fldChar w:fldCharType="separate"/>
      </w:r>
      <w:r w:rsidRPr="008F0259">
        <w:rPr>
          <w:rFonts w:ascii="Calibri" w:hAnsi="Calibri" w:cs="Calibri"/>
          <w:noProof/>
          <w:sz w:val="22"/>
          <w:szCs w:val="22"/>
        </w:rPr>
        <w:t>2</w:t>
      </w:r>
      <w:r w:rsidRPr="008F0259">
        <w:rPr>
          <w:rFonts w:ascii="Calibri" w:hAnsi="Calibri" w:cs="Calibri"/>
          <w:sz w:val="22"/>
          <w:szCs w:val="22"/>
        </w:rPr>
        <w:fldChar w:fldCharType="end"/>
      </w:r>
      <w:r w:rsidRPr="008F0259">
        <w:rPr>
          <w:rFonts w:ascii="Calibri" w:hAnsi="Calibri" w:cs="Calibri"/>
          <w:sz w:val="22"/>
          <w:szCs w:val="22"/>
        </w:rPr>
        <w:t>. Vigilante Justice</w:t>
      </w:r>
      <w:r w:rsidR="0044451F" w:rsidRPr="008F0259">
        <w:rPr>
          <w:rFonts w:ascii="Calibri" w:hAnsi="Calibri" w:cs="Calibri"/>
          <w:sz w:val="22"/>
          <w:szCs w:val="22"/>
        </w:rPr>
        <w:t xml:space="preserve"> Against Blasphemy Effects on </w:t>
      </w:r>
      <w:r w:rsidR="005231EF" w:rsidRPr="008F0259">
        <w:rPr>
          <w:rFonts w:ascii="Calibri" w:hAnsi="Calibri" w:cs="Calibri"/>
          <w:sz w:val="22"/>
          <w:szCs w:val="22"/>
        </w:rPr>
        <w:t>Law Enforcement</w:t>
      </w:r>
      <w:r w:rsidR="0044451F" w:rsidRPr="008F0259">
        <w:rPr>
          <w:rFonts w:ascii="Calibri" w:hAnsi="Calibri" w:cs="Calibri"/>
          <w:sz w:val="22"/>
          <w:szCs w:val="22"/>
        </w:rPr>
        <w:t xml:space="preserve"> </w:t>
      </w:r>
      <w:r w:rsidR="005231EF" w:rsidRPr="008F0259">
        <w:rPr>
          <w:rFonts w:ascii="Calibri" w:hAnsi="Calibri" w:cs="Calibri"/>
          <w:sz w:val="22"/>
          <w:szCs w:val="22"/>
        </w:rPr>
        <w:t>Process</w:t>
      </w:r>
      <w:r w:rsidR="0044451F" w:rsidRPr="008F0259">
        <w:rPr>
          <w:rFonts w:ascii="Calibri" w:hAnsi="Calibri" w:cs="Calibri"/>
          <w:sz w:val="22"/>
          <w:szCs w:val="22"/>
        </w:rPr>
        <w:t xml:space="preserve"> </w:t>
      </w:r>
    </w:p>
    <w:tbl>
      <w:tblPr>
        <w:tblStyle w:val="TableGrid"/>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6"/>
        <w:gridCol w:w="1202"/>
        <w:gridCol w:w="2551"/>
        <w:gridCol w:w="86"/>
        <w:gridCol w:w="3033"/>
        <w:gridCol w:w="24"/>
        <w:gridCol w:w="2925"/>
        <w:gridCol w:w="28"/>
      </w:tblGrid>
      <w:tr w:rsidR="00C947EB" w:rsidRPr="00773E67" w14:paraId="217FEFAA" w14:textId="0D9A72A5" w:rsidTr="002D75B0">
        <w:trPr>
          <w:gridBefore w:val="1"/>
          <w:gridAfter w:val="1"/>
          <w:wBefore w:w="216" w:type="dxa"/>
          <w:wAfter w:w="28" w:type="dxa"/>
          <w:tblHeader/>
          <w:jc w:val="center"/>
        </w:trPr>
        <w:tc>
          <w:tcPr>
            <w:tcW w:w="1202" w:type="dxa"/>
            <w:shd w:val="clear" w:color="auto" w:fill="AEAAAA" w:themeFill="background2" w:themeFillShade="BF"/>
          </w:tcPr>
          <w:p w14:paraId="768CD311" w14:textId="77777777" w:rsidR="00C947EB" w:rsidRPr="00773E67" w:rsidRDefault="00C947EB" w:rsidP="00655372">
            <w:pPr>
              <w:ind w:firstLine="41"/>
              <w:jc w:val="center"/>
              <w:rPr>
                <w:rFonts w:cstheme="minorHAnsi"/>
                <w:b/>
                <w:i/>
                <w:iCs/>
                <w:color w:val="000000"/>
                <w:sz w:val="20"/>
                <w:szCs w:val="20"/>
                <w:lang w:val="en-AU"/>
              </w:rPr>
            </w:pPr>
            <w:r w:rsidRPr="00773E67">
              <w:rPr>
                <w:rFonts w:cstheme="minorHAnsi"/>
                <w:b/>
                <w:i/>
                <w:iCs/>
                <w:color w:val="000000"/>
                <w:sz w:val="20"/>
                <w:szCs w:val="20"/>
                <w:lang w:val="en-AU"/>
              </w:rPr>
              <w:t>Cases</w:t>
            </w:r>
          </w:p>
        </w:tc>
        <w:tc>
          <w:tcPr>
            <w:tcW w:w="2637" w:type="dxa"/>
            <w:gridSpan w:val="2"/>
            <w:shd w:val="clear" w:color="auto" w:fill="AEAAAA" w:themeFill="background2" w:themeFillShade="BF"/>
          </w:tcPr>
          <w:p w14:paraId="138A1A48" w14:textId="6251708A" w:rsidR="00C947EB" w:rsidRPr="00773E67" w:rsidRDefault="00C947EB" w:rsidP="000E02BA">
            <w:pPr>
              <w:ind w:firstLine="61"/>
              <w:jc w:val="center"/>
              <w:rPr>
                <w:rFonts w:cstheme="minorHAnsi"/>
                <w:b/>
                <w:i/>
                <w:iCs/>
                <w:color w:val="000000"/>
                <w:sz w:val="20"/>
                <w:szCs w:val="20"/>
                <w:lang w:val="en-AU"/>
              </w:rPr>
            </w:pPr>
            <w:r w:rsidRPr="00773E67">
              <w:rPr>
                <w:rFonts w:cstheme="minorHAnsi"/>
                <w:b/>
                <w:i/>
                <w:iCs/>
                <w:color w:val="000000"/>
                <w:sz w:val="20"/>
                <w:szCs w:val="20"/>
                <w:lang w:val="en-AU"/>
              </w:rPr>
              <w:t>Vigilante Justice</w:t>
            </w:r>
            <w:r w:rsidR="0044451F" w:rsidRPr="00773E67">
              <w:rPr>
                <w:rFonts w:cstheme="minorHAnsi"/>
                <w:b/>
                <w:i/>
                <w:iCs/>
                <w:color w:val="000000"/>
                <w:sz w:val="20"/>
                <w:szCs w:val="20"/>
                <w:lang w:val="en-AU"/>
              </w:rPr>
              <w:t xml:space="preserve"> using hate spin strategy</w:t>
            </w:r>
          </w:p>
        </w:tc>
        <w:tc>
          <w:tcPr>
            <w:tcW w:w="3057" w:type="dxa"/>
            <w:gridSpan w:val="2"/>
            <w:shd w:val="clear" w:color="auto" w:fill="AEAAAA" w:themeFill="background2" w:themeFillShade="BF"/>
          </w:tcPr>
          <w:p w14:paraId="341EED3C" w14:textId="07E2D7C2" w:rsidR="00C947EB" w:rsidRPr="00773E67" w:rsidRDefault="0044451F" w:rsidP="00C947EB">
            <w:pPr>
              <w:ind w:firstLine="0"/>
              <w:jc w:val="center"/>
              <w:rPr>
                <w:rFonts w:cstheme="minorHAnsi"/>
                <w:b/>
                <w:i/>
                <w:iCs/>
                <w:color w:val="000000"/>
                <w:sz w:val="20"/>
                <w:szCs w:val="20"/>
                <w:lang w:val="en-AU"/>
              </w:rPr>
            </w:pPr>
            <w:r w:rsidRPr="00773E67">
              <w:rPr>
                <w:rFonts w:cstheme="minorHAnsi"/>
                <w:b/>
                <w:i/>
                <w:iCs/>
                <w:color w:val="000000"/>
                <w:sz w:val="20"/>
                <w:szCs w:val="20"/>
                <w:lang w:val="en-AU"/>
              </w:rPr>
              <w:t>Public Policies Support Vigilante Justice Against Blasphemy</w:t>
            </w:r>
          </w:p>
        </w:tc>
        <w:tc>
          <w:tcPr>
            <w:tcW w:w="2925" w:type="dxa"/>
            <w:shd w:val="clear" w:color="auto" w:fill="AEAAAA" w:themeFill="background2" w:themeFillShade="BF"/>
          </w:tcPr>
          <w:p w14:paraId="797D407E" w14:textId="74E6AD5D" w:rsidR="0044451F" w:rsidRPr="00773E67" w:rsidRDefault="0044451F" w:rsidP="0044451F">
            <w:pPr>
              <w:ind w:firstLine="0"/>
              <w:jc w:val="center"/>
              <w:rPr>
                <w:rFonts w:cstheme="minorHAnsi"/>
                <w:b/>
                <w:i/>
                <w:iCs/>
                <w:color w:val="000000"/>
                <w:sz w:val="20"/>
                <w:szCs w:val="20"/>
                <w:lang w:val="en-AU"/>
              </w:rPr>
            </w:pPr>
            <w:r w:rsidRPr="00773E67">
              <w:rPr>
                <w:rFonts w:cstheme="minorHAnsi"/>
                <w:b/>
                <w:i/>
                <w:iCs/>
                <w:color w:val="000000"/>
                <w:sz w:val="20"/>
                <w:szCs w:val="20"/>
                <w:lang w:val="en-AU"/>
              </w:rPr>
              <w:t xml:space="preserve">Vigilantism’s Effects on </w:t>
            </w:r>
          </w:p>
          <w:p w14:paraId="4BFCE31D" w14:textId="5520086D" w:rsidR="00C947EB" w:rsidRPr="00773E67" w:rsidRDefault="0044451F" w:rsidP="0044451F">
            <w:pPr>
              <w:ind w:firstLine="0"/>
              <w:jc w:val="center"/>
              <w:rPr>
                <w:rFonts w:cstheme="minorHAnsi"/>
                <w:b/>
                <w:i/>
                <w:iCs/>
                <w:color w:val="000000"/>
                <w:sz w:val="20"/>
                <w:szCs w:val="20"/>
                <w:lang w:val="en-AU"/>
              </w:rPr>
            </w:pPr>
            <w:r w:rsidRPr="00773E67">
              <w:rPr>
                <w:rFonts w:cstheme="minorHAnsi"/>
                <w:b/>
                <w:i/>
                <w:iCs/>
                <w:color w:val="000000"/>
                <w:sz w:val="20"/>
                <w:szCs w:val="20"/>
                <w:lang w:val="en-AU"/>
              </w:rPr>
              <w:t>Law Enforcement Process</w:t>
            </w:r>
          </w:p>
        </w:tc>
      </w:tr>
      <w:tr w:rsidR="00C947EB" w:rsidRPr="00773E67" w14:paraId="4B4E68FA" w14:textId="483FB652" w:rsidTr="002D75B0">
        <w:trPr>
          <w:gridBefore w:val="1"/>
          <w:gridAfter w:val="1"/>
          <w:wBefore w:w="216" w:type="dxa"/>
          <w:wAfter w:w="28" w:type="dxa"/>
          <w:jc w:val="center"/>
        </w:trPr>
        <w:tc>
          <w:tcPr>
            <w:tcW w:w="1202" w:type="dxa"/>
          </w:tcPr>
          <w:p w14:paraId="441A1091" w14:textId="7EA57DA0" w:rsidR="00C947EB" w:rsidRPr="00773E67" w:rsidRDefault="00C947EB" w:rsidP="004557E3">
            <w:pPr>
              <w:ind w:firstLine="0"/>
              <w:jc w:val="both"/>
              <w:rPr>
                <w:rFonts w:cstheme="minorHAnsi"/>
                <w:b/>
                <w:i/>
                <w:iCs/>
                <w:color w:val="000000"/>
                <w:sz w:val="20"/>
                <w:szCs w:val="20"/>
                <w:lang w:val="en-AU"/>
              </w:rPr>
            </w:pPr>
            <w:r w:rsidRPr="00773E67">
              <w:rPr>
                <w:rFonts w:cstheme="minorHAnsi"/>
                <w:b/>
                <w:i/>
                <w:iCs/>
                <w:color w:val="000000"/>
                <w:sz w:val="20"/>
                <w:szCs w:val="20"/>
                <w:lang w:val="en-AU"/>
              </w:rPr>
              <w:t>Ahok Case</w:t>
            </w:r>
            <w:r w:rsidR="0085376C" w:rsidRPr="00773E67">
              <w:rPr>
                <w:rFonts w:cstheme="minorHAnsi"/>
                <w:b/>
                <w:i/>
                <w:iCs/>
                <w:color w:val="000000"/>
                <w:sz w:val="20"/>
                <w:szCs w:val="20"/>
                <w:lang w:val="en-AU"/>
              </w:rPr>
              <w:t xml:space="preserve"> </w:t>
            </w:r>
            <w:r w:rsidR="0085376C" w:rsidRPr="00773E67">
              <w:rPr>
                <w:rFonts w:cstheme="minorHAnsi"/>
                <w:bCs/>
                <w:i/>
                <w:iCs/>
                <w:color w:val="000000"/>
                <w:sz w:val="20"/>
                <w:szCs w:val="20"/>
                <w:lang w:val="en-AU"/>
              </w:rPr>
              <w:fldChar w:fldCharType="begin"/>
            </w:r>
            <w:r w:rsidR="0037365B" w:rsidRPr="00773E67">
              <w:rPr>
                <w:rFonts w:cstheme="minorHAnsi"/>
                <w:bCs/>
                <w:i/>
                <w:iCs/>
                <w:color w:val="000000"/>
                <w:sz w:val="20"/>
                <w:szCs w:val="20"/>
                <w:lang w:val="en-AU"/>
              </w:rPr>
              <w:instrText xml:space="preserve"> ADDIN ZOTERO_ITEM CSL_CITATION {"citationID":"4HTi5pqM","properties":{"formattedCitation":"(George, 2017; Nuryanti, 2020)","plainCitation":"(George, 2017; Nuryanti, 2020)","noteIndex":0},"citationItems":[{"id":2277,"uris":["http://zotero.org/users/6396655/items/YSQNWZ66"],"itemData":{"id":2277,"type":"article-journal","container-title":"Communication Theory","issue":"2","note":"publisher: Oxford University Press","page":"156–175","title":"Hate spin: The twin political strategies of religious incitement and offense-taking","volume":"27","author":[{"family":"George","given":"Cherian"}],"issued":{"date-parts":[["2017"]]}}},{"id":2292,"uris":["http://zotero.org/users/6396655/items/JRHA23WG"],"itemData":{"id":2292,"type":"chapter","event-place":"Leiden, The Netherlands","ISBN":"978-90-04-44446-1","note":"DOI: https://doi.org/10.1163/9789004444461_011","page":"165 - 175","publisher":"Brill","publisher-place":"Leiden, The Netherlands","title":"Chapter 9 Populism in Indonesia: Learning from the 212 Movement in Response to the Blasphemy Case against Ahok in Jakarta","URL":"https://brill.com/view/book/9789004444461/BP000014.xml","author":[{"family":"Nuryanti","given":"Sri"}],"issued":{"date-parts":[["2020"]]}}}],"schema":"https://github.com/citation-style-language/schema/raw/master/csl-citation.json"} </w:instrText>
            </w:r>
            <w:r w:rsidR="0085376C" w:rsidRPr="00773E67">
              <w:rPr>
                <w:rFonts w:cstheme="minorHAnsi"/>
                <w:bCs/>
                <w:i/>
                <w:iCs/>
                <w:color w:val="000000"/>
                <w:sz w:val="20"/>
                <w:szCs w:val="20"/>
                <w:lang w:val="en-AU"/>
              </w:rPr>
              <w:fldChar w:fldCharType="separate"/>
            </w:r>
            <w:r w:rsidR="0037365B" w:rsidRPr="00773E67">
              <w:rPr>
                <w:rFonts w:cstheme="minorHAnsi"/>
                <w:bCs/>
                <w:i/>
                <w:iCs/>
                <w:noProof/>
                <w:color w:val="000000"/>
                <w:sz w:val="20"/>
                <w:szCs w:val="20"/>
                <w:lang w:val="en-AU"/>
              </w:rPr>
              <w:t>(George, 2017; Nuryanti, 2020)</w:t>
            </w:r>
            <w:r w:rsidR="0085376C" w:rsidRPr="00773E67">
              <w:rPr>
                <w:rFonts w:cstheme="minorHAnsi"/>
                <w:bCs/>
                <w:i/>
                <w:iCs/>
                <w:color w:val="000000"/>
                <w:sz w:val="20"/>
                <w:szCs w:val="20"/>
                <w:lang w:val="en-AU"/>
              </w:rPr>
              <w:fldChar w:fldCharType="end"/>
            </w:r>
          </w:p>
        </w:tc>
        <w:tc>
          <w:tcPr>
            <w:tcW w:w="2637" w:type="dxa"/>
            <w:gridSpan w:val="2"/>
          </w:tcPr>
          <w:p w14:paraId="36FA7347" w14:textId="0A40794A" w:rsidR="00C947EB" w:rsidRPr="00773E67" w:rsidRDefault="0085376C" w:rsidP="002D75B0">
            <w:pPr>
              <w:jc w:val="both"/>
              <w:rPr>
                <w:rFonts w:cstheme="minorHAnsi"/>
                <w:b/>
                <w:i/>
                <w:iCs/>
                <w:color w:val="000000"/>
                <w:sz w:val="20"/>
                <w:szCs w:val="20"/>
                <w:lang w:val="en-AU"/>
              </w:rPr>
            </w:pPr>
            <w:r w:rsidRPr="00773E67">
              <w:rPr>
                <w:rFonts w:cstheme="minorHAnsi"/>
                <w:bCs/>
                <w:color w:val="000000"/>
                <w:sz w:val="20"/>
                <w:szCs w:val="20"/>
                <w:lang w:val="en-AU"/>
              </w:rPr>
              <w:t xml:space="preserve">When Ahok made a statement referencing QS. Al-Maida verse 51, </w:t>
            </w:r>
            <w:r w:rsidR="002D75B0" w:rsidRPr="00773E67">
              <w:rPr>
                <w:rFonts w:cstheme="minorHAnsi"/>
                <w:bCs/>
                <w:color w:val="000000"/>
                <w:sz w:val="20"/>
                <w:szCs w:val="20"/>
                <w:lang w:val="en-AU"/>
              </w:rPr>
              <w:t xml:space="preserve">a member of Hardlines Islamic Groups, Budi </w:t>
            </w:r>
            <w:proofErr w:type="spellStart"/>
            <w:r w:rsidR="002D75B0" w:rsidRPr="00773E67">
              <w:rPr>
                <w:rFonts w:cstheme="minorHAnsi"/>
                <w:bCs/>
                <w:color w:val="000000"/>
                <w:sz w:val="20"/>
                <w:szCs w:val="20"/>
                <w:lang w:val="en-AU"/>
              </w:rPr>
              <w:t>Yani</w:t>
            </w:r>
            <w:proofErr w:type="spellEnd"/>
            <w:r w:rsidRPr="00773E67">
              <w:rPr>
                <w:rFonts w:cstheme="minorHAnsi"/>
                <w:bCs/>
                <w:color w:val="000000"/>
                <w:sz w:val="20"/>
                <w:szCs w:val="20"/>
                <w:lang w:val="en-AU"/>
              </w:rPr>
              <w:t xml:space="preserve"> recorded the speech and edited the footage to falsely accuse Ahok of insulting the Quran. This hate spin strategy was used to portray the Ahok protest movement as a defence of Islam, implying that Ahok had attacked the religion and justifying the protests as retribution for his supposed hatred towards Islam.</w:t>
            </w:r>
          </w:p>
        </w:tc>
        <w:tc>
          <w:tcPr>
            <w:tcW w:w="3057" w:type="dxa"/>
            <w:gridSpan w:val="2"/>
          </w:tcPr>
          <w:p w14:paraId="646ED221" w14:textId="77777777"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Habib Novel </w:t>
            </w:r>
            <w:proofErr w:type="spellStart"/>
            <w:r w:rsidRPr="00773E67">
              <w:rPr>
                <w:rFonts w:cs="Linux Libertine"/>
                <w:color w:val="000000" w:themeColor="text1"/>
                <w:sz w:val="20"/>
                <w:szCs w:val="20"/>
                <w:lang w:val="en-US"/>
              </w:rPr>
              <w:t>Chaidir</w:t>
            </w:r>
            <w:proofErr w:type="spellEnd"/>
            <w:r w:rsidRPr="00773E67">
              <w:rPr>
                <w:rFonts w:cs="Linux Libertine"/>
                <w:color w:val="000000" w:themeColor="text1"/>
                <w:sz w:val="20"/>
                <w:szCs w:val="20"/>
                <w:lang w:val="en-US"/>
              </w:rPr>
              <w:t xml:space="preserve"> Hasan and Muhammadiyah Youth's South Sumatra Indonesian Ulema Council (MUI) report sparked the Ahok issue. Ahok offended Islam, according to the 2016 MUI fatwa.     </w:t>
            </w:r>
          </w:p>
          <w:p w14:paraId="41253426" w14:textId="209589A2" w:rsidR="00C947EB" w:rsidRPr="00773E67" w:rsidRDefault="002D75B0" w:rsidP="002D75B0">
            <w:pPr>
              <w:ind w:firstLine="0"/>
              <w:jc w:val="both"/>
              <w:rPr>
                <w:rFonts w:cs="Linux Libertine"/>
                <w:b/>
                <w:bCs/>
                <w:color w:val="000000" w:themeColor="text1"/>
                <w:sz w:val="20"/>
                <w:szCs w:val="20"/>
                <w:lang w:val="en-US"/>
              </w:rPr>
            </w:pPr>
            <w:r w:rsidRPr="00773E67">
              <w:rPr>
                <w:rFonts w:cs="Linux Libertine"/>
                <w:color w:val="000000" w:themeColor="text1"/>
                <w:sz w:val="20"/>
                <w:szCs w:val="20"/>
                <w:lang w:val="en-US"/>
              </w:rPr>
              <w:t xml:space="preserve">       During the trial, protesters demanded </w:t>
            </w:r>
            <w:proofErr w:type="spellStart"/>
            <w:r w:rsidRPr="00773E67">
              <w:rPr>
                <w:rFonts w:cs="Linux Libertine"/>
                <w:color w:val="000000" w:themeColor="text1"/>
                <w:sz w:val="20"/>
                <w:szCs w:val="20"/>
                <w:lang w:val="en-US"/>
              </w:rPr>
              <w:t>Ahok's</w:t>
            </w:r>
            <w:proofErr w:type="spellEnd"/>
            <w:r w:rsidRPr="00773E67">
              <w:rPr>
                <w:rFonts w:cs="Linux Libertine"/>
                <w:color w:val="000000" w:themeColor="text1"/>
                <w:sz w:val="20"/>
                <w:szCs w:val="20"/>
                <w:lang w:val="en-US"/>
              </w:rPr>
              <w:t xml:space="preserve"> sentencing. Thousands of Islamic groups participated in Action 212 and Action 414. Defending Islam Action 55 rallied to oppose </w:t>
            </w:r>
            <w:proofErr w:type="spellStart"/>
            <w:r w:rsidRPr="00773E67">
              <w:rPr>
                <w:rFonts w:cs="Linux Libertine"/>
                <w:color w:val="000000" w:themeColor="text1"/>
                <w:sz w:val="20"/>
                <w:szCs w:val="20"/>
                <w:lang w:val="en-US"/>
              </w:rPr>
              <w:t>Ahok's</w:t>
            </w:r>
            <w:proofErr w:type="spellEnd"/>
            <w:r w:rsidRPr="00773E67">
              <w:rPr>
                <w:rFonts w:cs="Linux Libertine"/>
                <w:color w:val="000000" w:themeColor="text1"/>
                <w:sz w:val="20"/>
                <w:szCs w:val="20"/>
                <w:lang w:val="en-US"/>
              </w:rPr>
              <w:t xml:space="preserve"> court examination of the Law Against Blasphemy. Even though </w:t>
            </w:r>
            <w:proofErr w:type="spellStart"/>
            <w:r w:rsidRPr="00773E67">
              <w:rPr>
                <w:rFonts w:cs="Linux Libertine"/>
                <w:color w:val="000000" w:themeColor="text1"/>
                <w:sz w:val="20"/>
                <w:szCs w:val="20"/>
                <w:lang w:val="en-US"/>
              </w:rPr>
              <w:t>Ahok's</w:t>
            </w:r>
            <w:proofErr w:type="spellEnd"/>
            <w:r w:rsidRPr="00773E67">
              <w:rPr>
                <w:rFonts w:cs="Linux Libertine"/>
                <w:color w:val="000000" w:themeColor="text1"/>
                <w:sz w:val="20"/>
                <w:szCs w:val="20"/>
                <w:lang w:val="en-US"/>
              </w:rPr>
              <w:t xml:space="preserve"> blasphemy was unproven, the Police officially called him a suspect.</w:t>
            </w:r>
          </w:p>
        </w:tc>
        <w:tc>
          <w:tcPr>
            <w:tcW w:w="2925" w:type="dxa"/>
          </w:tcPr>
          <w:p w14:paraId="24B07EE9" w14:textId="77777777"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Budi </w:t>
            </w:r>
            <w:proofErr w:type="spellStart"/>
            <w:r w:rsidRPr="00773E67">
              <w:rPr>
                <w:rFonts w:cs="Linux Libertine"/>
                <w:color w:val="000000" w:themeColor="text1"/>
                <w:sz w:val="20"/>
                <w:szCs w:val="20"/>
                <w:lang w:val="en-US"/>
              </w:rPr>
              <w:t>Yani</w:t>
            </w:r>
            <w:proofErr w:type="spellEnd"/>
            <w:r w:rsidRPr="00773E67">
              <w:rPr>
                <w:rFonts w:cs="Linux Libertine"/>
                <w:color w:val="000000" w:themeColor="text1"/>
                <w:sz w:val="20"/>
                <w:szCs w:val="20"/>
                <w:lang w:val="en-US"/>
              </w:rPr>
              <w:t xml:space="preserve"> spread false information and hate speech during the early stages of </w:t>
            </w:r>
            <w:proofErr w:type="spellStart"/>
            <w:r w:rsidRPr="00773E67">
              <w:rPr>
                <w:rFonts w:cs="Linux Libertine"/>
                <w:color w:val="000000" w:themeColor="text1"/>
                <w:sz w:val="20"/>
                <w:szCs w:val="20"/>
                <w:lang w:val="en-US"/>
              </w:rPr>
              <w:t>Ahok's</w:t>
            </w:r>
            <w:proofErr w:type="spellEnd"/>
            <w:r w:rsidRPr="00773E67">
              <w:rPr>
                <w:rFonts w:cs="Linux Libertine"/>
                <w:color w:val="000000" w:themeColor="text1"/>
                <w:sz w:val="20"/>
                <w:szCs w:val="20"/>
                <w:lang w:val="en-US"/>
              </w:rPr>
              <w:t xml:space="preserve"> blasphemy case to rally the masses and secure his conviction.     </w:t>
            </w:r>
          </w:p>
          <w:p w14:paraId="39A085E4" w14:textId="57964B5B"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Security forces hesitated to take action on the spreading of fake news against Ahok and allowed hate speech to spread rapidly. The District Court of Jakarta followed the Prosecutor, adopted the MUI Fatwa, and declared Ahok guilty of insulting Islam and sentenced him to two years in prison.</w:t>
            </w:r>
          </w:p>
        </w:tc>
      </w:tr>
      <w:tr w:rsidR="00C947EB" w:rsidRPr="00773E67" w14:paraId="1B7DF791" w14:textId="39C02779" w:rsidTr="00773E67">
        <w:trPr>
          <w:jc w:val="center"/>
        </w:trPr>
        <w:tc>
          <w:tcPr>
            <w:tcW w:w="1418" w:type="dxa"/>
            <w:gridSpan w:val="2"/>
            <w:shd w:val="clear" w:color="auto" w:fill="D0CECE" w:themeFill="background2" w:themeFillShade="E6"/>
          </w:tcPr>
          <w:p w14:paraId="1A1E0A20" w14:textId="5E984DA1" w:rsidR="00C947EB" w:rsidRPr="00773E67" w:rsidRDefault="00C947EB" w:rsidP="004557E3">
            <w:pPr>
              <w:ind w:firstLine="0"/>
              <w:jc w:val="both"/>
              <w:rPr>
                <w:rFonts w:cstheme="minorHAnsi"/>
                <w:b/>
                <w:i/>
                <w:iCs/>
                <w:color w:val="000000"/>
                <w:sz w:val="20"/>
                <w:szCs w:val="20"/>
                <w:lang w:val="en-AU"/>
              </w:rPr>
            </w:pPr>
            <w:r w:rsidRPr="00773E67">
              <w:rPr>
                <w:rFonts w:cstheme="minorHAnsi"/>
                <w:b/>
                <w:i/>
                <w:iCs/>
                <w:color w:val="000000"/>
                <w:sz w:val="20"/>
                <w:szCs w:val="20"/>
                <w:lang w:val="en-AU"/>
              </w:rPr>
              <w:lastRenderedPageBreak/>
              <w:t>Meiliana Case</w:t>
            </w:r>
            <w:r w:rsidR="00F20B00" w:rsidRPr="00773E67">
              <w:rPr>
                <w:rFonts w:cstheme="minorHAnsi"/>
                <w:b/>
                <w:i/>
                <w:iCs/>
                <w:color w:val="000000"/>
                <w:sz w:val="20"/>
                <w:szCs w:val="20"/>
                <w:lang w:val="en-AU"/>
              </w:rPr>
              <w:t xml:space="preserve"> </w:t>
            </w:r>
            <w:r w:rsidR="009830CB" w:rsidRPr="00773E67">
              <w:rPr>
                <w:rFonts w:cstheme="minorHAnsi"/>
                <w:bCs/>
                <w:i/>
                <w:iCs/>
                <w:color w:val="000000"/>
                <w:sz w:val="20"/>
                <w:szCs w:val="20"/>
                <w:lang w:val="en-AU"/>
              </w:rPr>
              <w:fldChar w:fldCharType="begin"/>
            </w:r>
            <w:r w:rsidR="00972BA7" w:rsidRPr="00773E67">
              <w:rPr>
                <w:rFonts w:cstheme="minorHAnsi"/>
                <w:bCs/>
                <w:i/>
                <w:iCs/>
                <w:color w:val="000000"/>
                <w:sz w:val="20"/>
                <w:szCs w:val="20"/>
                <w:lang w:val="en-AU"/>
              </w:rPr>
              <w:instrText xml:space="preserve"> ADDIN ZOTERO_ITEM CSL_CITATION {"citationID":"xYnKFnWl","properties":{"formattedCitation":"(Madanih, 2019)","plainCitation":"(Madanih, 2019)","noteIndex":0},"citationItems":[{"id":2293,"uris":["http://zotero.org/users/6396655/items/WJXTYVGQ"],"itemData":{"id":2293,"type":"book","call-number":"KNW3946 .R645 2016","collection-title":"Eksaminasi Publik","event-place":"Menteng, Jakarta","ISBN":"978-602-330-017-4","number-of-pages":"161","publisher":"Komnas Perempuan","publisher-place":"Menteng, Jakarta","source":"Library of Congress ISBN","title":"Eksaminasi Publik Putusan Pengadilan Negeri Medan Nomor 1612/Pud.B/2018/PN.Mdn Kasus Pemidanaan Meiliana","editor":[{"family":"Madanih","given":"Dahlia"}],"contributor":[{"family":"Bagir","given":"Zainal Abidin"},{"family":"Anam","given":"Choirul"},{"family":"Asfinawati","given":""},{"family":"Chandrakirana","given":"Kamala"},{"family":"Zulfa","given":"Eva Achjani"}],"issued":{"date-parts":[["2019"]]}}}],"schema":"https://github.com/citation-style-language/schema/raw/master/csl-citation.json"} </w:instrText>
            </w:r>
            <w:r w:rsidR="009830CB" w:rsidRPr="00773E67">
              <w:rPr>
                <w:rFonts w:cstheme="minorHAnsi"/>
                <w:bCs/>
                <w:i/>
                <w:iCs/>
                <w:color w:val="000000"/>
                <w:sz w:val="20"/>
                <w:szCs w:val="20"/>
                <w:lang w:val="en-AU"/>
              </w:rPr>
              <w:fldChar w:fldCharType="separate"/>
            </w:r>
            <w:r w:rsidR="009830CB" w:rsidRPr="00773E67">
              <w:rPr>
                <w:rFonts w:cstheme="minorHAnsi"/>
                <w:bCs/>
                <w:i/>
                <w:iCs/>
                <w:noProof/>
                <w:color w:val="000000"/>
                <w:sz w:val="20"/>
                <w:szCs w:val="20"/>
                <w:lang w:val="en-AU"/>
              </w:rPr>
              <w:t>(Madanih, 2019)</w:t>
            </w:r>
            <w:r w:rsidR="009830CB" w:rsidRPr="00773E67">
              <w:rPr>
                <w:rFonts w:cstheme="minorHAnsi"/>
                <w:bCs/>
                <w:i/>
                <w:iCs/>
                <w:color w:val="000000"/>
                <w:sz w:val="20"/>
                <w:szCs w:val="20"/>
                <w:lang w:val="en-AU"/>
              </w:rPr>
              <w:fldChar w:fldCharType="end"/>
            </w:r>
          </w:p>
        </w:tc>
        <w:tc>
          <w:tcPr>
            <w:tcW w:w="2551" w:type="dxa"/>
            <w:shd w:val="clear" w:color="auto" w:fill="D0CECE" w:themeFill="background2" w:themeFillShade="E6"/>
          </w:tcPr>
          <w:p w14:paraId="7B2AAA0A" w14:textId="14471BC6"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Meiliana complained to a neighbor about the mosque's loud call to prayer, but social media portrayed her as rejecting Islam's call to prayer. A vigilante group labeled Meiliana "the woman who incited the riot." Due to anti-Islamic sentiment, vigilantes burned numerous Buddhist temples, vandalized </w:t>
            </w:r>
            <w:proofErr w:type="spellStart"/>
            <w:r w:rsidRPr="00773E67">
              <w:rPr>
                <w:rFonts w:cs="Linux Libertine"/>
                <w:color w:val="000000" w:themeColor="text1"/>
                <w:sz w:val="20"/>
                <w:szCs w:val="20"/>
                <w:lang w:val="en-US"/>
              </w:rPr>
              <w:t>Meiliana's</w:t>
            </w:r>
            <w:proofErr w:type="spellEnd"/>
            <w:r w:rsidRPr="00773E67">
              <w:rPr>
                <w:rFonts w:cs="Linux Libertine"/>
                <w:color w:val="000000" w:themeColor="text1"/>
                <w:sz w:val="20"/>
                <w:szCs w:val="20"/>
                <w:lang w:val="en-US"/>
              </w:rPr>
              <w:t xml:space="preserve"> home, and forced her to flee during the trial.</w:t>
            </w:r>
          </w:p>
          <w:p w14:paraId="0D773629" w14:textId="14E49F97" w:rsidR="00C947EB" w:rsidRPr="00773E67" w:rsidRDefault="00C947EB" w:rsidP="002D75B0">
            <w:pPr>
              <w:ind w:firstLine="0"/>
              <w:jc w:val="both"/>
              <w:rPr>
                <w:rFonts w:cs="Linux Libertine"/>
                <w:color w:val="000000" w:themeColor="text1"/>
                <w:sz w:val="20"/>
                <w:szCs w:val="20"/>
                <w:lang w:val="en-US"/>
              </w:rPr>
            </w:pPr>
          </w:p>
        </w:tc>
        <w:tc>
          <w:tcPr>
            <w:tcW w:w="3119" w:type="dxa"/>
            <w:gridSpan w:val="2"/>
            <w:shd w:val="clear" w:color="auto" w:fill="D0CECE" w:themeFill="background2" w:themeFillShade="E6"/>
          </w:tcPr>
          <w:p w14:paraId="78916CC2" w14:textId="77777777"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On August 2, 2016, the MUI Chairman wrote to the Head of Police expressing concern about the arrest of 12 vandals and requesting that Meiliana be charged. </w:t>
            </w:r>
          </w:p>
          <w:p w14:paraId="0AAF7C3B" w14:textId="77777777"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The Alliance of Students and Independent Communities Bersatu conducted many mass protests to encourage law enforcement to arrest and jail Meiliana for religious blasphemy. North Sumatra MUI 001/KF/MUI-SU/I/2017 was issued. </w:t>
            </w:r>
          </w:p>
          <w:p w14:paraId="3C3C71F1" w14:textId="77777777" w:rsidR="00AC3A7D"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The </w:t>
            </w:r>
            <w:proofErr w:type="spellStart"/>
            <w:r w:rsidRPr="00773E67">
              <w:rPr>
                <w:rFonts w:cs="Linux Libertine"/>
                <w:color w:val="000000" w:themeColor="text1"/>
                <w:sz w:val="20"/>
                <w:szCs w:val="20"/>
                <w:lang w:val="en-US"/>
              </w:rPr>
              <w:t>Tanjung</w:t>
            </w:r>
            <w:proofErr w:type="spellEnd"/>
            <w:r w:rsidRPr="00773E67">
              <w:rPr>
                <w:rFonts w:cs="Linux Libertine"/>
                <w:color w:val="000000" w:themeColor="text1"/>
                <w:sz w:val="20"/>
                <w:szCs w:val="20"/>
                <w:lang w:val="en-US"/>
              </w:rPr>
              <w:t xml:space="preserve"> </w:t>
            </w:r>
            <w:proofErr w:type="spellStart"/>
            <w:r w:rsidRPr="00773E67">
              <w:rPr>
                <w:rFonts w:cs="Linux Libertine"/>
                <w:color w:val="000000" w:themeColor="text1"/>
                <w:sz w:val="20"/>
                <w:szCs w:val="20"/>
                <w:lang w:val="en-US"/>
              </w:rPr>
              <w:t>Balai</w:t>
            </w:r>
            <w:proofErr w:type="spellEnd"/>
            <w:r w:rsidRPr="00773E67">
              <w:rPr>
                <w:rFonts w:cs="Linux Libertine"/>
                <w:color w:val="000000" w:themeColor="text1"/>
                <w:sz w:val="20"/>
                <w:szCs w:val="20"/>
                <w:lang w:val="en-US"/>
              </w:rPr>
              <w:t xml:space="preserve"> local administration, MUI, and Forum for Inter-Religious Communication decided to demolish a Buddha monument after a vigilante attack on Buddhist property.</w:t>
            </w:r>
          </w:p>
          <w:p w14:paraId="31656FC7" w14:textId="6D71E331" w:rsidR="00BA4CC7" w:rsidRPr="00773E67" w:rsidRDefault="00BA4CC7" w:rsidP="002D75B0">
            <w:pPr>
              <w:ind w:firstLine="0"/>
              <w:jc w:val="both"/>
              <w:rPr>
                <w:rFonts w:cs="Linux Libertine"/>
                <w:color w:val="000000" w:themeColor="text1"/>
                <w:sz w:val="20"/>
                <w:szCs w:val="20"/>
                <w:lang w:val="en-US"/>
              </w:rPr>
            </w:pPr>
          </w:p>
        </w:tc>
        <w:tc>
          <w:tcPr>
            <w:tcW w:w="2977" w:type="dxa"/>
            <w:gridSpan w:val="3"/>
            <w:shd w:val="clear" w:color="auto" w:fill="D0CECE" w:themeFill="background2" w:themeFillShade="E6"/>
          </w:tcPr>
          <w:p w14:paraId="0E7186B4" w14:textId="77777777"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w:t>
            </w:r>
            <w:r w:rsidR="000E02BA" w:rsidRPr="00773E67">
              <w:rPr>
                <w:rFonts w:cs="Linux Libertine"/>
                <w:color w:val="000000" w:themeColor="text1"/>
                <w:sz w:val="20"/>
                <w:szCs w:val="20"/>
                <w:lang w:val="en-US"/>
              </w:rPr>
              <w:t>The Panel of Judges exclusively followed the MUI Fatwa of North Sumatra Province during the case, despite it not being legally binding, disregarding several expert testimonies.</w:t>
            </w:r>
            <w:r w:rsidRPr="00773E67">
              <w:rPr>
                <w:rFonts w:cs="Linux Libertine"/>
                <w:color w:val="000000" w:themeColor="text1"/>
                <w:sz w:val="20"/>
                <w:szCs w:val="20"/>
                <w:lang w:val="en-US"/>
              </w:rPr>
              <w:t xml:space="preserve"> </w:t>
            </w:r>
          </w:p>
          <w:p w14:paraId="1FACE833" w14:textId="77777777"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w:t>
            </w:r>
            <w:r w:rsidR="000E02BA" w:rsidRPr="00773E67">
              <w:rPr>
                <w:rFonts w:cs="Linux Libertine"/>
                <w:color w:val="000000" w:themeColor="text1"/>
                <w:sz w:val="20"/>
                <w:szCs w:val="20"/>
                <w:lang w:val="en-US"/>
              </w:rPr>
              <w:t>The Medan District Court made its ruling based on the MUI Fatwa.</w:t>
            </w:r>
          </w:p>
          <w:p w14:paraId="620DAF0D" w14:textId="7DE00EF4"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w:t>
            </w:r>
            <w:r w:rsidRPr="00773E67">
              <w:rPr>
                <w:rFonts w:cstheme="minorHAnsi"/>
                <w:bCs/>
                <w:color w:val="000000"/>
                <w:sz w:val="20"/>
                <w:szCs w:val="20"/>
                <w:lang w:val="en-AU"/>
              </w:rPr>
              <w:t xml:space="preserve">Meiliana received a prison </w:t>
            </w:r>
            <w:r w:rsidRPr="00773E67">
              <w:rPr>
                <w:rFonts w:cs="Linux Libertine"/>
                <w:color w:val="000000" w:themeColor="text1"/>
                <w:sz w:val="20"/>
                <w:szCs w:val="20"/>
                <w:lang w:val="en-US"/>
              </w:rPr>
              <w:t>sentence of one year and eight months for insulting Islam when she complained to her neighbor about the overly loud call to prayer.</w:t>
            </w:r>
          </w:p>
          <w:p w14:paraId="0267C56E" w14:textId="77777777" w:rsidR="002D75B0" w:rsidRPr="00773E67" w:rsidRDefault="002D75B0" w:rsidP="002D75B0">
            <w:pPr>
              <w:pStyle w:val="ListParagraph"/>
              <w:ind w:left="392" w:firstLine="0"/>
              <w:jc w:val="both"/>
              <w:rPr>
                <w:rFonts w:ascii="Calibri" w:hAnsi="Calibri" w:cs="Calibri"/>
                <w:bCs/>
                <w:color w:val="000000"/>
                <w:sz w:val="20"/>
                <w:szCs w:val="20"/>
                <w:lang w:val="en-AU"/>
              </w:rPr>
            </w:pPr>
          </w:p>
          <w:p w14:paraId="7018294B" w14:textId="7F43EF22" w:rsidR="00C947EB" w:rsidRPr="00773E67" w:rsidRDefault="00C947EB" w:rsidP="0044451F">
            <w:pPr>
              <w:ind w:firstLine="0"/>
              <w:jc w:val="both"/>
              <w:rPr>
                <w:rFonts w:cstheme="minorHAnsi"/>
                <w:bCs/>
                <w:color w:val="000000"/>
                <w:sz w:val="20"/>
                <w:szCs w:val="20"/>
                <w:lang w:val="en-AU"/>
              </w:rPr>
            </w:pPr>
          </w:p>
        </w:tc>
      </w:tr>
      <w:tr w:rsidR="00C947EB" w:rsidRPr="00773E67" w14:paraId="532499CD" w14:textId="5D6665A0" w:rsidTr="00773E67">
        <w:trPr>
          <w:jc w:val="center"/>
        </w:trPr>
        <w:tc>
          <w:tcPr>
            <w:tcW w:w="1418" w:type="dxa"/>
            <w:gridSpan w:val="2"/>
          </w:tcPr>
          <w:p w14:paraId="575E77D9" w14:textId="77777777" w:rsidR="00655372" w:rsidRPr="00773E67" w:rsidRDefault="00C947EB" w:rsidP="004557E3">
            <w:pPr>
              <w:ind w:firstLine="0"/>
              <w:jc w:val="both"/>
              <w:rPr>
                <w:rFonts w:cstheme="minorHAnsi"/>
                <w:b/>
                <w:i/>
                <w:iCs/>
                <w:color w:val="000000"/>
                <w:sz w:val="20"/>
                <w:szCs w:val="20"/>
                <w:lang w:val="en-AU"/>
              </w:rPr>
            </w:pPr>
            <w:r w:rsidRPr="00773E67">
              <w:rPr>
                <w:rFonts w:cstheme="minorHAnsi"/>
                <w:b/>
                <w:i/>
                <w:iCs/>
                <w:color w:val="000000"/>
                <w:sz w:val="20"/>
                <w:szCs w:val="20"/>
                <w:lang w:val="en-AU"/>
              </w:rPr>
              <w:t>Gafatar Case</w:t>
            </w:r>
            <w:r w:rsidR="00655372" w:rsidRPr="00773E67">
              <w:rPr>
                <w:rFonts w:cstheme="minorHAnsi"/>
                <w:b/>
                <w:i/>
                <w:iCs/>
                <w:color w:val="000000"/>
                <w:sz w:val="20"/>
                <w:szCs w:val="20"/>
                <w:lang w:val="en-AU"/>
              </w:rPr>
              <w:t xml:space="preserve"> </w:t>
            </w:r>
          </w:p>
          <w:p w14:paraId="4A8F3A16" w14:textId="4F930CCA" w:rsidR="00C947EB" w:rsidRPr="00773E67" w:rsidRDefault="00655372" w:rsidP="004557E3">
            <w:pPr>
              <w:ind w:firstLine="0"/>
              <w:jc w:val="both"/>
              <w:rPr>
                <w:rFonts w:cstheme="minorHAnsi"/>
                <w:bCs/>
                <w:i/>
                <w:iCs/>
                <w:color w:val="000000"/>
                <w:sz w:val="20"/>
                <w:szCs w:val="20"/>
                <w:lang w:val="en-AU"/>
              </w:rPr>
            </w:pPr>
            <w:r w:rsidRPr="00773E67">
              <w:rPr>
                <w:rFonts w:cstheme="minorHAnsi"/>
                <w:bCs/>
                <w:i/>
                <w:iCs/>
                <w:color w:val="000000"/>
                <w:sz w:val="20"/>
                <w:szCs w:val="20"/>
                <w:lang w:val="en-AU"/>
              </w:rPr>
              <w:fldChar w:fldCharType="begin"/>
            </w:r>
            <w:r w:rsidRPr="00773E67">
              <w:rPr>
                <w:rFonts w:cstheme="minorHAnsi"/>
                <w:bCs/>
                <w:i/>
                <w:iCs/>
                <w:color w:val="000000"/>
                <w:sz w:val="20"/>
                <w:szCs w:val="20"/>
                <w:lang w:val="en-AU"/>
              </w:rPr>
              <w:instrText xml:space="preserve"> ADDIN ZOTERO_ITEM CSL_CITATION {"citationID":"cECpVAzF","properties":{"formattedCitation":"(al Mutahar, 2017)","plainCitation":"(al Mutahar, 2017)","noteIndex":0},"citationItems":[{"id":2294,"uris":["http://zotero.org/users/6396655/items/WA2YRFP2"],"itemData":{"id":2294,"type":"article-journal","container-title":"Sosiohumaniora","issue":"1","page":"18–20","title":"Penyebab Konflik Antara Pengikut Gerakan Fajar Nusantara (Gafatar) Dan Masyarakat Mempawah Timur","volume":"19","author":[{"family":"Mutahar","given":"Hasan","non-dropping-particle":"al"}],"issued":{"date-parts":[["2017"]]}}}],"schema":"https://github.com/citation-style-language/schema/raw/master/csl-citation.json"} </w:instrText>
            </w:r>
            <w:r w:rsidRPr="00773E67">
              <w:rPr>
                <w:rFonts w:cstheme="minorHAnsi"/>
                <w:bCs/>
                <w:i/>
                <w:iCs/>
                <w:color w:val="000000"/>
                <w:sz w:val="20"/>
                <w:szCs w:val="20"/>
                <w:lang w:val="en-AU"/>
              </w:rPr>
              <w:fldChar w:fldCharType="separate"/>
            </w:r>
            <w:r w:rsidRPr="00773E67">
              <w:rPr>
                <w:rFonts w:cstheme="minorHAnsi"/>
                <w:bCs/>
                <w:i/>
                <w:iCs/>
                <w:noProof/>
                <w:color w:val="000000"/>
                <w:sz w:val="20"/>
                <w:szCs w:val="20"/>
                <w:lang w:val="en-AU"/>
              </w:rPr>
              <w:t>(al Mutahar, 2017)</w:t>
            </w:r>
            <w:r w:rsidRPr="00773E67">
              <w:rPr>
                <w:rFonts w:cstheme="minorHAnsi"/>
                <w:bCs/>
                <w:i/>
                <w:iCs/>
                <w:color w:val="000000"/>
                <w:sz w:val="20"/>
                <w:szCs w:val="20"/>
                <w:lang w:val="en-AU"/>
              </w:rPr>
              <w:fldChar w:fldCharType="end"/>
            </w:r>
          </w:p>
        </w:tc>
        <w:tc>
          <w:tcPr>
            <w:tcW w:w="2551" w:type="dxa"/>
          </w:tcPr>
          <w:p w14:paraId="711CC7F6" w14:textId="77777777" w:rsidR="00BA4CC7" w:rsidRDefault="00BA4CC7" w:rsidP="002D75B0">
            <w:pPr>
              <w:jc w:val="both"/>
              <w:rPr>
                <w:rFonts w:cs="Linux Libertine"/>
                <w:color w:val="000000" w:themeColor="text1"/>
                <w:sz w:val="20"/>
                <w:szCs w:val="20"/>
                <w:lang w:val="en-US"/>
              </w:rPr>
            </w:pPr>
            <w:r w:rsidRPr="00BA4CC7">
              <w:rPr>
                <w:rFonts w:cs="Linux Libertine"/>
                <w:color w:val="000000" w:themeColor="text1"/>
                <w:sz w:val="20"/>
                <w:szCs w:val="20"/>
                <w:lang w:val="en-US"/>
              </w:rPr>
              <w:t xml:space="preserve">Opposition to the legal organization with a Ministry of Home Affairs establishment permit called Gafatar in two villages in Kalimantan resulted in its disbandment in 2015, along with the forced displacement of 2,422 families or 7,916 people. </w:t>
            </w:r>
          </w:p>
          <w:p w14:paraId="73B4319C" w14:textId="1B038547" w:rsidR="00C947EB" w:rsidRPr="00773E67" w:rsidRDefault="00BA4CC7" w:rsidP="002D75B0">
            <w:pPr>
              <w:jc w:val="both"/>
              <w:rPr>
                <w:rFonts w:cstheme="minorHAnsi"/>
                <w:bCs/>
                <w:color w:val="000000"/>
                <w:sz w:val="20"/>
                <w:szCs w:val="20"/>
                <w:lang w:val="en-AU"/>
              </w:rPr>
            </w:pPr>
            <w:r w:rsidRPr="00BA4CC7">
              <w:rPr>
                <w:rFonts w:cs="Linux Libertine"/>
                <w:color w:val="000000" w:themeColor="text1"/>
                <w:sz w:val="20"/>
                <w:szCs w:val="20"/>
                <w:lang w:val="en-US"/>
              </w:rPr>
              <w:t>The Gafatar members faced property and worship place destruction, illegal detention in centers, and severe injuries due to the hate spin strategy labeling them as deviant. The label had disastrous consequences for their members, as they faced vigilante acts that deprived them of their rights to basic human dignity.</w:t>
            </w:r>
          </w:p>
        </w:tc>
        <w:tc>
          <w:tcPr>
            <w:tcW w:w="3119" w:type="dxa"/>
            <w:gridSpan w:val="2"/>
          </w:tcPr>
          <w:p w14:paraId="3E6881ED" w14:textId="77777777"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On January 14, the Indonesian Ministry of Home Affairs instructed the Regional Government to suspend all Gafatar offices, placing pressure on Gafatar.</w:t>
            </w:r>
          </w:p>
          <w:p w14:paraId="225EDF4C" w14:textId="77777777"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On March 24, Attorney General Muhammad </w:t>
            </w:r>
            <w:proofErr w:type="spellStart"/>
            <w:r w:rsidRPr="00773E67">
              <w:rPr>
                <w:rFonts w:cs="Linux Libertine"/>
                <w:color w:val="000000" w:themeColor="text1"/>
                <w:sz w:val="20"/>
                <w:szCs w:val="20"/>
                <w:lang w:val="en-US"/>
              </w:rPr>
              <w:t>Prasetyo</w:t>
            </w:r>
            <w:proofErr w:type="spellEnd"/>
            <w:r w:rsidRPr="00773E67">
              <w:rPr>
                <w:rFonts w:cs="Linux Libertine"/>
                <w:color w:val="000000" w:themeColor="text1"/>
                <w:sz w:val="20"/>
                <w:szCs w:val="20"/>
                <w:lang w:val="en-US"/>
              </w:rPr>
              <w:t xml:space="preserve"> warned "former members and administrators of Gafatar" that "spreading, interpreting, and activities that deviate from the main teachings of Islam" could result in five years in prison under article 156a of the 1965 anti-blasphemy law.</w:t>
            </w:r>
          </w:p>
          <w:p w14:paraId="2128219E" w14:textId="7645DB60"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Regional government officials, along with the police, military, Ministry of Social Affairs, and Ministry of Religion, forcibly evicted Gafatar members from Kalimantan and detained thousands of them in various detention centers without trial. Gafatar members are banned by 2016 joint ministerial decrees 043 and 223-865.</w:t>
            </w:r>
          </w:p>
          <w:p w14:paraId="4BA34F43" w14:textId="002ABD49" w:rsidR="00CD4453" w:rsidRPr="00773E67" w:rsidRDefault="00CD4453" w:rsidP="002D75B0">
            <w:pPr>
              <w:pStyle w:val="ListParagraph"/>
              <w:ind w:left="401" w:hanging="284"/>
              <w:jc w:val="both"/>
              <w:rPr>
                <w:rFonts w:cs="Linux Libertine"/>
                <w:color w:val="000000" w:themeColor="text1"/>
                <w:sz w:val="20"/>
                <w:szCs w:val="20"/>
                <w:lang w:val="en-US"/>
              </w:rPr>
            </w:pPr>
          </w:p>
        </w:tc>
        <w:tc>
          <w:tcPr>
            <w:tcW w:w="2977" w:type="dxa"/>
            <w:gridSpan w:val="3"/>
          </w:tcPr>
          <w:p w14:paraId="73DF5E6E" w14:textId="77777777"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Gafatar leaders G. </w:t>
            </w:r>
            <w:proofErr w:type="spellStart"/>
            <w:r w:rsidRPr="00773E67">
              <w:rPr>
                <w:rFonts w:cs="Linux Libertine"/>
                <w:color w:val="000000" w:themeColor="text1"/>
                <w:sz w:val="20"/>
                <w:szCs w:val="20"/>
                <w:lang w:val="en-US"/>
              </w:rPr>
              <w:t>Mahful</w:t>
            </w:r>
            <w:proofErr w:type="spellEnd"/>
            <w:r w:rsidRPr="00773E67">
              <w:rPr>
                <w:rFonts w:cs="Linux Libertine"/>
                <w:color w:val="000000" w:themeColor="text1"/>
                <w:sz w:val="20"/>
                <w:szCs w:val="20"/>
                <w:lang w:val="en-US"/>
              </w:rPr>
              <w:t xml:space="preserve"> </w:t>
            </w:r>
            <w:proofErr w:type="spellStart"/>
            <w:r w:rsidRPr="00773E67">
              <w:rPr>
                <w:rFonts w:cs="Linux Libertine"/>
                <w:color w:val="000000" w:themeColor="text1"/>
                <w:sz w:val="20"/>
                <w:szCs w:val="20"/>
                <w:lang w:val="en-US"/>
              </w:rPr>
              <w:t>Muis</w:t>
            </w:r>
            <w:proofErr w:type="spellEnd"/>
            <w:r w:rsidRPr="00773E67">
              <w:rPr>
                <w:rFonts w:cs="Linux Libertine"/>
                <w:color w:val="000000" w:themeColor="text1"/>
                <w:sz w:val="20"/>
                <w:szCs w:val="20"/>
                <w:lang w:val="en-US"/>
              </w:rPr>
              <w:t xml:space="preserve"> and Ahmad </w:t>
            </w:r>
            <w:proofErr w:type="spellStart"/>
            <w:r w:rsidRPr="00773E67">
              <w:rPr>
                <w:rFonts w:cs="Linux Libertine"/>
                <w:color w:val="000000" w:themeColor="text1"/>
                <w:sz w:val="20"/>
                <w:szCs w:val="20"/>
                <w:lang w:val="en-US"/>
              </w:rPr>
              <w:t>Musaddeq</w:t>
            </w:r>
            <w:proofErr w:type="spellEnd"/>
            <w:r w:rsidRPr="00773E67">
              <w:rPr>
                <w:rFonts w:cs="Linux Libertine"/>
                <w:color w:val="000000" w:themeColor="text1"/>
                <w:sz w:val="20"/>
                <w:szCs w:val="20"/>
                <w:lang w:val="en-US"/>
              </w:rPr>
              <w:t xml:space="preserve"> were apprehended and detained by police on March 27, 2016.</w:t>
            </w:r>
          </w:p>
          <w:p w14:paraId="27A42CF7" w14:textId="77777777"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The justice of Gafatar complied with Supreme Court Circular No.11 of 1964, which orders courts to severely punish those who commit religious blasphemy within their jurisdiction.</w:t>
            </w:r>
          </w:p>
          <w:p w14:paraId="184747E6" w14:textId="77777777"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According to Mohammad Said, the Chairman of the Gafatar Court Panel, a spokesperson for the Supreme Court stated that the letter had never been canceled. </w:t>
            </w:r>
          </w:p>
          <w:p w14:paraId="7A5FFCBB" w14:textId="46C839CA" w:rsidR="002C2C63"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In March 2017, the East Jakarta District Court adopted the MUI’s fatwa, found the two guilty of denigrating Islam, and sentenced them to five years in prison.</w:t>
            </w:r>
          </w:p>
        </w:tc>
      </w:tr>
      <w:tr w:rsidR="00C947EB" w:rsidRPr="00773E67" w14:paraId="6EC4AF2A" w14:textId="3739D0A5" w:rsidTr="00773E67">
        <w:trPr>
          <w:jc w:val="center"/>
        </w:trPr>
        <w:tc>
          <w:tcPr>
            <w:tcW w:w="1418" w:type="dxa"/>
            <w:gridSpan w:val="2"/>
            <w:shd w:val="clear" w:color="auto" w:fill="D0CECE" w:themeFill="background2" w:themeFillShade="E6"/>
          </w:tcPr>
          <w:p w14:paraId="3E2D2CDB" w14:textId="1D14D2EA" w:rsidR="00C947EB" w:rsidRPr="00773E67" w:rsidRDefault="00C947EB" w:rsidP="004557E3">
            <w:pPr>
              <w:ind w:firstLine="0"/>
              <w:jc w:val="both"/>
              <w:rPr>
                <w:rFonts w:cstheme="minorHAnsi"/>
                <w:b/>
                <w:i/>
                <w:iCs/>
                <w:color w:val="000000"/>
                <w:sz w:val="20"/>
                <w:szCs w:val="20"/>
                <w:lang w:val="en-AU"/>
              </w:rPr>
            </w:pPr>
            <w:r w:rsidRPr="00773E67">
              <w:rPr>
                <w:rFonts w:cstheme="minorHAnsi"/>
                <w:b/>
                <w:i/>
                <w:iCs/>
                <w:color w:val="000000"/>
                <w:sz w:val="20"/>
                <w:szCs w:val="20"/>
                <w:lang w:val="en-AU"/>
              </w:rPr>
              <w:t>Ahmadiyya Case</w:t>
            </w:r>
            <w:r w:rsidR="00655372" w:rsidRPr="00773E67">
              <w:rPr>
                <w:rFonts w:cstheme="minorHAnsi"/>
                <w:b/>
                <w:i/>
                <w:iCs/>
                <w:color w:val="000000"/>
                <w:sz w:val="20"/>
                <w:szCs w:val="20"/>
                <w:lang w:val="en-AU"/>
              </w:rPr>
              <w:t xml:space="preserve"> </w:t>
            </w:r>
            <w:r w:rsidR="00655372" w:rsidRPr="00773E67">
              <w:rPr>
                <w:rFonts w:cstheme="minorHAnsi"/>
                <w:bCs/>
                <w:i/>
                <w:iCs/>
                <w:color w:val="000000"/>
                <w:sz w:val="20"/>
                <w:szCs w:val="20"/>
                <w:lang w:val="en-AU"/>
              </w:rPr>
              <w:fldChar w:fldCharType="begin"/>
            </w:r>
            <w:r w:rsidR="00C2642C" w:rsidRPr="00773E67">
              <w:rPr>
                <w:rFonts w:cstheme="minorHAnsi"/>
                <w:bCs/>
                <w:i/>
                <w:iCs/>
                <w:color w:val="000000"/>
                <w:sz w:val="20"/>
                <w:szCs w:val="20"/>
                <w:lang w:val="en-AU"/>
              </w:rPr>
              <w:instrText xml:space="preserve"> ADDIN ZOTERO_ITEM CSL_CITATION {"citationID":"JY8G1cE3","properties":{"formattedCitation":"(M. Crouch, 2009)","plainCitation":"(M. Crouch, 2009)","noteIndex":0},"citationItems":[{"id":2295,"uris":["http://zotero.org/users/6396655/items/Y5JYF9YG"],"itemData":{"id":2295,"type":"article-journal","container-title":"ARC Federation Fellowship,‘Islam, Shariah and Governance’Background Paper Series","issue":"4","title":"Indonesia, militant Islam and Ahmadiyah: Origins and implications","author":[{"family":"Crouch","given":"Melissa"}],"issued":{"date-parts":[["2009"]]}}}],"schema":"https://github.com/citation-style-language/schema/raw/master/csl-citation.json"} </w:instrText>
            </w:r>
            <w:r w:rsidR="00655372" w:rsidRPr="00773E67">
              <w:rPr>
                <w:rFonts w:cstheme="minorHAnsi"/>
                <w:bCs/>
                <w:i/>
                <w:iCs/>
                <w:color w:val="000000"/>
                <w:sz w:val="20"/>
                <w:szCs w:val="20"/>
                <w:lang w:val="en-AU"/>
              </w:rPr>
              <w:fldChar w:fldCharType="separate"/>
            </w:r>
            <w:r w:rsidR="00C2642C" w:rsidRPr="00773E67">
              <w:rPr>
                <w:rFonts w:cstheme="minorHAnsi"/>
                <w:bCs/>
                <w:i/>
                <w:iCs/>
                <w:noProof/>
                <w:color w:val="000000"/>
                <w:sz w:val="20"/>
                <w:szCs w:val="20"/>
                <w:lang w:val="en-AU"/>
              </w:rPr>
              <w:t>(M. Crouch, 2009)</w:t>
            </w:r>
            <w:r w:rsidR="00655372" w:rsidRPr="00773E67">
              <w:rPr>
                <w:rFonts w:cstheme="minorHAnsi"/>
                <w:bCs/>
                <w:i/>
                <w:iCs/>
                <w:color w:val="000000"/>
                <w:sz w:val="20"/>
                <w:szCs w:val="20"/>
                <w:lang w:val="en-AU"/>
              </w:rPr>
              <w:fldChar w:fldCharType="end"/>
            </w:r>
          </w:p>
        </w:tc>
        <w:tc>
          <w:tcPr>
            <w:tcW w:w="2551" w:type="dxa"/>
            <w:shd w:val="clear" w:color="auto" w:fill="D0CECE" w:themeFill="background2" w:themeFillShade="E6"/>
          </w:tcPr>
          <w:p w14:paraId="661EB02A" w14:textId="3064FADB" w:rsidR="00C947EB" w:rsidRPr="00773E67" w:rsidRDefault="00BA4CC7" w:rsidP="002D75B0">
            <w:pPr>
              <w:jc w:val="both"/>
              <w:rPr>
                <w:rFonts w:cstheme="minorHAnsi"/>
                <w:bCs/>
                <w:color w:val="000000"/>
                <w:sz w:val="20"/>
                <w:szCs w:val="20"/>
                <w:lang w:val="en-AU"/>
              </w:rPr>
            </w:pPr>
            <w:r w:rsidRPr="00BA4CC7">
              <w:rPr>
                <w:rFonts w:cs="Linux Libertine"/>
                <w:color w:val="000000" w:themeColor="text1"/>
                <w:sz w:val="20"/>
                <w:szCs w:val="20"/>
                <w:lang w:val="en-US"/>
              </w:rPr>
              <w:t xml:space="preserve">Violent attacks against the Ahmadiyya community have been occurring in Indonesia since 1980, with followers experiencing displacement, injuries, deaths, and damage to their buildings and places of worship. Hard-line Islamic groups use hate spin to label the community as heretical </w:t>
            </w:r>
            <w:r w:rsidRPr="00BA4CC7">
              <w:rPr>
                <w:rFonts w:cs="Linux Libertine"/>
                <w:color w:val="000000" w:themeColor="text1"/>
                <w:sz w:val="20"/>
                <w:szCs w:val="20"/>
                <w:lang w:val="en-US"/>
              </w:rPr>
              <w:lastRenderedPageBreak/>
              <w:t>because of their belief in Mirza Gulam Ahmad as the last prophet and the existence of a sacred book besides the Qur'an, resulting in vigilante justice against them.</w:t>
            </w:r>
          </w:p>
        </w:tc>
        <w:tc>
          <w:tcPr>
            <w:tcW w:w="3119" w:type="dxa"/>
            <w:gridSpan w:val="2"/>
            <w:shd w:val="clear" w:color="auto" w:fill="D0CECE" w:themeFill="background2" w:themeFillShade="E6"/>
          </w:tcPr>
          <w:p w14:paraId="3C306DA5" w14:textId="7615EE3D" w:rsidR="00C947EB" w:rsidRPr="00773E67" w:rsidRDefault="002D75B0" w:rsidP="002D75B0">
            <w:pPr>
              <w:ind w:firstLine="0"/>
              <w:jc w:val="both"/>
              <w:rPr>
                <w:rFonts w:cstheme="minorHAnsi"/>
                <w:b/>
                <w:i/>
                <w:iCs/>
                <w:color w:val="000000"/>
                <w:sz w:val="20"/>
                <w:szCs w:val="20"/>
                <w:lang w:val="en-AU"/>
              </w:rPr>
            </w:pPr>
            <w:r w:rsidRPr="00773E67">
              <w:rPr>
                <w:rFonts w:cstheme="minorHAnsi"/>
                <w:bCs/>
                <w:color w:val="000000"/>
                <w:sz w:val="20"/>
                <w:szCs w:val="20"/>
                <w:lang w:val="en-AU"/>
              </w:rPr>
              <w:lastRenderedPageBreak/>
              <w:t xml:space="preserve">    </w:t>
            </w:r>
            <w:r w:rsidR="00655372" w:rsidRPr="00773E67">
              <w:rPr>
                <w:rFonts w:cstheme="minorHAnsi"/>
                <w:bCs/>
                <w:color w:val="000000"/>
                <w:sz w:val="20"/>
                <w:szCs w:val="20"/>
                <w:lang w:val="en-AU"/>
              </w:rPr>
              <w:t>The MUI</w:t>
            </w:r>
            <w:r w:rsidRPr="00773E67">
              <w:rPr>
                <w:rFonts w:cstheme="minorHAnsi"/>
                <w:bCs/>
                <w:color w:val="000000"/>
                <w:sz w:val="20"/>
                <w:szCs w:val="20"/>
                <w:lang w:val="en-AU"/>
              </w:rPr>
              <w:t xml:space="preserve"> released a fatwa that Ahmadiyya teachings deviates from the mainstream Islamic teaching. </w:t>
            </w:r>
          </w:p>
          <w:p w14:paraId="42591698" w14:textId="62B25B86" w:rsidR="00A05CAF" w:rsidRPr="00773E67" w:rsidRDefault="002D75B0" w:rsidP="002D75B0">
            <w:pPr>
              <w:ind w:firstLine="0"/>
              <w:jc w:val="both"/>
              <w:rPr>
                <w:rFonts w:cstheme="minorHAnsi"/>
                <w:b/>
                <w:i/>
                <w:iCs/>
                <w:color w:val="000000"/>
                <w:sz w:val="20"/>
                <w:szCs w:val="20"/>
                <w:lang w:val="en-AU"/>
              </w:rPr>
            </w:pPr>
            <w:r w:rsidRPr="00773E67">
              <w:rPr>
                <w:rFonts w:cstheme="minorHAnsi"/>
                <w:bCs/>
                <w:color w:val="000000"/>
                <w:sz w:val="20"/>
                <w:szCs w:val="20"/>
                <w:lang w:val="en-AU"/>
              </w:rPr>
              <w:t xml:space="preserve">    There were various local government policies at province and city level that banned the Ahmadiyya community from spreading and promoting their teachings in Indonesia, such as a joint ministerial decree No. 3 of 2008; the regulation No. 12 of 2011 </w:t>
            </w:r>
            <w:r w:rsidRPr="00773E67">
              <w:rPr>
                <w:rFonts w:cstheme="minorHAnsi"/>
                <w:bCs/>
                <w:color w:val="000000"/>
                <w:sz w:val="20"/>
                <w:szCs w:val="20"/>
                <w:lang w:val="en-AU"/>
              </w:rPr>
              <w:lastRenderedPageBreak/>
              <w:t xml:space="preserve">of the Governor of West Java; the regulation No. 17 of 2011 of the Mayor of Pontianak; the decree of the Mayor of Banjar; the Mayor of Bogor's decree No. 300.45-122 of 2011; the decree of the Mayor of </w:t>
            </w:r>
            <w:proofErr w:type="spellStart"/>
            <w:r w:rsidRPr="00773E67">
              <w:rPr>
                <w:rFonts w:cstheme="minorHAnsi"/>
                <w:bCs/>
                <w:color w:val="000000"/>
                <w:sz w:val="20"/>
                <w:szCs w:val="20"/>
                <w:lang w:val="en-AU"/>
              </w:rPr>
              <w:t>Sukabumi</w:t>
            </w:r>
            <w:proofErr w:type="spellEnd"/>
            <w:r w:rsidRPr="00773E67">
              <w:rPr>
                <w:rFonts w:cstheme="minorHAnsi"/>
                <w:bCs/>
                <w:color w:val="000000"/>
                <w:sz w:val="20"/>
                <w:szCs w:val="20"/>
                <w:lang w:val="en-AU"/>
              </w:rPr>
              <w:t xml:space="preserve"> No. 25 of 2011; and many others.</w:t>
            </w:r>
          </w:p>
        </w:tc>
        <w:tc>
          <w:tcPr>
            <w:tcW w:w="2977" w:type="dxa"/>
            <w:gridSpan w:val="3"/>
            <w:shd w:val="clear" w:color="auto" w:fill="D0CECE" w:themeFill="background2" w:themeFillShade="E6"/>
          </w:tcPr>
          <w:p w14:paraId="41B5CE87" w14:textId="01BD5CC4" w:rsidR="00655372" w:rsidRPr="00773E67" w:rsidRDefault="002D75B0" w:rsidP="002D75B0">
            <w:pPr>
              <w:ind w:firstLine="0"/>
              <w:jc w:val="both"/>
              <w:rPr>
                <w:rFonts w:ascii="Calibri" w:hAnsi="Calibri" w:cs="Calibri"/>
                <w:bCs/>
                <w:color w:val="000000"/>
                <w:sz w:val="20"/>
                <w:szCs w:val="20"/>
                <w:lang w:val="en-AU"/>
              </w:rPr>
            </w:pPr>
            <w:r w:rsidRPr="00773E67">
              <w:rPr>
                <w:rFonts w:ascii="Calibri" w:hAnsi="Calibri" w:cs="Calibri"/>
                <w:bCs/>
                <w:color w:val="000000"/>
                <w:sz w:val="20"/>
                <w:szCs w:val="20"/>
                <w:lang w:val="en-AU"/>
              </w:rPr>
              <w:lastRenderedPageBreak/>
              <w:t xml:space="preserve">     </w:t>
            </w:r>
            <w:r w:rsidR="00655372" w:rsidRPr="00773E67">
              <w:rPr>
                <w:rFonts w:ascii="Calibri" w:hAnsi="Calibri" w:cs="Calibri"/>
                <w:bCs/>
                <w:color w:val="000000"/>
                <w:sz w:val="20"/>
                <w:szCs w:val="20"/>
                <w:lang w:val="en-AU"/>
              </w:rPr>
              <w:t>If the faith of Ahmadiyya followers deviates from mainstream Islam, they are banned from preaching in Indonesia.</w:t>
            </w:r>
          </w:p>
          <w:p w14:paraId="1EE3B80B" w14:textId="77777777" w:rsidR="002D75B0" w:rsidRDefault="002D75B0" w:rsidP="00BA4CC7">
            <w:pPr>
              <w:ind w:firstLine="0"/>
              <w:jc w:val="both"/>
              <w:rPr>
                <w:rFonts w:ascii="Calibri" w:hAnsi="Calibri" w:cs="Calibri"/>
                <w:bCs/>
                <w:color w:val="000000"/>
                <w:sz w:val="20"/>
                <w:szCs w:val="20"/>
                <w:lang w:val="en-AU"/>
              </w:rPr>
            </w:pPr>
            <w:r w:rsidRPr="00773E67">
              <w:rPr>
                <w:rFonts w:ascii="Calibri" w:hAnsi="Calibri" w:cs="Calibri"/>
                <w:bCs/>
                <w:color w:val="000000"/>
                <w:sz w:val="20"/>
                <w:szCs w:val="20"/>
                <w:lang w:val="en-AU"/>
              </w:rPr>
              <w:t xml:space="preserve">      </w:t>
            </w:r>
            <w:r w:rsidR="00655372" w:rsidRPr="00773E67">
              <w:rPr>
                <w:rFonts w:ascii="Calibri" w:hAnsi="Calibri" w:cs="Calibri"/>
                <w:bCs/>
                <w:color w:val="000000"/>
                <w:sz w:val="20"/>
                <w:szCs w:val="20"/>
                <w:lang w:val="en-AU"/>
              </w:rPr>
              <w:t xml:space="preserve">Even though Ahmadiyya was approved by the Ministry of Law in 1953 as a legal entity founded by the Indonesian Islamic Community, the Indonesian Council of Ulema declared them </w:t>
            </w:r>
            <w:r w:rsidR="00655372" w:rsidRPr="00773E67">
              <w:rPr>
                <w:rFonts w:ascii="Calibri" w:hAnsi="Calibri" w:cs="Calibri"/>
                <w:bCs/>
                <w:color w:val="000000"/>
                <w:sz w:val="20"/>
                <w:szCs w:val="20"/>
                <w:lang w:val="en-AU"/>
              </w:rPr>
              <w:lastRenderedPageBreak/>
              <w:t>heretical in 1980 after issuing several fatwas.</w:t>
            </w:r>
            <w:r w:rsidR="0044451F" w:rsidRPr="00773E67">
              <w:rPr>
                <w:rFonts w:cs="Linux Libertine"/>
                <w:color w:val="000000" w:themeColor="text1"/>
                <w:sz w:val="20"/>
                <w:szCs w:val="20"/>
                <w:lang w:val="en-US"/>
              </w:rPr>
              <w:t xml:space="preserve"> </w:t>
            </w:r>
            <w:r w:rsidRPr="00773E67">
              <w:rPr>
                <w:rFonts w:ascii="Calibri" w:hAnsi="Calibri" w:cs="Calibri"/>
                <w:bCs/>
                <w:color w:val="000000"/>
                <w:sz w:val="20"/>
                <w:szCs w:val="20"/>
                <w:lang w:val="en-AU"/>
              </w:rPr>
              <w:t>Both of the court of first instance and the high court ruled that blasphemy against religions other than Indonesia's is illegal. The court specifically targeted Ahmadiyya members who "intentionally committed an act publicly that is basically blasphemy against a religion adhered to in Indonesia."</w:t>
            </w:r>
          </w:p>
          <w:p w14:paraId="050CC8A3" w14:textId="34E3412C" w:rsidR="00BA4CC7" w:rsidRPr="00773E67" w:rsidRDefault="00BA4CC7" w:rsidP="00BA4CC7">
            <w:pPr>
              <w:ind w:firstLine="0"/>
              <w:jc w:val="both"/>
              <w:rPr>
                <w:rFonts w:ascii="Calibri" w:hAnsi="Calibri" w:cs="Calibri"/>
                <w:bCs/>
                <w:color w:val="000000"/>
                <w:sz w:val="20"/>
                <w:szCs w:val="20"/>
                <w:lang w:val="en-AU"/>
              </w:rPr>
            </w:pPr>
          </w:p>
        </w:tc>
      </w:tr>
    </w:tbl>
    <w:p w14:paraId="0A80D852" w14:textId="3CDE06E6" w:rsidR="008A5EF2" w:rsidRPr="00F1009C" w:rsidRDefault="00F1009C" w:rsidP="00972BA7">
      <w:pPr>
        <w:ind w:firstLine="0"/>
        <w:jc w:val="both"/>
        <w:rPr>
          <w:rFonts w:ascii="Calibri" w:hAnsi="Calibri" w:cs="Calibri"/>
          <w:bCs/>
          <w:color w:val="000000"/>
          <w:sz w:val="18"/>
          <w:szCs w:val="18"/>
          <w:lang w:val="en-AU"/>
        </w:rPr>
      </w:pPr>
      <w:r>
        <w:rPr>
          <w:rFonts w:ascii="Calibri" w:hAnsi="Calibri" w:cs="Calibri"/>
          <w:bCs/>
          <w:color w:val="000000"/>
          <w:sz w:val="20"/>
          <w:szCs w:val="20"/>
          <w:lang w:val="en-AU"/>
        </w:rPr>
        <w:lastRenderedPageBreak/>
        <w:t xml:space="preserve">     </w:t>
      </w:r>
      <w:r w:rsidR="00972BA7" w:rsidRPr="00F1009C">
        <w:rPr>
          <w:rFonts w:ascii="Calibri" w:hAnsi="Calibri" w:cs="Calibri"/>
          <w:bCs/>
          <w:color w:val="000000"/>
          <w:sz w:val="18"/>
          <w:szCs w:val="18"/>
          <w:lang w:val="en-AU"/>
        </w:rPr>
        <w:t xml:space="preserve">Source: Summarised by </w:t>
      </w:r>
      <w:r>
        <w:rPr>
          <w:rFonts w:ascii="Calibri" w:hAnsi="Calibri" w:cs="Calibri"/>
          <w:bCs/>
          <w:color w:val="000000"/>
          <w:sz w:val="18"/>
          <w:szCs w:val="18"/>
          <w:lang w:val="en-AU"/>
        </w:rPr>
        <w:t>the A</w:t>
      </w:r>
      <w:r w:rsidR="00972BA7" w:rsidRPr="00F1009C">
        <w:rPr>
          <w:rFonts w:ascii="Calibri" w:hAnsi="Calibri" w:cs="Calibri"/>
          <w:bCs/>
          <w:color w:val="000000"/>
          <w:sz w:val="18"/>
          <w:szCs w:val="18"/>
          <w:lang w:val="en-AU"/>
        </w:rPr>
        <w:t>uthor from</w:t>
      </w:r>
      <w:r w:rsidR="00465E86" w:rsidRPr="00F1009C">
        <w:rPr>
          <w:rFonts w:ascii="Calibri" w:hAnsi="Calibri" w:cs="Calibri"/>
          <w:bCs/>
          <w:color w:val="000000"/>
          <w:sz w:val="18"/>
          <w:szCs w:val="18"/>
          <w:lang w:val="en-AU"/>
        </w:rPr>
        <w:t xml:space="preserve"> interviews and</w:t>
      </w:r>
      <w:r w:rsidR="00972BA7" w:rsidRPr="00F1009C">
        <w:rPr>
          <w:rFonts w:ascii="Calibri" w:hAnsi="Calibri" w:cs="Calibri"/>
          <w:bCs/>
          <w:color w:val="000000"/>
          <w:sz w:val="18"/>
          <w:szCs w:val="18"/>
          <w:lang w:val="en-AU"/>
        </w:rPr>
        <w:t xml:space="preserve"> </w:t>
      </w:r>
      <w:r w:rsidR="00972BA7" w:rsidRPr="00F1009C">
        <w:rPr>
          <w:rFonts w:ascii="Calibri" w:hAnsi="Calibri" w:cs="Calibri"/>
          <w:bCs/>
          <w:color w:val="000000"/>
          <w:sz w:val="18"/>
          <w:szCs w:val="18"/>
          <w:lang w:val="en-AU"/>
        </w:rPr>
        <w:fldChar w:fldCharType="begin"/>
      </w:r>
      <w:r w:rsidR="00C2642C" w:rsidRPr="00F1009C">
        <w:rPr>
          <w:rFonts w:ascii="Calibri" w:hAnsi="Calibri" w:cs="Calibri"/>
          <w:bCs/>
          <w:color w:val="000000"/>
          <w:sz w:val="18"/>
          <w:szCs w:val="18"/>
          <w:lang w:val="en-AU"/>
        </w:rPr>
        <w:instrText xml:space="preserve"> ADDIN ZOTERO_ITEM CSL_CITATION {"citationID":"bNalASrm","properties":{"formattedCitation":"(al Mutahar, 2017; M. Crouch, 2009; George, 2017; Madanih, 2019; Nuryanti, 2020)","plainCitation":"(al Mutahar, 2017; M. Crouch, 2009; George, 2017; Madanih, 2019; Nuryanti, 2020)","noteIndex":0},"citationItems":[{"id":2294,"uris":["http://zotero.org/users/6396655/items/WA2YRFP2"],"itemData":{"id":2294,"type":"article-journal","container-title":"Sosiohumaniora","issue":"1","page":"18–20","title":"Penyebab Konflik Antara Pengikut Gerakan Fajar Nusantara (Gafatar) Dan Masyarakat Mempawah Timur","volume":"19","author":[{"family":"Mutahar","given":"Hasan","non-dropping-particle":"al"}],"issued":{"date-parts":[["2017"]]}}},{"id":2295,"uris":["http://zotero.org/users/6396655/items/Y5JYF9YG"],"itemData":{"id":2295,"type":"article-journal","container-title":"ARC Federation Fellowship,‘Islam, Shariah and Governance’Background Paper Series","issue":"4","title":"Indonesia, militant Islam and Ahmadiyah: Origins and implications","author":[{"family":"Crouch","given":"Melissa"}],"issued":{"date-parts":[["2009"]]}}},{"id":2277,"uris":["http://zotero.org/users/6396655/items/YSQNWZ66"],"itemData":{"id":2277,"type":"article-journal","container-title":"Communication Theory","issue":"2","note":"publisher: Oxford University Press","page":"156–175","title":"Hate spin: The twin political strategies of religious incitement and offense-taking","volume":"27","author":[{"family":"George","given":"Cherian"}],"issued":{"date-parts":[["2017"]]}}},{"id":2293,"uris":["http://zotero.org/users/6396655/items/WJXTYVGQ"],"itemData":{"id":2293,"type":"book","call-number":"KNW3946 .R645 2016","collection-title":"Eksaminasi Publik","event-place":"Menteng, Jakarta","ISBN":"978-602-330-017-4","number-of-pages":"161","publisher":"Komnas Perempuan","publisher-place":"Menteng, Jakarta","source":"Library of Congress ISBN","title":"Eksaminasi Publik Putusan Pengadilan Negeri Medan Nomor 1612/Pud.B/2018/PN.Mdn Kasus Pemidanaan Meiliana","editor":[{"family":"Madanih","given":"Dahlia"}],"contributor":[{"family":"Bagir","given":"Zainal Abidin"},{"family":"Anam","given":"Choirul"},{"family":"Asfinawati","given":""},{"family":"Chandrakirana","given":"Kamala"},{"family":"Zulfa","given":"Eva Achjani"}],"issued":{"date-parts":[["2019"]]}}},{"id":2292,"uris":["http://zotero.org/users/6396655/items/JRHA23WG"],"itemData":{"id":2292,"type":"chapter","event-place":"Leiden, The Netherlands","ISBN":"978-90-04-44446-1","note":"DOI: https://doi.org/10.1163/9789004444461_011","page":"165 - 175","publisher":"Brill","publisher-place":"Leiden, The Netherlands","title":"Chapter 9 Populism in Indonesia: Learning from the 212 Movement in Response to the Blasphemy Case against Ahok in Jakarta","URL":"https://brill.com/view/book/9789004444461/BP000014.xml","author":[{"family":"Nuryanti","given":"Sri"}],"issued":{"date-parts":[["2020"]]}}}],"schema":"https://github.com/citation-style-language/schema/raw/master/csl-citation.json"} </w:instrText>
      </w:r>
      <w:r w:rsidR="00972BA7" w:rsidRPr="00F1009C">
        <w:rPr>
          <w:rFonts w:ascii="Calibri" w:hAnsi="Calibri" w:cs="Calibri"/>
          <w:bCs/>
          <w:color w:val="000000"/>
          <w:sz w:val="18"/>
          <w:szCs w:val="18"/>
          <w:lang w:val="en-AU"/>
        </w:rPr>
        <w:fldChar w:fldCharType="separate"/>
      </w:r>
      <w:r w:rsidR="00C2642C" w:rsidRPr="00F1009C">
        <w:rPr>
          <w:rFonts w:ascii="Calibri" w:hAnsi="Calibri" w:cs="Calibri"/>
          <w:bCs/>
          <w:noProof/>
          <w:color w:val="000000"/>
          <w:sz w:val="18"/>
          <w:szCs w:val="18"/>
          <w:lang w:val="en-AU"/>
        </w:rPr>
        <w:t xml:space="preserve">al Mutahar, 2017; M. Crouch, 2009; George, 2017; Madanih, 2019; </w:t>
      </w:r>
      <w:r w:rsidRPr="00F1009C">
        <w:rPr>
          <w:rFonts w:ascii="Calibri" w:hAnsi="Calibri" w:cs="Calibri"/>
          <w:bCs/>
          <w:noProof/>
          <w:color w:val="000000"/>
          <w:sz w:val="18"/>
          <w:szCs w:val="18"/>
          <w:lang w:val="en-AU"/>
        </w:rPr>
        <w:t xml:space="preserve"> </w:t>
      </w:r>
      <w:r w:rsidR="00C2642C" w:rsidRPr="00F1009C">
        <w:rPr>
          <w:rFonts w:ascii="Calibri" w:hAnsi="Calibri" w:cs="Calibri"/>
          <w:bCs/>
          <w:noProof/>
          <w:color w:val="000000"/>
          <w:sz w:val="18"/>
          <w:szCs w:val="18"/>
          <w:lang w:val="en-AU"/>
        </w:rPr>
        <w:t>Nuryanti, 2020)</w:t>
      </w:r>
      <w:r w:rsidR="00972BA7" w:rsidRPr="00F1009C">
        <w:rPr>
          <w:rFonts w:ascii="Calibri" w:hAnsi="Calibri" w:cs="Calibri"/>
          <w:bCs/>
          <w:color w:val="000000"/>
          <w:sz w:val="18"/>
          <w:szCs w:val="18"/>
          <w:lang w:val="en-AU"/>
        </w:rPr>
        <w:fldChar w:fldCharType="end"/>
      </w:r>
    </w:p>
    <w:p w14:paraId="5A5D285F" w14:textId="77777777" w:rsidR="00972BA7" w:rsidRPr="00F1009C" w:rsidRDefault="00972BA7" w:rsidP="008A5EF2">
      <w:pPr>
        <w:jc w:val="both"/>
        <w:rPr>
          <w:rFonts w:ascii="Calibri" w:hAnsi="Calibri" w:cs="Calibri"/>
          <w:bCs/>
          <w:color w:val="000000"/>
          <w:sz w:val="18"/>
          <w:szCs w:val="18"/>
          <w:lang w:val="en-AU"/>
        </w:rPr>
      </w:pPr>
    </w:p>
    <w:p w14:paraId="3EFB926A" w14:textId="77777777" w:rsidR="009D06FC" w:rsidRPr="009D06FC" w:rsidRDefault="009D06FC" w:rsidP="009D06FC">
      <w:pPr>
        <w:ind w:firstLine="720"/>
        <w:jc w:val="both"/>
        <w:rPr>
          <w:rFonts w:ascii="Calibri" w:hAnsi="Calibri" w:cs="Calibri"/>
          <w:bCs/>
          <w:color w:val="000000"/>
          <w:lang w:val="en-AU"/>
        </w:rPr>
      </w:pPr>
      <w:r w:rsidRPr="009D06FC">
        <w:rPr>
          <w:rFonts w:ascii="Calibri" w:hAnsi="Calibri" w:cs="Calibri"/>
          <w:bCs/>
          <w:color w:val="000000"/>
          <w:lang w:val="en-AU"/>
        </w:rPr>
        <w:t>Table 2 displays a consistent pattern regarding the emergence of vigilantism in some stage of the legal process in each examined blasphemy case. In all cases, hate speech was utilized to stir an emotional response from the public, which consequently led to the ease of inciting vigilantism against individuals accused of blasphemy, even without evidence. The validity of these acts is often reinforced by fatwas issued by religious scholars or regional regulations influenced by Shariah law. As such, these Sharia-based regulations reflect societal truth according primarily to the majority religion.</w:t>
      </w:r>
    </w:p>
    <w:p w14:paraId="53385EB9" w14:textId="77777777" w:rsidR="009D06FC" w:rsidRPr="009D06FC" w:rsidRDefault="009D06FC" w:rsidP="009D06FC">
      <w:pPr>
        <w:ind w:firstLine="720"/>
        <w:jc w:val="both"/>
        <w:rPr>
          <w:rFonts w:ascii="Calibri" w:hAnsi="Calibri" w:cs="Calibri"/>
          <w:bCs/>
          <w:color w:val="000000"/>
          <w:lang w:val="en-AU"/>
        </w:rPr>
      </w:pPr>
      <w:r w:rsidRPr="009D06FC">
        <w:rPr>
          <w:rFonts w:ascii="Calibri" w:hAnsi="Calibri" w:cs="Calibri"/>
          <w:bCs/>
          <w:color w:val="000000"/>
          <w:lang w:val="en-AU"/>
        </w:rPr>
        <w:t>Individuals accused of blasphemy face two punishments: first, through vigilante justice without trial, and second, through the court's verdict. During the trial, the proceedings are likely to be unfair due to pressure from vigilante groups on the court to deliver swift and severe punishment, without regard for a fair process of proof against the accused. The influence of hate speech is also present in the court's proceedings, as seen in the examined cases where the courts were unable to distinguish between false news that had spread widely and actual facts that had occurred or actions committed by the accused, which were rarely proven in the legal process.</w:t>
      </w:r>
    </w:p>
    <w:p w14:paraId="41E66926" w14:textId="17F7B3FF" w:rsidR="00B316C0" w:rsidRDefault="009D06FC" w:rsidP="009D06FC">
      <w:pPr>
        <w:ind w:firstLine="720"/>
        <w:jc w:val="both"/>
        <w:rPr>
          <w:rFonts w:ascii="Calibri" w:hAnsi="Calibri" w:cs="Calibri"/>
          <w:bCs/>
          <w:color w:val="000000"/>
          <w:lang w:val="en-AU"/>
        </w:rPr>
      </w:pPr>
      <w:r w:rsidRPr="009D06FC">
        <w:rPr>
          <w:rFonts w:ascii="Calibri" w:hAnsi="Calibri" w:cs="Calibri"/>
          <w:bCs/>
          <w:color w:val="000000"/>
          <w:lang w:val="en-AU"/>
        </w:rPr>
        <w:t>The government has maintained the flawed and ambiguous Anti-Blasphemy Law and has issued policies that classify blasphemy cases as insults to Islam or a deviant sect. These policies do not foster interreligious dialogue that respects different religious beliefs and instead provide legitimacy that reinforces intolerance and exclusion.</w:t>
      </w:r>
    </w:p>
    <w:p w14:paraId="086CA62D" w14:textId="77777777" w:rsidR="003E1024" w:rsidRDefault="003E1024" w:rsidP="003E1024">
      <w:pPr>
        <w:ind w:firstLine="720"/>
        <w:jc w:val="both"/>
        <w:rPr>
          <w:rFonts w:ascii="Calibri" w:hAnsi="Calibri" w:cs="Calibri"/>
          <w:bCs/>
          <w:color w:val="000000"/>
          <w:lang w:val="en-AU"/>
        </w:rPr>
      </w:pPr>
    </w:p>
    <w:p w14:paraId="7B947D2A" w14:textId="2FD0F98B" w:rsidR="008A5EF2" w:rsidRPr="00315563" w:rsidRDefault="00B316C0" w:rsidP="008A5EF2">
      <w:pPr>
        <w:ind w:firstLine="0"/>
        <w:jc w:val="both"/>
        <w:rPr>
          <w:rFonts w:ascii="Calibri" w:hAnsi="Calibri" w:cs="Calibri"/>
          <w:b/>
          <w:color w:val="000000"/>
          <w:lang w:val="en-AU"/>
        </w:rPr>
      </w:pPr>
      <w:r>
        <w:rPr>
          <w:rFonts w:ascii="Calibri" w:hAnsi="Calibri" w:cs="Calibri"/>
          <w:b/>
          <w:i/>
          <w:iCs/>
          <w:color w:val="000000"/>
          <w:lang w:val="en-AU"/>
        </w:rPr>
        <w:t>Factors Influence Vigilante Justice Against Blasphemy</w:t>
      </w:r>
      <w:r w:rsidR="0044451F">
        <w:rPr>
          <w:rFonts w:ascii="Calibri" w:hAnsi="Calibri" w:cs="Calibri"/>
          <w:b/>
          <w:i/>
          <w:iCs/>
          <w:color w:val="000000"/>
          <w:lang w:val="en-AU"/>
        </w:rPr>
        <w:t xml:space="preserve"> </w:t>
      </w:r>
    </w:p>
    <w:p w14:paraId="34749394" w14:textId="4735263C" w:rsidR="00C2642C" w:rsidRPr="00C2642C" w:rsidRDefault="0001410B" w:rsidP="00C2642C">
      <w:pPr>
        <w:ind w:firstLine="0"/>
        <w:jc w:val="both"/>
        <w:rPr>
          <w:rFonts w:ascii="Calibri" w:hAnsi="Calibri" w:cs="Calibri"/>
          <w:bCs/>
          <w:color w:val="000000"/>
          <w:lang w:val="en-AU"/>
        </w:rPr>
      </w:pPr>
      <w:r w:rsidRPr="0001410B">
        <w:rPr>
          <w:rFonts w:ascii="Calibri" w:hAnsi="Calibri" w:cs="Calibri"/>
          <w:bCs/>
          <w:color w:val="000000"/>
          <w:lang w:val="en-AU"/>
        </w:rPr>
        <w:t>Vigilante justice in Indonesia is the result of multiple factors and actors, including hard-line religious groups, state institutions, law enforcement agencies, and the Indonesian Council of Ulama</w:t>
      </w:r>
      <w:r w:rsidR="00DA55E6">
        <w:rPr>
          <w:rFonts w:ascii="Calibri" w:hAnsi="Calibri" w:cs="Calibri"/>
          <w:bCs/>
          <w:color w:val="000000"/>
          <w:lang w:val="en-AU"/>
        </w:rPr>
        <w:t xml:space="preserve">, </w:t>
      </w:r>
      <w:r w:rsidR="00DA55E6" w:rsidRPr="00DA55E6">
        <w:rPr>
          <w:rFonts w:ascii="Calibri" w:hAnsi="Calibri" w:cs="Calibri"/>
          <w:bCs/>
          <w:color w:val="000000"/>
          <w:lang w:val="en-AU"/>
        </w:rPr>
        <w:t>as shown in Figure 1</w:t>
      </w:r>
      <w:r w:rsidRPr="0001410B">
        <w:rPr>
          <w:rFonts w:ascii="Calibri" w:hAnsi="Calibri" w:cs="Calibri"/>
          <w:bCs/>
          <w:color w:val="000000"/>
          <w:lang w:val="en-AU"/>
        </w:rPr>
        <w:t>.</w:t>
      </w:r>
      <w:r w:rsidR="00C2642C" w:rsidRPr="00C2642C">
        <w:rPr>
          <w:rFonts w:ascii="Calibri" w:hAnsi="Calibri" w:cs="Calibri"/>
          <w:bCs/>
          <w:color w:val="000000"/>
          <w:lang w:val="en-AU"/>
        </w:rPr>
        <w:t xml:space="preserve"> These actors play a significant, albeit indirect, role in supporting or at the very least allowing vigilante justice to continue to occur and repeat itself.</w:t>
      </w:r>
    </w:p>
    <w:p w14:paraId="0209078B" w14:textId="55100857" w:rsidR="00B316C0" w:rsidRDefault="00C2642C" w:rsidP="00C2642C">
      <w:pPr>
        <w:ind w:firstLine="720"/>
        <w:jc w:val="both"/>
        <w:rPr>
          <w:rFonts w:ascii="Calibri" w:hAnsi="Calibri" w:cs="Calibri"/>
          <w:bCs/>
          <w:color w:val="000000"/>
          <w:lang w:val="en-AU"/>
        </w:rPr>
      </w:pPr>
      <w:r w:rsidRPr="00C2642C">
        <w:rPr>
          <w:rFonts w:ascii="Calibri" w:hAnsi="Calibri" w:cs="Calibri"/>
          <w:bCs/>
          <w:color w:val="000000"/>
          <w:lang w:val="en-AU"/>
        </w:rPr>
        <w:t xml:space="preserve">Firstly, the ideology factor indicates that the ideology of Godly Nationalism in Indonesia contributes to the prolonged enforcement of the Anti-Blasphemy Law by creating a law enforcement system that </w:t>
      </w:r>
      <w:r w:rsidR="00E7483E">
        <w:rPr>
          <w:rFonts w:ascii="Calibri" w:hAnsi="Calibri" w:cs="Calibri"/>
          <w:bCs/>
          <w:color w:val="000000"/>
          <w:lang w:val="en-AU"/>
        </w:rPr>
        <w:t xml:space="preserve">imply to </w:t>
      </w:r>
      <w:r w:rsidRPr="00C2642C">
        <w:rPr>
          <w:rFonts w:ascii="Calibri" w:hAnsi="Calibri" w:cs="Calibri"/>
          <w:bCs/>
          <w:color w:val="000000"/>
          <w:lang w:val="en-AU"/>
        </w:rPr>
        <w:t xml:space="preserve">glorifies vigilante acts. Scholars suggest that Godly Nationalism leads to religious intolerance by upholding religious values that are seen as contrary to blasphemy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{"citationID":"RQnUoDh2","properties":{"formattedCitation":"(Menchik, 2014; Telle, 2017)","plainCitation":"(Menchik, 2014; Telle, 2017)","noteIndex":0},"citationItems":[{"id":1806,"uris":["http://zotero.org/users/6396655/items/XYN34VLG"],"itemData":{"id":1806,"type":"article-journal","container-title":"Comparative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id":2049,"uris":["http://zotero.org/users/6396655/items/U5SJQZEW"],"itemData":{"id":2049,"type":"article-journal","container-title":"Ethnos","DOI":"10.1080/00141844.2017.1282973","issue":"2","page":"371-391","title":"Faith on Trial: Blasphemy and ‘Lawfare’ in Indonesia","volume":"83","author":[{"family":"Telle","given":"Kari"}],"issued":{"date-parts":[["2017"]]}}}],"schema":"https://github.com/citation-style-language/schema/raw/master/csl-citation.json"}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(Menchik, 2014; Telle, 2017)</w:t>
      </w:r>
      <w:r>
        <w:rPr>
          <w:rFonts w:ascii="Calibri" w:hAnsi="Calibri" w:cs="Calibri"/>
          <w:bCs/>
          <w:color w:val="000000"/>
          <w:lang w:val="en-AU"/>
        </w:rPr>
        <w:fldChar w:fldCharType="end"/>
      </w:r>
      <w:r w:rsidRPr="00C2642C">
        <w:rPr>
          <w:rFonts w:ascii="Calibri" w:hAnsi="Calibri" w:cs="Calibri"/>
          <w:bCs/>
          <w:color w:val="000000"/>
          <w:lang w:val="en-AU"/>
        </w:rPr>
        <w:t>. The ideology encourages dominant religious groups to monopolize the truth to protect orthodox religions from deviant teachings and intolerant actions. This ideology justifies vigilante acts against those accused of deviating from orthodox teachings, leading to religious intolerance and promoting mob violence.</w:t>
      </w:r>
    </w:p>
    <w:p w14:paraId="52541CE4" w14:textId="75C81BF3" w:rsidR="002D75B0" w:rsidRDefault="002D75B0" w:rsidP="00FD59A2">
      <w:pPr>
        <w:ind w:firstLine="720"/>
        <w:jc w:val="both"/>
        <w:rPr>
          <w:rFonts w:ascii="Calibri" w:hAnsi="Calibri" w:cs="Calibri"/>
          <w:bCs/>
          <w:color w:val="000000"/>
          <w:lang w:val="en-AU"/>
        </w:rPr>
      </w:pPr>
      <w:r w:rsidRPr="00C2642C">
        <w:rPr>
          <w:rFonts w:ascii="Calibri" w:hAnsi="Calibri" w:cs="Calibri"/>
          <w:bCs/>
          <w:color w:val="000000"/>
          <w:lang w:val="en-AU"/>
        </w:rPr>
        <w:t xml:space="preserve">The legal factor has contributed to the development of vigilante justice in Indonesia, particularly due to the existence of the flawed Anti-Blasphemy Law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{"citationID":"4p2MAb43","properties":{"formattedCitation":"(Pratiwi, 2021)","plainCitation":"(Pratiwi, 2021)","noteIndex":0},"citationItems":[{"id":1434,"uris":["http://zotero.org/users/6396655/items/EMUMJPRJ"],"itemData":{"id":1434,"type":"article-journal","container-title":"Constitutional Review","DOI":"https://doi.org/10.31078/consrev724","issue":"2","page":"273-299","title":"Rethinking the Constitutionality of Indonesia’s Flawed Anti Blasphemy Law","volume":"7","author":[{"family":"Pratiwi","given":"Cekli S"}],"issued":{"date-parts":[["2021"]]}}}],"schema":"https://github.com/citation-style-language/schema/raw/master/csl-citation.json"}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(Pratiwi, 2021)</w:t>
      </w:r>
      <w:r>
        <w:rPr>
          <w:rFonts w:ascii="Calibri" w:hAnsi="Calibri" w:cs="Calibri"/>
          <w:bCs/>
          <w:color w:val="000000"/>
          <w:lang w:val="en-AU"/>
        </w:rPr>
        <w:fldChar w:fldCharType="end"/>
      </w:r>
      <w:r>
        <w:rPr>
          <w:rFonts w:ascii="Calibri" w:hAnsi="Calibri" w:cs="Calibri"/>
          <w:bCs/>
          <w:color w:val="000000"/>
          <w:lang w:val="en-AU"/>
        </w:rPr>
        <w:t>,</w:t>
      </w:r>
      <w:r w:rsidRPr="00C2642C">
        <w:rPr>
          <w:rFonts w:ascii="Calibri" w:hAnsi="Calibri" w:cs="Calibri"/>
          <w:bCs/>
          <w:color w:val="000000"/>
          <w:lang w:val="en-AU"/>
        </w:rPr>
        <w:t xml:space="preserve"> that only recognizes six major religions: Islam, Christianity, Catholicism, Hinduism, Buddhism, and Confucianism</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{"citationID":"lCqYnC3O","properties":{"formattedCitation":"(M. A. Crouch, 2012)","plainCitation":"(M. A. Crouch, 2012)","noteIndex":0},"citationItems":[{"id":2141,"uris":["http://zotero.org/users/6396655/items/6CKKAVFW"],"itemData":{"id":2141,"type":"article-journal","container-title":"Asian J. Comp. Law","title":"Law and religion in Indonesia: The Constitutional court and the blasphemy law","URL":"https://doi.org/10.1515/1932-0205.1391","volume":"7","author":[{"family":"Crouch","given":"M. A."}],"issued":{"date-parts":[["2012"]]}}}],"schema":"https://github.com/citation-style-language/schema/raw/master/csl-citation.json"}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(M. A. Crouch, 2012)</w:t>
      </w:r>
      <w:r>
        <w:rPr>
          <w:rFonts w:ascii="Calibri" w:hAnsi="Calibri" w:cs="Calibri"/>
          <w:bCs/>
          <w:color w:val="000000"/>
          <w:lang w:val="en-AU"/>
        </w:rPr>
        <w:fldChar w:fldCharType="end"/>
      </w:r>
      <w:r w:rsidRPr="00C2642C">
        <w:rPr>
          <w:rFonts w:ascii="Calibri" w:hAnsi="Calibri" w:cs="Calibri"/>
          <w:bCs/>
          <w:color w:val="000000"/>
          <w:lang w:val="en-AU"/>
        </w:rPr>
        <w:t xml:space="preserve">. This has created a subjective interpretation of religious criticism, which is seen as a form of insult against these orthodox religions </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{"citationID":"EJiuM3HI","properties":{"formattedCitation":"(Peterson, 2018; Tyson, 2021)","plainCitation":"(Peterson, 2018; Tyson, 2021)","noteIndex":0},"citationItems":[{"id":2298,"uris":["http://zotero.org/users/6396655/items/GVMNHHZJ"],"itemData":{"id":2298,"type":"chapter","container-title":"The Asian Yearbook of Human Rights and Humanitarian Law","page":"52–94","publisher":"Brill Nijhoff","title":"2 Blasphemy, Human Rights, and the Case of Ahok","author":[{"family":"Peterson","given":"Daniel"}],"issued":{"date-parts":[["2018"]]}}},{"id":1441,"uris":["http://zotero.org/users/6396655/items/8WUZVQQA"],"itemData":{"id":1441,"type":"article-journal","abstract":"When contentious blasphemy laws are pressed into service in fledgling democracies with illiberal tendencies such as Indonesia, critical questions arise about judicial integrity and the political nature of blasphemy trials. Judicial legitimacy in Indonesia is defined according to international standards and conventions. The focus is on judicial propriety rather than the popularity or majoritarian appeal of court decisions. In May 2017 a watershed moment occurred in Indonesia as the former governor of Jakarta Basuki Tjahaja Purnama (popularly known as Ahok) was found guilty of desecrating religion and sentenced to 2 years in prison. Judgments rendered in politicized blasphemy trials such as these fail to meet standards of impartiality, and when discursive transgressions of a blasphemous nature occur there are deep ambiguities of meaning and intent. This paper contends that the revival of blasphemy as a punishable crime relates to political power calculations and electoral opportunities, and offers an analysis of blasphemy in Indonesia through the quasi-historical lens of a discursive crime premised on the fallacy that religious offence threatens public order. Blasphemy trials are further complicated by the fact that religious authorities and Islamic mass organizations in Indonesia have significant influence over judicial processes.","archive":"Cambridge Core","container-title":"Politics and Religion","DOI":"10.1017/S1755048319000427","ISSN":"1755-0483","issue":"1","note":"edition: 2020/05/11\npublisher: Cambridge University Press","page":"182-205","source":"Cambridge University Press","title":"Blasphemy and Judicial Legitimacy in Indonesia","volume":"14","author":[{"family":"Tyson","given":"Adam"}],"issued":{"date-parts":[["2021"]]}}}],"schema":"https://github.com/citation-style-language/schema/raw/master/csl-citation.json"}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(Peterson, 2018; Tyson, 2021)</w:t>
      </w:r>
      <w:r>
        <w:rPr>
          <w:rFonts w:ascii="Calibri" w:hAnsi="Calibri" w:cs="Calibri"/>
          <w:bCs/>
          <w:color w:val="000000"/>
          <w:lang w:val="en-AU"/>
        </w:rPr>
        <w:fldChar w:fldCharType="end"/>
      </w:r>
      <w:r w:rsidRPr="00C2642C">
        <w:rPr>
          <w:rFonts w:ascii="Calibri" w:hAnsi="Calibri" w:cs="Calibri"/>
          <w:bCs/>
          <w:color w:val="000000"/>
          <w:lang w:val="en-AU"/>
        </w:rPr>
        <w:t xml:space="preserve">, </w:t>
      </w:r>
      <w:r w:rsidR="00DA55E6">
        <w:rPr>
          <w:rFonts w:ascii="Calibri" w:hAnsi="Calibri" w:cs="Calibri"/>
          <w:bCs/>
          <w:color w:val="000000"/>
          <w:lang w:val="en-AU"/>
        </w:rPr>
        <w:t xml:space="preserve">that mostly justified with MUI’s recommendations. </w:t>
      </w:r>
      <w:r w:rsidRPr="00C2642C">
        <w:rPr>
          <w:rFonts w:ascii="Calibri" w:hAnsi="Calibri" w:cs="Calibri"/>
          <w:bCs/>
          <w:color w:val="000000"/>
          <w:lang w:val="en-AU"/>
        </w:rPr>
        <w:t xml:space="preserve">The reluctance of law enforcement officers to protect minority groups' freedom of religion and accommodating majority groups' demands for religious issues has resulted in widespread vigilante violence against religious minorities. All these regulations have been exploited by </w:t>
      </w:r>
      <w:proofErr w:type="spellStart"/>
      <w:r w:rsidRPr="00C2642C">
        <w:rPr>
          <w:rFonts w:ascii="Calibri" w:hAnsi="Calibri" w:cs="Calibri"/>
          <w:bCs/>
          <w:color w:val="000000"/>
          <w:lang w:val="en-AU"/>
        </w:rPr>
        <w:t>hardline</w:t>
      </w:r>
      <w:proofErr w:type="spellEnd"/>
      <w:r w:rsidRPr="00C2642C">
        <w:rPr>
          <w:rFonts w:ascii="Calibri" w:hAnsi="Calibri" w:cs="Calibri"/>
          <w:bCs/>
          <w:color w:val="000000"/>
          <w:lang w:val="en-AU"/>
        </w:rPr>
        <w:t xml:space="preserve"> Islamic groups to legitimize vigilante justice, as</w:t>
      </w:r>
      <w:r>
        <w:rPr>
          <w:rFonts w:ascii="Calibri" w:hAnsi="Calibri" w:cs="Calibri"/>
          <w:bCs/>
          <w:color w:val="000000"/>
          <w:lang w:val="en-AU"/>
        </w:rPr>
        <w:t xml:space="preserve"> Butt</w:t>
      </w:r>
      <w:r w:rsidRPr="00C2642C">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{"citationID":"lFUrIh83","properties":{"formattedCitation":"(2018)","plainCitation":"(2018)","noteIndex":0},"citationItems":[{"id":2296,"uris":["http://zotero.org/users/6396655/items/Y4AUE3FK"],"itemData":{"id":2296,"type":"article-journal","container-title":"The Journal of Legal Pluralism and Unofficial Law","issue":"3","note":"publisher: Taylor &amp; Francis","page":"402–434","title":"Religious conservatism, Islamic criminal law and the judiciary in Indonesia: a tale of three courts","volume":"50","author":[{"family":"Butt","given":"Simon"}],"issued":{"date-parts":[["2018"]]}},"label":"page","suppress-author":true}],"schema":"https://github.com/citation-style-language/schema/raw/master/csl-citation.json"}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(2018)</w:t>
      </w:r>
      <w:r>
        <w:rPr>
          <w:rFonts w:ascii="Calibri" w:hAnsi="Calibri" w:cs="Calibri"/>
          <w:bCs/>
          <w:color w:val="000000"/>
          <w:lang w:val="en-AU"/>
        </w:rPr>
        <w:fldChar w:fldCharType="end"/>
      </w:r>
      <w:r>
        <w:rPr>
          <w:rFonts w:ascii="Calibri" w:hAnsi="Calibri" w:cs="Calibri"/>
          <w:bCs/>
          <w:color w:val="000000"/>
          <w:lang w:val="en-AU"/>
        </w:rPr>
        <w:t xml:space="preserve"> </w:t>
      </w:r>
      <w:r w:rsidRPr="00C2642C">
        <w:rPr>
          <w:rFonts w:ascii="Calibri" w:hAnsi="Calibri" w:cs="Calibri"/>
          <w:bCs/>
          <w:color w:val="000000"/>
          <w:lang w:val="en-AU"/>
        </w:rPr>
        <w:t xml:space="preserve">argues. </w:t>
      </w:r>
    </w:p>
    <w:p w14:paraId="74B81E19" w14:textId="77777777" w:rsidR="00C2642C" w:rsidRDefault="00C2642C" w:rsidP="00C2642C">
      <w:pPr>
        <w:ind w:firstLine="720"/>
        <w:jc w:val="both"/>
        <w:rPr>
          <w:rFonts w:ascii="Calibri" w:hAnsi="Calibri" w:cs="Calibri"/>
          <w:bCs/>
          <w:color w:val="000000"/>
          <w:lang w:val="en-AU"/>
        </w:rPr>
      </w:pPr>
    </w:p>
    <w:p w14:paraId="3A1BF970" w14:textId="08EE4907" w:rsidR="008A5EF2" w:rsidRDefault="008F0259" w:rsidP="008F0259">
      <w:pPr>
        <w:ind w:firstLine="0"/>
        <w:jc w:val="center"/>
        <w:rPr>
          <w:rFonts w:ascii="Calibri" w:hAnsi="Calibri" w:cs="Calibri"/>
          <w:bCs/>
          <w:color w:val="000000"/>
          <w:lang w:val="en-AU"/>
        </w:rPr>
      </w:pPr>
      <w:r>
        <w:rPr>
          <w:rFonts w:ascii="Calibri" w:hAnsi="Calibri" w:cs="Calibri"/>
          <w:bCs/>
          <w:noProof/>
          <w:color w:val="000000"/>
          <w:lang w:val="en-AU"/>
          <w14:ligatures w14:val="standardContextual"/>
        </w:rPr>
        <w:lastRenderedPageBreak/>
        <w:drawing>
          <wp:inline distT="0" distB="0" distL="0" distR="0" wp14:anchorId="38744DDC" wp14:editId="2848F079">
            <wp:extent cx="5664200" cy="1663700"/>
            <wp:effectExtent l="0" t="0" r="0" b="0"/>
            <wp:docPr id="1673335158" name="Picture 1"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35158" name="Picture 1" descr="A picture containing text, screenshot, line,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64200" cy="1663700"/>
                    </a:xfrm>
                    <a:prstGeom prst="rect">
                      <a:avLst/>
                    </a:prstGeom>
                  </pic:spPr>
                </pic:pic>
              </a:graphicData>
            </a:graphic>
          </wp:inline>
        </w:drawing>
      </w:r>
    </w:p>
    <w:p w14:paraId="5E3D17C0" w14:textId="08A2D10D" w:rsidR="008A5EF2" w:rsidRDefault="008A5EF2" w:rsidP="008A5EF2">
      <w:pPr>
        <w:ind w:firstLine="0"/>
        <w:jc w:val="both"/>
        <w:rPr>
          <w:rFonts w:ascii="Calibri" w:hAnsi="Calibri" w:cs="Calibri"/>
          <w:bCs/>
          <w:color w:val="000000"/>
          <w:lang w:val="en-AU"/>
        </w:rPr>
      </w:pPr>
    </w:p>
    <w:p w14:paraId="68C50753" w14:textId="3EB3B7AA" w:rsidR="008A5EF2" w:rsidRPr="00096B7E" w:rsidRDefault="008A5EF2" w:rsidP="008A5EF2">
      <w:pPr>
        <w:pStyle w:val="Caption"/>
        <w:jc w:val="center"/>
        <w:rPr>
          <w:rFonts w:ascii="Calibri" w:hAnsi="Calibri" w:cs="Calibri"/>
          <w:bCs w:val="0"/>
          <w:color w:val="000000"/>
          <w:sz w:val="22"/>
          <w:szCs w:val="22"/>
          <w:lang w:val="en-AU"/>
        </w:rPr>
      </w:pPr>
      <w:r>
        <w:t xml:space="preserve">Figure </w:t>
      </w:r>
      <w:fldSimple w:instr=" SEQ Figure \* ARABIC ">
        <w:r w:rsidR="00D2148B">
          <w:rPr>
            <w:noProof/>
          </w:rPr>
          <w:t>1</w:t>
        </w:r>
      </w:fldSimple>
      <w:r>
        <w:t xml:space="preserve">. </w:t>
      </w:r>
      <w:r w:rsidRPr="007D6BC0">
        <w:t>Factors influenc</w:t>
      </w:r>
      <w:r w:rsidR="008F0259">
        <w:t>ing</w:t>
      </w:r>
      <w:r w:rsidRPr="007D6BC0">
        <w:t xml:space="preserve"> </w:t>
      </w:r>
      <w:r>
        <w:t>Vigilante Justice</w:t>
      </w:r>
      <w:r w:rsidR="008F0259">
        <w:t xml:space="preserve"> Against Blasphemy</w:t>
      </w:r>
    </w:p>
    <w:p w14:paraId="69B6EE8A" w14:textId="77777777" w:rsidR="008A5EF2" w:rsidRPr="0022722E" w:rsidRDefault="008A5EF2" w:rsidP="008A5EF2">
      <w:pPr>
        <w:ind w:firstLine="0"/>
        <w:jc w:val="both"/>
        <w:rPr>
          <w:rFonts w:ascii="Calibri" w:hAnsi="Calibri" w:cs="Calibri"/>
          <w:bCs/>
          <w:color w:val="000000"/>
          <w:lang w:val="en-AU"/>
        </w:rPr>
      </w:pPr>
    </w:p>
    <w:p w14:paraId="076338AF" w14:textId="01E731EB" w:rsidR="00C2642C" w:rsidRPr="00C2642C" w:rsidRDefault="00C2642C" w:rsidP="00FD59A2">
      <w:pPr>
        <w:ind w:firstLine="720"/>
        <w:jc w:val="both"/>
        <w:rPr>
          <w:rFonts w:ascii="Calibri" w:hAnsi="Calibri" w:cs="Calibri"/>
          <w:bCs/>
          <w:color w:val="000000"/>
          <w:lang w:val="en-AU"/>
        </w:rPr>
      </w:pPr>
      <w:r w:rsidRPr="00C2642C">
        <w:rPr>
          <w:rFonts w:ascii="Calibri" w:hAnsi="Calibri" w:cs="Calibri"/>
          <w:bCs/>
          <w:color w:val="000000"/>
          <w:lang w:val="en-AU"/>
        </w:rPr>
        <w:t xml:space="preserve">Moreover, </w:t>
      </w:r>
      <w:proofErr w:type="spellStart"/>
      <w:r w:rsidRPr="00C2642C">
        <w:rPr>
          <w:rFonts w:ascii="Calibri" w:hAnsi="Calibri" w:cs="Calibri"/>
          <w:bCs/>
          <w:color w:val="000000"/>
          <w:lang w:val="en-AU"/>
        </w:rPr>
        <w:t>hardline</w:t>
      </w:r>
      <w:proofErr w:type="spellEnd"/>
      <w:r w:rsidRPr="00C2642C">
        <w:rPr>
          <w:rFonts w:ascii="Calibri" w:hAnsi="Calibri" w:cs="Calibri"/>
          <w:bCs/>
          <w:color w:val="000000"/>
          <w:lang w:val="en-AU"/>
        </w:rPr>
        <w:t xml:space="preserve"> Islamic groups use blasphemy lawsuits to gain public support for political purposes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{"citationID":"0JiQNurN","properties":{"formattedCitation":"(Tyson, 2021)","plainCitation":"(Tyson, 2021)","noteIndex":0},"citationItems":[{"id":1441,"uris":["http://zotero.org/users/6396655/items/8WUZVQQA"],"itemData":{"id":1441,"type":"article-journal","abstract":"When contentious blasphemy laws are pressed into service in fledgling democracies with illiberal tendencies such as Indonesia, critical questions arise about judicial integrity and the political nature of blasphemy trials. Judicial legitimacy in Indonesia is defined according to international standards and conventions. The focus is on judicial propriety rather than the popularity or majoritarian appeal of court decisions. In May 2017 a watershed moment occurred in Indonesia as the former governor of Jakarta Basuki Tjahaja Purnama (popularly known as Ahok) was found guilty of desecrating religion and sentenced to 2 years in prison. Judgments rendered in politicized blasphemy trials such as these fail to meet standards of impartiality, and when discursive transgressions of a blasphemous nature occur there are deep ambiguities of meaning and intent. This paper contends that the revival of blasphemy as a punishable crime relates to political power calculations and electoral opportunities, and offers an analysis of blasphemy in Indonesia through the quasi-historical lens of a discursive crime premised on the fallacy that religious offence threatens public order. Blasphemy trials are further complicated by the fact that religious authorities and Islamic mass organizations in Indonesia have significant influence over judicial processes.","archive":"Cambridge Core","container-title":"Politics and Religion","DOI":"10.1017/S1755048319000427","ISSN":"1755-0483","issue":"1","note":"edition: 2020/05/11\npublisher: Cambridge University Press","page":"182-205","source":"Cambridge University Press","title":"Blasphemy and Judicial Legitimacy in Indonesia","volume":"14","author":[{"family":"Tyson","given":"Adam"}],"issued":{"date-parts":[["2021"]]}}}],"schema":"https://github.com/citation-style-language/schema/raw/master/csl-citation.json"}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(Tyson, 2021)</w:t>
      </w:r>
      <w:r>
        <w:rPr>
          <w:rFonts w:ascii="Calibri" w:hAnsi="Calibri" w:cs="Calibri"/>
          <w:bCs/>
          <w:color w:val="000000"/>
          <w:lang w:val="en-AU"/>
        </w:rPr>
        <w:fldChar w:fldCharType="end"/>
      </w:r>
      <w:r w:rsidRPr="00C2642C">
        <w:rPr>
          <w:rFonts w:ascii="Calibri" w:hAnsi="Calibri" w:cs="Calibri"/>
          <w:bCs/>
          <w:color w:val="000000"/>
          <w:lang w:val="en-AU"/>
        </w:rPr>
        <w:t>. In the cases of Ahok and Meiliana, vigilante justice cannot be separated from the political context surrounding the regional elections in Indonesia at that time. The close connections between state officials and vigilante groups used identity politics to secure electoral victories. In addition, vigilante groups employ hate-mongering strategies</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{"citationID":"So2bOykc","properties":{"formattedCitation":"(George, 2017)","plainCitation":"(George, 2017)","noteIndex":0},"citationItems":[{"id":2277,"uris":["http://zotero.org/users/6396655/items/YSQNWZ66"],"itemData":{"id":2277,"type":"article-journal","container-title":"Communication Theory","issue":"2","note":"publisher: Oxford University Press","page":"156–175","title":"Hate spin: The twin political strategies of religious incitement and offense-taking","volume":"27","author":[{"family":"George","given":"Cherian"}],"issued":{"date-parts":[["2017"]]}}}],"schema":"https://github.com/citation-style-language/schema/raw/master/csl-citation.json"}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(George, 2017)</w:t>
      </w:r>
      <w:r>
        <w:rPr>
          <w:rFonts w:ascii="Calibri" w:hAnsi="Calibri" w:cs="Calibri"/>
          <w:bCs/>
          <w:color w:val="000000"/>
          <w:lang w:val="en-AU"/>
        </w:rPr>
        <w:fldChar w:fldCharType="end"/>
      </w:r>
      <w:r w:rsidRPr="00C2642C">
        <w:rPr>
          <w:rFonts w:ascii="Calibri" w:hAnsi="Calibri" w:cs="Calibri"/>
          <w:bCs/>
          <w:color w:val="000000"/>
          <w:lang w:val="en-AU"/>
        </w:rPr>
        <w:t xml:space="preserve"> by framing the accused as blasphemers who insulted their religion (Islam), making them undeserving of public support. </w:t>
      </w:r>
    </w:p>
    <w:p w14:paraId="167CFFEE" w14:textId="1D72ACE9" w:rsidR="00C2642C" w:rsidRPr="00C2642C" w:rsidRDefault="00C2642C" w:rsidP="00FD59A2">
      <w:pPr>
        <w:ind w:firstLine="720"/>
        <w:jc w:val="both"/>
        <w:rPr>
          <w:rFonts w:ascii="Calibri" w:hAnsi="Calibri" w:cs="Calibri"/>
          <w:bCs/>
          <w:color w:val="000000"/>
          <w:lang w:val="en-AU"/>
        </w:rPr>
      </w:pPr>
      <w:r w:rsidRPr="00C2642C">
        <w:rPr>
          <w:rFonts w:ascii="Calibri" w:hAnsi="Calibri" w:cs="Calibri"/>
          <w:bCs/>
          <w:color w:val="000000"/>
          <w:lang w:val="en-AU"/>
        </w:rPr>
        <w:t xml:space="preserve">According to Asif M and Don </w:t>
      </w:r>
      <w:proofErr w:type="spellStart"/>
      <w:r w:rsidRPr="00C2642C">
        <w:rPr>
          <w:rFonts w:ascii="Calibri" w:hAnsi="Calibri" w:cs="Calibri"/>
          <w:bCs/>
          <w:color w:val="000000"/>
          <w:lang w:val="en-AU"/>
        </w:rPr>
        <w:t>Weenink's</w:t>
      </w:r>
      <w:proofErr w:type="spellEnd"/>
      <w:r w:rsidRPr="00C2642C">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{"citationID":"fukxTaWP","properties":{"formattedCitation":"(2022)","plainCitation":"(2022)","noteIndex":0},"citationItems":[{"id":2299,"uris":["http://zotero.org/users/6396655/items/889SKEIL"],"itemData":{"id":2299,"type":"article-journal","container-title":"European journal of criminology","issue":"2","note":"publisher: SAGE Publications Sage UK: London, England","page":"163–182","title":"Vigilante rituals theory: A cultural explanation of vigilante violence","volume":"19","author":[{"family":"Asif","given":"Muhammad"},{"family":"Weenink","given":"Don"}],"issued":{"date-parts":[["2022"]]}},"label":"page","suppress-author":true}],"schema":"https://github.com/citation-style-language/schema/raw/master/csl-citation.json"}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(2022)</w:t>
      </w:r>
      <w:r>
        <w:rPr>
          <w:rFonts w:ascii="Calibri" w:hAnsi="Calibri" w:cs="Calibri"/>
          <w:bCs/>
          <w:color w:val="000000"/>
          <w:lang w:val="en-AU"/>
        </w:rPr>
        <w:fldChar w:fldCharType="end"/>
      </w:r>
      <w:r>
        <w:rPr>
          <w:rFonts w:ascii="Calibri" w:hAnsi="Calibri" w:cs="Calibri"/>
          <w:bCs/>
          <w:color w:val="000000"/>
          <w:lang w:val="en-AU"/>
        </w:rPr>
        <w:t xml:space="preserve"> </w:t>
      </w:r>
      <w:r w:rsidRPr="00C2642C">
        <w:rPr>
          <w:rFonts w:ascii="Calibri" w:hAnsi="Calibri" w:cs="Calibri"/>
          <w:bCs/>
          <w:color w:val="000000"/>
          <w:lang w:val="en-AU"/>
        </w:rPr>
        <w:t>study, vigilante justice gains legitimacy because of the public's belief that blasphemy is a violation of public morals. Hence, vigilante groups exploit public fear and anger to legitimize their fight against blasphemers. While the law criminalizes blasphemy, hate speech that incites violence by vigilante groups is not adequately regulated in Indonesia, as Hewson's study found. This connection has allowed vigilante groups to commit violent acts against minority congregations with impunity</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{"citationID":"wkNOjdmm","properties":{"formattedCitation":"(Hewson, 2017)","plainCitation":"(Hewson, 2017)","noteIndex":0},"citationItems":[{"id":2284,"uris":["http://zotero.org/users/6396655/items/AINPA3DQ"],"itemData":{"id":2284,"type":"article-journal","title":"Focus - Mob justice on the rise in Indonesia","URL":"https://www.france24.com/en/20170928-focus-indonesia-mob-justice-rise-vigilante-violence-ethnic-religious-minorities","author":[{"family":"Hewson","given":"Jack"}],"issued":{"date-parts":[["2017",9]]}}}],"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(Hewson, 2017)</w:t>
      </w:r>
      <w:r>
        <w:rPr>
          <w:rFonts w:ascii="Calibri" w:hAnsi="Calibri" w:cs="Calibri"/>
          <w:bCs/>
          <w:color w:val="000000"/>
          <w:lang w:val="en-AU"/>
        </w:rPr>
        <w:fldChar w:fldCharType="end"/>
      </w:r>
      <w:r>
        <w:rPr>
          <w:rFonts w:ascii="Calibri" w:hAnsi="Calibri" w:cs="Calibri"/>
          <w:bCs/>
          <w:color w:val="000000"/>
          <w:lang w:val="en-AU"/>
        </w:rPr>
        <w:t>.</w:t>
      </w:r>
    </w:p>
    <w:p w14:paraId="6B2EFD66" w14:textId="547306EE" w:rsidR="008A5EF2" w:rsidRPr="008A5EF2" w:rsidRDefault="00C2642C" w:rsidP="00FD59A2">
      <w:pPr>
        <w:ind w:firstLine="720"/>
        <w:jc w:val="both"/>
        <w:rPr>
          <w:rFonts w:ascii="Calibri" w:hAnsi="Calibri" w:cs="Calibri"/>
          <w:bCs/>
          <w:color w:val="000000"/>
          <w:lang w:val="en-AU"/>
        </w:rPr>
      </w:pPr>
      <w:r w:rsidRPr="00C2642C">
        <w:rPr>
          <w:rFonts w:ascii="Calibri" w:hAnsi="Calibri" w:cs="Calibri"/>
          <w:bCs/>
          <w:color w:val="000000"/>
          <w:lang w:val="en-AU"/>
        </w:rPr>
        <w:t>Ultimately, self-proclaimed "justice" undermines Indonesia's rule of law and democracy. To promote tolerance and individual rights, strong legislative frameworks and their enforcement are essential. Allowing extreme Islamic organizations to violate the law in the name of religion will erode Indonesia's national character and democracy.</w:t>
      </w:r>
    </w:p>
    <w:p w14:paraId="146F0732" w14:textId="77777777" w:rsidR="00FD59A2" w:rsidRDefault="00FD59A2" w:rsidP="008A5EF2">
      <w:pPr>
        <w:ind w:firstLine="0"/>
        <w:jc w:val="both"/>
        <w:rPr>
          <w:rFonts w:ascii="Calibri" w:hAnsi="Calibri" w:cs="Calibri"/>
          <w:bCs/>
          <w:color w:val="000000"/>
          <w:lang w:val="en-AU"/>
        </w:rPr>
      </w:pPr>
    </w:p>
    <w:p w14:paraId="1A8B5F06" w14:textId="1465F3FB" w:rsidR="008A5EF2" w:rsidRPr="00443E35" w:rsidRDefault="00B316C0" w:rsidP="008A5EF2">
      <w:pPr>
        <w:ind w:firstLine="0"/>
        <w:jc w:val="both"/>
        <w:rPr>
          <w:rFonts w:ascii="Calibri" w:hAnsi="Calibri" w:cs="Calibri"/>
          <w:b/>
          <w:color w:val="000000"/>
          <w:lang w:val="en-AU"/>
        </w:rPr>
      </w:pPr>
      <w:r>
        <w:rPr>
          <w:rFonts w:ascii="Calibri" w:hAnsi="Calibri" w:cs="Calibri"/>
          <w:b/>
          <w:color w:val="000000"/>
          <w:lang w:val="en-AU"/>
        </w:rPr>
        <w:t>Hindering</w:t>
      </w:r>
      <w:r w:rsidR="008A5EF2" w:rsidRPr="00B14A95">
        <w:rPr>
          <w:rFonts w:ascii="Calibri" w:hAnsi="Calibri" w:cs="Calibri"/>
          <w:b/>
          <w:color w:val="000000"/>
          <w:lang w:val="en-AU"/>
        </w:rPr>
        <w:t xml:space="preserve"> Independency </w:t>
      </w:r>
      <w:r w:rsidR="008A5EF2">
        <w:rPr>
          <w:rFonts w:ascii="Calibri" w:hAnsi="Calibri" w:cs="Calibri"/>
          <w:b/>
          <w:color w:val="000000"/>
          <w:lang w:val="en-AU"/>
        </w:rPr>
        <w:t>o</w:t>
      </w:r>
      <w:r w:rsidR="008A5EF2" w:rsidRPr="00B14A95">
        <w:rPr>
          <w:rFonts w:ascii="Calibri" w:hAnsi="Calibri" w:cs="Calibri"/>
          <w:b/>
          <w:color w:val="000000"/>
          <w:lang w:val="en-AU"/>
        </w:rPr>
        <w:t xml:space="preserve">f </w:t>
      </w:r>
      <w:r w:rsidR="008A5EF2">
        <w:rPr>
          <w:rFonts w:ascii="Calibri" w:hAnsi="Calibri" w:cs="Calibri"/>
          <w:b/>
          <w:color w:val="000000"/>
          <w:lang w:val="en-AU"/>
        </w:rPr>
        <w:t>t</w:t>
      </w:r>
      <w:r w:rsidR="008A5EF2" w:rsidRPr="00B14A95">
        <w:rPr>
          <w:rFonts w:ascii="Calibri" w:hAnsi="Calibri" w:cs="Calibri"/>
          <w:b/>
          <w:color w:val="000000"/>
          <w:lang w:val="en-AU"/>
        </w:rPr>
        <w:t>he Court</w:t>
      </w:r>
      <w:r w:rsidR="008A5EF2">
        <w:rPr>
          <w:rFonts w:ascii="Calibri" w:hAnsi="Calibri" w:cs="Calibri"/>
          <w:b/>
          <w:color w:val="000000"/>
          <w:lang w:val="en-AU"/>
        </w:rPr>
        <w:t xml:space="preserve"> to </w:t>
      </w:r>
      <w:r w:rsidR="00F20B00">
        <w:rPr>
          <w:rFonts w:ascii="Calibri" w:hAnsi="Calibri" w:cs="Calibri"/>
          <w:b/>
          <w:color w:val="000000"/>
          <w:lang w:val="en-AU"/>
        </w:rPr>
        <w:t>P</w:t>
      </w:r>
      <w:r w:rsidR="008A5EF2">
        <w:rPr>
          <w:rFonts w:ascii="Calibri" w:hAnsi="Calibri" w:cs="Calibri"/>
          <w:b/>
          <w:color w:val="000000"/>
          <w:lang w:val="en-AU"/>
        </w:rPr>
        <w:t xml:space="preserve">reserve </w:t>
      </w:r>
      <w:r w:rsidR="00F20B00">
        <w:rPr>
          <w:rFonts w:ascii="Calibri" w:hAnsi="Calibri" w:cs="Calibri"/>
          <w:b/>
          <w:color w:val="000000"/>
          <w:lang w:val="en-AU"/>
        </w:rPr>
        <w:t>J</w:t>
      </w:r>
      <w:r w:rsidR="008A5EF2">
        <w:rPr>
          <w:rFonts w:ascii="Calibri" w:hAnsi="Calibri" w:cs="Calibri"/>
          <w:b/>
          <w:color w:val="000000"/>
          <w:lang w:val="en-AU"/>
        </w:rPr>
        <w:t>ustice</w:t>
      </w:r>
    </w:p>
    <w:p w14:paraId="2548274E" w14:textId="77777777" w:rsidR="0016562A" w:rsidRDefault="0016562A" w:rsidP="00935072">
      <w:pPr>
        <w:ind w:firstLine="720"/>
        <w:jc w:val="both"/>
        <w:rPr>
          <w:rFonts w:ascii="Calibri" w:hAnsi="Calibri" w:cs="Calibri"/>
          <w:bCs/>
          <w:color w:val="000000"/>
          <w:lang w:val="en-AU"/>
        </w:rPr>
      </w:pPr>
      <w:r w:rsidRPr="0016562A">
        <w:rPr>
          <w:rFonts w:ascii="Calibri" w:hAnsi="Calibri" w:cs="Calibri"/>
          <w:bCs/>
          <w:color w:val="000000"/>
          <w:lang w:val="en-AU"/>
        </w:rPr>
        <w:t>Figure 2 depicts the pattern that occurs in cases of blasphemy and its relationship with the frequent emergence of vigilante actions. Vigilante justice towards blasphemy suspects has a significant impact on the failure of judicial justice to achieve fairness. The independence of the judiciary, particularly in cases related to blasphemy, is not realized for five reasons: (a) judges misapply the law; (b) judges fail to prove the defendant's guilt; (c) judges overlook legal facts presented in court; (d) judges disregard the due process of law. For example, in the case studies, suspected cases of blasphemy were categorized as such following demands by MUI, which influenced the court's decision. The fatwas issued by the Indonesian Ulama Council and religious figures from the majority group that label suspected individuals as deviant or blasphemous legitimize this injustice. The vigilantes use hate speech and disseminate fake news to manipulate social situations and exert pressure on law enforcement and courts to accelerate legal proceedings, oftentimes resulting in the violation of minority religious groups' rights with the support of local policymakers at the city, regency, and provincial levels.</w:t>
      </w:r>
      <w:r w:rsidR="00935072" w:rsidRPr="00F20B00">
        <w:rPr>
          <w:rFonts w:ascii="Calibri" w:hAnsi="Calibri" w:cs="Calibri"/>
          <w:bCs/>
          <w:color w:val="000000"/>
          <w:lang w:val="en-AU"/>
        </w:rPr>
        <w:t xml:space="preserve"> </w:t>
      </w:r>
    </w:p>
    <w:p w14:paraId="5CEC5E84" w14:textId="77777777" w:rsidR="00D2148B" w:rsidRDefault="00D2148B" w:rsidP="00935072">
      <w:pPr>
        <w:ind w:firstLine="720"/>
        <w:jc w:val="both"/>
        <w:rPr>
          <w:rFonts w:ascii="Calibri" w:hAnsi="Calibri" w:cs="Calibri"/>
          <w:bCs/>
          <w:color w:val="000000"/>
          <w:lang w:val="en-AU"/>
        </w:rPr>
      </w:pPr>
    </w:p>
    <w:p w14:paraId="3240E985" w14:textId="77777777" w:rsidR="00D2148B" w:rsidRDefault="00D2148B" w:rsidP="00D2148B">
      <w:pPr>
        <w:keepNext/>
        <w:ind w:firstLine="0"/>
        <w:jc w:val="center"/>
      </w:pPr>
      <w:r>
        <w:rPr>
          <w:noProof/>
          <w14:ligatures w14:val="standardContextual"/>
        </w:rPr>
        <w:lastRenderedPageBreak/>
        <w:drawing>
          <wp:anchor distT="0" distB="0" distL="114300" distR="114300" simplePos="0" relativeHeight="251658240" behindDoc="0" locked="0" layoutInCell="1" allowOverlap="1" wp14:anchorId="7164AA92" wp14:editId="17ACB6CF">
            <wp:simplePos x="0" y="0"/>
            <wp:positionH relativeFrom="column">
              <wp:posOffset>-3810</wp:posOffset>
            </wp:positionH>
            <wp:positionV relativeFrom="paragraph">
              <wp:posOffset>0</wp:posOffset>
            </wp:positionV>
            <wp:extent cx="6464935" cy="2115185"/>
            <wp:effectExtent l="0" t="0" r="0" b="5715"/>
            <wp:wrapTopAndBottom/>
            <wp:docPr id="1777593713" name="Picture 3" descr="A picture containing diagram, plan, line,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593713" name="Picture 3" descr="A picture containing diagram, plan, line, technical drawing&#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64935" cy="2115185"/>
                    </a:xfrm>
                    <a:prstGeom prst="rect">
                      <a:avLst/>
                    </a:prstGeom>
                  </pic:spPr>
                </pic:pic>
              </a:graphicData>
            </a:graphic>
            <wp14:sizeRelH relativeFrom="page">
              <wp14:pctWidth>0</wp14:pctWidth>
            </wp14:sizeRelH>
            <wp14:sizeRelV relativeFrom="page">
              <wp14:pctHeight>0</wp14:pctHeight>
            </wp14:sizeRelV>
          </wp:anchor>
        </w:drawing>
      </w:r>
    </w:p>
    <w:p w14:paraId="653D662C" w14:textId="0266A0D5" w:rsidR="00D2148B" w:rsidRDefault="00D2148B" w:rsidP="00D2148B">
      <w:pPr>
        <w:pStyle w:val="Caption"/>
        <w:jc w:val="center"/>
        <w:rPr>
          <w:rFonts w:ascii="Calibri" w:hAnsi="Calibri" w:cs="Calibri"/>
          <w:bCs w:val="0"/>
          <w:color w:val="000000"/>
          <w:lang w:val="en-AU"/>
        </w:rPr>
      </w:pPr>
      <w:r>
        <w:t xml:space="preserve">Figure </w:t>
      </w:r>
      <w:fldSimple w:instr=" SEQ Figure \* ARABIC ">
        <w:r>
          <w:rPr>
            <w:noProof/>
          </w:rPr>
          <w:t>2</w:t>
        </w:r>
      </w:fldSimple>
      <w:r>
        <w:t xml:space="preserve">. </w:t>
      </w:r>
      <w:r w:rsidRPr="00100B79">
        <w:t>The Pattern of Vigilante Justice Against Blasphemy Weakens the Independence of the Court</w:t>
      </w:r>
    </w:p>
    <w:p w14:paraId="204B6C15" w14:textId="77777777" w:rsidR="00D2148B" w:rsidRDefault="00D2148B" w:rsidP="00D2148B">
      <w:pPr>
        <w:ind w:firstLine="720"/>
        <w:jc w:val="both"/>
        <w:rPr>
          <w:rFonts w:ascii="Calibri" w:hAnsi="Calibri" w:cs="Calibri"/>
          <w:bCs/>
          <w:color w:val="000000"/>
          <w:lang w:val="en-AU"/>
        </w:rPr>
      </w:pPr>
    </w:p>
    <w:p w14:paraId="33F43A1F" w14:textId="3634BD35" w:rsidR="00F3279D" w:rsidRDefault="00935072" w:rsidP="00D2148B">
      <w:pPr>
        <w:ind w:firstLine="720"/>
        <w:jc w:val="both"/>
        <w:rPr>
          <w:rFonts w:ascii="Calibri" w:hAnsi="Calibri" w:cs="Calibri"/>
          <w:bCs/>
          <w:color w:val="000000"/>
          <w:lang w:val="en-AU"/>
        </w:rPr>
      </w:pPr>
      <w:r w:rsidRPr="00F20B00">
        <w:rPr>
          <w:rFonts w:ascii="Calibri" w:hAnsi="Calibri" w:cs="Calibri"/>
          <w:bCs/>
          <w:color w:val="000000"/>
          <w:lang w:val="en-AU"/>
        </w:rPr>
        <w:t xml:space="preserve">The court's failure to establish the defendants' "intention" to blaspheme Islam demonstrates that it disregarded the Anti-Blasphemy Law's significant defects and compelled a social justice-based judgment. </w:t>
      </w:r>
      <w:r>
        <w:rPr>
          <w:rFonts w:ascii="Calibri" w:hAnsi="Calibri" w:cs="Calibri"/>
          <w:bCs/>
          <w:color w:val="000000"/>
          <w:lang w:val="en-AU"/>
        </w:rPr>
        <w:t>T</w:t>
      </w:r>
      <w:r w:rsidRPr="00F20B00">
        <w:rPr>
          <w:rFonts w:ascii="Calibri" w:hAnsi="Calibri" w:cs="Calibri"/>
          <w:bCs/>
          <w:color w:val="000000"/>
          <w:lang w:val="en-AU"/>
        </w:rPr>
        <w:t xml:space="preserve">he court's independence was compromised </w:t>
      </w:r>
      <w:r>
        <w:rPr>
          <w:rFonts w:ascii="Calibri" w:hAnsi="Calibri" w:cs="Calibri"/>
          <w:bCs/>
          <w:color w:val="000000"/>
          <w:lang w:val="en-AU"/>
        </w:rPr>
        <w:t>d</w:t>
      </w:r>
      <w:r w:rsidRPr="00F20B00">
        <w:rPr>
          <w:rFonts w:ascii="Calibri" w:hAnsi="Calibri" w:cs="Calibri"/>
          <w:bCs/>
          <w:color w:val="000000"/>
          <w:lang w:val="en-AU"/>
        </w:rPr>
        <w:t>ue to the lack of a comprehensive investigation and reliance on prejudiced testimony, the court's independence was compromised. Since the defendants' culpability were not established, the court failed to provide procedural justice.</w:t>
      </w:r>
      <w:r>
        <w:rPr>
          <w:rFonts w:ascii="Calibri" w:hAnsi="Calibri" w:cs="Calibri"/>
          <w:bCs/>
          <w:color w:val="000000"/>
          <w:lang w:val="en-AU"/>
        </w:rPr>
        <w:t xml:space="preserve"> </w:t>
      </w:r>
      <w:r w:rsidRPr="00F20B00">
        <w:rPr>
          <w:rFonts w:ascii="Calibri" w:hAnsi="Calibri" w:cs="Calibri"/>
          <w:bCs/>
          <w:color w:val="000000"/>
          <w:lang w:val="en-AU"/>
        </w:rPr>
        <w:t xml:space="preserve">Furthermore, the due process of law </w:t>
      </w:r>
      <w:r>
        <w:rPr>
          <w:rFonts w:ascii="Calibri" w:hAnsi="Calibri" w:cs="Calibri"/>
          <w:bCs/>
          <w:color w:val="000000"/>
          <w:lang w:val="en-AU"/>
        </w:rPr>
        <w:t xml:space="preserve">was violated </w:t>
      </w:r>
      <w:r w:rsidRPr="00F20B00">
        <w:rPr>
          <w:rFonts w:ascii="Calibri" w:hAnsi="Calibri" w:cs="Calibri"/>
          <w:bCs/>
          <w:color w:val="000000"/>
          <w:lang w:val="en-AU"/>
        </w:rPr>
        <w:t>because there was a procedural flaw in the trial process, such as there was no warrant for an investigation on behalf of the defendant, the defendant was not accompanied by an attorney during the examination process so that it was difficult to testify freely, and the trial was unfair due to the unequal relationship between the defendant and the witness in disclosing false information.</w:t>
      </w:r>
    </w:p>
    <w:p w14:paraId="71711E1B" w14:textId="313CB94F" w:rsidR="008A5EF2" w:rsidRPr="00F20B00" w:rsidRDefault="0016562A" w:rsidP="00F20B00">
      <w:pPr>
        <w:ind w:firstLine="720"/>
        <w:jc w:val="both"/>
        <w:rPr>
          <w:rFonts w:ascii="Calibri" w:hAnsi="Calibri" w:cs="Calibri"/>
          <w:bCs/>
          <w:color w:val="000000"/>
          <w:lang w:val="en-AU"/>
        </w:rPr>
      </w:pPr>
      <w:r w:rsidRPr="0016562A">
        <w:rPr>
          <w:rFonts w:ascii="Calibri" w:hAnsi="Calibri" w:cs="Calibri"/>
          <w:bCs/>
          <w:color w:val="000000"/>
          <w:lang w:val="en-AU"/>
        </w:rPr>
        <w:t>The blasphemy cases analysed in this study show that vigilante groups' extrajudicial trials are taken over by the court, resulting in the accused facing double punishment: social punishment and a much harsher prison sentence than the crime they are accused of. The judiciary's independence has been called into question due to the judges' attitude, who did not fully apply due process laws and failed to demonstrate equal treatment before the law and violated the defendant's rights. Similar cases of blasphemy demonstrate that law enforcement is unable to provide procedural and substantive justice.</w:t>
      </w:r>
    </w:p>
    <w:p w14:paraId="1B9CD564" w14:textId="77777777" w:rsidR="008A5EF2" w:rsidRDefault="008A5EF2" w:rsidP="008A5EF2">
      <w:pPr>
        <w:jc w:val="both"/>
        <w:rPr>
          <w:rFonts w:ascii="Calibri" w:hAnsi="Calibri" w:cs="Calibri"/>
          <w:b/>
          <w:color w:val="000000"/>
          <w:lang w:val="en-AU"/>
        </w:rPr>
      </w:pPr>
    </w:p>
    <w:p w14:paraId="6AB3203D" w14:textId="77777777" w:rsidR="008A5EF2" w:rsidRPr="00443E35" w:rsidRDefault="008A5EF2" w:rsidP="008A5EF2">
      <w:pPr>
        <w:ind w:firstLine="0"/>
        <w:jc w:val="both"/>
        <w:rPr>
          <w:rFonts w:ascii="Calibri" w:hAnsi="Calibri" w:cs="Calibri"/>
          <w:b/>
          <w:i/>
          <w:iCs/>
          <w:color w:val="000000"/>
          <w:lang w:val="en-AU"/>
        </w:rPr>
      </w:pPr>
      <w:r>
        <w:rPr>
          <w:rFonts w:ascii="Calibri" w:hAnsi="Calibri" w:cs="Calibri"/>
          <w:b/>
          <w:color w:val="000000"/>
          <w:lang w:val="en-AU"/>
        </w:rPr>
        <w:t>CONCLUSION</w:t>
      </w:r>
    </w:p>
    <w:p w14:paraId="7B3C3D30" w14:textId="6324DC8B" w:rsidR="008A5EF2" w:rsidRPr="008A5EF2" w:rsidRDefault="002B37F7" w:rsidP="007D6F4A">
      <w:pPr>
        <w:ind w:firstLine="720"/>
        <w:jc w:val="both"/>
        <w:rPr>
          <w:rFonts w:ascii="Calibri" w:hAnsi="Calibri" w:cs="Calibri"/>
          <w:bCs/>
          <w:color w:val="000000"/>
          <w:lang w:val="en-AU"/>
        </w:rPr>
      </w:pPr>
      <w:r w:rsidRPr="002B37F7">
        <w:rPr>
          <w:rFonts w:ascii="Calibri" w:hAnsi="Calibri" w:cs="Calibri"/>
          <w:bCs/>
          <w:color w:val="000000"/>
          <w:lang w:val="en-AU"/>
        </w:rPr>
        <w:t xml:space="preserve">The analysis conducted in this study refutes the Constitutional Court's claim that the elimination of the Anti-Blasphemy Law would threaten society in cases of horizontal religious disputes. However, the cases of Ahok, Meiliana, Gafatar, and Ahmadiyya have all led to vigilante retaliation. Vigilantism in cases of blasphemy is motivated not solely by criminal activities in society, but by various other factors. The study also emphasizes that vigilante justice against blasphemy is not solely conducted by </w:t>
      </w:r>
      <w:proofErr w:type="spellStart"/>
      <w:r w:rsidRPr="002B37F7">
        <w:rPr>
          <w:rFonts w:ascii="Calibri" w:hAnsi="Calibri" w:cs="Calibri"/>
          <w:bCs/>
          <w:color w:val="000000"/>
          <w:lang w:val="en-AU"/>
        </w:rPr>
        <w:t>hardline</w:t>
      </w:r>
      <w:proofErr w:type="spellEnd"/>
      <w:r w:rsidRPr="002B37F7">
        <w:rPr>
          <w:rFonts w:ascii="Calibri" w:hAnsi="Calibri" w:cs="Calibri"/>
          <w:bCs/>
          <w:color w:val="000000"/>
          <w:lang w:val="en-AU"/>
        </w:rPr>
        <w:t xml:space="preserve"> religious organizations</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{"citationID":"mbdE5Irn","properties":{"formattedCitation":"(Tyson, 2021)","plainCitation":"(Tyson, 2021)","noteIndex":0},"citationItems":[{"id":1441,"uris":["http://zotero.org/users/6396655/items/8WUZVQQA"],"itemData":{"id":1441,"type":"article-journal","abstract":"When contentious blasphemy laws are pressed into service in fledgling democracies with illiberal tendencies such as Indonesia, critical questions arise about judicial integrity and the political nature of blasphemy trials. Judicial legitimacy in Indonesia is defined according to international standards and conventions. The focus is on judicial propriety rather than the popularity or majoritarian appeal of court decisions. In May 2017 a watershed moment occurred in Indonesia as the former governor of Jakarta Basuki Tjahaja Purnama (popularly known as Ahok) was found guilty of desecrating religion and sentenced to 2 years in prison. Judgments rendered in politicized blasphemy trials such as these fail to meet standards of impartiality, and when discursive transgressions of a blasphemous nature occur there are deep ambiguities of meaning and intent. This paper contends that the revival of blasphemy as a punishable crime relates to political power calculations and electoral opportunities, and offers an analysis of blasphemy in Indonesia through the quasi-historical lens of a discursive crime premised on the fallacy that religious offence threatens public order. Blasphemy trials are further complicated by the fact that religious authorities and Islamic mass organizations in Indonesia have significant influence over judicial processes.","archive":"Cambridge Core","container-title":"Politics and Religion","DOI":"10.1017/S1755048319000427","ISSN":"1755-0483","issue":"1","note":"edition: 2020/05/11\npublisher: Cambridge University Press","page":"182-205","source":"Cambridge University Press","title":"Blasphemy and Judicial Legitimacy in Indonesia","volume":"14","author":[{"family":"Tyson","given":"Adam"}],"issued":{"date-parts":[["2021"]]}}}],"schema":"https://github.com/citation-style-language/schema/raw/master/csl-citation.json"}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(Tyson, 2021)</w:t>
      </w:r>
      <w:r>
        <w:rPr>
          <w:rFonts w:ascii="Calibri" w:hAnsi="Calibri" w:cs="Calibri"/>
          <w:bCs/>
          <w:color w:val="000000"/>
          <w:lang w:val="en-AU"/>
        </w:rPr>
        <w:fldChar w:fldCharType="end"/>
      </w:r>
      <w:r w:rsidRPr="002B37F7">
        <w:rPr>
          <w:rFonts w:ascii="Calibri" w:hAnsi="Calibri" w:cs="Calibri"/>
          <w:bCs/>
          <w:color w:val="000000"/>
          <w:lang w:val="en-AU"/>
        </w:rPr>
        <w:t xml:space="preserve">, but also receives sponsorship from non-state actors such as the MUI, local policymakers, and law enforcement officers. Sustaining a flawed Anti-Blasphemy Law allows </w:t>
      </w:r>
      <w:proofErr w:type="spellStart"/>
      <w:r w:rsidRPr="002B37F7">
        <w:rPr>
          <w:rFonts w:ascii="Calibri" w:hAnsi="Calibri" w:cs="Calibri"/>
          <w:bCs/>
          <w:color w:val="000000"/>
          <w:lang w:val="en-AU"/>
        </w:rPr>
        <w:t>hardline</w:t>
      </w:r>
      <w:proofErr w:type="spellEnd"/>
      <w:r w:rsidRPr="002B37F7">
        <w:rPr>
          <w:rFonts w:ascii="Calibri" w:hAnsi="Calibri" w:cs="Calibri"/>
          <w:bCs/>
          <w:color w:val="000000"/>
          <w:lang w:val="en-AU"/>
        </w:rPr>
        <w:t xml:space="preserve"> Islamic groups to engage in hate speech and perpetuate structural violence </w:t>
      </w:r>
      <w:r w:rsidR="00665E18">
        <w:rPr>
          <w:rFonts w:ascii="Calibri" w:hAnsi="Calibri" w:cs="Calibri"/>
          <w:bCs/>
          <w:color w:val="000000"/>
          <w:lang w:val="en-AU"/>
        </w:rPr>
        <w:fldChar w:fldCharType="begin"/>
      </w:r>
      <w:r w:rsidR="00665E18">
        <w:rPr>
          <w:rFonts w:ascii="Calibri" w:hAnsi="Calibri" w:cs="Calibri"/>
          <w:bCs/>
          <w:color w:val="000000"/>
          <w:lang w:val="en-AU"/>
        </w:rPr>
        <w:instrText xml:space="preserve"> ADDIN ZOTERO_ITEM CSL_CITATION {"citationID":"lcLwX7FV","properties":{"formattedCitation":"(Galtung, 1969; Pratiwi, 2021)","plainCitation":"(Galtung, 1969; Pratiwi, 2021)","noteIndex":0},"citationItems":[{"id":1919,"uris":["http://zotero.org/users/6396655/items/36E9X5ZY"],"itemData":{"id":1919,"type":"article-journal","container-title":"Journal of Peace Research","DOI":"10.1177/002234336900600301","issue":"3","page":"167-191","title":"Violence, Peace, and Peace Research","volume":"6","author":[{"family":"Galtung","given":"Johan"}],"issued":{"date-parts":[["1969"]]}}},{"id":1434,"uris":["http://zotero.org/users/6396655/items/EMUMJPRJ"],"itemData":{"id":1434,"type":"article-journal","container-title":"Constitutional Review","DOI":"https://doi.org/10.31078/consrev724","issue":"2","page":"273-299","title":"Rethinking the Constitutionality of Indonesia’s Flawed Anti Blasphemy Law","volume":"7","author":[{"family":"Pratiwi","given":"Cekli S"}],"issued":{"date-parts":[["2021"]]}}}],"schema":"https://github.com/citation-style-language/schema/raw/master/csl-citation.json"} </w:instrText>
      </w:r>
      <w:r w:rsidR="00665E18">
        <w:rPr>
          <w:rFonts w:ascii="Calibri" w:hAnsi="Calibri" w:cs="Calibri"/>
          <w:bCs/>
          <w:color w:val="000000"/>
          <w:lang w:val="en-AU"/>
        </w:rPr>
        <w:fldChar w:fldCharType="separate"/>
      </w:r>
      <w:r w:rsidR="00665E18">
        <w:rPr>
          <w:rFonts w:ascii="Calibri" w:hAnsi="Calibri" w:cs="Calibri"/>
          <w:bCs/>
          <w:noProof/>
          <w:color w:val="000000"/>
          <w:lang w:val="en-AU"/>
        </w:rPr>
        <w:t>(Galtung, 1969; Pratiwi, 2021)</w:t>
      </w:r>
      <w:r w:rsidR="00665E18">
        <w:rPr>
          <w:rFonts w:ascii="Calibri" w:hAnsi="Calibri" w:cs="Calibri"/>
          <w:bCs/>
          <w:color w:val="000000"/>
          <w:lang w:val="en-AU"/>
        </w:rPr>
        <w:fldChar w:fldCharType="end"/>
      </w:r>
      <w:r>
        <w:rPr>
          <w:rFonts w:ascii="Calibri" w:hAnsi="Calibri" w:cs="Calibri"/>
          <w:bCs/>
          <w:color w:val="000000"/>
          <w:lang w:val="en-AU"/>
        </w:rPr>
        <w:t xml:space="preserve"> </w:t>
      </w:r>
      <w:r w:rsidRPr="002B37F7">
        <w:rPr>
          <w:rFonts w:ascii="Calibri" w:hAnsi="Calibri" w:cs="Calibri"/>
          <w:bCs/>
          <w:color w:val="000000"/>
          <w:lang w:val="en-AU"/>
        </w:rPr>
        <w:t>as it encourages policymakers to produce discriminatory policies and prevents courts from delivering just and impartial judgments.</w:t>
      </w:r>
      <w:r w:rsidR="008A5EF2" w:rsidRPr="008A5EF2">
        <w:rPr>
          <w:rFonts w:ascii="Calibri" w:hAnsi="Calibri" w:cs="Calibri"/>
          <w:bCs/>
          <w:color w:val="000000"/>
          <w:lang w:val="en-AU"/>
        </w:rPr>
        <w:t xml:space="preserve"> </w:t>
      </w:r>
    </w:p>
    <w:p w14:paraId="48D1A3F5" w14:textId="7B517566" w:rsidR="008A5EF2" w:rsidRPr="008A5EF2" w:rsidRDefault="007D6F4A" w:rsidP="007D6F4A">
      <w:pPr>
        <w:ind w:firstLine="720"/>
        <w:jc w:val="both"/>
        <w:rPr>
          <w:rFonts w:ascii="Calibri" w:hAnsi="Calibri" w:cs="Calibri"/>
          <w:bCs/>
          <w:color w:val="000000"/>
          <w:lang w:val="en-AU"/>
        </w:rPr>
      </w:pPr>
      <w:r w:rsidRPr="007D6F4A">
        <w:rPr>
          <w:rFonts w:ascii="Calibri" w:hAnsi="Calibri" w:cs="Calibri"/>
          <w:bCs/>
          <w:color w:val="000000"/>
          <w:lang w:val="en-AU"/>
        </w:rPr>
        <w:t>The impartiality of courts is compromised when they are constrained by vigilante justice supported by discriminatory public policies, leading to the reinforcement of such policies. This study highlights the importance of comprehensive investigations and reliance on unbiased testimony to ensure procedural justice, which is compromised in the absence of proof of the accused's culpability. Furthermore, the existence of procedural flaws in the trial process constitutes a violation of due process of law. In other words, the persistence of vigilante justice will ultimately undermine the pursuit of justice.</w:t>
      </w:r>
      <w:r>
        <w:rPr>
          <w:rFonts w:ascii="Calibri" w:hAnsi="Calibri" w:cs="Calibri"/>
          <w:bCs/>
          <w:color w:val="000000"/>
          <w:lang w:val="en-AU"/>
        </w:rPr>
        <w:t xml:space="preserve"> </w:t>
      </w:r>
      <w:r w:rsidRPr="007D6F4A">
        <w:rPr>
          <w:rFonts w:ascii="Calibri" w:hAnsi="Calibri" w:cs="Calibri"/>
          <w:bCs/>
          <w:color w:val="000000"/>
          <w:lang w:val="en-AU"/>
        </w:rPr>
        <w:t>To prevent the violation of religious freedom of minority groups, policymakers and law enforcers must take a critical look at the Anti-Blasphemy Law's shortcomings and halt its implementation.</w:t>
      </w:r>
      <w:r w:rsidR="008A5EF2" w:rsidRPr="008A5EF2">
        <w:rPr>
          <w:rFonts w:ascii="Calibri" w:hAnsi="Calibri" w:cs="Calibri"/>
          <w:bCs/>
          <w:color w:val="000000"/>
          <w:lang w:val="en-AU"/>
        </w:rPr>
        <w:t xml:space="preserve"> </w:t>
      </w:r>
    </w:p>
    <w:p w14:paraId="407A5D89" w14:textId="77777777" w:rsidR="008A5EF2" w:rsidRDefault="008A5EF2" w:rsidP="008A5EF2">
      <w:pPr>
        <w:ind w:firstLine="0"/>
        <w:jc w:val="both"/>
        <w:rPr>
          <w:rFonts w:ascii="Calibri" w:hAnsi="Calibri" w:cs="Calibri"/>
          <w:b/>
          <w:color w:val="000000"/>
          <w:lang w:val="en-AU"/>
        </w:rPr>
      </w:pPr>
    </w:p>
    <w:p w14:paraId="3163224B" w14:textId="77777777" w:rsidR="008A5EF2" w:rsidRDefault="008A5EF2" w:rsidP="008A5EF2">
      <w:pPr>
        <w:ind w:firstLine="0"/>
        <w:jc w:val="both"/>
        <w:rPr>
          <w:rFonts w:ascii="Calibri" w:hAnsi="Calibri" w:cs="Calibri"/>
          <w:b/>
          <w:color w:val="000000"/>
          <w:lang w:val="en-AU"/>
        </w:rPr>
      </w:pPr>
      <w:r>
        <w:rPr>
          <w:rFonts w:ascii="Calibri" w:hAnsi="Calibri" w:cs="Calibri"/>
          <w:b/>
          <w:color w:val="000000"/>
          <w:lang w:val="en-AU"/>
        </w:rPr>
        <w:t>BIBLIOGRAPHY</w:t>
      </w:r>
    </w:p>
    <w:p w14:paraId="1639170B" w14:textId="77777777" w:rsidR="00D65C10" w:rsidRPr="00D65C10" w:rsidRDefault="008A5EF2" w:rsidP="00D65C10">
      <w:pPr>
        <w:pStyle w:val="Bibliography"/>
        <w:rPr>
          <w:rFonts w:ascii="Calibri" w:hAnsi="Calibri" w:cs="Calibri"/>
          <w:color w:val="000000"/>
          <w:lang w:val="en-GB"/>
        </w:rPr>
      </w:pPr>
      <w:r>
        <w:rPr>
          <w:rFonts w:ascii="Calibri" w:hAnsi="Calibri" w:cs="Calibri"/>
          <w:bCs/>
          <w:color w:val="000000"/>
          <w:lang w:val="en-AU"/>
        </w:rPr>
        <w:lastRenderedPageBreak/>
        <w:fldChar w:fldCharType="begin"/>
      </w:r>
      <w:r>
        <w:rPr>
          <w:rFonts w:ascii="Calibri" w:hAnsi="Calibri" w:cs="Calibri"/>
          <w:bCs/>
          <w:color w:val="000000"/>
          <w:lang w:val="en-AU"/>
        </w:rPr>
        <w:instrText xml:space="preserve"> ADDIN ZOTERO_BIBL {"uncited":[],"omitted":[],"custom":[]} CSL_BIBLIOGRAPHY </w:instrText>
      </w:r>
      <w:r>
        <w:rPr>
          <w:rFonts w:ascii="Calibri" w:hAnsi="Calibri" w:cs="Calibri"/>
          <w:bCs/>
          <w:color w:val="000000"/>
          <w:lang w:val="en-AU"/>
        </w:rPr>
        <w:fldChar w:fldCharType="separate"/>
      </w:r>
      <w:r w:rsidR="00D65C10" w:rsidRPr="00D65C10">
        <w:rPr>
          <w:rFonts w:ascii="Calibri" w:hAnsi="Calibri" w:cs="Calibri"/>
          <w:color w:val="000000"/>
          <w:lang w:val="en-GB"/>
        </w:rPr>
        <w:t xml:space="preserve">al Mutahar, H. (2017). </w:t>
      </w:r>
      <w:proofErr w:type="spellStart"/>
      <w:r w:rsidR="00D65C10" w:rsidRPr="00D65C10">
        <w:rPr>
          <w:rFonts w:ascii="Calibri" w:hAnsi="Calibri" w:cs="Calibri"/>
          <w:color w:val="000000"/>
          <w:lang w:val="en-GB"/>
        </w:rPr>
        <w:t>Penyebab</w:t>
      </w:r>
      <w:proofErr w:type="spellEnd"/>
      <w:r w:rsidR="00D65C10" w:rsidRPr="00D65C10">
        <w:rPr>
          <w:rFonts w:ascii="Calibri" w:hAnsi="Calibri" w:cs="Calibri"/>
          <w:color w:val="000000"/>
          <w:lang w:val="en-GB"/>
        </w:rPr>
        <w:t xml:space="preserve"> </w:t>
      </w:r>
      <w:proofErr w:type="spellStart"/>
      <w:r w:rsidR="00D65C10" w:rsidRPr="00D65C10">
        <w:rPr>
          <w:rFonts w:ascii="Calibri" w:hAnsi="Calibri" w:cs="Calibri"/>
          <w:color w:val="000000"/>
          <w:lang w:val="en-GB"/>
        </w:rPr>
        <w:t>Konflik</w:t>
      </w:r>
      <w:proofErr w:type="spellEnd"/>
      <w:r w:rsidR="00D65C10" w:rsidRPr="00D65C10">
        <w:rPr>
          <w:rFonts w:ascii="Calibri" w:hAnsi="Calibri" w:cs="Calibri"/>
          <w:color w:val="000000"/>
          <w:lang w:val="en-GB"/>
        </w:rPr>
        <w:t xml:space="preserve"> Antara </w:t>
      </w:r>
      <w:proofErr w:type="spellStart"/>
      <w:r w:rsidR="00D65C10" w:rsidRPr="00D65C10">
        <w:rPr>
          <w:rFonts w:ascii="Calibri" w:hAnsi="Calibri" w:cs="Calibri"/>
          <w:color w:val="000000"/>
          <w:lang w:val="en-GB"/>
        </w:rPr>
        <w:t>Pengikut</w:t>
      </w:r>
      <w:proofErr w:type="spellEnd"/>
      <w:r w:rsidR="00D65C10" w:rsidRPr="00D65C10">
        <w:rPr>
          <w:rFonts w:ascii="Calibri" w:hAnsi="Calibri" w:cs="Calibri"/>
          <w:color w:val="000000"/>
          <w:lang w:val="en-GB"/>
        </w:rPr>
        <w:t xml:space="preserve"> Gerakan </w:t>
      </w:r>
      <w:proofErr w:type="spellStart"/>
      <w:r w:rsidR="00D65C10" w:rsidRPr="00D65C10">
        <w:rPr>
          <w:rFonts w:ascii="Calibri" w:hAnsi="Calibri" w:cs="Calibri"/>
          <w:color w:val="000000"/>
          <w:lang w:val="en-GB"/>
        </w:rPr>
        <w:t>Fajar</w:t>
      </w:r>
      <w:proofErr w:type="spellEnd"/>
      <w:r w:rsidR="00D65C10" w:rsidRPr="00D65C10">
        <w:rPr>
          <w:rFonts w:ascii="Calibri" w:hAnsi="Calibri" w:cs="Calibri"/>
          <w:color w:val="000000"/>
          <w:lang w:val="en-GB"/>
        </w:rPr>
        <w:t xml:space="preserve"> Nusantara (Gafatar) Dan Masyarakat </w:t>
      </w:r>
      <w:proofErr w:type="spellStart"/>
      <w:r w:rsidR="00D65C10" w:rsidRPr="00D65C10">
        <w:rPr>
          <w:rFonts w:ascii="Calibri" w:hAnsi="Calibri" w:cs="Calibri"/>
          <w:color w:val="000000"/>
          <w:lang w:val="en-GB"/>
        </w:rPr>
        <w:t>Mempawah</w:t>
      </w:r>
      <w:proofErr w:type="spellEnd"/>
      <w:r w:rsidR="00D65C10" w:rsidRPr="00D65C10">
        <w:rPr>
          <w:rFonts w:ascii="Calibri" w:hAnsi="Calibri" w:cs="Calibri"/>
          <w:color w:val="000000"/>
          <w:lang w:val="en-GB"/>
        </w:rPr>
        <w:t xml:space="preserve"> Timur. </w:t>
      </w:r>
      <w:proofErr w:type="spellStart"/>
      <w:r w:rsidR="00D65C10" w:rsidRPr="00D65C10">
        <w:rPr>
          <w:rFonts w:ascii="Calibri" w:hAnsi="Calibri" w:cs="Calibri"/>
          <w:i/>
          <w:iCs/>
          <w:color w:val="000000"/>
          <w:lang w:val="en-GB"/>
        </w:rPr>
        <w:t>Sosiohumaniora</w:t>
      </w:r>
      <w:proofErr w:type="spellEnd"/>
      <w:r w:rsidR="00D65C10" w:rsidRPr="00D65C10">
        <w:rPr>
          <w:rFonts w:ascii="Calibri" w:hAnsi="Calibri" w:cs="Calibri"/>
          <w:color w:val="000000"/>
          <w:lang w:val="en-GB"/>
        </w:rPr>
        <w:t xml:space="preserve">, </w:t>
      </w:r>
      <w:r w:rsidR="00D65C10" w:rsidRPr="00D65C10">
        <w:rPr>
          <w:rFonts w:ascii="Calibri" w:hAnsi="Calibri" w:cs="Calibri"/>
          <w:i/>
          <w:iCs/>
          <w:color w:val="000000"/>
          <w:lang w:val="en-GB"/>
        </w:rPr>
        <w:t>19</w:t>
      </w:r>
      <w:r w:rsidR="00D65C10" w:rsidRPr="00D65C10">
        <w:rPr>
          <w:rFonts w:ascii="Calibri" w:hAnsi="Calibri" w:cs="Calibri"/>
          <w:color w:val="000000"/>
          <w:lang w:val="en-GB"/>
        </w:rPr>
        <w:t>(1), 18–20.</w:t>
      </w:r>
    </w:p>
    <w:p w14:paraId="2735B0F4" w14:textId="77777777" w:rsidR="00D65C10" w:rsidRPr="00D65C10" w:rsidRDefault="00D65C10" w:rsidP="00D65C10">
      <w:pPr>
        <w:pStyle w:val="Bibliography"/>
        <w:rPr>
          <w:rFonts w:ascii="Calibri" w:hAnsi="Calibri" w:cs="Calibri"/>
          <w:color w:val="000000"/>
          <w:lang w:val="en-GB"/>
        </w:rPr>
      </w:pPr>
      <w:r w:rsidRPr="00D65C10">
        <w:rPr>
          <w:rFonts w:ascii="Calibri" w:hAnsi="Calibri" w:cs="Calibri"/>
          <w:color w:val="000000"/>
          <w:lang w:val="en-GB"/>
        </w:rPr>
        <w:t xml:space="preserve">Asif, M., &amp; </w:t>
      </w:r>
      <w:proofErr w:type="spellStart"/>
      <w:r w:rsidRPr="00D65C10">
        <w:rPr>
          <w:rFonts w:ascii="Calibri" w:hAnsi="Calibri" w:cs="Calibri"/>
          <w:color w:val="000000"/>
          <w:lang w:val="en-GB"/>
        </w:rPr>
        <w:t>Weenink</w:t>
      </w:r>
      <w:proofErr w:type="spellEnd"/>
      <w:r w:rsidRPr="00D65C10">
        <w:rPr>
          <w:rFonts w:ascii="Calibri" w:hAnsi="Calibri" w:cs="Calibri"/>
          <w:color w:val="000000"/>
          <w:lang w:val="en-GB"/>
        </w:rPr>
        <w:t xml:space="preserve">, D. (2022). Vigilante rituals theory: A cultural explanation of vigilante violence. </w:t>
      </w:r>
      <w:r w:rsidRPr="00D65C10">
        <w:rPr>
          <w:rFonts w:ascii="Calibri" w:hAnsi="Calibri" w:cs="Calibri"/>
          <w:i/>
          <w:iCs/>
          <w:color w:val="000000"/>
          <w:lang w:val="en-GB"/>
        </w:rPr>
        <w:t>European Journal of Criminology</w:t>
      </w:r>
      <w:r w:rsidRPr="00D65C10">
        <w:rPr>
          <w:rFonts w:ascii="Calibri" w:hAnsi="Calibri" w:cs="Calibri"/>
          <w:color w:val="000000"/>
          <w:lang w:val="en-GB"/>
        </w:rPr>
        <w:t xml:space="preserve">, </w:t>
      </w:r>
      <w:r w:rsidRPr="00D65C10">
        <w:rPr>
          <w:rFonts w:ascii="Calibri" w:hAnsi="Calibri" w:cs="Calibri"/>
          <w:i/>
          <w:iCs/>
          <w:color w:val="000000"/>
          <w:lang w:val="en-GB"/>
        </w:rPr>
        <w:t>19</w:t>
      </w:r>
      <w:r w:rsidRPr="00D65C10">
        <w:rPr>
          <w:rFonts w:ascii="Calibri" w:hAnsi="Calibri" w:cs="Calibri"/>
          <w:color w:val="000000"/>
          <w:lang w:val="en-GB"/>
        </w:rPr>
        <w:t>(2), 163–182.</w:t>
      </w:r>
    </w:p>
    <w:p w14:paraId="51D23DB5" w14:textId="77777777" w:rsidR="00D65C10" w:rsidRPr="00D65C10" w:rsidRDefault="00D65C10" w:rsidP="00D65C10">
      <w:pPr>
        <w:pStyle w:val="Bibliography"/>
        <w:rPr>
          <w:rFonts w:ascii="Calibri" w:hAnsi="Calibri" w:cs="Calibri"/>
          <w:color w:val="000000"/>
          <w:lang w:val="en-GB"/>
        </w:rPr>
      </w:pPr>
      <w:proofErr w:type="spellStart"/>
      <w:r w:rsidRPr="00D65C10">
        <w:rPr>
          <w:rFonts w:ascii="Calibri" w:hAnsi="Calibri" w:cs="Calibri"/>
          <w:color w:val="000000"/>
          <w:lang w:val="en-GB"/>
        </w:rPr>
        <w:t>Banakar</w:t>
      </w:r>
      <w:proofErr w:type="spellEnd"/>
      <w:r w:rsidRPr="00D65C10">
        <w:rPr>
          <w:rFonts w:ascii="Calibri" w:hAnsi="Calibri" w:cs="Calibri"/>
          <w:color w:val="000000"/>
          <w:lang w:val="en-GB"/>
        </w:rPr>
        <w:t xml:space="preserve">, R. (2019). </w:t>
      </w:r>
      <w:r w:rsidRPr="00D65C10">
        <w:rPr>
          <w:rFonts w:ascii="Calibri" w:hAnsi="Calibri" w:cs="Calibri"/>
          <w:i/>
          <w:iCs/>
          <w:color w:val="000000"/>
          <w:lang w:val="en-GB"/>
        </w:rPr>
        <w:t>On Socio-Legal Design</w:t>
      </w:r>
      <w:r w:rsidRPr="00D65C10">
        <w:rPr>
          <w:rFonts w:ascii="Calibri" w:hAnsi="Calibri" w:cs="Calibri"/>
          <w:color w:val="000000"/>
          <w:lang w:val="en-GB"/>
        </w:rPr>
        <w:t>. https://papers.ssrn.com/sol3/papers.cfm?abstract_id=3463028</w:t>
      </w:r>
    </w:p>
    <w:p w14:paraId="09962405" w14:textId="77777777" w:rsidR="00D65C10" w:rsidRPr="00D65C10" w:rsidRDefault="00D65C10" w:rsidP="00D65C10">
      <w:pPr>
        <w:pStyle w:val="Bibliography"/>
        <w:rPr>
          <w:rFonts w:ascii="Calibri" w:hAnsi="Calibri" w:cs="Calibri"/>
          <w:color w:val="000000"/>
          <w:lang w:val="en-GB"/>
        </w:rPr>
      </w:pPr>
      <w:r w:rsidRPr="00D65C10">
        <w:rPr>
          <w:rFonts w:ascii="Calibri" w:hAnsi="Calibri" w:cs="Calibri"/>
          <w:color w:val="000000"/>
          <w:lang w:val="en-GB"/>
        </w:rPr>
        <w:t xml:space="preserve">Beckett, K., Beach, L., </w:t>
      </w:r>
      <w:proofErr w:type="spellStart"/>
      <w:r w:rsidRPr="00D65C10">
        <w:rPr>
          <w:rFonts w:ascii="Calibri" w:hAnsi="Calibri" w:cs="Calibri"/>
          <w:color w:val="000000"/>
          <w:lang w:val="en-GB"/>
        </w:rPr>
        <w:t>Knaphus</w:t>
      </w:r>
      <w:proofErr w:type="spellEnd"/>
      <w:r w:rsidRPr="00D65C10">
        <w:rPr>
          <w:rFonts w:ascii="Calibri" w:hAnsi="Calibri" w:cs="Calibri"/>
          <w:color w:val="000000"/>
          <w:lang w:val="en-GB"/>
        </w:rPr>
        <w:t xml:space="preserve">, E., &amp; </w:t>
      </w:r>
      <w:proofErr w:type="spellStart"/>
      <w:r w:rsidRPr="00D65C10">
        <w:rPr>
          <w:rFonts w:ascii="Calibri" w:hAnsi="Calibri" w:cs="Calibri"/>
          <w:color w:val="000000"/>
          <w:lang w:val="en-GB"/>
        </w:rPr>
        <w:t>Reosti</w:t>
      </w:r>
      <w:proofErr w:type="spellEnd"/>
      <w:r w:rsidRPr="00D65C10">
        <w:rPr>
          <w:rFonts w:ascii="Calibri" w:hAnsi="Calibri" w:cs="Calibri"/>
          <w:color w:val="000000"/>
          <w:lang w:val="en-GB"/>
        </w:rPr>
        <w:t xml:space="preserve">, A. (2018). US criminal justice policy and practice in the twenty-first century: Toward the end of mass incarceration? </w:t>
      </w:r>
      <w:r w:rsidRPr="00D65C10">
        <w:rPr>
          <w:rFonts w:ascii="Calibri" w:hAnsi="Calibri" w:cs="Calibri"/>
          <w:i/>
          <w:iCs/>
          <w:color w:val="000000"/>
          <w:lang w:val="en-GB"/>
        </w:rPr>
        <w:t>Law &amp; Policy</w:t>
      </w:r>
      <w:r w:rsidRPr="00D65C10">
        <w:rPr>
          <w:rFonts w:ascii="Calibri" w:hAnsi="Calibri" w:cs="Calibri"/>
          <w:color w:val="000000"/>
          <w:lang w:val="en-GB"/>
        </w:rPr>
        <w:t xml:space="preserve">, </w:t>
      </w:r>
      <w:r w:rsidRPr="00D65C10">
        <w:rPr>
          <w:rFonts w:ascii="Calibri" w:hAnsi="Calibri" w:cs="Calibri"/>
          <w:i/>
          <w:iCs/>
          <w:color w:val="000000"/>
          <w:lang w:val="en-GB"/>
        </w:rPr>
        <w:t>40</w:t>
      </w:r>
      <w:r w:rsidRPr="00D65C10">
        <w:rPr>
          <w:rFonts w:ascii="Calibri" w:hAnsi="Calibri" w:cs="Calibri"/>
          <w:color w:val="000000"/>
          <w:lang w:val="en-GB"/>
        </w:rPr>
        <w:t>(4), 321–345.</w:t>
      </w:r>
    </w:p>
    <w:p w14:paraId="5FF0906F" w14:textId="77777777" w:rsidR="00D65C10" w:rsidRPr="00D65C10" w:rsidRDefault="00D65C10" w:rsidP="00D65C10">
      <w:pPr>
        <w:pStyle w:val="Bibliography"/>
        <w:rPr>
          <w:rFonts w:ascii="Calibri" w:hAnsi="Calibri" w:cs="Calibri"/>
          <w:color w:val="000000"/>
          <w:lang w:val="en-GB"/>
        </w:rPr>
      </w:pPr>
      <w:proofErr w:type="spellStart"/>
      <w:r w:rsidRPr="00D65C10">
        <w:rPr>
          <w:rFonts w:ascii="Calibri" w:hAnsi="Calibri" w:cs="Calibri"/>
          <w:color w:val="000000"/>
          <w:lang w:val="en-GB"/>
        </w:rPr>
        <w:t>Bedner</w:t>
      </w:r>
      <w:proofErr w:type="spellEnd"/>
      <w:r w:rsidRPr="00D65C10">
        <w:rPr>
          <w:rFonts w:ascii="Calibri" w:hAnsi="Calibri" w:cs="Calibri"/>
          <w:color w:val="000000"/>
          <w:lang w:val="en-GB"/>
        </w:rPr>
        <w:t xml:space="preserve">, A., &amp; </w:t>
      </w:r>
      <w:proofErr w:type="spellStart"/>
      <w:r w:rsidRPr="00D65C10">
        <w:rPr>
          <w:rFonts w:ascii="Calibri" w:hAnsi="Calibri" w:cs="Calibri"/>
          <w:color w:val="000000"/>
          <w:lang w:val="en-GB"/>
        </w:rPr>
        <w:t>Vel</w:t>
      </w:r>
      <w:proofErr w:type="spellEnd"/>
      <w:r w:rsidRPr="00D65C10">
        <w:rPr>
          <w:rFonts w:ascii="Calibri" w:hAnsi="Calibri" w:cs="Calibri"/>
          <w:color w:val="000000"/>
          <w:lang w:val="en-GB"/>
        </w:rPr>
        <w:t xml:space="preserve">, J. A. C. (2010). An Analytical Framework for Empirical Research on Access to Justice. </w:t>
      </w:r>
      <w:r w:rsidRPr="00D65C10">
        <w:rPr>
          <w:rFonts w:ascii="Calibri" w:hAnsi="Calibri" w:cs="Calibri"/>
          <w:i/>
          <w:iCs/>
          <w:color w:val="000000"/>
          <w:lang w:val="en-GB"/>
        </w:rPr>
        <w:t>Law, Social Justice &amp; Global Development Journal (LGD)</w:t>
      </w:r>
      <w:r w:rsidRPr="00D65C10">
        <w:rPr>
          <w:rFonts w:ascii="Calibri" w:hAnsi="Calibri" w:cs="Calibri"/>
          <w:color w:val="000000"/>
          <w:lang w:val="en-GB"/>
        </w:rPr>
        <w:t>.</w:t>
      </w:r>
    </w:p>
    <w:p w14:paraId="2AE1CA24" w14:textId="77777777" w:rsidR="00D65C10" w:rsidRPr="00D65C10" w:rsidRDefault="00D65C10" w:rsidP="00D65C10">
      <w:pPr>
        <w:pStyle w:val="Bibliography"/>
        <w:rPr>
          <w:rFonts w:ascii="Calibri" w:hAnsi="Calibri" w:cs="Calibri"/>
          <w:color w:val="000000"/>
          <w:lang w:val="en-GB"/>
        </w:rPr>
      </w:pPr>
      <w:r w:rsidRPr="00D65C10">
        <w:rPr>
          <w:rFonts w:ascii="Calibri" w:hAnsi="Calibri" w:cs="Calibri"/>
          <w:color w:val="000000"/>
          <w:lang w:val="en-GB"/>
        </w:rPr>
        <w:t xml:space="preserve">Bellamy, R. (2017). </w:t>
      </w:r>
      <w:r w:rsidRPr="00D65C10">
        <w:rPr>
          <w:rFonts w:ascii="Calibri" w:hAnsi="Calibri" w:cs="Calibri"/>
          <w:i/>
          <w:iCs/>
          <w:color w:val="000000"/>
          <w:lang w:val="en-GB"/>
        </w:rPr>
        <w:t>The rule of law and the separation of powers</w:t>
      </w:r>
      <w:r w:rsidRPr="00D65C10">
        <w:rPr>
          <w:rFonts w:ascii="Calibri" w:hAnsi="Calibri" w:cs="Calibri"/>
          <w:color w:val="000000"/>
          <w:lang w:val="en-GB"/>
        </w:rPr>
        <w:t>. Routledge.</w:t>
      </w:r>
    </w:p>
    <w:p w14:paraId="33149C6C" w14:textId="77777777" w:rsidR="00D65C10" w:rsidRPr="00D65C10" w:rsidRDefault="00D65C10" w:rsidP="00D65C10">
      <w:pPr>
        <w:pStyle w:val="Bibliography"/>
        <w:rPr>
          <w:rFonts w:ascii="Calibri" w:hAnsi="Calibri" w:cs="Calibri"/>
          <w:color w:val="000000"/>
          <w:lang w:val="en-GB"/>
        </w:rPr>
      </w:pPr>
      <w:proofErr w:type="spellStart"/>
      <w:r w:rsidRPr="00D65C10">
        <w:rPr>
          <w:rFonts w:ascii="Calibri" w:hAnsi="Calibri" w:cs="Calibri"/>
          <w:color w:val="000000"/>
          <w:lang w:val="en-GB"/>
        </w:rPr>
        <w:t>Bielefeldt</w:t>
      </w:r>
      <w:proofErr w:type="spellEnd"/>
      <w:r w:rsidRPr="00D65C10">
        <w:rPr>
          <w:rFonts w:ascii="Calibri" w:hAnsi="Calibri" w:cs="Calibri"/>
          <w:color w:val="000000"/>
          <w:lang w:val="en-GB"/>
        </w:rPr>
        <w:t xml:space="preserve">, H. (2012). Freedom of Religion or Belief–A Human Right under Pressure. </w:t>
      </w:r>
      <w:r w:rsidRPr="00D65C10">
        <w:rPr>
          <w:rFonts w:ascii="Calibri" w:hAnsi="Calibri" w:cs="Calibri"/>
          <w:i/>
          <w:iCs/>
          <w:color w:val="000000"/>
          <w:lang w:val="en-GB"/>
        </w:rPr>
        <w:t>Oxford Journal of Law and Religion</w:t>
      </w:r>
      <w:r w:rsidRPr="00D65C10">
        <w:rPr>
          <w:rFonts w:ascii="Calibri" w:hAnsi="Calibri" w:cs="Calibri"/>
          <w:color w:val="000000"/>
          <w:lang w:val="en-GB"/>
        </w:rPr>
        <w:t xml:space="preserve">, </w:t>
      </w:r>
      <w:r w:rsidRPr="00D65C10">
        <w:rPr>
          <w:rFonts w:ascii="Calibri" w:hAnsi="Calibri" w:cs="Calibri"/>
          <w:i/>
          <w:iCs/>
          <w:color w:val="000000"/>
          <w:lang w:val="en-GB"/>
        </w:rPr>
        <w:t>1</w:t>
      </w:r>
      <w:r w:rsidRPr="00D65C10">
        <w:rPr>
          <w:rFonts w:ascii="Calibri" w:hAnsi="Calibri" w:cs="Calibri"/>
          <w:color w:val="000000"/>
          <w:lang w:val="en-GB"/>
        </w:rPr>
        <w:t>(1), 15–35. https://doi.org/10.1093/ojlr/rwr018</w:t>
      </w:r>
    </w:p>
    <w:p w14:paraId="38C1B0CE" w14:textId="77777777" w:rsidR="00D65C10" w:rsidRPr="00D65C10" w:rsidRDefault="00D65C10" w:rsidP="00D65C10">
      <w:pPr>
        <w:pStyle w:val="Bibliography"/>
        <w:rPr>
          <w:rFonts w:ascii="Calibri" w:hAnsi="Calibri" w:cs="Calibri"/>
          <w:color w:val="000000"/>
          <w:lang w:val="en-GB"/>
        </w:rPr>
      </w:pPr>
      <w:r w:rsidRPr="00D65C10">
        <w:rPr>
          <w:rFonts w:ascii="Calibri" w:hAnsi="Calibri" w:cs="Calibri"/>
          <w:color w:val="000000"/>
          <w:lang w:val="en-GB"/>
        </w:rPr>
        <w:t xml:space="preserve">Bush, R. (2015). 13 Religious politics and minority rights during the Yudhoyono presidency. </w:t>
      </w:r>
      <w:r w:rsidRPr="00D65C10">
        <w:rPr>
          <w:rFonts w:ascii="Calibri" w:hAnsi="Calibri" w:cs="Calibri"/>
          <w:i/>
          <w:iCs/>
          <w:color w:val="000000"/>
          <w:lang w:val="en-GB"/>
        </w:rPr>
        <w:t>The Yudhoyono Presidency: Indonesia’s Decade of Stability and Stagnation</w:t>
      </w:r>
      <w:r w:rsidRPr="00D65C10">
        <w:rPr>
          <w:rFonts w:ascii="Calibri" w:hAnsi="Calibri" w:cs="Calibri"/>
          <w:color w:val="000000"/>
          <w:lang w:val="en-GB"/>
        </w:rPr>
        <w:t>, 239.</w:t>
      </w:r>
    </w:p>
    <w:p w14:paraId="79A892F1" w14:textId="77777777" w:rsidR="00D65C10" w:rsidRPr="00D65C10" w:rsidRDefault="00D65C10" w:rsidP="00D65C10">
      <w:pPr>
        <w:pStyle w:val="Bibliography"/>
        <w:rPr>
          <w:rFonts w:ascii="Calibri" w:hAnsi="Calibri" w:cs="Calibri"/>
          <w:color w:val="000000"/>
          <w:lang w:val="en-GB"/>
        </w:rPr>
      </w:pPr>
      <w:r w:rsidRPr="00D65C10">
        <w:rPr>
          <w:rFonts w:ascii="Calibri" w:hAnsi="Calibri" w:cs="Calibri"/>
          <w:color w:val="000000"/>
          <w:lang w:val="en-GB"/>
        </w:rPr>
        <w:t xml:space="preserve">Butt, S. (2018). Religious conservatism, Islamic criminal law and the judiciary in Indonesia: A tale of three courts. </w:t>
      </w:r>
      <w:r w:rsidRPr="00D65C10">
        <w:rPr>
          <w:rFonts w:ascii="Calibri" w:hAnsi="Calibri" w:cs="Calibri"/>
          <w:i/>
          <w:iCs/>
          <w:color w:val="000000"/>
          <w:lang w:val="en-GB"/>
        </w:rPr>
        <w:t>The Journal of Legal Pluralism and Unofficial Law</w:t>
      </w:r>
      <w:r w:rsidRPr="00D65C10">
        <w:rPr>
          <w:rFonts w:ascii="Calibri" w:hAnsi="Calibri" w:cs="Calibri"/>
          <w:color w:val="000000"/>
          <w:lang w:val="en-GB"/>
        </w:rPr>
        <w:t xml:space="preserve">, </w:t>
      </w:r>
      <w:r w:rsidRPr="00D65C10">
        <w:rPr>
          <w:rFonts w:ascii="Calibri" w:hAnsi="Calibri" w:cs="Calibri"/>
          <w:i/>
          <w:iCs/>
          <w:color w:val="000000"/>
          <w:lang w:val="en-GB"/>
        </w:rPr>
        <w:t>50</w:t>
      </w:r>
      <w:r w:rsidRPr="00D65C10">
        <w:rPr>
          <w:rFonts w:ascii="Calibri" w:hAnsi="Calibri" w:cs="Calibri"/>
          <w:color w:val="000000"/>
          <w:lang w:val="en-GB"/>
        </w:rPr>
        <w:t>(3), 402–434.</w:t>
      </w:r>
    </w:p>
    <w:p w14:paraId="531A2C06" w14:textId="77777777" w:rsidR="00D65C10" w:rsidRPr="00D65C10" w:rsidRDefault="00D65C10" w:rsidP="00D65C10">
      <w:pPr>
        <w:pStyle w:val="Bibliography"/>
        <w:rPr>
          <w:rFonts w:ascii="Calibri" w:hAnsi="Calibri" w:cs="Calibri"/>
          <w:color w:val="000000"/>
          <w:lang w:val="en-GB"/>
        </w:rPr>
      </w:pPr>
      <w:r w:rsidRPr="00D65C10">
        <w:rPr>
          <w:rFonts w:ascii="Calibri" w:hAnsi="Calibri" w:cs="Calibri"/>
          <w:color w:val="000000"/>
          <w:lang w:val="en-GB"/>
        </w:rPr>
        <w:t xml:space="preserve">Crouch, M. (2009). Indonesia, militant Islam and </w:t>
      </w:r>
      <w:proofErr w:type="spellStart"/>
      <w:r w:rsidRPr="00D65C10">
        <w:rPr>
          <w:rFonts w:ascii="Calibri" w:hAnsi="Calibri" w:cs="Calibri"/>
          <w:color w:val="000000"/>
          <w:lang w:val="en-GB"/>
        </w:rPr>
        <w:t>Ahmadiyah</w:t>
      </w:r>
      <w:proofErr w:type="spellEnd"/>
      <w:r w:rsidRPr="00D65C10">
        <w:rPr>
          <w:rFonts w:ascii="Calibri" w:hAnsi="Calibri" w:cs="Calibri"/>
          <w:color w:val="000000"/>
          <w:lang w:val="en-GB"/>
        </w:rPr>
        <w:t xml:space="preserve">: Origins and implications. </w:t>
      </w:r>
      <w:r w:rsidRPr="00D65C10">
        <w:rPr>
          <w:rFonts w:ascii="Calibri" w:hAnsi="Calibri" w:cs="Calibri"/>
          <w:i/>
          <w:iCs/>
          <w:color w:val="000000"/>
          <w:lang w:val="en-GB"/>
        </w:rPr>
        <w:t xml:space="preserve">ARC Federation </w:t>
      </w:r>
      <w:proofErr w:type="spellStart"/>
      <w:r w:rsidRPr="00D65C10">
        <w:rPr>
          <w:rFonts w:ascii="Calibri" w:hAnsi="Calibri" w:cs="Calibri"/>
          <w:i/>
          <w:iCs/>
          <w:color w:val="000000"/>
          <w:lang w:val="en-GB"/>
        </w:rPr>
        <w:t>Fellowship,‘Islam</w:t>
      </w:r>
      <w:proofErr w:type="spellEnd"/>
      <w:r w:rsidRPr="00D65C10">
        <w:rPr>
          <w:rFonts w:ascii="Calibri" w:hAnsi="Calibri" w:cs="Calibri"/>
          <w:i/>
          <w:iCs/>
          <w:color w:val="000000"/>
          <w:lang w:val="en-GB"/>
        </w:rPr>
        <w:t xml:space="preserve">, Shariah and </w:t>
      </w:r>
      <w:proofErr w:type="spellStart"/>
      <w:r w:rsidRPr="00D65C10">
        <w:rPr>
          <w:rFonts w:ascii="Calibri" w:hAnsi="Calibri" w:cs="Calibri"/>
          <w:i/>
          <w:iCs/>
          <w:color w:val="000000"/>
          <w:lang w:val="en-GB"/>
        </w:rPr>
        <w:t>Governance’Background</w:t>
      </w:r>
      <w:proofErr w:type="spellEnd"/>
      <w:r w:rsidRPr="00D65C10">
        <w:rPr>
          <w:rFonts w:ascii="Calibri" w:hAnsi="Calibri" w:cs="Calibri"/>
          <w:i/>
          <w:iCs/>
          <w:color w:val="000000"/>
          <w:lang w:val="en-GB"/>
        </w:rPr>
        <w:t xml:space="preserve"> Paper Series</w:t>
      </w:r>
      <w:r w:rsidRPr="00D65C10">
        <w:rPr>
          <w:rFonts w:ascii="Calibri" w:hAnsi="Calibri" w:cs="Calibri"/>
          <w:color w:val="000000"/>
          <w:lang w:val="en-GB"/>
        </w:rPr>
        <w:t xml:space="preserve">, </w:t>
      </w:r>
      <w:r w:rsidRPr="00D65C10">
        <w:rPr>
          <w:rFonts w:ascii="Calibri" w:hAnsi="Calibri" w:cs="Calibri"/>
          <w:i/>
          <w:iCs/>
          <w:color w:val="000000"/>
          <w:lang w:val="en-GB"/>
        </w:rPr>
        <w:t>4</w:t>
      </w:r>
      <w:r w:rsidRPr="00D65C10">
        <w:rPr>
          <w:rFonts w:ascii="Calibri" w:hAnsi="Calibri" w:cs="Calibri"/>
          <w:color w:val="000000"/>
          <w:lang w:val="en-GB"/>
        </w:rPr>
        <w:t>.</w:t>
      </w:r>
    </w:p>
    <w:p w14:paraId="2E17C16A" w14:textId="77777777" w:rsidR="00D65C10" w:rsidRPr="00D65C10" w:rsidRDefault="00D65C10" w:rsidP="00D65C10">
      <w:pPr>
        <w:pStyle w:val="Bibliography"/>
        <w:rPr>
          <w:rFonts w:ascii="Calibri" w:hAnsi="Calibri" w:cs="Calibri"/>
          <w:color w:val="000000"/>
          <w:lang w:val="en-GB"/>
        </w:rPr>
      </w:pPr>
      <w:r w:rsidRPr="00D65C10">
        <w:rPr>
          <w:rFonts w:ascii="Calibri" w:hAnsi="Calibri" w:cs="Calibri"/>
          <w:color w:val="000000"/>
          <w:lang w:val="en-GB"/>
        </w:rPr>
        <w:t xml:space="preserve">Crouch, M. A. (2012). Law and religion in Indonesia: The Constitutional court and the blasphemy law. </w:t>
      </w:r>
      <w:r w:rsidRPr="00D65C10">
        <w:rPr>
          <w:rFonts w:ascii="Calibri" w:hAnsi="Calibri" w:cs="Calibri"/>
          <w:i/>
          <w:iCs/>
          <w:color w:val="000000"/>
          <w:lang w:val="en-GB"/>
        </w:rPr>
        <w:t>Asian J. Comp. Law</w:t>
      </w:r>
      <w:r w:rsidRPr="00D65C10">
        <w:rPr>
          <w:rFonts w:ascii="Calibri" w:hAnsi="Calibri" w:cs="Calibri"/>
          <w:color w:val="000000"/>
          <w:lang w:val="en-GB"/>
        </w:rPr>
        <w:t xml:space="preserve">, </w:t>
      </w:r>
      <w:r w:rsidRPr="00D65C10">
        <w:rPr>
          <w:rFonts w:ascii="Calibri" w:hAnsi="Calibri" w:cs="Calibri"/>
          <w:i/>
          <w:iCs/>
          <w:color w:val="000000"/>
          <w:lang w:val="en-GB"/>
        </w:rPr>
        <w:t>7</w:t>
      </w:r>
      <w:r w:rsidRPr="00D65C10">
        <w:rPr>
          <w:rFonts w:ascii="Calibri" w:hAnsi="Calibri" w:cs="Calibri"/>
          <w:color w:val="000000"/>
          <w:lang w:val="en-GB"/>
        </w:rPr>
        <w:t>. https://doi.org/10.1515/1932-0205.1391</w:t>
      </w:r>
    </w:p>
    <w:p w14:paraId="6063D42D" w14:textId="77777777" w:rsidR="00D65C10" w:rsidRPr="00D65C10" w:rsidRDefault="00D65C10" w:rsidP="00D65C10">
      <w:pPr>
        <w:pStyle w:val="Bibliography"/>
        <w:rPr>
          <w:rFonts w:ascii="Calibri" w:hAnsi="Calibri" w:cs="Calibri"/>
          <w:color w:val="000000"/>
          <w:lang w:val="en-GB"/>
        </w:rPr>
      </w:pPr>
      <w:r w:rsidRPr="00D65C10">
        <w:rPr>
          <w:rFonts w:ascii="Calibri" w:hAnsi="Calibri" w:cs="Calibri"/>
          <w:color w:val="000000"/>
          <w:lang w:val="en-GB"/>
        </w:rPr>
        <w:t xml:space="preserve">Fischer, M. (2021). Hate Speech Laws and Blasphemy Laws: Parallels Show Problems with the UN Strategy and Plan of Action on Hate Speech. </w:t>
      </w:r>
      <w:r w:rsidRPr="00D65C10">
        <w:rPr>
          <w:rFonts w:ascii="Calibri" w:hAnsi="Calibri" w:cs="Calibri"/>
          <w:i/>
          <w:iCs/>
          <w:color w:val="000000"/>
          <w:lang w:val="en-GB"/>
        </w:rPr>
        <w:t>Emory Int’l L. Rev.</w:t>
      </w:r>
      <w:r w:rsidRPr="00D65C10">
        <w:rPr>
          <w:rFonts w:ascii="Calibri" w:hAnsi="Calibri" w:cs="Calibri"/>
          <w:color w:val="000000"/>
          <w:lang w:val="en-GB"/>
        </w:rPr>
        <w:t xml:space="preserve">, </w:t>
      </w:r>
      <w:r w:rsidRPr="00D65C10">
        <w:rPr>
          <w:rFonts w:ascii="Calibri" w:hAnsi="Calibri" w:cs="Calibri"/>
          <w:i/>
          <w:iCs/>
          <w:color w:val="000000"/>
          <w:lang w:val="en-GB"/>
        </w:rPr>
        <w:t>35</w:t>
      </w:r>
      <w:r w:rsidRPr="00D65C10">
        <w:rPr>
          <w:rFonts w:ascii="Calibri" w:hAnsi="Calibri" w:cs="Calibri"/>
          <w:color w:val="000000"/>
          <w:lang w:val="en-GB"/>
        </w:rPr>
        <w:t>, 177.</w:t>
      </w:r>
    </w:p>
    <w:p w14:paraId="70CFA5ED" w14:textId="77777777" w:rsidR="00D65C10" w:rsidRPr="00D65C10" w:rsidRDefault="00D65C10" w:rsidP="00D65C10">
      <w:pPr>
        <w:pStyle w:val="Bibliography"/>
        <w:rPr>
          <w:rFonts w:ascii="Calibri" w:hAnsi="Calibri" w:cs="Calibri"/>
          <w:color w:val="000000"/>
          <w:lang w:val="en-GB"/>
        </w:rPr>
      </w:pPr>
      <w:r w:rsidRPr="00D65C10">
        <w:rPr>
          <w:rFonts w:ascii="Calibri" w:hAnsi="Calibri" w:cs="Calibri"/>
          <w:color w:val="000000"/>
          <w:lang w:val="en-GB"/>
        </w:rPr>
        <w:t xml:space="preserve">Galtung, J. (1969). Violence, Peace, and Peace Research. </w:t>
      </w:r>
      <w:r w:rsidRPr="00D65C10">
        <w:rPr>
          <w:rFonts w:ascii="Calibri" w:hAnsi="Calibri" w:cs="Calibri"/>
          <w:i/>
          <w:iCs/>
          <w:color w:val="000000"/>
          <w:lang w:val="en-GB"/>
        </w:rPr>
        <w:t>Journal of Peace Research</w:t>
      </w:r>
      <w:r w:rsidRPr="00D65C10">
        <w:rPr>
          <w:rFonts w:ascii="Calibri" w:hAnsi="Calibri" w:cs="Calibri"/>
          <w:color w:val="000000"/>
          <w:lang w:val="en-GB"/>
        </w:rPr>
        <w:t xml:space="preserve">, </w:t>
      </w:r>
      <w:r w:rsidRPr="00D65C10">
        <w:rPr>
          <w:rFonts w:ascii="Calibri" w:hAnsi="Calibri" w:cs="Calibri"/>
          <w:i/>
          <w:iCs/>
          <w:color w:val="000000"/>
          <w:lang w:val="en-GB"/>
        </w:rPr>
        <w:t>6</w:t>
      </w:r>
      <w:r w:rsidRPr="00D65C10">
        <w:rPr>
          <w:rFonts w:ascii="Calibri" w:hAnsi="Calibri" w:cs="Calibri"/>
          <w:color w:val="000000"/>
          <w:lang w:val="en-GB"/>
        </w:rPr>
        <w:t>(3), 167–191. https://doi.org/10.1177/002234336900600301</w:t>
      </w:r>
    </w:p>
    <w:p w14:paraId="691D5E4B" w14:textId="77777777" w:rsidR="00D65C10" w:rsidRPr="00D65C10" w:rsidRDefault="00D65C10" w:rsidP="00D65C10">
      <w:pPr>
        <w:pStyle w:val="Bibliography"/>
        <w:rPr>
          <w:rFonts w:ascii="Calibri" w:hAnsi="Calibri" w:cs="Calibri"/>
          <w:color w:val="000000"/>
          <w:lang w:val="en-GB"/>
        </w:rPr>
      </w:pPr>
      <w:r w:rsidRPr="00D65C10">
        <w:rPr>
          <w:rFonts w:ascii="Calibri" w:hAnsi="Calibri" w:cs="Calibri"/>
          <w:color w:val="000000"/>
          <w:lang w:val="en-GB"/>
        </w:rPr>
        <w:t xml:space="preserve">George, C. (2017). Hate spin: The twin political strategies of religious incitement and offense-taking. </w:t>
      </w:r>
      <w:r w:rsidRPr="00D65C10">
        <w:rPr>
          <w:rFonts w:ascii="Calibri" w:hAnsi="Calibri" w:cs="Calibri"/>
          <w:i/>
          <w:iCs/>
          <w:color w:val="000000"/>
          <w:lang w:val="en-GB"/>
        </w:rPr>
        <w:t>Communication Theory</w:t>
      </w:r>
      <w:r w:rsidRPr="00D65C10">
        <w:rPr>
          <w:rFonts w:ascii="Calibri" w:hAnsi="Calibri" w:cs="Calibri"/>
          <w:color w:val="000000"/>
          <w:lang w:val="en-GB"/>
        </w:rPr>
        <w:t xml:space="preserve">, </w:t>
      </w:r>
      <w:r w:rsidRPr="00D65C10">
        <w:rPr>
          <w:rFonts w:ascii="Calibri" w:hAnsi="Calibri" w:cs="Calibri"/>
          <w:i/>
          <w:iCs/>
          <w:color w:val="000000"/>
          <w:lang w:val="en-GB"/>
        </w:rPr>
        <w:t>27</w:t>
      </w:r>
      <w:r w:rsidRPr="00D65C10">
        <w:rPr>
          <w:rFonts w:ascii="Calibri" w:hAnsi="Calibri" w:cs="Calibri"/>
          <w:color w:val="000000"/>
          <w:lang w:val="en-GB"/>
        </w:rPr>
        <w:t>(2), 156–175.</w:t>
      </w:r>
    </w:p>
    <w:p w14:paraId="26B76459" w14:textId="77777777" w:rsidR="00D65C10" w:rsidRPr="00D65C10" w:rsidRDefault="00D65C10" w:rsidP="00D65C10">
      <w:pPr>
        <w:pStyle w:val="Bibliography"/>
        <w:rPr>
          <w:rFonts w:ascii="Calibri" w:hAnsi="Calibri" w:cs="Calibri"/>
          <w:color w:val="000000"/>
          <w:lang w:val="en-GB"/>
        </w:rPr>
      </w:pPr>
      <w:proofErr w:type="spellStart"/>
      <w:r w:rsidRPr="00D65C10">
        <w:rPr>
          <w:rFonts w:ascii="Calibri" w:hAnsi="Calibri" w:cs="Calibri"/>
          <w:color w:val="000000"/>
          <w:lang w:val="en-GB"/>
        </w:rPr>
        <w:lastRenderedPageBreak/>
        <w:t>Hassner</w:t>
      </w:r>
      <w:proofErr w:type="spellEnd"/>
      <w:r w:rsidRPr="00D65C10">
        <w:rPr>
          <w:rFonts w:ascii="Calibri" w:hAnsi="Calibri" w:cs="Calibri"/>
          <w:color w:val="000000"/>
          <w:lang w:val="en-GB"/>
        </w:rPr>
        <w:t xml:space="preserve">, R. E. (2011). Blasphemy and Violence1: Blasphemy and Violence. </w:t>
      </w:r>
      <w:r w:rsidRPr="00D65C10">
        <w:rPr>
          <w:rFonts w:ascii="Calibri" w:hAnsi="Calibri" w:cs="Calibri"/>
          <w:i/>
          <w:iCs/>
          <w:color w:val="000000"/>
          <w:lang w:val="en-GB"/>
        </w:rPr>
        <w:t>International Studies Quarterly</w:t>
      </w:r>
      <w:r w:rsidRPr="00D65C10">
        <w:rPr>
          <w:rFonts w:ascii="Calibri" w:hAnsi="Calibri" w:cs="Calibri"/>
          <w:color w:val="000000"/>
          <w:lang w:val="en-GB"/>
        </w:rPr>
        <w:t xml:space="preserve">, </w:t>
      </w:r>
      <w:r w:rsidRPr="00D65C10">
        <w:rPr>
          <w:rFonts w:ascii="Calibri" w:hAnsi="Calibri" w:cs="Calibri"/>
          <w:i/>
          <w:iCs/>
          <w:color w:val="000000"/>
          <w:lang w:val="en-GB"/>
        </w:rPr>
        <w:t>55</w:t>
      </w:r>
      <w:r w:rsidRPr="00D65C10">
        <w:rPr>
          <w:rFonts w:ascii="Calibri" w:hAnsi="Calibri" w:cs="Calibri"/>
          <w:color w:val="000000"/>
          <w:lang w:val="en-GB"/>
        </w:rPr>
        <w:t>(1), 23–45. https://doi.org/10.1111/j.1468-2478.2010.00634.x</w:t>
      </w:r>
    </w:p>
    <w:p w14:paraId="649182E5" w14:textId="77777777" w:rsidR="00D65C10" w:rsidRPr="00D65C10" w:rsidRDefault="00D65C10" w:rsidP="00D65C10">
      <w:pPr>
        <w:pStyle w:val="Bibliography"/>
        <w:rPr>
          <w:rFonts w:ascii="Calibri" w:hAnsi="Calibri" w:cs="Calibri"/>
          <w:color w:val="000000"/>
          <w:lang w:val="en-GB"/>
        </w:rPr>
      </w:pPr>
      <w:r w:rsidRPr="00D65C10">
        <w:rPr>
          <w:rFonts w:ascii="Calibri" w:hAnsi="Calibri" w:cs="Calibri"/>
          <w:color w:val="000000"/>
          <w:lang w:val="en-GB"/>
        </w:rPr>
        <w:t xml:space="preserve">Hewson, J. (2017). </w:t>
      </w:r>
      <w:r w:rsidRPr="00D65C10">
        <w:rPr>
          <w:rFonts w:ascii="Calibri" w:hAnsi="Calibri" w:cs="Calibri"/>
          <w:i/>
          <w:iCs/>
          <w:color w:val="000000"/>
          <w:lang w:val="en-GB"/>
        </w:rPr>
        <w:t>Focus—Mob justice on the rise in Indonesia</w:t>
      </w:r>
      <w:r w:rsidRPr="00D65C10">
        <w:rPr>
          <w:rFonts w:ascii="Calibri" w:hAnsi="Calibri" w:cs="Calibri"/>
          <w:color w:val="000000"/>
          <w:lang w:val="en-GB"/>
        </w:rPr>
        <w:t>. https://www.france24.com/en/20170928-focus-indonesia-mob-justice-rise-vigilante-violence-ethnic-religious-minorities</w:t>
      </w:r>
    </w:p>
    <w:p w14:paraId="3D577FDB" w14:textId="77777777" w:rsidR="00D65C10" w:rsidRPr="00D65C10" w:rsidRDefault="00D65C10" w:rsidP="00D65C10">
      <w:pPr>
        <w:pStyle w:val="Bibliography"/>
        <w:rPr>
          <w:rFonts w:ascii="Calibri" w:hAnsi="Calibri" w:cs="Calibri"/>
          <w:color w:val="000000"/>
          <w:lang w:val="en-GB"/>
        </w:rPr>
      </w:pPr>
      <w:proofErr w:type="spellStart"/>
      <w:r w:rsidRPr="00D65C10">
        <w:rPr>
          <w:rFonts w:ascii="Calibri" w:hAnsi="Calibri" w:cs="Calibri"/>
          <w:color w:val="000000"/>
          <w:lang w:val="en-GB"/>
        </w:rPr>
        <w:t>Madanih</w:t>
      </w:r>
      <w:proofErr w:type="spellEnd"/>
      <w:r w:rsidRPr="00D65C10">
        <w:rPr>
          <w:rFonts w:ascii="Calibri" w:hAnsi="Calibri" w:cs="Calibri"/>
          <w:color w:val="000000"/>
          <w:lang w:val="en-GB"/>
        </w:rPr>
        <w:t xml:space="preserve">, D. (Ed.). (2019). </w:t>
      </w:r>
      <w:proofErr w:type="spellStart"/>
      <w:r w:rsidRPr="00D65C10">
        <w:rPr>
          <w:rFonts w:ascii="Calibri" w:hAnsi="Calibri" w:cs="Calibri"/>
          <w:i/>
          <w:iCs/>
          <w:color w:val="000000"/>
          <w:lang w:val="en-GB"/>
        </w:rPr>
        <w:t>Eksaminasi</w:t>
      </w:r>
      <w:proofErr w:type="spellEnd"/>
      <w:r w:rsidRPr="00D65C10">
        <w:rPr>
          <w:rFonts w:ascii="Calibri" w:hAnsi="Calibri" w:cs="Calibri"/>
          <w:i/>
          <w:iCs/>
          <w:color w:val="000000"/>
          <w:lang w:val="en-GB"/>
        </w:rPr>
        <w:t xml:space="preserve"> Publik </w:t>
      </w:r>
      <w:proofErr w:type="spellStart"/>
      <w:r w:rsidRPr="00D65C10">
        <w:rPr>
          <w:rFonts w:ascii="Calibri" w:hAnsi="Calibri" w:cs="Calibri"/>
          <w:i/>
          <w:iCs/>
          <w:color w:val="000000"/>
          <w:lang w:val="en-GB"/>
        </w:rPr>
        <w:t>Putusan</w:t>
      </w:r>
      <w:proofErr w:type="spellEnd"/>
      <w:r w:rsidRPr="00D65C10">
        <w:rPr>
          <w:rFonts w:ascii="Calibri" w:hAnsi="Calibri" w:cs="Calibri"/>
          <w:i/>
          <w:iCs/>
          <w:color w:val="000000"/>
          <w:lang w:val="en-GB"/>
        </w:rPr>
        <w:t xml:space="preserve"> </w:t>
      </w:r>
      <w:proofErr w:type="spellStart"/>
      <w:r w:rsidRPr="00D65C10">
        <w:rPr>
          <w:rFonts w:ascii="Calibri" w:hAnsi="Calibri" w:cs="Calibri"/>
          <w:i/>
          <w:iCs/>
          <w:color w:val="000000"/>
          <w:lang w:val="en-GB"/>
        </w:rPr>
        <w:t>Pengadilan</w:t>
      </w:r>
      <w:proofErr w:type="spellEnd"/>
      <w:r w:rsidRPr="00D65C10">
        <w:rPr>
          <w:rFonts w:ascii="Calibri" w:hAnsi="Calibri" w:cs="Calibri"/>
          <w:i/>
          <w:iCs/>
          <w:color w:val="000000"/>
          <w:lang w:val="en-GB"/>
        </w:rPr>
        <w:t xml:space="preserve"> Negeri Medan </w:t>
      </w:r>
      <w:proofErr w:type="spellStart"/>
      <w:r w:rsidRPr="00D65C10">
        <w:rPr>
          <w:rFonts w:ascii="Calibri" w:hAnsi="Calibri" w:cs="Calibri"/>
          <w:i/>
          <w:iCs/>
          <w:color w:val="000000"/>
          <w:lang w:val="en-GB"/>
        </w:rPr>
        <w:t>Nomor</w:t>
      </w:r>
      <w:proofErr w:type="spellEnd"/>
      <w:r w:rsidRPr="00D65C10">
        <w:rPr>
          <w:rFonts w:ascii="Calibri" w:hAnsi="Calibri" w:cs="Calibri"/>
          <w:i/>
          <w:iCs/>
          <w:color w:val="000000"/>
          <w:lang w:val="en-GB"/>
        </w:rPr>
        <w:t xml:space="preserve"> 1612/</w:t>
      </w:r>
      <w:proofErr w:type="spellStart"/>
      <w:r w:rsidRPr="00D65C10">
        <w:rPr>
          <w:rFonts w:ascii="Calibri" w:hAnsi="Calibri" w:cs="Calibri"/>
          <w:i/>
          <w:iCs/>
          <w:color w:val="000000"/>
          <w:lang w:val="en-GB"/>
        </w:rPr>
        <w:t>Pud.B</w:t>
      </w:r>
      <w:proofErr w:type="spellEnd"/>
      <w:r w:rsidRPr="00D65C10">
        <w:rPr>
          <w:rFonts w:ascii="Calibri" w:hAnsi="Calibri" w:cs="Calibri"/>
          <w:i/>
          <w:iCs/>
          <w:color w:val="000000"/>
          <w:lang w:val="en-GB"/>
        </w:rPr>
        <w:t>/2018/</w:t>
      </w:r>
      <w:proofErr w:type="spellStart"/>
      <w:r w:rsidRPr="00D65C10">
        <w:rPr>
          <w:rFonts w:ascii="Calibri" w:hAnsi="Calibri" w:cs="Calibri"/>
          <w:i/>
          <w:iCs/>
          <w:color w:val="000000"/>
          <w:lang w:val="en-GB"/>
        </w:rPr>
        <w:t>PN.Mdn</w:t>
      </w:r>
      <w:proofErr w:type="spellEnd"/>
      <w:r w:rsidRPr="00D65C10">
        <w:rPr>
          <w:rFonts w:ascii="Calibri" w:hAnsi="Calibri" w:cs="Calibri"/>
          <w:i/>
          <w:iCs/>
          <w:color w:val="000000"/>
          <w:lang w:val="en-GB"/>
        </w:rPr>
        <w:t xml:space="preserve"> </w:t>
      </w:r>
      <w:proofErr w:type="spellStart"/>
      <w:r w:rsidRPr="00D65C10">
        <w:rPr>
          <w:rFonts w:ascii="Calibri" w:hAnsi="Calibri" w:cs="Calibri"/>
          <w:i/>
          <w:iCs/>
          <w:color w:val="000000"/>
          <w:lang w:val="en-GB"/>
        </w:rPr>
        <w:t>Kasus</w:t>
      </w:r>
      <w:proofErr w:type="spellEnd"/>
      <w:r w:rsidRPr="00D65C10">
        <w:rPr>
          <w:rFonts w:ascii="Calibri" w:hAnsi="Calibri" w:cs="Calibri"/>
          <w:i/>
          <w:iCs/>
          <w:color w:val="000000"/>
          <w:lang w:val="en-GB"/>
        </w:rPr>
        <w:t xml:space="preserve"> </w:t>
      </w:r>
      <w:proofErr w:type="spellStart"/>
      <w:r w:rsidRPr="00D65C10">
        <w:rPr>
          <w:rFonts w:ascii="Calibri" w:hAnsi="Calibri" w:cs="Calibri"/>
          <w:i/>
          <w:iCs/>
          <w:color w:val="000000"/>
          <w:lang w:val="en-GB"/>
        </w:rPr>
        <w:t>Pemidanaan</w:t>
      </w:r>
      <w:proofErr w:type="spellEnd"/>
      <w:r w:rsidRPr="00D65C10">
        <w:rPr>
          <w:rFonts w:ascii="Calibri" w:hAnsi="Calibri" w:cs="Calibri"/>
          <w:i/>
          <w:iCs/>
          <w:color w:val="000000"/>
          <w:lang w:val="en-GB"/>
        </w:rPr>
        <w:t xml:space="preserve"> Meiliana</w:t>
      </w:r>
      <w:r w:rsidRPr="00D65C10">
        <w:rPr>
          <w:rFonts w:ascii="Calibri" w:hAnsi="Calibri" w:cs="Calibri"/>
          <w:color w:val="000000"/>
          <w:lang w:val="en-GB"/>
        </w:rPr>
        <w:t xml:space="preserve">. </w:t>
      </w:r>
      <w:proofErr w:type="spellStart"/>
      <w:r w:rsidRPr="00D65C10">
        <w:rPr>
          <w:rFonts w:ascii="Calibri" w:hAnsi="Calibri" w:cs="Calibri"/>
          <w:color w:val="000000"/>
          <w:lang w:val="en-GB"/>
        </w:rPr>
        <w:t>Komnas</w:t>
      </w:r>
      <w:proofErr w:type="spellEnd"/>
      <w:r w:rsidRPr="00D65C10">
        <w:rPr>
          <w:rFonts w:ascii="Calibri" w:hAnsi="Calibri" w:cs="Calibri"/>
          <w:color w:val="000000"/>
          <w:lang w:val="en-GB"/>
        </w:rPr>
        <w:t xml:space="preserve"> Perempuan.</w:t>
      </w:r>
    </w:p>
    <w:p w14:paraId="60D0C747" w14:textId="77777777" w:rsidR="00D65C10" w:rsidRPr="00D65C10" w:rsidRDefault="00D65C10" w:rsidP="00D65C10">
      <w:pPr>
        <w:pStyle w:val="Bibliography"/>
        <w:rPr>
          <w:rFonts w:ascii="Calibri" w:hAnsi="Calibri" w:cs="Calibri"/>
          <w:color w:val="000000"/>
          <w:lang w:val="en-GB"/>
        </w:rPr>
      </w:pPr>
      <w:proofErr w:type="spellStart"/>
      <w:r w:rsidRPr="00D65C10">
        <w:rPr>
          <w:rFonts w:ascii="Calibri" w:hAnsi="Calibri" w:cs="Calibri"/>
          <w:color w:val="000000"/>
          <w:lang w:val="en-GB"/>
        </w:rPr>
        <w:t>Malle</w:t>
      </w:r>
      <w:proofErr w:type="spellEnd"/>
      <w:r w:rsidRPr="00D65C10">
        <w:rPr>
          <w:rFonts w:ascii="Calibri" w:hAnsi="Calibri" w:cs="Calibri"/>
          <w:color w:val="000000"/>
          <w:lang w:val="en-GB"/>
        </w:rPr>
        <w:t xml:space="preserve">, B. F., &amp; Nelson, S. E. (2003). Judging </w:t>
      </w:r>
      <w:proofErr w:type="spellStart"/>
      <w:r w:rsidRPr="00D65C10">
        <w:rPr>
          <w:rFonts w:ascii="Calibri" w:hAnsi="Calibri" w:cs="Calibri"/>
          <w:color w:val="000000"/>
          <w:lang w:val="en-GB"/>
        </w:rPr>
        <w:t>mens</w:t>
      </w:r>
      <w:proofErr w:type="spellEnd"/>
      <w:r w:rsidRPr="00D65C10">
        <w:rPr>
          <w:rFonts w:ascii="Calibri" w:hAnsi="Calibri" w:cs="Calibri"/>
          <w:color w:val="000000"/>
          <w:lang w:val="en-GB"/>
        </w:rPr>
        <w:t xml:space="preserve"> rea: The tension between folk concepts and legal concepts of intentionality. </w:t>
      </w:r>
      <w:proofErr w:type="spellStart"/>
      <w:r w:rsidRPr="00D65C10">
        <w:rPr>
          <w:rFonts w:ascii="Calibri" w:hAnsi="Calibri" w:cs="Calibri"/>
          <w:i/>
          <w:iCs/>
          <w:color w:val="000000"/>
          <w:lang w:val="en-GB"/>
        </w:rPr>
        <w:t>Behavioral</w:t>
      </w:r>
      <w:proofErr w:type="spellEnd"/>
      <w:r w:rsidRPr="00D65C10">
        <w:rPr>
          <w:rFonts w:ascii="Calibri" w:hAnsi="Calibri" w:cs="Calibri"/>
          <w:i/>
          <w:iCs/>
          <w:color w:val="000000"/>
          <w:lang w:val="en-GB"/>
        </w:rPr>
        <w:t xml:space="preserve"> Sciences &amp; the Law</w:t>
      </w:r>
      <w:r w:rsidRPr="00D65C10">
        <w:rPr>
          <w:rFonts w:ascii="Calibri" w:hAnsi="Calibri" w:cs="Calibri"/>
          <w:color w:val="000000"/>
          <w:lang w:val="en-GB"/>
        </w:rPr>
        <w:t xml:space="preserve">, </w:t>
      </w:r>
      <w:r w:rsidRPr="00D65C10">
        <w:rPr>
          <w:rFonts w:ascii="Calibri" w:hAnsi="Calibri" w:cs="Calibri"/>
          <w:i/>
          <w:iCs/>
          <w:color w:val="000000"/>
          <w:lang w:val="en-GB"/>
        </w:rPr>
        <w:t>21</w:t>
      </w:r>
      <w:r w:rsidRPr="00D65C10">
        <w:rPr>
          <w:rFonts w:ascii="Calibri" w:hAnsi="Calibri" w:cs="Calibri"/>
          <w:color w:val="000000"/>
          <w:lang w:val="en-GB"/>
        </w:rPr>
        <w:t>(5), 563–580.</w:t>
      </w:r>
    </w:p>
    <w:p w14:paraId="4479DD03" w14:textId="77777777" w:rsidR="00D65C10" w:rsidRPr="00D65C10" w:rsidRDefault="00D65C10" w:rsidP="00D65C10">
      <w:pPr>
        <w:pStyle w:val="Bibliography"/>
        <w:rPr>
          <w:rFonts w:ascii="Calibri" w:hAnsi="Calibri" w:cs="Calibri"/>
          <w:color w:val="000000"/>
          <w:lang w:val="en-GB"/>
        </w:rPr>
      </w:pPr>
      <w:r w:rsidRPr="00D65C10">
        <w:rPr>
          <w:rFonts w:ascii="Calibri" w:hAnsi="Calibri" w:cs="Calibri"/>
          <w:color w:val="000000"/>
          <w:lang w:val="en-GB"/>
        </w:rPr>
        <w:t xml:space="preserve">Marshall, P. (2018). The Ambiguities of Religious Freedom in Indonesia. </w:t>
      </w:r>
      <w:r w:rsidRPr="00D65C10">
        <w:rPr>
          <w:rFonts w:ascii="Calibri" w:hAnsi="Calibri" w:cs="Calibri"/>
          <w:i/>
          <w:iCs/>
          <w:color w:val="000000"/>
          <w:lang w:val="en-GB"/>
        </w:rPr>
        <w:t>The Review of Faith &amp; International Affairs</w:t>
      </w:r>
      <w:r w:rsidRPr="00D65C10">
        <w:rPr>
          <w:rFonts w:ascii="Calibri" w:hAnsi="Calibri" w:cs="Calibri"/>
          <w:color w:val="000000"/>
          <w:lang w:val="en-GB"/>
        </w:rPr>
        <w:t xml:space="preserve">, </w:t>
      </w:r>
      <w:r w:rsidRPr="00D65C10">
        <w:rPr>
          <w:rFonts w:ascii="Calibri" w:hAnsi="Calibri" w:cs="Calibri"/>
          <w:i/>
          <w:iCs/>
          <w:color w:val="000000"/>
          <w:lang w:val="en-GB"/>
        </w:rPr>
        <w:t>16</w:t>
      </w:r>
      <w:r w:rsidRPr="00D65C10">
        <w:rPr>
          <w:rFonts w:ascii="Calibri" w:hAnsi="Calibri" w:cs="Calibri"/>
          <w:color w:val="000000"/>
          <w:lang w:val="en-GB"/>
        </w:rPr>
        <w:t>(1), 85–96. https://doi.org/10.1080/15570274.2018.1433588</w:t>
      </w:r>
    </w:p>
    <w:p w14:paraId="12209D5A" w14:textId="77777777" w:rsidR="00D65C10" w:rsidRPr="00D65C10" w:rsidRDefault="00D65C10" w:rsidP="00D65C10">
      <w:pPr>
        <w:pStyle w:val="Bibliography"/>
        <w:rPr>
          <w:rFonts w:ascii="Calibri" w:hAnsi="Calibri" w:cs="Calibri"/>
          <w:color w:val="000000"/>
          <w:lang w:val="en-GB"/>
        </w:rPr>
      </w:pPr>
      <w:proofErr w:type="spellStart"/>
      <w:r w:rsidRPr="00D65C10">
        <w:rPr>
          <w:rFonts w:ascii="Calibri" w:hAnsi="Calibri" w:cs="Calibri"/>
          <w:color w:val="000000"/>
          <w:lang w:val="en-GB"/>
        </w:rPr>
        <w:t>Menchik</w:t>
      </w:r>
      <w:proofErr w:type="spellEnd"/>
      <w:r w:rsidRPr="00D65C10">
        <w:rPr>
          <w:rFonts w:ascii="Calibri" w:hAnsi="Calibri" w:cs="Calibri"/>
          <w:color w:val="000000"/>
          <w:lang w:val="en-GB"/>
        </w:rPr>
        <w:t xml:space="preserve">, J. (2014). Productive intolerance: Godly nationalism in Indonesia. </w:t>
      </w:r>
      <w:r w:rsidRPr="00D65C10">
        <w:rPr>
          <w:rFonts w:ascii="Calibri" w:hAnsi="Calibri" w:cs="Calibri"/>
          <w:i/>
          <w:iCs/>
          <w:color w:val="000000"/>
          <w:lang w:val="en-GB"/>
        </w:rPr>
        <w:t>Comparative Studies in Society and History</w:t>
      </w:r>
      <w:r w:rsidRPr="00D65C10">
        <w:rPr>
          <w:rFonts w:ascii="Calibri" w:hAnsi="Calibri" w:cs="Calibri"/>
          <w:color w:val="000000"/>
          <w:lang w:val="en-GB"/>
        </w:rPr>
        <w:t xml:space="preserve">, </w:t>
      </w:r>
      <w:r w:rsidRPr="00D65C10">
        <w:rPr>
          <w:rFonts w:ascii="Calibri" w:hAnsi="Calibri" w:cs="Calibri"/>
          <w:i/>
          <w:iCs/>
          <w:color w:val="000000"/>
          <w:lang w:val="en-GB"/>
        </w:rPr>
        <w:t>56</w:t>
      </w:r>
      <w:r w:rsidRPr="00D65C10">
        <w:rPr>
          <w:rFonts w:ascii="Calibri" w:hAnsi="Calibri" w:cs="Calibri"/>
          <w:color w:val="000000"/>
          <w:lang w:val="en-GB"/>
        </w:rPr>
        <w:t>(3), 591–621. https://doi.org/10.1017/S0010417514000267</w:t>
      </w:r>
    </w:p>
    <w:p w14:paraId="08413055" w14:textId="77777777" w:rsidR="00D65C10" w:rsidRPr="00D65C10" w:rsidRDefault="00D65C10" w:rsidP="00D65C10">
      <w:pPr>
        <w:pStyle w:val="Bibliography"/>
        <w:rPr>
          <w:rFonts w:ascii="Calibri" w:hAnsi="Calibri" w:cs="Calibri"/>
          <w:color w:val="000000"/>
          <w:lang w:val="en-GB"/>
        </w:rPr>
      </w:pPr>
      <w:r w:rsidRPr="00D65C10">
        <w:rPr>
          <w:rFonts w:ascii="Calibri" w:hAnsi="Calibri" w:cs="Calibri"/>
          <w:color w:val="000000"/>
          <w:lang w:val="en-GB"/>
        </w:rPr>
        <w:t xml:space="preserve">Merkel, W. (2012). Measuring the Quality of Rule of Law. </w:t>
      </w:r>
      <w:r w:rsidRPr="00D65C10">
        <w:rPr>
          <w:rFonts w:ascii="Calibri" w:hAnsi="Calibri" w:cs="Calibri"/>
          <w:i/>
          <w:iCs/>
          <w:color w:val="000000"/>
          <w:lang w:val="en-GB"/>
        </w:rPr>
        <w:t>Rule of Law Dynamics: In an Era of International and Transnational Governance</w:t>
      </w:r>
      <w:r w:rsidRPr="00D65C10">
        <w:rPr>
          <w:rFonts w:ascii="Calibri" w:hAnsi="Calibri" w:cs="Calibri"/>
          <w:color w:val="000000"/>
          <w:lang w:val="en-GB"/>
        </w:rPr>
        <w:t>, 21–47.</w:t>
      </w:r>
    </w:p>
    <w:p w14:paraId="47E7EDEB" w14:textId="77777777" w:rsidR="00D65C10" w:rsidRPr="00D65C10" w:rsidRDefault="00D65C10" w:rsidP="00D65C10">
      <w:pPr>
        <w:pStyle w:val="Bibliography"/>
        <w:rPr>
          <w:rFonts w:ascii="Calibri" w:hAnsi="Calibri" w:cs="Calibri"/>
          <w:color w:val="000000"/>
          <w:lang w:val="en-GB"/>
        </w:rPr>
      </w:pPr>
      <w:proofErr w:type="spellStart"/>
      <w:r w:rsidRPr="00D65C10">
        <w:rPr>
          <w:rFonts w:ascii="Calibri" w:hAnsi="Calibri" w:cs="Calibri"/>
          <w:color w:val="000000"/>
          <w:lang w:val="en-GB"/>
        </w:rPr>
        <w:t>Mulyartono</w:t>
      </w:r>
      <w:proofErr w:type="spellEnd"/>
      <w:r w:rsidRPr="00D65C10">
        <w:rPr>
          <w:rFonts w:ascii="Calibri" w:hAnsi="Calibri" w:cs="Calibri"/>
          <w:color w:val="000000"/>
          <w:lang w:val="en-GB"/>
        </w:rPr>
        <w:t xml:space="preserve">, S., RAFSADIE, IRSYAD, &amp; NUR SAHID, Ali. (2021). </w:t>
      </w:r>
      <w:r w:rsidRPr="00D65C10">
        <w:rPr>
          <w:rFonts w:ascii="Calibri" w:hAnsi="Calibri" w:cs="Calibri"/>
          <w:i/>
          <w:iCs/>
          <w:color w:val="000000"/>
          <w:lang w:val="en-GB"/>
        </w:rPr>
        <w:t>How did a complaint about a mosque loudspeaker end up in a blasphemy conviction?</w:t>
      </w:r>
      <w:r w:rsidRPr="00D65C10">
        <w:rPr>
          <w:rFonts w:ascii="Calibri" w:hAnsi="Calibri" w:cs="Calibri"/>
          <w:color w:val="000000"/>
          <w:lang w:val="en-GB"/>
        </w:rPr>
        <w:t xml:space="preserve"> University of Melbourne. https://indonesiaatmelbourne.unimelb.edu.au/how-did-a-complaint-about-a-mosque-loudspeaker-end-up-in-a-blasphemy-conviction/</w:t>
      </w:r>
    </w:p>
    <w:p w14:paraId="279F1D53" w14:textId="77777777" w:rsidR="00D65C10" w:rsidRPr="00D65C10" w:rsidRDefault="00D65C10" w:rsidP="00D65C10">
      <w:pPr>
        <w:pStyle w:val="Bibliography"/>
        <w:rPr>
          <w:rFonts w:ascii="Calibri" w:hAnsi="Calibri" w:cs="Calibri"/>
          <w:color w:val="000000"/>
          <w:lang w:val="en-GB"/>
        </w:rPr>
      </w:pPr>
      <w:proofErr w:type="spellStart"/>
      <w:r w:rsidRPr="00D65C10">
        <w:rPr>
          <w:rFonts w:ascii="Calibri" w:hAnsi="Calibri" w:cs="Calibri"/>
          <w:color w:val="000000"/>
          <w:lang w:val="en-GB"/>
        </w:rPr>
        <w:t>Nalle</w:t>
      </w:r>
      <w:proofErr w:type="spellEnd"/>
      <w:r w:rsidRPr="00D65C10">
        <w:rPr>
          <w:rFonts w:ascii="Calibri" w:hAnsi="Calibri" w:cs="Calibri"/>
          <w:color w:val="000000"/>
          <w:lang w:val="en-GB"/>
        </w:rPr>
        <w:t xml:space="preserve">, V. I. W. (2021). The politics of intolerant laws against adherents of indigenous beliefs or </w:t>
      </w:r>
      <w:proofErr w:type="spellStart"/>
      <w:r w:rsidRPr="00D65C10">
        <w:rPr>
          <w:rFonts w:ascii="Calibri" w:hAnsi="Calibri" w:cs="Calibri"/>
          <w:color w:val="000000"/>
          <w:lang w:val="en-GB"/>
        </w:rPr>
        <w:t>aliran</w:t>
      </w:r>
      <w:proofErr w:type="spellEnd"/>
      <w:r w:rsidRPr="00D65C10">
        <w:rPr>
          <w:rFonts w:ascii="Calibri" w:hAnsi="Calibri" w:cs="Calibri"/>
          <w:color w:val="000000"/>
          <w:lang w:val="en-GB"/>
        </w:rPr>
        <w:t xml:space="preserve"> </w:t>
      </w:r>
      <w:proofErr w:type="spellStart"/>
      <w:r w:rsidRPr="00D65C10">
        <w:rPr>
          <w:rFonts w:ascii="Calibri" w:hAnsi="Calibri" w:cs="Calibri"/>
          <w:color w:val="000000"/>
          <w:lang w:val="en-GB"/>
        </w:rPr>
        <w:t>kepercayaan</w:t>
      </w:r>
      <w:proofErr w:type="spellEnd"/>
      <w:r w:rsidRPr="00D65C10">
        <w:rPr>
          <w:rFonts w:ascii="Calibri" w:hAnsi="Calibri" w:cs="Calibri"/>
          <w:color w:val="000000"/>
          <w:lang w:val="en-GB"/>
        </w:rPr>
        <w:t xml:space="preserve"> in Indonesia. </w:t>
      </w:r>
      <w:r w:rsidRPr="00D65C10">
        <w:rPr>
          <w:rFonts w:ascii="Calibri" w:hAnsi="Calibri" w:cs="Calibri"/>
          <w:i/>
          <w:iCs/>
          <w:color w:val="000000"/>
          <w:lang w:val="en-GB"/>
        </w:rPr>
        <w:t>Asian Journal of Law and Society</w:t>
      </w:r>
      <w:r w:rsidRPr="00D65C10">
        <w:rPr>
          <w:rFonts w:ascii="Calibri" w:hAnsi="Calibri" w:cs="Calibri"/>
          <w:color w:val="000000"/>
          <w:lang w:val="en-GB"/>
        </w:rPr>
        <w:t xml:space="preserve">, </w:t>
      </w:r>
      <w:r w:rsidRPr="00D65C10">
        <w:rPr>
          <w:rFonts w:ascii="Calibri" w:hAnsi="Calibri" w:cs="Calibri"/>
          <w:i/>
          <w:iCs/>
          <w:color w:val="000000"/>
          <w:lang w:val="en-GB"/>
        </w:rPr>
        <w:t>8</w:t>
      </w:r>
      <w:r w:rsidRPr="00D65C10">
        <w:rPr>
          <w:rFonts w:ascii="Calibri" w:hAnsi="Calibri" w:cs="Calibri"/>
          <w:color w:val="000000"/>
          <w:lang w:val="en-GB"/>
        </w:rPr>
        <w:t>(3), 558–576.</w:t>
      </w:r>
    </w:p>
    <w:p w14:paraId="1E34C189" w14:textId="77777777" w:rsidR="00D65C10" w:rsidRPr="00D65C10" w:rsidRDefault="00D65C10" w:rsidP="00D65C10">
      <w:pPr>
        <w:pStyle w:val="Bibliography"/>
        <w:rPr>
          <w:rFonts w:ascii="Calibri" w:hAnsi="Calibri" w:cs="Calibri"/>
          <w:color w:val="000000"/>
          <w:lang w:val="en-GB"/>
        </w:rPr>
      </w:pPr>
      <w:proofErr w:type="spellStart"/>
      <w:r w:rsidRPr="00D65C10">
        <w:rPr>
          <w:rFonts w:ascii="Calibri" w:hAnsi="Calibri" w:cs="Calibri"/>
          <w:color w:val="000000"/>
          <w:lang w:val="en-GB"/>
        </w:rPr>
        <w:t>Nuryanti</w:t>
      </w:r>
      <w:proofErr w:type="spellEnd"/>
      <w:r w:rsidRPr="00D65C10">
        <w:rPr>
          <w:rFonts w:ascii="Calibri" w:hAnsi="Calibri" w:cs="Calibri"/>
          <w:color w:val="000000"/>
          <w:lang w:val="en-GB"/>
        </w:rPr>
        <w:t xml:space="preserve">, S. (2020). </w:t>
      </w:r>
      <w:r w:rsidRPr="00D65C10">
        <w:rPr>
          <w:rFonts w:ascii="Calibri" w:hAnsi="Calibri" w:cs="Calibri"/>
          <w:i/>
          <w:iCs/>
          <w:color w:val="000000"/>
          <w:lang w:val="en-GB"/>
        </w:rPr>
        <w:t>Chapter 9 Populism in Indonesia: Learning from the 212 Movement in Response to the Blasphemy Case against Ahok in Jakarta</w:t>
      </w:r>
      <w:r w:rsidRPr="00D65C10">
        <w:rPr>
          <w:rFonts w:ascii="Calibri" w:hAnsi="Calibri" w:cs="Calibri"/>
          <w:color w:val="000000"/>
          <w:lang w:val="en-GB"/>
        </w:rPr>
        <w:t xml:space="preserve"> (pp. 165–175). Brill. https://doi.org/10.1163/9789004444461_011</w:t>
      </w:r>
    </w:p>
    <w:p w14:paraId="68F16A13" w14:textId="77777777" w:rsidR="00D65C10" w:rsidRPr="00D65C10" w:rsidRDefault="00D65C10" w:rsidP="00D65C10">
      <w:pPr>
        <w:pStyle w:val="Bibliography"/>
        <w:rPr>
          <w:rFonts w:ascii="Calibri" w:hAnsi="Calibri" w:cs="Calibri"/>
          <w:color w:val="000000"/>
          <w:lang w:val="en-GB"/>
        </w:rPr>
      </w:pPr>
      <w:r w:rsidRPr="00D65C10">
        <w:rPr>
          <w:rFonts w:ascii="Calibri" w:hAnsi="Calibri" w:cs="Calibri"/>
          <w:color w:val="000000"/>
          <w:lang w:val="en-GB"/>
        </w:rPr>
        <w:t xml:space="preserve">Peterson, D. (2018). 2 Blasphemy, Human Rights, and the Case of Ahok. In </w:t>
      </w:r>
      <w:r w:rsidRPr="00D65C10">
        <w:rPr>
          <w:rFonts w:ascii="Calibri" w:hAnsi="Calibri" w:cs="Calibri"/>
          <w:i/>
          <w:iCs/>
          <w:color w:val="000000"/>
          <w:lang w:val="en-GB"/>
        </w:rPr>
        <w:t>The Asian Yearbook of Human Rights and Humanitarian Law</w:t>
      </w:r>
      <w:r w:rsidRPr="00D65C10">
        <w:rPr>
          <w:rFonts w:ascii="Calibri" w:hAnsi="Calibri" w:cs="Calibri"/>
          <w:color w:val="000000"/>
          <w:lang w:val="en-GB"/>
        </w:rPr>
        <w:t xml:space="preserve"> (pp. 52–94). Brill </w:t>
      </w:r>
      <w:proofErr w:type="spellStart"/>
      <w:r w:rsidRPr="00D65C10">
        <w:rPr>
          <w:rFonts w:ascii="Calibri" w:hAnsi="Calibri" w:cs="Calibri"/>
          <w:color w:val="000000"/>
          <w:lang w:val="en-GB"/>
        </w:rPr>
        <w:t>Nijhoff</w:t>
      </w:r>
      <w:proofErr w:type="spellEnd"/>
      <w:r w:rsidRPr="00D65C10">
        <w:rPr>
          <w:rFonts w:ascii="Calibri" w:hAnsi="Calibri" w:cs="Calibri"/>
          <w:color w:val="000000"/>
          <w:lang w:val="en-GB"/>
        </w:rPr>
        <w:t>.</w:t>
      </w:r>
    </w:p>
    <w:p w14:paraId="107F5BC8" w14:textId="77777777" w:rsidR="00D65C10" w:rsidRPr="00D65C10" w:rsidRDefault="00D65C10" w:rsidP="00D65C10">
      <w:pPr>
        <w:pStyle w:val="Bibliography"/>
        <w:rPr>
          <w:rFonts w:ascii="Calibri" w:hAnsi="Calibri" w:cs="Calibri"/>
          <w:color w:val="000000"/>
          <w:lang w:val="en-GB"/>
        </w:rPr>
      </w:pPr>
      <w:proofErr w:type="spellStart"/>
      <w:r w:rsidRPr="00D65C10">
        <w:rPr>
          <w:rFonts w:ascii="Calibri" w:hAnsi="Calibri" w:cs="Calibri"/>
          <w:color w:val="000000"/>
          <w:lang w:val="en-GB"/>
        </w:rPr>
        <w:t>Pratiwi</w:t>
      </w:r>
      <w:proofErr w:type="spellEnd"/>
      <w:r w:rsidRPr="00D65C10">
        <w:rPr>
          <w:rFonts w:ascii="Calibri" w:hAnsi="Calibri" w:cs="Calibri"/>
          <w:color w:val="000000"/>
          <w:lang w:val="en-GB"/>
        </w:rPr>
        <w:t xml:space="preserve">, C. S. (2021). Rethinking the Constitutionality of Indonesia’s Flawed Anti Blasphemy Law. </w:t>
      </w:r>
      <w:r w:rsidRPr="00D65C10">
        <w:rPr>
          <w:rFonts w:ascii="Calibri" w:hAnsi="Calibri" w:cs="Calibri"/>
          <w:i/>
          <w:iCs/>
          <w:color w:val="000000"/>
          <w:lang w:val="en-GB"/>
        </w:rPr>
        <w:t>Constitutional Review</w:t>
      </w:r>
      <w:r w:rsidRPr="00D65C10">
        <w:rPr>
          <w:rFonts w:ascii="Calibri" w:hAnsi="Calibri" w:cs="Calibri"/>
          <w:color w:val="000000"/>
          <w:lang w:val="en-GB"/>
        </w:rPr>
        <w:t xml:space="preserve">, </w:t>
      </w:r>
      <w:r w:rsidRPr="00D65C10">
        <w:rPr>
          <w:rFonts w:ascii="Calibri" w:hAnsi="Calibri" w:cs="Calibri"/>
          <w:i/>
          <w:iCs/>
          <w:color w:val="000000"/>
          <w:lang w:val="en-GB"/>
        </w:rPr>
        <w:t>7</w:t>
      </w:r>
      <w:r w:rsidRPr="00D65C10">
        <w:rPr>
          <w:rFonts w:ascii="Calibri" w:hAnsi="Calibri" w:cs="Calibri"/>
          <w:color w:val="000000"/>
          <w:lang w:val="en-GB"/>
        </w:rPr>
        <w:t>(2), 273–299. https://doi.org/10.31078/consrev724</w:t>
      </w:r>
    </w:p>
    <w:p w14:paraId="00F0CB52" w14:textId="77777777" w:rsidR="00D65C10" w:rsidRPr="00D65C10" w:rsidRDefault="00D65C10" w:rsidP="00D65C10">
      <w:pPr>
        <w:pStyle w:val="Bibliography"/>
        <w:rPr>
          <w:rFonts w:ascii="Calibri" w:hAnsi="Calibri" w:cs="Calibri"/>
          <w:color w:val="000000"/>
          <w:lang w:val="en-GB"/>
        </w:rPr>
      </w:pPr>
      <w:proofErr w:type="spellStart"/>
      <w:r w:rsidRPr="00D65C10">
        <w:rPr>
          <w:rFonts w:ascii="Calibri" w:hAnsi="Calibri" w:cs="Calibri"/>
          <w:color w:val="000000"/>
          <w:lang w:val="en-GB"/>
        </w:rPr>
        <w:lastRenderedPageBreak/>
        <w:t>Scheuerman</w:t>
      </w:r>
      <w:proofErr w:type="spellEnd"/>
      <w:r w:rsidRPr="00D65C10">
        <w:rPr>
          <w:rFonts w:ascii="Calibri" w:hAnsi="Calibri" w:cs="Calibri"/>
          <w:color w:val="000000"/>
          <w:lang w:val="en-GB"/>
        </w:rPr>
        <w:t xml:space="preserve">, W. E. (2022). Why not uncivil disobedience? </w:t>
      </w:r>
      <w:r w:rsidRPr="00D65C10">
        <w:rPr>
          <w:rFonts w:ascii="Calibri" w:hAnsi="Calibri" w:cs="Calibri"/>
          <w:i/>
          <w:iCs/>
          <w:color w:val="000000"/>
          <w:lang w:val="en-GB"/>
        </w:rPr>
        <w:t>Critical Review of International Social and Political Philosophy</w:t>
      </w:r>
      <w:r w:rsidRPr="00D65C10">
        <w:rPr>
          <w:rFonts w:ascii="Calibri" w:hAnsi="Calibri" w:cs="Calibri"/>
          <w:color w:val="000000"/>
          <w:lang w:val="en-GB"/>
        </w:rPr>
        <w:t xml:space="preserve">, </w:t>
      </w:r>
      <w:r w:rsidRPr="00D65C10">
        <w:rPr>
          <w:rFonts w:ascii="Calibri" w:hAnsi="Calibri" w:cs="Calibri"/>
          <w:i/>
          <w:iCs/>
          <w:color w:val="000000"/>
          <w:lang w:val="en-GB"/>
        </w:rPr>
        <w:t>25</w:t>
      </w:r>
      <w:r w:rsidRPr="00D65C10">
        <w:rPr>
          <w:rFonts w:ascii="Calibri" w:hAnsi="Calibri" w:cs="Calibri"/>
          <w:color w:val="000000"/>
          <w:lang w:val="en-GB"/>
        </w:rPr>
        <w:t>(7), 980–999.</w:t>
      </w:r>
    </w:p>
    <w:p w14:paraId="30B4BD17" w14:textId="77777777" w:rsidR="00D65C10" w:rsidRPr="00D65C10" w:rsidRDefault="00D65C10" w:rsidP="00D65C10">
      <w:pPr>
        <w:pStyle w:val="Bibliography"/>
        <w:rPr>
          <w:rFonts w:ascii="Calibri" w:hAnsi="Calibri" w:cs="Calibri"/>
          <w:color w:val="000000"/>
          <w:lang w:val="en-GB"/>
        </w:rPr>
      </w:pPr>
      <w:r w:rsidRPr="00D65C10">
        <w:rPr>
          <w:rFonts w:ascii="Calibri" w:hAnsi="Calibri" w:cs="Calibri"/>
          <w:color w:val="000000"/>
          <w:lang w:val="en-GB"/>
        </w:rPr>
        <w:t xml:space="preserve">SETARA Institute. (2022, November). </w:t>
      </w:r>
      <w:proofErr w:type="spellStart"/>
      <w:r w:rsidRPr="00D65C10">
        <w:rPr>
          <w:rFonts w:ascii="Calibri" w:hAnsi="Calibri" w:cs="Calibri"/>
          <w:i/>
          <w:iCs/>
          <w:color w:val="000000"/>
          <w:lang w:val="en-GB"/>
        </w:rPr>
        <w:t>Mengatasi</w:t>
      </w:r>
      <w:proofErr w:type="spellEnd"/>
      <w:r w:rsidRPr="00D65C10">
        <w:rPr>
          <w:rFonts w:ascii="Calibri" w:hAnsi="Calibri" w:cs="Calibri"/>
          <w:i/>
          <w:iCs/>
          <w:color w:val="000000"/>
          <w:lang w:val="en-GB"/>
        </w:rPr>
        <w:t xml:space="preserve"> </w:t>
      </w:r>
      <w:proofErr w:type="spellStart"/>
      <w:r w:rsidRPr="00D65C10">
        <w:rPr>
          <w:rFonts w:ascii="Calibri" w:hAnsi="Calibri" w:cs="Calibri"/>
          <w:i/>
          <w:iCs/>
          <w:color w:val="000000"/>
          <w:lang w:val="en-GB"/>
        </w:rPr>
        <w:t>intoleransi</w:t>
      </w:r>
      <w:proofErr w:type="spellEnd"/>
      <w:r w:rsidRPr="00D65C10">
        <w:rPr>
          <w:rFonts w:ascii="Calibri" w:hAnsi="Calibri" w:cs="Calibri"/>
          <w:i/>
          <w:iCs/>
          <w:color w:val="000000"/>
          <w:lang w:val="en-GB"/>
        </w:rPr>
        <w:t xml:space="preserve"> </w:t>
      </w:r>
      <w:proofErr w:type="spellStart"/>
      <w:r w:rsidRPr="00D65C10">
        <w:rPr>
          <w:rFonts w:ascii="Calibri" w:hAnsi="Calibri" w:cs="Calibri"/>
          <w:i/>
          <w:iCs/>
          <w:color w:val="000000"/>
          <w:lang w:val="en-GB"/>
        </w:rPr>
        <w:t>dalam</w:t>
      </w:r>
      <w:proofErr w:type="spellEnd"/>
      <w:r w:rsidRPr="00D65C10">
        <w:rPr>
          <w:rFonts w:ascii="Calibri" w:hAnsi="Calibri" w:cs="Calibri"/>
          <w:i/>
          <w:iCs/>
          <w:color w:val="000000"/>
          <w:lang w:val="en-GB"/>
        </w:rPr>
        <w:t xml:space="preserve"> tata </w:t>
      </w:r>
      <w:proofErr w:type="spellStart"/>
      <w:r w:rsidRPr="00D65C10">
        <w:rPr>
          <w:rFonts w:ascii="Calibri" w:hAnsi="Calibri" w:cs="Calibri"/>
          <w:i/>
          <w:iCs/>
          <w:color w:val="000000"/>
          <w:lang w:val="en-GB"/>
        </w:rPr>
        <w:t>kebinekaan</w:t>
      </w:r>
      <w:proofErr w:type="spellEnd"/>
      <w:r w:rsidRPr="00D65C10">
        <w:rPr>
          <w:rFonts w:ascii="Calibri" w:hAnsi="Calibri" w:cs="Calibri"/>
          <w:i/>
          <w:iCs/>
          <w:color w:val="000000"/>
          <w:lang w:val="en-GB"/>
        </w:rPr>
        <w:t xml:space="preserve"> </w:t>
      </w:r>
      <w:proofErr w:type="spellStart"/>
      <w:r w:rsidRPr="00D65C10">
        <w:rPr>
          <w:rFonts w:ascii="Calibri" w:hAnsi="Calibri" w:cs="Calibri"/>
          <w:i/>
          <w:iCs/>
          <w:color w:val="000000"/>
          <w:lang w:val="en-GB"/>
        </w:rPr>
        <w:t>indonesia</w:t>
      </w:r>
      <w:proofErr w:type="spellEnd"/>
      <w:r w:rsidRPr="00D65C10">
        <w:rPr>
          <w:rFonts w:ascii="Calibri" w:hAnsi="Calibri" w:cs="Calibri"/>
          <w:i/>
          <w:iCs/>
          <w:color w:val="000000"/>
          <w:lang w:val="en-GB"/>
        </w:rPr>
        <w:t xml:space="preserve">: Update dan </w:t>
      </w:r>
      <w:proofErr w:type="spellStart"/>
      <w:r w:rsidRPr="00D65C10">
        <w:rPr>
          <w:rFonts w:ascii="Calibri" w:hAnsi="Calibri" w:cs="Calibri"/>
          <w:i/>
          <w:iCs/>
          <w:color w:val="000000"/>
          <w:lang w:val="en-GB"/>
        </w:rPr>
        <w:t>rekomendasi</w:t>
      </w:r>
      <w:proofErr w:type="spellEnd"/>
      <w:r w:rsidRPr="00D65C10">
        <w:rPr>
          <w:rFonts w:ascii="Calibri" w:hAnsi="Calibri" w:cs="Calibri"/>
          <w:i/>
          <w:iCs/>
          <w:color w:val="000000"/>
          <w:lang w:val="en-GB"/>
        </w:rPr>
        <w:t xml:space="preserve"> </w:t>
      </w:r>
      <w:proofErr w:type="spellStart"/>
      <w:r w:rsidRPr="00D65C10">
        <w:rPr>
          <w:rFonts w:ascii="Calibri" w:hAnsi="Calibri" w:cs="Calibri"/>
          <w:i/>
          <w:iCs/>
          <w:color w:val="000000"/>
          <w:lang w:val="en-GB"/>
        </w:rPr>
        <w:t>terkait</w:t>
      </w:r>
      <w:proofErr w:type="spellEnd"/>
      <w:r w:rsidRPr="00D65C10">
        <w:rPr>
          <w:rFonts w:ascii="Calibri" w:hAnsi="Calibri" w:cs="Calibri"/>
          <w:i/>
          <w:iCs/>
          <w:color w:val="000000"/>
          <w:lang w:val="en-GB"/>
        </w:rPr>
        <w:t xml:space="preserve"> </w:t>
      </w:r>
      <w:proofErr w:type="spellStart"/>
      <w:r w:rsidRPr="00D65C10">
        <w:rPr>
          <w:rFonts w:ascii="Calibri" w:hAnsi="Calibri" w:cs="Calibri"/>
          <w:i/>
          <w:iCs/>
          <w:color w:val="000000"/>
          <w:lang w:val="en-GB"/>
        </w:rPr>
        <w:t>peribadatan</w:t>
      </w:r>
      <w:proofErr w:type="spellEnd"/>
      <w:r w:rsidRPr="00D65C10">
        <w:rPr>
          <w:rFonts w:ascii="Calibri" w:hAnsi="Calibri" w:cs="Calibri"/>
          <w:color w:val="000000"/>
          <w:lang w:val="en-GB"/>
        </w:rPr>
        <w:t>. https://setara-institute.org/mengatasi-intoleransi-dalam-tata-kebinekaan-indonesia-update-dan-rekomendasi-terkait-peribadatan/</w:t>
      </w:r>
    </w:p>
    <w:p w14:paraId="20C6ECF5" w14:textId="77777777" w:rsidR="00D65C10" w:rsidRPr="00D65C10" w:rsidRDefault="00D65C10" w:rsidP="00D65C10">
      <w:pPr>
        <w:pStyle w:val="Bibliography"/>
        <w:rPr>
          <w:rFonts w:ascii="Calibri" w:hAnsi="Calibri" w:cs="Calibri"/>
          <w:color w:val="000000"/>
          <w:lang w:val="en-GB"/>
        </w:rPr>
      </w:pPr>
      <w:r w:rsidRPr="00D65C10">
        <w:rPr>
          <w:rFonts w:ascii="Calibri" w:hAnsi="Calibri" w:cs="Calibri"/>
          <w:color w:val="000000"/>
          <w:lang w:val="en-GB"/>
        </w:rPr>
        <w:t xml:space="preserve">Telle, K. (2017). Faith on Trial: Blasphemy and ‘Lawfare’ in Indonesia. </w:t>
      </w:r>
      <w:r w:rsidRPr="00D65C10">
        <w:rPr>
          <w:rFonts w:ascii="Calibri" w:hAnsi="Calibri" w:cs="Calibri"/>
          <w:i/>
          <w:iCs/>
          <w:color w:val="000000"/>
          <w:lang w:val="en-GB"/>
        </w:rPr>
        <w:t>Ethnos</w:t>
      </w:r>
      <w:r w:rsidRPr="00D65C10">
        <w:rPr>
          <w:rFonts w:ascii="Calibri" w:hAnsi="Calibri" w:cs="Calibri"/>
          <w:color w:val="000000"/>
          <w:lang w:val="en-GB"/>
        </w:rPr>
        <w:t xml:space="preserve">, </w:t>
      </w:r>
      <w:r w:rsidRPr="00D65C10">
        <w:rPr>
          <w:rFonts w:ascii="Calibri" w:hAnsi="Calibri" w:cs="Calibri"/>
          <w:i/>
          <w:iCs/>
          <w:color w:val="000000"/>
          <w:lang w:val="en-GB"/>
        </w:rPr>
        <w:t>83</w:t>
      </w:r>
      <w:r w:rsidRPr="00D65C10">
        <w:rPr>
          <w:rFonts w:ascii="Calibri" w:hAnsi="Calibri" w:cs="Calibri"/>
          <w:color w:val="000000"/>
          <w:lang w:val="en-GB"/>
        </w:rPr>
        <w:t>(2), 371–391. https://doi.org/10.1080/00141844.2017.1282973</w:t>
      </w:r>
    </w:p>
    <w:p w14:paraId="0A7D2A91" w14:textId="77777777" w:rsidR="00D65C10" w:rsidRPr="00D65C10" w:rsidRDefault="00D65C10" w:rsidP="00D65C10">
      <w:pPr>
        <w:pStyle w:val="Bibliography"/>
        <w:rPr>
          <w:rFonts w:ascii="Calibri" w:hAnsi="Calibri" w:cs="Calibri"/>
          <w:color w:val="000000"/>
          <w:lang w:val="en-GB"/>
        </w:rPr>
      </w:pPr>
      <w:proofErr w:type="spellStart"/>
      <w:r w:rsidRPr="00D65C10">
        <w:rPr>
          <w:rFonts w:ascii="Calibri" w:hAnsi="Calibri" w:cs="Calibri"/>
          <w:color w:val="000000"/>
          <w:lang w:val="en-GB"/>
        </w:rPr>
        <w:t>Temperman</w:t>
      </w:r>
      <w:proofErr w:type="spellEnd"/>
      <w:r w:rsidRPr="00D65C10">
        <w:rPr>
          <w:rFonts w:ascii="Calibri" w:hAnsi="Calibri" w:cs="Calibri"/>
          <w:color w:val="000000"/>
          <w:lang w:val="en-GB"/>
        </w:rPr>
        <w:t xml:space="preserve">, J., &amp; </w:t>
      </w:r>
      <w:proofErr w:type="spellStart"/>
      <w:r w:rsidRPr="00D65C10">
        <w:rPr>
          <w:rFonts w:ascii="Calibri" w:hAnsi="Calibri" w:cs="Calibri"/>
          <w:color w:val="000000"/>
          <w:lang w:val="en-GB"/>
        </w:rPr>
        <w:t>Koltay</w:t>
      </w:r>
      <w:proofErr w:type="spellEnd"/>
      <w:r w:rsidRPr="00D65C10">
        <w:rPr>
          <w:rFonts w:ascii="Calibri" w:hAnsi="Calibri" w:cs="Calibri"/>
          <w:color w:val="000000"/>
          <w:lang w:val="en-GB"/>
        </w:rPr>
        <w:t xml:space="preserve">, A. (2017). </w:t>
      </w:r>
      <w:r w:rsidRPr="00D65C10">
        <w:rPr>
          <w:rFonts w:ascii="Calibri" w:hAnsi="Calibri" w:cs="Calibri"/>
          <w:i/>
          <w:iCs/>
          <w:color w:val="000000"/>
          <w:lang w:val="en-GB"/>
        </w:rPr>
        <w:t>Blasphemy and Freedom of Expression: Comparative, Theoretical and Historical Reflections after the Charlie Hebdo Massacre</w:t>
      </w:r>
      <w:r w:rsidRPr="00D65C10">
        <w:rPr>
          <w:rFonts w:ascii="Calibri" w:hAnsi="Calibri" w:cs="Calibri"/>
          <w:color w:val="000000"/>
          <w:lang w:val="en-GB"/>
        </w:rPr>
        <w:t>. Cambridge University Press.</w:t>
      </w:r>
    </w:p>
    <w:p w14:paraId="7ED6B74E" w14:textId="77777777" w:rsidR="00D65C10" w:rsidRPr="00D65C10" w:rsidRDefault="00D65C10" w:rsidP="00D65C10">
      <w:pPr>
        <w:pStyle w:val="Bibliography"/>
        <w:rPr>
          <w:rFonts w:ascii="Calibri" w:hAnsi="Calibri" w:cs="Calibri"/>
          <w:color w:val="000000"/>
          <w:lang w:val="en-GB"/>
        </w:rPr>
      </w:pPr>
      <w:r w:rsidRPr="00D65C10">
        <w:rPr>
          <w:rFonts w:ascii="Calibri" w:hAnsi="Calibri" w:cs="Calibri"/>
          <w:color w:val="000000"/>
          <w:lang w:val="en-GB"/>
        </w:rPr>
        <w:t xml:space="preserve">Tyson, A. (2021). Blasphemy and Judicial Legitimacy in Indonesia. </w:t>
      </w:r>
      <w:r w:rsidRPr="00D65C10">
        <w:rPr>
          <w:rFonts w:ascii="Calibri" w:hAnsi="Calibri" w:cs="Calibri"/>
          <w:i/>
          <w:iCs/>
          <w:color w:val="000000"/>
          <w:lang w:val="en-GB"/>
        </w:rPr>
        <w:t>Politics and Religion</w:t>
      </w:r>
      <w:r w:rsidRPr="00D65C10">
        <w:rPr>
          <w:rFonts w:ascii="Calibri" w:hAnsi="Calibri" w:cs="Calibri"/>
          <w:color w:val="000000"/>
          <w:lang w:val="en-GB"/>
        </w:rPr>
        <w:t xml:space="preserve">, </w:t>
      </w:r>
      <w:r w:rsidRPr="00D65C10">
        <w:rPr>
          <w:rFonts w:ascii="Calibri" w:hAnsi="Calibri" w:cs="Calibri"/>
          <w:i/>
          <w:iCs/>
          <w:color w:val="000000"/>
          <w:lang w:val="en-GB"/>
        </w:rPr>
        <w:t>14</w:t>
      </w:r>
      <w:r w:rsidRPr="00D65C10">
        <w:rPr>
          <w:rFonts w:ascii="Calibri" w:hAnsi="Calibri" w:cs="Calibri"/>
          <w:color w:val="000000"/>
          <w:lang w:val="en-GB"/>
        </w:rPr>
        <w:t>(1), 182–205. Cambridge Core. https://doi.org/10.1017/S1755048319000427</w:t>
      </w:r>
    </w:p>
    <w:p w14:paraId="0E431D7E" w14:textId="77777777" w:rsidR="00D65C10" w:rsidRPr="00D65C10" w:rsidRDefault="00D65C10" w:rsidP="00D65C10">
      <w:pPr>
        <w:pStyle w:val="Bibliography"/>
        <w:rPr>
          <w:rFonts w:ascii="Calibri" w:hAnsi="Calibri" w:cs="Calibri"/>
          <w:color w:val="000000"/>
          <w:lang w:val="en-GB"/>
        </w:rPr>
      </w:pPr>
      <w:r w:rsidRPr="00D65C10">
        <w:rPr>
          <w:rFonts w:ascii="Calibri" w:hAnsi="Calibri" w:cs="Calibri"/>
          <w:color w:val="000000"/>
          <w:lang w:val="en-GB"/>
        </w:rPr>
        <w:t xml:space="preserve">Villa, V. (2022). </w:t>
      </w:r>
      <w:r w:rsidRPr="00D65C10">
        <w:rPr>
          <w:rFonts w:ascii="Calibri" w:hAnsi="Calibri" w:cs="Calibri"/>
          <w:i/>
          <w:iCs/>
          <w:color w:val="000000"/>
          <w:lang w:val="en-GB"/>
        </w:rPr>
        <w:t xml:space="preserve">40% of world’s countries and territories had blasphemy laws in 2019 | Pew Research </w:t>
      </w:r>
      <w:proofErr w:type="spellStart"/>
      <w:r w:rsidRPr="00D65C10">
        <w:rPr>
          <w:rFonts w:ascii="Calibri" w:hAnsi="Calibri" w:cs="Calibri"/>
          <w:i/>
          <w:iCs/>
          <w:color w:val="000000"/>
          <w:lang w:val="en-GB"/>
        </w:rPr>
        <w:t>Center</w:t>
      </w:r>
      <w:proofErr w:type="spellEnd"/>
      <w:r w:rsidRPr="00D65C10">
        <w:rPr>
          <w:rFonts w:ascii="Calibri" w:hAnsi="Calibri" w:cs="Calibri"/>
          <w:color w:val="000000"/>
          <w:lang w:val="en-GB"/>
        </w:rPr>
        <w:t xml:space="preserve">. Pew Research </w:t>
      </w:r>
      <w:proofErr w:type="spellStart"/>
      <w:r w:rsidRPr="00D65C10">
        <w:rPr>
          <w:rFonts w:ascii="Calibri" w:hAnsi="Calibri" w:cs="Calibri"/>
          <w:color w:val="000000"/>
          <w:lang w:val="en-GB"/>
        </w:rPr>
        <w:t>Center</w:t>
      </w:r>
      <w:proofErr w:type="spellEnd"/>
      <w:r w:rsidRPr="00D65C10">
        <w:rPr>
          <w:rFonts w:ascii="Calibri" w:hAnsi="Calibri" w:cs="Calibri"/>
          <w:color w:val="000000"/>
          <w:lang w:val="en-GB"/>
        </w:rPr>
        <w:t>. https://www.pewresearch.org/short-reads/2022/01/25/four-in-ten-countries-and-territories-worldwide-had-blasphemy-laws-in-2019-2/</w:t>
      </w:r>
    </w:p>
    <w:p w14:paraId="40981A93" w14:textId="58C7CAC7" w:rsidR="008A5EF2" w:rsidRPr="00FA3EE7" w:rsidRDefault="008A5EF2" w:rsidP="00DF714D">
      <w:pPr>
        <w:ind w:left="851" w:hanging="851"/>
        <w:jc w:val="both"/>
        <w:rPr>
          <w:rFonts w:ascii="Calibri" w:hAnsi="Calibri" w:cs="Calibri"/>
          <w:bCs/>
          <w:color w:val="000000"/>
          <w:lang w:val="en-AU"/>
        </w:rPr>
      </w:pPr>
      <w:r>
        <w:rPr>
          <w:rFonts w:ascii="Calibri" w:hAnsi="Calibri" w:cs="Calibri"/>
          <w:bCs/>
          <w:color w:val="000000"/>
          <w:lang w:val="en-AU"/>
        </w:rPr>
        <w:fldChar w:fldCharType="end"/>
      </w:r>
    </w:p>
    <w:p w14:paraId="657C6D66" w14:textId="77777777" w:rsidR="00A27FE0" w:rsidRDefault="00A27FE0"/>
    <w:sectPr w:rsidR="00A27FE0" w:rsidSect="003C1661">
      <w:headerReference w:type="even" r:id="rId12"/>
      <w:headerReference w:type="default" r:id="rId13"/>
      <w:footerReference w:type="even" r:id="rId14"/>
      <w:footerReference w:type="default" r:id="rId15"/>
      <w:pgSz w:w="11909" w:h="16834" w:code="9"/>
      <w:pgMar w:top="720" w:right="720" w:bottom="720" w:left="1008"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D2D8F" w14:textId="77777777" w:rsidR="00446B16" w:rsidRDefault="00446B16" w:rsidP="008A5EF2">
      <w:r>
        <w:separator/>
      </w:r>
    </w:p>
  </w:endnote>
  <w:endnote w:type="continuationSeparator" w:id="0">
    <w:p w14:paraId="31572146" w14:textId="77777777" w:rsidR="00446B16" w:rsidRDefault="00446B16" w:rsidP="008A5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inux Libertine">
    <w:panose1 w:val="020B0604020202020204"/>
    <w:charset w:val="00"/>
    <w:family w:val="auto"/>
    <w:pitch w:val="variable"/>
    <w:sig w:usb0="E0000AFF" w:usb1="5200E5FB" w:usb2="02000020" w:usb3="00000000" w:csb0="000001B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1F870" w14:textId="77777777" w:rsidR="007033AB" w:rsidRDefault="00000000" w:rsidP="006D04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24A3F8" w14:textId="77777777" w:rsidR="007033AB" w:rsidRDefault="00000000" w:rsidP="002C11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F2ADC" w14:textId="77777777" w:rsidR="009718D7" w:rsidRPr="009718D7" w:rsidRDefault="00000000" w:rsidP="009718D7">
    <w:pPr>
      <w:pStyle w:val="Footer"/>
      <w:pBdr>
        <w:bottom w:val="single" w:sz="6" w:space="1" w:color="auto"/>
      </w:pBdr>
      <w:tabs>
        <w:tab w:val="clear" w:pos="8640"/>
        <w:tab w:val="right" w:pos="9000"/>
      </w:tabs>
      <w:ind w:right="29"/>
      <w:rPr>
        <w:rFonts w:ascii="Verdana" w:hAnsi="Verdana"/>
        <w:sz w:val="18"/>
        <w:szCs w:val="18"/>
      </w:rPr>
    </w:pPr>
  </w:p>
  <w:p w14:paraId="252BEB14" w14:textId="77777777" w:rsidR="009718D7" w:rsidRPr="009718D7" w:rsidRDefault="00000000" w:rsidP="009718D7">
    <w:pPr>
      <w:pStyle w:val="Footer"/>
      <w:tabs>
        <w:tab w:val="clear" w:pos="8640"/>
        <w:tab w:val="right" w:pos="9000"/>
      </w:tabs>
      <w:ind w:right="29"/>
      <w:rPr>
        <w:rFonts w:ascii="Verdana" w:hAnsi="Verdana"/>
        <w:sz w:val="18"/>
        <w:szCs w:val="18"/>
      </w:rPr>
    </w:pPr>
  </w:p>
  <w:p w14:paraId="20E617BD" w14:textId="77777777" w:rsidR="007033AB" w:rsidRPr="0077334F" w:rsidRDefault="00000000" w:rsidP="009718D7">
    <w:pPr>
      <w:pStyle w:val="Footer"/>
      <w:tabs>
        <w:tab w:val="clear" w:pos="8640"/>
        <w:tab w:val="right" w:pos="9000"/>
      </w:tabs>
      <w:ind w:right="29"/>
      <w:rPr>
        <w:rFonts w:ascii="Calibri" w:hAnsi="Calibri"/>
        <w:sz w:val="21"/>
        <w:szCs w:val="21"/>
      </w:rPr>
    </w:pPr>
    <w:r w:rsidRPr="0077334F">
      <w:rPr>
        <w:rFonts w:ascii="Calibri" w:hAnsi="Calibri"/>
        <w:sz w:val="21"/>
        <w:szCs w:val="21"/>
      </w:rPr>
      <w:t>Draft Copy – Not to be Quoted Without Permission from the Author</w:t>
    </w:r>
    <w:r w:rsidRPr="0077334F">
      <w:rPr>
        <w:rFonts w:ascii="Calibri" w:hAnsi="Calibri"/>
        <w:sz w:val="21"/>
        <w:szCs w:val="21"/>
      </w:rPr>
      <w:tab/>
    </w:r>
    <w:r>
      <w:rPr>
        <w:rFonts w:ascii="Calibri" w:hAnsi="Calibri"/>
        <w:sz w:val="21"/>
        <w:szCs w:val="21"/>
      </w:rPr>
      <w:tab/>
    </w:r>
    <w:r w:rsidRPr="0077334F">
      <w:rPr>
        <w:rStyle w:val="PageNumber"/>
        <w:rFonts w:ascii="Calibri" w:hAnsi="Calibri"/>
        <w:sz w:val="21"/>
        <w:szCs w:val="21"/>
      </w:rPr>
      <w:fldChar w:fldCharType="begin"/>
    </w:r>
    <w:r w:rsidRPr="0077334F">
      <w:rPr>
        <w:rStyle w:val="PageNumber"/>
        <w:rFonts w:ascii="Calibri" w:hAnsi="Calibri"/>
        <w:sz w:val="21"/>
        <w:szCs w:val="21"/>
      </w:rPr>
      <w:instrText xml:space="preserve"> PAGE </w:instrText>
    </w:r>
    <w:r w:rsidRPr="0077334F">
      <w:rPr>
        <w:rStyle w:val="PageNumber"/>
        <w:rFonts w:ascii="Calibri" w:hAnsi="Calibri"/>
        <w:sz w:val="21"/>
        <w:szCs w:val="21"/>
      </w:rPr>
      <w:fldChar w:fldCharType="separate"/>
    </w:r>
    <w:r>
      <w:rPr>
        <w:rStyle w:val="PageNumber"/>
        <w:rFonts w:ascii="Calibri" w:hAnsi="Calibri"/>
        <w:noProof/>
        <w:sz w:val="21"/>
        <w:szCs w:val="21"/>
      </w:rPr>
      <w:t>1</w:t>
    </w:r>
    <w:r w:rsidRPr="0077334F">
      <w:rPr>
        <w:rStyle w:val="PageNumber"/>
        <w:rFonts w:ascii="Calibri" w:hAnsi="Calibri"/>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602FB" w14:textId="77777777" w:rsidR="00446B16" w:rsidRDefault="00446B16" w:rsidP="008A5EF2">
      <w:r>
        <w:separator/>
      </w:r>
    </w:p>
  </w:footnote>
  <w:footnote w:type="continuationSeparator" w:id="0">
    <w:p w14:paraId="16B945D1" w14:textId="77777777" w:rsidR="00446B16" w:rsidRDefault="00446B16" w:rsidP="008A5EF2">
      <w:r>
        <w:continuationSeparator/>
      </w:r>
    </w:p>
  </w:footnote>
  <w:footnote w:id="1">
    <w:p w14:paraId="3307A8BE" w14:textId="0444BF62" w:rsidR="0016562A" w:rsidRPr="00B65B2E" w:rsidRDefault="0016562A" w:rsidP="00FD59A2">
      <w:pPr>
        <w:pStyle w:val="FootnoteText"/>
        <w:ind w:left="426" w:hanging="426"/>
        <w:rPr>
          <w:rStyle w:val="FootnoteReference"/>
          <w:rFonts w:cstheme="minorHAnsi"/>
          <w:i/>
          <w:iCs/>
        </w:rPr>
      </w:pPr>
      <w:r>
        <w:rPr>
          <w:rStyle w:val="FootnoteReference"/>
        </w:rPr>
        <w:footnoteRef/>
      </w:r>
      <w:r>
        <w:t xml:space="preserve"> </w:t>
      </w:r>
      <w:r w:rsidR="00FD59A2">
        <w:tab/>
      </w:r>
      <w:r w:rsidR="00CE1532" w:rsidRPr="00B65B2E">
        <w:rPr>
          <w:i/>
          <w:iCs/>
          <w:lang w:val="en-US"/>
        </w:rPr>
        <w:t xml:space="preserve">This </w:t>
      </w:r>
      <w:r w:rsidR="00CE1532" w:rsidRPr="00B65B2E">
        <w:rPr>
          <w:i/>
          <w:iCs/>
          <w:lang w:val="en-US"/>
        </w:rPr>
        <w:t>study</w:t>
      </w:r>
      <w:r w:rsidR="00CE1532" w:rsidRPr="00B65B2E">
        <w:rPr>
          <w:i/>
          <w:iCs/>
          <w:lang w:val="en-US"/>
        </w:rPr>
        <w:t xml:space="preserve"> is included in the author's doctoral dissertation at IHRP Mahidol University. The author expresses appreciation to Dr. Michael G</w:t>
      </w:r>
      <w:r w:rsidR="00CE1532" w:rsidRPr="00B65B2E">
        <w:rPr>
          <w:i/>
          <w:iCs/>
          <w:lang w:val="en-US"/>
        </w:rPr>
        <w:t>. Hayes</w:t>
      </w:r>
      <w:r w:rsidR="00CE1532" w:rsidRPr="00B65B2E">
        <w:rPr>
          <w:i/>
          <w:iCs/>
          <w:lang w:val="en-US"/>
        </w:rPr>
        <w:t xml:space="preserve">, Dr. </w:t>
      </w:r>
      <w:proofErr w:type="spellStart"/>
      <w:r w:rsidR="00CE1532" w:rsidRPr="00B65B2E">
        <w:rPr>
          <w:i/>
          <w:iCs/>
          <w:lang w:val="en-US"/>
        </w:rPr>
        <w:t>Sriprapha</w:t>
      </w:r>
      <w:proofErr w:type="spellEnd"/>
      <w:r w:rsidR="00CE1532" w:rsidRPr="00B65B2E">
        <w:rPr>
          <w:i/>
          <w:iCs/>
          <w:lang w:val="en-US"/>
        </w:rPr>
        <w:t>, and Dr. Amalia, who provided guidance and insightful feedback on the initial draft of this paper. The author is also appreciative that the 18th Singapore Graduate Forum on Southeast Asian Studies provided the opportunity to present this paper and receive insightful feedback.</w:t>
      </w:r>
      <w:r w:rsidR="00CE1532" w:rsidRPr="00B65B2E">
        <w:rPr>
          <w:i/>
          <w:iCs/>
          <w:lang w:val="en-US"/>
        </w:rPr>
        <w:t xml:space="preserve"> All mistake and inaccuracies are the responsibility of the author. </w:t>
      </w:r>
    </w:p>
  </w:footnote>
  <w:footnote w:id="2">
    <w:p w14:paraId="5E4C8BA5" w14:textId="77777777" w:rsidR="008A5EF2" w:rsidRPr="00E0586B" w:rsidRDefault="008A5EF2" w:rsidP="008A5EF2">
      <w:pPr>
        <w:pStyle w:val="FootnoteText"/>
        <w:ind w:left="284" w:hanging="284"/>
        <w:rPr>
          <w:rFonts w:cstheme="minorHAnsi"/>
        </w:rPr>
      </w:pPr>
      <w:r w:rsidRPr="00E0586B">
        <w:rPr>
          <w:rStyle w:val="FootnoteReference"/>
          <w:rFonts w:cstheme="minorHAnsi"/>
        </w:rPr>
        <w:footnoteRef/>
      </w:r>
      <w:r w:rsidRPr="00E0586B">
        <w:rPr>
          <w:rFonts w:cstheme="minorHAnsi"/>
        </w:rPr>
        <w:t xml:space="preserve"> </w:t>
      </w:r>
      <w:r w:rsidRPr="00E0586B">
        <w:rPr>
          <w:rFonts w:cstheme="minorHAnsi"/>
        </w:rPr>
        <w:tab/>
        <w:t>However, it is important to emphasize that the majority of mosques targeted for disruption are Ahmadiyya mosques and other mosques that differ from the mainstream Muslim groups.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DCCA0" w14:textId="77777777" w:rsidR="007033AB" w:rsidRDefault="00000000" w:rsidP="0063227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22FF058" w14:textId="77777777" w:rsidR="007033AB" w:rsidRDefault="00000000" w:rsidP="005141A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A6243" w14:textId="77777777" w:rsidR="0071721C" w:rsidRPr="00D57510" w:rsidRDefault="00000000" w:rsidP="0071721C">
    <w:pPr>
      <w:jc w:val="center"/>
      <w:rPr>
        <w:rFonts w:ascii="Century Gothic" w:hAnsi="Century Gothic" w:cs="Calibri"/>
      </w:rPr>
    </w:pPr>
    <w:r>
      <w:rPr>
        <w:rFonts w:ascii="Century Gothic" w:hAnsi="Century Gothic"/>
        <w:b/>
        <w:sz w:val="28"/>
        <w:szCs w:val="28"/>
      </w:rPr>
      <w:t>18</w:t>
    </w:r>
    <w:r w:rsidRPr="00256CF3">
      <w:rPr>
        <w:rFonts w:ascii="Century Gothic" w:hAnsi="Century Gothic"/>
        <w:b/>
        <w:sz w:val="28"/>
        <w:szCs w:val="28"/>
        <w:vertAlign w:val="superscript"/>
      </w:rPr>
      <w:t>TH</w:t>
    </w:r>
    <w:r w:rsidRPr="00256CF3">
      <w:rPr>
        <w:rFonts w:ascii="Century Gothic" w:hAnsi="Century Gothic"/>
        <w:b/>
        <w:sz w:val="28"/>
        <w:szCs w:val="28"/>
      </w:rPr>
      <w:t xml:space="preserve"> SINGAPORE GRADUATE FORUM ON SOUTHEAST ASIAN </w:t>
    </w:r>
    <w:r>
      <w:rPr>
        <w:rFonts w:ascii="Century Gothic" w:hAnsi="Century Gothic"/>
        <w:b/>
        <w:sz w:val="28"/>
        <w:szCs w:val="28"/>
      </w:rPr>
      <w:t>STUDIES</w:t>
    </w:r>
    <w:r w:rsidRPr="00256CF3">
      <w:rPr>
        <w:rFonts w:ascii="Century Gothic" w:hAnsi="Century Gothic" w:cs="Calibri"/>
        <w:b/>
        <w:sz w:val="28"/>
        <w:szCs w:val="28"/>
      </w:rPr>
      <w:br/>
    </w:r>
    <w:r w:rsidRPr="00D57510">
      <w:rPr>
        <w:rFonts w:ascii="Century Gothic" w:hAnsi="Century Gothic" w:cs="Calibri"/>
      </w:rPr>
      <w:t>(</w:t>
    </w:r>
    <w:r>
      <w:rPr>
        <w:rFonts w:ascii="Century Gothic" w:hAnsi="Century Gothic" w:cs="Calibri"/>
      </w:rPr>
      <w:t xml:space="preserve">19-23 June 2023, </w:t>
    </w:r>
    <w:r w:rsidRPr="00D57510">
      <w:rPr>
        <w:rFonts w:ascii="Century Gothic" w:hAnsi="Century Gothic" w:cs="Calibri"/>
      </w:rPr>
      <w:t>Singapore</w:t>
    </w:r>
    <w:r>
      <w:rPr>
        <w:rFonts w:ascii="Century Gothic" w:hAnsi="Century Gothic" w:cs="Calibri"/>
      </w:rPr>
      <w:t>)</w:t>
    </w:r>
  </w:p>
  <w:p w14:paraId="41A88B6F" w14:textId="77777777" w:rsidR="0071721C" w:rsidRPr="001369C9" w:rsidRDefault="00000000" w:rsidP="0071721C">
    <w:pPr>
      <w:pStyle w:val="Header"/>
      <w:pBdr>
        <w:bottom w:val="single" w:sz="6" w:space="0" w:color="auto"/>
      </w:pBdr>
      <w:contextualSpacing/>
      <w:jc w:val="center"/>
      <w:rPr>
        <w:rFonts w:ascii="Calibri" w:hAnsi="Calibri"/>
        <w:sz w:val="16"/>
        <w:szCs w:val="16"/>
      </w:rPr>
    </w:pPr>
  </w:p>
  <w:p w14:paraId="79F9E9A0" w14:textId="77777777" w:rsidR="0071721C" w:rsidRPr="001369C9" w:rsidRDefault="00000000" w:rsidP="0071721C">
    <w:pPr>
      <w:pStyle w:val="Header"/>
      <w:contextualSpacing/>
      <w:jc w:val="center"/>
      <w:rPr>
        <w:rFonts w:ascii="Calibri" w:hAnsi="Calibri"/>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D1A84"/>
    <w:multiLevelType w:val="hybridMultilevel"/>
    <w:tmpl w:val="E9620212"/>
    <w:lvl w:ilvl="0" w:tplc="08090001">
      <w:start w:val="1"/>
      <w:numFmt w:val="bullet"/>
      <w:lvlText w:val=""/>
      <w:lvlJc w:val="left"/>
      <w:pPr>
        <w:ind w:left="469" w:hanging="360"/>
      </w:pPr>
      <w:rPr>
        <w:rFonts w:ascii="Symbol" w:hAnsi="Symbol" w:hint="default"/>
      </w:rPr>
    </w:lvl>
    <w:lvl w:ilvl="1" w:tplc="08090003" w:tentative="1">
      <w:start w:val="1"/>
      <w:numFmt w:val="bullet"/>
      <w:lvlText w:val="o"/>
      <w:lvlJc w:val="left"/>
      <w:pPr>
        <w:ind w:left="1189" w:hanging="360"/>
      </w:pPr>
      <w:rPr>
        <w:rFonts w:ascii="Courier New" w:hAnsi="Courier New" w:cs="Courier New" w:hint="default"/>
      </w:rPr>
    </w:lvl>
    <w:lvl w:ilvl="2" w:tplc="08090005" w:tentative="1">
      <w:start w:val="1"/>
      <w:numFmt w:val="bullet"/>
      <w:lvlText w:val=""/>
      <w:lvlJc w:val="left"/>
      <w:pPr>
        <w:ind w:left="1909" w:hanging="360"/>
      </w:pPr>
      <w:rPr>
        <w:rFonts w:ascii="Wingdings" w:hAnsi="Wingdings" w:hint="default"/>
      </w:rPr>
    </w:lvl>
    <w:lvl w:ilvl="3" w:tplc="08090001" w:tentative="1">
      <w:start w:val="1"/>
      <w:numFmt w:val="bullet"/>
      <w:lvlText w:val=""/>
      <w:lvlJc w:val="left"/>
      <w:pPr>
        <w:ind w:left="2629" w:hanging="360"/>
      </w:pPr>
      <w:rPr>
        <w:rFonts w:ascii="Symbol" w:hAnsi="Symbol" w:hint="default"/>
      </w:rPr>
    </w:lvl>
    <w:lvl w:ilvl="4" w:tplc="08090003" w:tentative="1">
      <w:start w:val="1"/>
      <w:numFmt w:val="bullet"/>
      <w:lvlText w:val="o"/>
      <w:lvlJc w:val="left"/>
      <w:pPr>
        <w:ind w:left="3349" w:hanging="360"/>
      </w:pPr>
      <w:rPr>
        <w:rFonts w:ascii="Courier New" w:hAnsi="Courier New" w:cs="Courier New" w:hint="default"/>
      </w:rPr>
    </w:lvl>
    <w:lvl w:ilvl="5" w:tplc="08090005" w:tentative="1">
      <w:start w:val="1"/>
      <w:numFmt w:val="bullet"/>
      <w:lvlText w:val=""/>
      <w:lvlJc w:val="left"/>
      <w:pPr>
        <w:ind w:left="4069" w:hanging="360"/>
      </w:pPr>
      <w:rPr>
        <w:rFonts w:ascii="Wingdings" w:hAnsi="Wingdings" w:hint="default"/>
      </w:rPr>
    </w:lvl>
    <w:lvl w:ilvl="6" w:tplc="08090001" w:tentative="1">
      <w:start w:val="1"/>
      <w:numFmt w:val="bullet"/>
      <w:lvlText w:val=""/>
      <w:lvlJc w:val="left"/>
      <w:pPr>
        <w:ind w:left="4789" w:hanging="360"/>
      </w:pPr>
      <w:rPr>
        <w:rFonts w:ascii="Symbol" w:hAnsi="Symbol" w:hint="default"/>
      </w:rPr>
    </w:lvl>
    <w:lvl w:ilvl="7" w:tplc="08090003" w:tentative="1">
      <w:start w:val="1"/>
      <w:numFmt w:val="bullet"/>
      <w:lvlText w:val="o"/>
      <w:lvlJc w:val="left"/>
      <w:pPr>
        <w:ind w:left="5509" w:hanging="360"/>
      </w:pPr>
      <w:rPr>
        <w:rFonts w:ascii="Courier New" w:hAnsi="Courier New" w:cs="Courier New" w:hint="default"/>
      </w:rPr>
    </w:lvl>
    <w:lvl w:ilvl="8" w:tplc="08090005" w:tentative="1">
      <w:start w:val="1"/>
      <w:numFmt w:val="bullet"/>
      <w:lvlText w:val=""/>
      <w:lvlJc w:val="left"/>
      <w:pPr>
        <w:ind w:left="6229" w:hanging="360"/>
      </w:pPr>
      <w:rPr>
        <w:rFonts w:ascii="Wingdings" w:hAnsi="Wingdings" w:hint="default"/>
      </w:rPr>
    </w:lvl>
  </w:abstractNum>
  <w:abstractNum w:abstractNumId="1" w15:restartNumberingAfterBreak="0">
    <w:nsid w:val="3921608F"/>
    <w:multiLevelType w:val="hybridMultilevel"/>
    <w:tmpl w:val="3A786E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173E00"/>
    <w:multiLevelType w:val="hybridMultilevel"/>
    <w:tmpl w:val="FB50B878"/>
    <w:lvl w:ilvl="0" w:tplc="F948DFF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4F51A3"/>
    <w:multiLevelType w:val="hybridMultilevel"/>
    <w:tmpl w:val="71AA0DD6"/>
    <w:lvl w:ilvl="0" w:tplc="08090001">
      <w:start w:val="1"/>
      <w:numFmt w:val="bullet"/>
      <w:lvlText w:val=""/>
      <w:lvlJc w:val="left"/>
      <w:pPr>
        <w:ind w:left="610" w:hanging="360"/>
      </w:pPr>
      <w:rPr>
        <w:rFonts w:ascii="Symbol" w:hAnsi="Symbol" w:hint="default"/>
      </w:rPr>
    </w:lvl>
    <w:lvl w:ilvl="1" w:tplc="ED1AB884">
      <w:numFmt w:val="bullet"/>
      <w:lvlText w:val="-"/>
      <w:lvlJc w:val="left"/>
      <w:pPr>
        <w:ind w:left="1330" w:hanging="360"/>
      </w:pPr>
      <w:rPr>
        <w:rFonts w:ascii="Calibri" w:eastAsiaTheme="minorEastAsia" w:hAnsi="Calibri" w:cs="Calibri" w:hint="default"/>
      </w:rPr>
    </w:lvl>
    <w:lvl w:ilvl="2" w:tplc="08090005" w:tentative="1">
      <w:start w:val="1"/>
      <w:numFmt w:val="bullet"/>
      <w:lvlText w:val=""/>
      <w:lvlJc w:val="left"/>
      <w:pPr>
        <w:ind w:left="2050" w:hanging="360"/>
      </w:pPr>
      <w:rPr>
        <w:rFonts w:ascii="Wingdings" w:hAnsi="Wingdings" w:hint="default"/>
      </w:rPr>
    </w:lvl>
    <w:lvl w:ilvl="3" w:tplc="08090001" w:tentative="1">
      <w:start w:val="1"/>
      <w:numFmt w:val="bullet"/>
      <w:lvlText w:val=""/>
      <w:lvlJc w:val="left"/>
      <w:pPr>
        <w:ind w:left="2770" w:hanging="360"/>
      </w:pPr>
      <w:rPr>
        <w:rFonts w:ascii="Symbol" w:hAnsi="Symbol" w:hint="default"/>
      </w:rPr>
    </w:lvl>
    <w:lvl w:ilvl="4" w:tplc="08090003" w:tentative="1">
      <w:start w:val="1"/>
      <w:numFmt w:val="bullet"/>
      <w:lvlText w:val="o"/>
      <w:lvlJc w:val="left"/>
      <w:pPr>
        <w:ind w:left="3490" w:hanging="360"/>
      </w:pPr>
      <w:rPr>
        <w:rFonts w:ascii="Courier New" w:hAnsi="Courier New" w:cs="Courier New" w:hint="default"/>
      </w:rPr>
    </w:lvl>
    <w:lvl w:ilvl="5" w:tplc="08090005" w:tentative="1">
      <w:start w:val="1"/>
      <w:numFmt w:val="bullet"/>
      <w:lvlText w:val=""/>
      <w:lvlJc w:val="left"/>
      <w:pPr>
        <w:ind w:left="4210" w:hanging="360"/>
      </w:pPr>
      <w:rPr>
        <w:rFonts w:ascii="Wingdings" w:hAnsi="Wingdings" w:hint="default"/>
      </w:rPr>
    </w:lvl>
    <w:lvl w:ilvl="6" w:tplc="08090001" w:tentative="1">
      <w:start w:val="1"/>
      <w:numFmt w:val="bullet"/>
      <w:lvlText w:val=""/>
      <w:lvlJc w:val="left"/>
      <w:pPr>
        <w:ind w:left="4930" w:hanging="360"/>
      </w:pPr>
      <w:rPr>
        <w:rFonts w:ascii="Symbol" w:hAnsi="Symbol" w:hint="default"/>
      </w:rPr>
    </w:lvl>
    <w:lvl w:ilvl="7" w:tplc="08090003" w:tentative="1">
      <w:start w:val="1"/>
      <w:numFmt w:val="bullet"/>
      <w:lvlText w:val="o"/>
      <w:lvlJc w:val="left"/>
      <w:pPr>
        <w:ind w:left="5650" w:hanging="360"/>
      </w:pPr>
      <w:rPr>
        <w:rFonts w:ascii="Courier New" w:hAnsi="Courier New" w:cs="Courier New" w:hint="default"/>
      </w:rPr>
    </w:lvl>
    <w:lvl w:ilvl="8" w:tplc="08090005" w:tentative="1">
      <w:start w:val="1"/>
      <w:numFmt w:val="bullet"/>
      <w:lvlText w:val=""/>
      <w:lvlJc w:val="left"/>
      <w:pPr>
        <w:ind w:left="6370" w:hanging="360"/>
      </w:pPr>
      <w:rPr>
        <w:rFonts w:ascii="Wingdings" w:hAnsi="Wingdings" w:hint="default"/>
      </w:rPr>
    </w:lvl>
  </w:abstractNum>
  <w:abstractNum w:abstractNumId="4" w15:restartNumberingAfterBreak="0">
    <w:nsid w:val="74FF22E7"/>
    <w:multiLevelType w:val="hybridMultilevel"/>
    <w:tmpl w:val="62FCC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1050321">
    <w:abstractNumId w:val="4"/>
  </w:num>
  <w:num w:numId="2" w16cid:durableId="1764884896">
    <w:abstractNumId w:val="2"/>
  </w:num>
  <w:num w:numId="3" w16cid:durableId="731578973">
    <w:abstractNumId w:val="3"/>
  </w:num>
  <w:num w:numId="4" w16cid:durableId="1623996577">
    <w:abstractNumId w:val="1"/>
  </w:num>
  <w:num w:numId="5" w16cid:durableId="260064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EF2"/>
    <w:rsid w:val="0001410B"/>
    <w:rsid w:val="00084432"/>
    <w:rsid w:val="00086B48"/>
    <w:rsid w:val="000A1F11"/>
    <w:rsid w:val="000A4EA6"/>
    <w:rsid w:val="000B19A0"/>
    <w:rsid w:val="000D376E"/>
    <w:rsid w:val="000E02BA"/>
    <w:rsid w:val="00142686"/>
    <w:rsid w:val="0016562A"/>
    <w:rsid w:val="002278D9"/>
    <w:rsid w:val="00251662"/>
    <w:rsid w:val="00275822"/>
    <w:rsid w:val="002A7393"/>
    <w:rsid w:val="002B37F7"/>
    <w:rsid w:val="002C2C63"/>
    <w:rsid w:val="002D75B0"/>
    <w:rsid w:val="0035468F"/>
    <w:rsid w:val="00370ECC"/>
    <w:rsid w:val="0037365B"/>
    <w:rsid w:val="003E1024"/>
    <w:rsid w:val="00425BAB"/>
    <w:rsid w:val="0044451F"/>
    <w:rsid w:val="00446B16"/>
    <w:rsid w:val="00464655"/>
    <w:rsid w:val="00465E86"/>
    <w:rsid w:val="004663C1"/>
    <w:rsid w:val="004754B1"/>
    <w:rsid w:val="004E4056"/>
    <w:rsid w:val="004E4715"/>
    <w:rsid w:val="00505A3E"/>
    <w:rsid w:val="005231EF"/>
    <w:rsid w:val="00540D13"/>
    <w:rsid w:val="00545604"/>
    <w:rsid w:val="0057022E"/>
    <w:rsid w:val="005F0844"/>
    <w:rsid w:val="00640BF0"/>
    <w:rsid w:val="00655372"/>
    <w:rsid w:val="00665E18"/>
    <w:rsid w:val="00673081"/>
    <w:rsid w:val="006760B6"/>
    <w:rsid w:val="006B10AE"/>
    <w:rsid w:val="00703277"/>
    <w:rsid w:val="00773E67"/>
    <w:rsid w:val="007D0788"/>
    <w:rsid w:val="007D6F4A"/>
    <w:rsid w:val="00823880"/>
    <w:rsid w:val="008409CD"/>
    <w:rsid w:val="00853635"/>
    <w:rsid w:val="0085376C"/>
    <w:rsid w:val="00880F44"/>
    <w:rsid w:val="008A5EF2"/>
    <w:rsid w:val="008F0259"/>
    <w:rsid w:val="00935072"/>
    <w:rsid w:val="00957355"/>
    <w:rsid w:val="00967DB5"/>
    <w:rsid w:val="00972BA7"/>
    <w:rsid w:val="009830CB"/>
    <w:rsid w:val="009D06FC"/>
    <w:rsid w:val="009E3584"/>
    <w:rsid w:val="009F096F"/>
    <w:rsid w:val="009F4D21"/>
    <w:rsid w:val="00A05CAF"/>
    <w:rsid w:val="00A0609C"/>
    <w:rsid w:val="00A27FE0"/>
    <w:rsid w:val="00A50F98"/>
    <w:rsid w:val="00A60A7C"/>
    <w:rsid w:val="00AC3A7D"/>
    <w:rsid w:val="00B15155"/>
    <w:rsid w:val="00B157F1"/>
    <w:rsid w:val="00B316C0"/>
    <w:rsid w:val="00B60F7D"/>
    <w:rsid w:val="00B65B2E"/>
    <w:rsid w:val="00BA4CC7"/>
    <w:rsid w:val="00C2642C"/>
    <w:rsid w:val="00C752FE"/>
    <w:rsid w:val="00C76A71"/>
    <w:rsid w:val="00C775E9"/>
    <w:rsid w:val="00C832D3"/>
    <w:rsid w:val="00C947EB"/>
    <w:rsid w:val="00CD4453"/>
    <w:rsid w:val="00CE1532"/>
    <w:rsid w:val="00CE2AB4"/>
    <w:rsid w:val="00D12DEA"/>
    <w:rsid w:val="00D2148B"/>
    <w:rsid w:val="00D2315B"/>
    <w:rsid w:val="00D452CC"/>
    <w:rsid w:val="00D65C10"/>
    <w:rsid w:val="00DA55E6"/>
    <w:rsid w:val="00DC08B8"/>
    <w:rsid w:val="00DC2F88"/>
    <w:rsid w:val="00DE0C32"/>
    <w:rsid w:val="00DF714D"/>
    <w:rsid w:val="00E24405"/>
    <w:rsid w:val="00E46256"/>
    <w:rsid w:val="00E7483E"/>
    <w:rsid w:val="00EC749A"/>
    <w:rsid w:val="00F011C0"/>
    <w:rsid w:val="00F1009C"/>
    <w:rsid w:val="00F20B00"/>
    <w:rsid w:val="00F306EE"/>
    <w:rsid w:val="00F3279D"/>
    <w:rsid w:val="00F449A3"/>
    <w:rsid w:val="00F83745"/>
    <w:rsid w:val="00F84953"/>
    <w:rsid w:val="00FD59A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FF2D4"/>
  <w15:chartTrackingRefBased/>
  <w15:docId w15:val="{9285F960-AE2D-F244-A248-752CC843D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EF2"/>
    <w:pPr>
      <w:ind w:firstLine="360"/>
    </w:pPr>
    <w:rPr>
      <w:rFonts w:eastAsiaTheme="minorEastAsia"/>
      <w:kern w:val="0"/>
      <w:sz w:val="22"/>
      <w:szCs w:val="22"/>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A5EF2"/>
    <w:pPr>
      <w:ind w:firstLine="360"/>
    </w:pPr>
    <w:rPr>
      <w:rFonts w:eastAsiaTheme="minorEastAsia"/>
      <w:kern w:val="0"/>
      <w:sz w:val="22"/>
      <w:szCs w:val="22"/>
      <w:lang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A5EF2"/>
  </w:style>
  <w:style w:type="character" w:styleId="Hyperlink">
    <w:name w:val="Hyperlink"/>
    <w:unhideWhenUsed/>
    <w:rsid w:val="008A5EF2"/>
    <w:rPr>
      <w:color w:val="0000FF"/>
      <w:u w:val="single"/>
    </w:rPr>
  </w:style>
  <w:style w:type="paragraph" w:styleId="FootnoteText">
    <w:name w:val="footnote text"/>
    <w:aliases w:val="ข้อความเชิงอรรถ,¢éÍ¤ÇÒÁàªÔ§ÍÃÃ¶,5_G"/>
    <w:basedOn w:val="Normal"/>
    <w:link w:val="FootnoteTextChar"/>
    <w:uiPriority w:val="99"/>
    <w:qFormat/>
    <w:rsid w:val="008A5EF2"/>
    <w:pPr>
      <w:spacing w:before="120" w:after="120"/>
    </w:pPr>
    <w:rPr>
      <w:rFonts w:eastAsia="Times"/>
      <w:sz w:val="20"/>
      <w:szCs w:val="20"/>
    </w:rPr>
  </w:style>
  <w:style w:type="character" w:customStyle="1" w:styleId="FootnoteTextChar">
    <w:name w:val="Footnote Text Char"/>
    <w:aliases w:val="ข้อความเชิงอรรถ Char,¢éÍ¤ÇÒÁàªÔ§ÍÃÃ¶ Char,5_G Char"/>
    <w:basedOn w:val="DefaultParagraphFont"/>
    <w:link w:val="FootnoteText"/>
    <w:uiPriority w:val="99"/>
    <w:rsid w:val="008A5EF2"/>
    <w:rPr>
      <w:rFonts w:eastAsia="Times"/>
      <w:kern w:val="0"/>
      <w:sz w:val="20"/>
      <w:szCs w:val="20"/>
      <w:lang w:eastAsia="en-GB"/>
      <w14:ligatures w14:val="none"/>
    </w:rPr>
  </w:style>
  <w:style w:type="character" w:styleId="FootnoteReference">
    <w:name w:val="footnote reference"/>
    <w:aliases w:val="อ้างอิงเชิงอรรถ,ÍéÒ§ÍÔ§àªÔ§ÍÃÃ¶,4_G"/>
    <w:uiPriority w:val="99"/>
    <w:qFormat/>
    <w:rsid w:val="008A5EF2"/>
    <w:rPr>
      <w:vertAlign w:val="superscript"/>
    </w:rPr>
  </w:style>
  <w:style w:type="paragraph" w:styleId="Footer">
    <w:name w:val="footer"/>
    <w:basedOn w:val="Normal"/>
    <w:link w:val="FooterChar"/>
    <w:rsid w:val="008A5EF2"/>
    <w:pPr>
      <w:tabs>
        <w:tab w:val="center" w:pos="4320"/>
        <w:tab w:val="right" w:pos="8640"/>
      </w:tabs>
    </w:pPr>
  </w:style>
  <w:style w:type="character" w:customStyle="1" w:styleId="FooterChar">
    <w:name w:val="Footer Char"/>
    <w:basedOn w:val="DefaultParagraphFont"/>
    <w:link w:val="Footer"/>
    <w:rsid w:val="008A5EF2"/>
    <w:rPr>
      <w:rFonts w:eastAsiaTheme="minorEastAsia"/>
      <w:kern w:val="0"/>
      <w:sz w:val="22"/>
      <w:szCs w:val="22"/>
      <w:lang w:eastAsia="en-GB"/>
      <w14:ligatures w14:val="none"/>
    </w:rPr>
  </w:style>
  <w:style w:type="paragraph" w:styleId="Header">
    <w:name w:val="header"/>
    <w:basedOn w:val="Normal"/>
    <w:link w:val="HeaderChar"/>
    <w:uiPriority w:val="99"/>
    <w:rsid w:val="008A5EF2"/>
    <w:pPr>
      <w:tabs>
        <w:tab w:val="center" w:pos="4320"/>
        <w:tab w:val="right" w:pos="8640"/>
      </w:tabs>
    </w:pPr>
  </w:style>
  <w:style w:type="character" w:customStyle="1" w:styleId="HeaderChar">
    <w:name w:val="Header Char"/>
    <w:basedOn w:val="DefaultParagraphFont"/>
    <w:link w:val="Header"/>
    <w:uiPriority w:val="99"/>
    <w:rsid w:val="008A5EF2"/>
    <w:rPr>
      <w:rFonts w:eastAsiaTheme="minorEastAsia"/>
      <w:kern w:val="0"/>
      <w:sz w:val="22"/>
      <w:szCs w:val="22"/>
      <w:lang w:eastAsia="en-GB"/>
      <w14:ligatures w14:val="none"/>
    </w:rPr>
  </w:style>
  <w:style w:type="paragraph" w:styleId="Bibliography">
    <w:name w:val="Bibliography"/>
    <w:basedOn w:val="Normal"/>
    <w:next w:val="Normal"/>
    <w:uiPriority w:val="37"/>
    <w:unhideWhenUsed/>
    <w:rsid w:val="008A5EF2"/>
    <w:pPr>
      <w:spacing w:line="480" w:lineRule="auto"/>
      <w:ind w:left="720" w:hanging="720"/>
    </w:pPr>
  </w:style>
  <w:style w:type="paragraph" w:styleId="Caption">
    <w:name w:val="caption"/>
    <w:basedOn w:val="Normal"/>
    <w:next w:val="Normal"/>
    <w:uiPriority w:val="35"/>
    <w:unhideWhenUsed/>
    <w:qFormat/>
    <w:rsid w:val="008A5EF2"/>
    <w:rPr>
      <w:b/>
      <w:bCs/>
      <w:sz w:val="18"/>
      <w:szCs w:val="18"/>
    </w:rPr>
  </w:style>
  <w:style w:type="table" w:styleId="GridTable2">
    <w:name w:val="Grid Table 2"/>
    <w:basedOn w:val="TableNormal"/>
    <w:uiPriority w:val="47"/>
    <w:rsid w:val="008A5EF2"/>
    <w:pPr>
      <w:ind w:firstLine="360"/>
    </w:pPr>
    <w:rPr>
      <w:rFonts w:eastAsiaTheme="minorEastAsia"/>
      <w:kern w:val="0"/>
      <w:sz w:val="22"/>
      <w:szCs w:val="22"/>
      <w:lang w:eastAsia="en-GB"/>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70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100671">
      <w:bodyDiv w:val="1"/>
      <w:marLeft w:val="0"/>
      <w:marRight w:val="0"/>
      <w:marTop w:val="0"/>
      <w:marBottom w:val="0"/>
      <w:divBdr>
        <w:top w:val="none" w:sz="0" w:space="0" w:color="auto"/>
        <w:left w:val="none" w:sz="0" w:space="0" w:color="auto"/>
        <w:bottom w:val="none" w:sz="0" w:space="0" w:color="auto"/>
        <w:right w:val="none" w:sz="0" w:space="0" w:color="auto"/>
      </w:divBdr>
    </w:div>
    <w:div w:id="886333247">
      <w:bodyDiv w:val="1"/>
      <w:marLeft w:val="0"/>
      <w:marRight w:val="0"/>
      <w:marTop w:val="0"/>
      <w:marBottom w:val="0"/>
      <w:divBdr>
        <w:top w:val="none" w:sz="0" w:space="0" w:color="auto"/>
        <w:left w:val="none" w:sz="0" w:space="0" w:color="auto"/>
        <w:bottom w:val="none" w:sz="0" w:space="0" w:color="auto"/>
        <w:right w:val="none" w:sz="0" w:space="0" w:color="auto"/>
      </w:divBdr>
    </w:div>
    <w:div w:id="911475726">
      <w:bodyDiv w:val="1"/>
      <w:marLeft w:val="0"/>
      <w:marRight w:val="0"/>
      <w:marTop w:val="0"/>
      <w:marBottom w:val="0"/>
      <w:divBdr>
        <w:top w:val="none" w:sz="0" w:space="0" w:color="auto"/>
        <w:left w:val="none" w:sz="0" w:space="0" w:color="auto"/>
        <w:bottom w:val="none" w:sz="0" w:space="0" w:color="auto"/>
        <w:right w:val="none" w:sz="0" w:space="0" w:color="auto"/>
      </w:divBdr>
    </w:div>
    <w:div w:id="995688754">
      <w:bodyDiv w:val="1"/>
      <w:marLeft w:val="0"/>
      <w:marRight w:val="0"/>
      <w:marTop w:val="0"/>
      <w:marBottom w:val="0"/>
      <w:divBdr>
        <w:top w:val="none" w:sz="0" w:space="0" w:color="auto"/>
        <w:left w:val="none" w:sz="0" w:space="0" w:color="auto"/>
        <w:bottom w:val="none" w:sz="0" w:space="0" w:color="auto"/>
        <w:right w:val="none" w:sz="0" w:space="0" w:color="auto"/>
      </w:divBdr>
    </w:div>
    <w:div w:id="1103841011">
      <w:bodyDiv w:val="1"/>
      <w:marLeft w:val="0"/>
      <w:marRight w:val="0"/>
      <w:marTop w:val="0"/>
      <w:marBottom w:val="0"/>
      <w:divBdr>
        <w:top w:val="none" w:sz="0" w:space="0" w:color="auto"/>
        <w:left w:val="none" w:sz="0" w:space="0" w:color="auto"/>
        <w:bottom w:val="none" w:sz="0" w:space="0" w:color="auto"/>
        <w:right w:val="none" w:sz="0" w:space="0" w:color="auto"/>
      </w:divBdr>
    </w:div>
    <w:div w:id="1413576623">
      <w:bodyDiv w:val="1"/>
      <w:marLeft w:val="0"/>
      <w:marRight w:val="0"/>
      <w:marTop w:val="0"/>
      <w:marBottom w:val="0"/>
      <w:divBdr>
        <w:top w:val="none" w:sz="0" w:space="0" w:color="auto"/>
        <w:left w:val="none" w:sz="0" w:space="0" w:color="auto"/>
        <w:bottom w:val="none" w:sz="0" w:space="0" w:color="auto"/>
        <w:right w:val="none" w:sz="0" w:space="0" w:color="auto"/>
      </w:divBdr>
    </w:div>
    <w:div w:id="167892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eklisetya.pra@student.mahidol.edu"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cekli@umm.ac.id"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358B3-8DF3-6E4E-AFCC-D944E1C54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11</Pages>
  <Words>11919</Words>
  <Characters>67940</Characters>
  <Application>Microsoft Office Word</Application>
  <DocSecurity>0</DocSecurity>
  <Lines>566</Lines>
  <Paragraphs>159</Paragraphs>
  <ScaleCrop>false</ScaleCrop>
  <Company/>
  <LinksUpToDate>false</LinksUpToDate>
  <CharactersWithSpaces>79700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48</cp:revision>
  <dcterms:created xsi:type="dcterms:W3CDTF">2023-05-22T01:55:00Z</dcterms:created>
  <dcterms:modified xsi:type="dcterms:W3CDTF">2023-05-25T23:42:00Z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id="5VQRbnUb"/&gt;&lt;style id="http://www.zotero.org/styles/apa" locale="en-US" hasBibliography="1" bibliographyStyleHasBeenSet="1"/&gt;&lt;prefs&gt;&lt;pref name="fieldType" value="Field"/&gt;&lt;/prefs&gt;&lt;/data&gt;</vt:lpwstr>
  </property>
</Properties>
</file>