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55DA4EA3"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r w:rsidR="0016562A">
        <w:rPr>
          <w:rStyle w:val="FootnoteReference"/>
          <w:rFonts w:ascii="Calibri" w:eastAsia="SimSun" w:hAnsi="Calibri" w:cs="Calibri"/>
          <w:b/>
          <w:bCs/>
          <w:sz w:val="28"/>
          <w:szCs w:val="28"/>
          <w:lang w:eastAsia="zh-CN"/>
        </w:rPr>
        <w:footnoteReference w:id="1"/>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000000" w:rsidP="008A5EF2">
      <w:pPr>
        <w:jc w:val="center"/>
        <w:rPr>
          <w:rFonts w:ascii="Calibri" w:eastAsia="SimSun" w:hAnsi="Calibri" w:cs="Calibri"/>
          <w:lang w:eastAsia="zh-CN"/>
        </w:rPr>
      </w:pPr>
      <w:hyperlink r:id="rId8" w:history="1">
        <w:r w:rsidR="008A5EF2" w:rsidRPr="00161BC1">
          <w:rPr>
            <w:rStyle w:val="Hyperlink"/>
            <w:rFonts w:ascii="Calibri" w:eastAsia="SimSun" w:hAnsi="Calibri" w:cs="Calibri"/>
            <w:lang w:eastAsia="zh-CN"/>
          </w:rPr>
          <w:t>ceklisetya.pra@student.mahidol.edu</w:t>
        </w:r>
      </w:hyperlink>
      <w:r w:rsidR="008A5EF2">
        <w:rPr>
          <w:rFonts w:ascii="Calibri" w:eastAsia="SimSun" w:hAnsi="Calibri" w:cs="Calibri"/>
          <w:lang w:eastAsia="zh-CN"/>
        </w:rPr>
        <w:t xml:space="preserve"> or </w:t>
      </w:r>
      <w:hyperlink r:id="rId9" w:history="1">
        <w:r w:rsidR="008A5EF2" w:rsidRPr="00161BC1">
          <w:rPr>
            <w:rStyle w:val="Hyperlink"/>
            <w:rFonts w:ascii="Calibri" w:eastAsia="SimSun" w:hAnsi="Calibri" w:cs="Calibri"/>
            <w:lang w:eastAsia="zh-CN"/>
          </w:rPr>
          <w:t>cekli@umm.ac.id</w:t>
        </w:r>
      </w:hyperlink>
      <w:r w:rsidR="008A5EF2">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70F0EEDE" w14:textId="50C3F5A0" w:rsidR="008A5EF2" w:rsidRDefault="008A5EF2" w:rsidP="00465E86">
      <w:pPr>
        <w:ind w:firstLine="0"/>
        <w:rPr>
          <w:rFonts w:ascii="Calibri" w:eastAsia="SimSun" w:hAnsi="Calibri" w:cs="Calibri"/>
          <w:b/>
          <w:lang w:eastAsia="zh-CN"/>
        </w:rPr>
      </w:pPr>
      <w:r>
        <w:rPr>
          <w:rFonts w:ascii="Calibri" w:eastAsia="SimSun" w:hAnsi="Calibri" w:cs="Calibri"/>
          <w:b/>
          <w:lang w:eastAsia="zh-CN"/>
        </w:rPr>
        <w:t>ABSTRACT</w:t>
      </w:r>
    </w:p>
    <w:p w14:paraId="3EE8E421" w14:textId="77777777" w:rsidR="00465E86" w:rsidRPr="00465E86" w:rsidRDefault="00465E86" w:rsidP="00465E86">
      <w:pPr>
        <w:ind w:firstLine="0"/>
        <w:rPr>
          <w:rFonts w:ascii="Calibri" w:eastAsia="SimSun" w:hAnsi="Calibri" w:cs="Calibri"/>
          <w:b/>
          <w:lang w:eastAsia="zh-CN"/>
        </w:rPr>
      </w:pPr>
    </w:p>
    <w:p w14:paraId="30983394" w14:textId="72870B7A" w:rsidR="00FD59A2" w:rsidRDefault="002D75B0" w:rsidP="00FD59A2">
      <w:pPr>
        <w:ind w:firstLine="720"/>
        <w:jc w:val="both"/>
      </w:pPr>
      <w:r w:rsidRPr="002D75B0">
        <w:rPr>
          <w:rFonts w:cstheme="minorHAnsi"/>
          <w:bCs/>
          <w:color w:val="000000" w:themeColor="text1"/>
          <w:lang w:val="en-AU"/>
        </w:rPr>
        <w:t xml:space="preserve">Previous studies on vigilante justice against blasphemy in various nations indicate that reactive religious violence results from inadequate protection of religious values against transgressions, regardless of religious affiliation. According to a separate study, conservative religious groups engaged in vigilante justice against blasphemy in Indonesia and put pressure on law enforcement to undermine judicial legitimacy.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a previous study, which determined that vigilante justice against blasphemy in Indonesia has shifted from spontaneous action to more structured or state-sponsored action. Even though the Blasphemy Law is still in effect, vigilante justice persists. Involved in vigilante justice are not only fundamentalist religious organizations but also religious institutions and state actors who continue to enact extended discriminatory policies to emphasize Indonesia's anti-blasphemy legislation. In addition to the legal factor, Indonesia embraces the ideology of "Godly Nationalism," which promotes society's monopolization of the truth and offers the dominant religious group justification to reject religious minorities accused of heresy. </w:t>
      </w:r>
      <w:r w:rsidR="00FD59A2" w:rsidRPr="00FD59A2">
        <w:rPr>
          <w:rFonts w:cstheme="minorHAnsi"/>
          <w:bCs/>
          <w:color w:val="000000" w:themeColor="text1"/>
          <w:lang w:val="en-AU"/>
        </w:rPr>
        <w:t>Hard</w:t>
      </w:r>
      <w:r w:rsidR="00FD59A2">
        <w:rPr>
          <w:rFonts w:cstheme="minorHAnsi"/>
          <w:bCs/>
          <w:color w:val="000000" w:themeColor="text1"/>
          <w:lang w:val="en-AU"/>
        </w:rPr>
        <w:t>-</w:t>
      </w:r>
      <w:r w:rsidR="00FD59A2" w:rsidRPr="00FD59A2">
        <w:rPr>
          <w:rFonts w:cstheme="minorHAnsi"/>
          <w:bCs/>
          <w:color w:val="000000" w:themeColor="text1"/>
          <w:lang w:val="en-AU"/>
        </w:rPr>
        <w:t>line religious organizations exploit religious hatred to mobilize vigilante justice by portraying themselves as victims of religious hatred instigated by the accused. This is done for the benefit of power politics.</w:t>
      </w:r>
      <w:r w:rsidR="00FD59A2">
        <w:rPr>
          <w:rFonts w:cstheme="minorHAnsi"/>
          <w:bCs/>
          <w:color w:val="000000" w:themeColor="text1"/>
          <w:lang w:val="en-AU"/>
        </w:rPr>
        <w:t xml:space="preserve"> </w:t>
      </w:r>
      <w:r w:rsidR="00FD59A2">
        <w:t>As a result, the complexity of state-sponsored vigilantism outside of court creates the pattern, jeopardizes the independence of the judiciary, and prevents the court from delivering justice to the accused.</w:t>
      </w:r>
    </w:p>
    <w:p w14:paraId="77D57049" w14:textId="56024830" w:rsidR="008A5EF2" w:rsidRPr="00465E86" w:rsidRDefault="008A5EF2" w:rsidP="00FD59A2">
      <w:pPr>
        <w:ind w:firstLine="0"/>
        <w:jc w:val="both"/>
        <w:rPr>
          <w:rFonts w:ascii="Calibri" w:eastAsia="SimSun" w:hAnsi="Calibri" w:cs="Calibri"/>
          <w:bCs/>
          <w:color w:val="000000"/>
          <w:lang w:eastAsia="zh-CN"/>
        </w:rPr>
      </w:pPr>
      <w:r>
        <w:rPr>
          <w:rFonts w:ascii="Calibri" w:eastAsia="SimSun" w:hAnsi="Calibri" w:cs="Calibri"/>
          <w:b/>
          <w:color w:val="000000"/>
          <w:lang w:eastAsia="zh-CN"/>
        </w:rPr>
        <w:t xml:space="preserve">Keywords: </w:t>
      </w:r>
      <w:r w:rsidRPr="00465E86">
        <w:rPr>
          <w:rFonts w:ascii="Calibri" w:eastAsia="SimSun" w:hAnsi="Calibri" w:cs="Calibri"/>
          <w:bCs/>
          <w:color w:val="000000"/>
          <w:lang w:eastAsia="zh-CN"/>
        </w:rPr>
        <w:t>vigilante justice, Indonesia</w:t>
      </w:r>
      <w:r w:rsidR="00465E86">
        <w:rPr>
          <w:rFonts w:ascii="Calibri" w:eastAsia="SimSun" w:hAnsi="Calibri" w:cs="Calibri"/>
          <w:bCs/>
          <w:color w:val="000000"/>
          <w:lang w:eastAsia="zh-CN"/>
        </w:rPr>
        <w:t>’s anti blasphemy law</w:t>
      </w:r>
      <w:r w:rsidRPr="00465E86">
        <w:rPr>
          <w:rFonts w:ascii="Calibri" w:eastAsia="SimSun" w:hAnsi="Calibri" w:cs="Calibri"/>
          <w:bCs/>
          <w:color w:val="000000"/>
          <w:lang w:eastAsia="zh-CN"/>
        </w:rPr>
        <w:t>,</w:t>
      </w:r>
      <w:r w:rsidR="00465E86">
        <w:rPr>
          <w:rFonts w:ascii="Calibri" w:eastAsia="SimSun" w:hAnsi="Calibri" w:cs="Calibri"/>
          <w:bCs/>
          <w:color w:val="000000"/>
          <w:lang w:eastAsia="zh-CN"/>
        </w:rPr>
        <w:t xml:space="preserve"> law enforcement,</w:t>
      </w:r>
      <w:r w:rsidRPr="00465E86">
        <w:rPr>
          <w:rFonts w:ascii="Calibri" w:eastAsia="SimSun" w:hAnsi="Calibri" w:cs="Calibri"/>
          <w:bCs/>
          <w:color w:val="000000"/>
          <w:lang w:eastAsia="zh-CN"/>
        </w:rPr>
        <w:t xml:space="preserve"> </w:t>
      </w:r>
      <w:r w:rsidR="00465E86">
        <w:rPr>
          <w:rFonts w:ascii="Calibri" w:eastAsia="SimSun" w:hAnsi="Calibri" w:cs="Calibri"/>
          <w:bCs/>
          <w:color w:val="000000"/>
          <w:lang w:eastAsia="zh-CN"/>
        </w:rPr>
        <w:t>judicial independency</w:t>
      </w:r>
      <w:r w:rsidRPr="00465E86">
        <w:rPr>
          <w:rFonts w:ascii="Calibri" w:eastAsia="SimSun" w:hAnsi="Calibri" w:cs="Calibri"/>
          <w:bCs/>
          <w:color w:val="000000"/>
          <w:lang w:eastAsia="zh-CN"/>
        </w:rPr>
        <w:t>, justice.</w:t>
      </w:r>
    </w:p>
    <w:p w14:paraId="5241A73D" w14:textId="77777777" w:rsidR="008A5EF2" w:rsidRDefault="008A5EF2" w:rsidP="008A5EF2">
      <w:pPr>
        <w:rPr>
          <w:rFonts w:ascii="Calibri" w:eastAsia="SimSun" w:hAnsi="Calibri" w:cs="Calibri"/>
          <w:b/>
          <w:color w:val="000000"/>
          <w:lang w:eastAsia="zh-CN"/>
        </w:rPr>
      </w:pPr>
    </w:p>
    <w:p w14:paraId="3BB9BFC7" w14:textId="77777777" w:rsidR="008A5EF2" w:rsidRPr="00042460" w:rsidRDefault="008A5EF2" w:rsidP="008A5EF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FFF0F5B" w14:textId="77777777" w:rsidR="008A5EF2" w:rsidRDefault="008A5EF2" w:rsidP="008A5EF2">
      <w:pPr>
        <w:rPr>
          <w:rFonts w:ascii="Calibri" w:hAnsi="Calibri" w:cs="Calibri"/>
          <w:color w:val="000000"/>
          <w:lang w:val="en-AU"/>
        </w:rPr>
      </w:pPr>
    </w:p>
    <w:p w14:paraId="2CE2607C" w14:textId="26C6ADA9" w:rsidR="00465E86" w:rsidRDefault="008A5EF2" w:rsidP="002D75B0">
      <w:pPr>
        <w:ind w:firstLine="720"/>
        <w:jc w:val="both"/>
        <w:rPr>
          <w:rFonts w:ascii="Calibri" w:hAnsi="Calibri" w:cs="Calibri"/>
          <w:color w:val="000000"/>
          <w:lang w:val="en-AU"/>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w:t>
      </w:r>
      <w:r w:rsidR="00C752FE">
        <w:rPr>
          <w:rFonts w:ascii="Calibri" w:hAnsi="Calibri" w:cs="Calibri"/>
          <w:color w:val="000000"/>
          <w:lang w:val="en-AU"/>
        </w:rPr>
        <w:t>A</w:t>
      </w:r>
      <w:r>
        <w:rPr>
          <w:rFonts w:ascii="Calibri" w:hAnsi="Calibri" w:cs="Calibri"/>
          <w:color w:val="000000"/>
          <w:lang w:val="en-AU"/>
        </w:rPr>
        <w:t>ssociate</w:t>
      </w:r>
      <w:r w:rsidRPr="00426118">
        <w:rPr>
          <w:rFonts w:ascii="Calibri" w:hAnsi="Calibri" w:cs="Calibri"/>
          <w:color w:val="000000"/>
          <w:lang w:val="en-AU"/>
        </w:rPr>
        <w:t xml:space="preserve"> </w:t>
      </w:r>
      <w:r w:rsidR="00C752FE">
        <w:rPr>
          <w:rFonts w:ascii="Calibri" w:hAnsi="Calibri" w:cs="Calibri"/>
          <w:color w:val="000000"/>
          <w:lang w:val="en-AU"/>
        </w:rPr>
        <w:t>P</w:t>
      </w:r>
      <w:r w:rsidRPr="00426118">
        <w:rPr>
          <w:rFonts w:ascii="Calibri" w:hAnsi="Calibri" w:cs="Calibri"/>
          <w:color w:val="000000"/>
          <w:lang w:val="en-AU"/>
        </w:rPr>
        <w:t xml:space="preserve">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w:t>
      </w:r>
      <w:r w:rsidRPr="008A5EF2">
        <w:rPr>
          <w:rFonts w:ascii="Calibri" w:hAnsi="Calibri" w:cs="Calibri"/>
          <w:color w:val="000000"/>
          <w:lang w:val="en-AU"/>
        </w:rPr>
        <w:t xml:space="preserve">Since 2011, she has taught the Master Course on Shariah and Human Rights organized by UMM, the ICLRS, and the Norwegian </w:t>
      </w:r>
      <w:proofErr w:type="spellStart"/>
      <w:r w:rsidRPr="008A5EF2">
        <w:rPr>
          <w:rFonts w:ascii="Calibri" w:hAnsi="Calibri" w:cs="Calibri"/>
          <w:color w:val="000000"/>
          <w:lang w:val="en-AU"/>
        </w:rPr>
        <w:t>Center</w:t>
      </w:r>
      <w:proofErr w:type="spellEnd"/>
      <w:r w:rsidRPr="008A5EF2">
        <w:rPr>
          <w:rFonts w:ascii="Calibri" w:hAnsi="Calibri" w:cs="Calibri"/>
          <w:color w:val="000000"/>
          <w:lang w:val="en-AU"/>
        </w:rPr>
        <w:t xml:space="preserve"> for Human Rights. She is the editor-in-chief of </w:t>
      </w:r>
      <w:proofErr w:type="spellStart"/>
      <w:r w:rsidRPr="008A5EF2">
        <w:rPr>
          <w:rFonts w:ascii="Calibri" w:hAnsi="Calibri" w:cs="Calibri"/>
          <w:color w:val="000000"/>
          <w:lang w:val="en-AU"/>
        </w:rPr>
        <w:t>Shari'a</w:t>
      </w:r>
      <w:proofErr w:type="spellEnd"/>
      <w:r w:rsidRPr="008A5EF2">
        <w:rPr>
          <w:rFonts w:ascii="Calibri" w:hAnsi="Calibri" w:cs="Calibri"/>
          <w:color w:val="000000"/>
          <w:lang w:val="en-AU"/>
        </w:rPr>
        <w:t xml:space="preserve"> and Human Rights: A Coursebook (</w:t>
      </w:r>
      <w:proofErr w:type="spellStart"/>
      <w:r w:rsidRPr="008A5EF2">
        <w:rPr>
          <w:rFonts w:ascii="Calibri" w:hAnsi="Calibri" w:cs="Calibri"/>
          <w:color w:val="000000"/>
          <w:lang w:val="en-AU"/>
        </w:rPr>
        <w:t>Mizan</w:t>
      </w:r>
      <w:proofErr w:type="spellEnd"/>
      <w:r w:rsidRPr="008A5EF2">
        <w:rPr>
          <w:rFonts w:ascii="Calibri" w:hAnsi="Calibri" w:cs="Calibri"/>
          <w:color w:val="000000"/>
          <w:lang w:val="en-AU"/>
        </w:rPr>
        <w:t xml:space="preserve"> Publisher, 2022) in two languages and the main author of A Study of the Second Amendment of the Bill of Information and Electronic Transaction in Indonesia Relevancy to the Right of Freedom of Expression </w:t>
      </w:r>
      <w:r>
        <w:rPr>
          <w:rFonts w:ascii="Calibri" w:hAnsi="Calibri" w:cs="Calibri"/>
          <w:color w:val="000000"/>
          <w:lang w:val="en-AU"/>
        </w:rPr>
        <w:t>(</w:t>
      </w:r>
      <w:r w:rsidRPr="008A5EF2">
        <w:rPr>
          <w:rFonts w:ascii="Calibri" w:hAnsi="Calibri" w:cs="Calibri"/>
          <w:i/>
          <w:iCs/>
          <w:color w:val="000000"/>
          <w:lang w:val="en-AU"/>
        </w:rPr>
        <w:t>KOMNAS</w:t>
      </w:r>
      <w:r w:rsidR="00465E86">
        <w:rPr>
          <w:rFonts w:ascii="Calibri" w:hAnsi="Calibri" w:cs="Calibri"/>
          <w:i/>
          <w:iCs/>
          <w:color w:val="000000"/>
          <w:lang w:val="en-AU"/>
        </w:rPr>
        <w:t>_</w:t>
      </w:r>
      <w:r w:rsidRPr="008A5EF2">
        <w:rPr>
          <w:rFonts w:ascii="Calibri" w:hAnsi="Calibri" w:cs="Calibri"/>
          <w:i/>
          <w:iCs/>
          <w:color w:val="000000"/>
          <w:lang w:val="en-AU"/>
        </w:rPr>
        <w:t>HAM</w:t>
      </w:r>
      <w:r>
        <w:rPr>
          <w:rFonts w:ascii="Calibri" w:hAnsi="Calibri" w:cs="Calibri"/>
          <w:color w:val="000000"/>
          <w:lang w:val="en-AU"/>
        </w:rPr>
        <w:t>, 2022</w:t>
      </w:r>
      <w:r w:rsidRPr="008A5EF2">
        <w:rPr>
          <w:rFonts w:ascii="Calibri" w:hAnsi="Calibri" w:cs="Calibri"/>
          <w:color w:val="000000"/>
          <w:lang w:val="en-AU"/>
        </w:rPr>
        <w:t xml:space="preserve">). </w:t>
      </w:r>
      <w:r w:rsidR="00465E86" w:rsidRPr="00465E86">
        <w:rPr>
          <w:rFonts w:ascii="Calibri" w:hAnsi="Calibri" w:cs="Calibri"/>
          <w:color w:val="000000"/>
          <w:lang w:val="en-AU"/>
        </w:rPr>
        <w:t xml:space="preserve">Currently, she </w:t>
      </w:r>
      <w:r w:rsidR="00465E86">
        <w:rPr>
          <w:rFonts w:ascii="Calibri" w:hAnsi="Calibri" w:cs="Calibri"/>
          <w:color w:val="000000"/>
          <w:lang w:val="en-AU"/>
        </w:rPr>
        <w:t xml:space="preserve">is </w:t>
      </w:r>
      <w:r w:rsidR="00465E86" w:rsidRPr="00465E86">
        <w:rPr>
          <w:rFonts w:ascii="Calibri" w:hAnsi="Calibri" w:cs="Calibri"/>
          <w:color w:val="000000"/>
          <w:lang w:val="en-AU"/>
        </w:rPr>
        <w:t>work</w:t>
      </w:r>
      <w:r w:rsidR="00465E86">
        <w:rPr>
          <w:rFonts w:ascii="Calibri" w:hAnsi="Calibri" w:cs="Calibri"/>
          <w:color w:val="000000"/>
          <w:lang w:val="en-AU"/>
        </w:rPr>
        <w:t>ing</w:t>
      </w:r>
      <w:r w:rsidR="00465E86" w:rsidRPr="00465E86">
        <w:rPr>
          <w:rFonts w:ascii="Calibri" w:hAnsi="Calibri" w:cs="Calibri"/>
          <w:color w:val="000000"/>
          <w:lang w:val="en-AU"/>
        </w:rPr>
        <w:t xml:space="preserve"> for KOMNAS_HAM to develop an audit guideline for state institutions' human rights compliance.</w:t>
      </w:r>
    </w:p>
    <w:p w14:paraId="52E1B295" w14:textId="77777777" w:rsidR="002D75B0" w:rsidRPr="002D75B0" w:rsidRDefault="002D75B0" w:rsidP="002D75B0">
      <w:pPr>
        <w:ind w:firstLine="720"/>
        <w:jc w:val="both"/>
        <w:rPr>
          <w:rFonts w:ascii="Calibri" w:hAnsi="Calibri" w:cs="Calibri"/>
          <w:color w:val="000000"/>
          <w:lang w:val="en-AU"/>
        </w:rPr>
      </w:pPr>
    </w:p>
    <w:p w14:paraId="44926D1F" w14:textId="6A983AC1"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lastRenderedPageBreak/>
        <w:t>INTRODUCTION</w:t>
      </w:r>
    </w:p>
    <w:p w14:paraId="519328EC" w14:textId="77777777" w:rsidR="002D75B0" w:rsidRDefault="002D75B0" w:rsidP="008A5EF2">
      <w:pPr>
        <w:ind w:firstLine="0"/>
        <w:rPr>
          <w:rFonts w:ascii="Calibri" w:hAnsi="Calibri" w:cs="Calibri"/>
          <w:b/>
          <w:color w:val="000000"/>
          <w:lang w:val="en-AU"/>
        </w:rPr>
      </w:pPr>
    </w:p>
    <w:p w14:paraId="0B9A4411" w14:textId="3852C95B" w:rsidR="00C76A71" w:rsidRPr="00F011C0" w:rsidRDefault="00C76A71" w:rsidP="00C76A71">
      <w:pPr>
        <w:ind w:firstLine="0"/>
        <w:jc w:val="both"/>
        <w:rPr>
          <w:rFonts w:cstheme="minorHAnsi"/>
          <w:color w:val="000000" w:themeColor="text1"/>
          <w:lang w:val="en-AU"/>
        </w:rPr>
      </w:pPr>
      <w:r w:rsidRPr="00F011C0">
        <w:rPr>
          <w:rFonts w:cstheme="minorHAnsi"/>
          <w:color w:val="000000" w:themeColor="text1"/>
          <w:lang w:val="en-AU"/>
        </w:rPr>
        <w:t xml:space="preserve">Indonesia, despite international recognition of allegations of infringement of freedom of religion and expression, retains anti-blasphemy laws. The issue of blasphemy often becomes a weapon against political opponents, resulting in much polemic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{"citationID":"YBLe8vU4","properties":{"formattedCitation":"(Villa,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(Villa, 2022)</w:t>
      </w:r>
      <w:r w:rsidRPr="00F011C0">
        <w:rPr>
          <w:rFonts w:cstheme="minorHAnsi"/>
          <w:color w:val="000000" w:themeColor="text1"/>
          <w:lang w:val="en-AU"/>
        </w:rPr>
        <w:fldChar w:fldCharType="end"/>
      </w:r>
      <w:r w:rsidRPr="00F011C0">
        <w:rPr>
          <w:rFonts w:cstheme="minorHAnsi"/>
          <w:color w:val="000000" w:themeColor="text1"/>
          <w:lang w:val="en-AU"/>
        </w:rPr>
        <w:t xml:space="preserve">. Scholars argue that the content ambiguity of Indonesia’s Anti-Blasphemy law is a flaw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{"citationID":"aUIFDuIT","properties":{"formattedCitation":"(Bielefeldt,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(Bielefeldt, 2012; Marshall, 2018; Menchik, 2014)</w:t>
      </w:r>
      <w:r w:rsidRPr="00F011C0">
        <w:rPr>
          <w:rFonts w:cstheme="minorHAnsi"/>
          <w:color w:val="000000" w:themeColor="text1"/>
          <w:lang w:val="en-AU"/>
        </w:rPr>
        <w:fldChar w:fldCharType="end"/>
      </w:r>
      <w:r w:rsidRPr="00F011C0">
        <w:rPr>
          <w:rFonts w:cstheme="minorHAnsi"/>
          <w:color w:val="000000" w:themeColor="text1"/>
          <w:lang w:val="en-AU"/>
        </w:rPr>
        <w:t xml:space="preserve">. </w:t>
      </w:r>
      <w:proofErr w:type="spellStart"/>
      <w:r w:rsidRPr="00F011C0">
        <w:rPr>
          <w:rFonts w:cstheme="minorHAnsi"/>
          <w:color w:val="000000" w:themeColor="text1"/>
          <w:lang w:val="en-AU"/>
        </w:rPr>
        <w:t>Pratiwi's</w:t>
      </w:r>
      <w:proofErr w:type="spellEnd"/>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{"citationID":"LrLDA4nh","properties":{"formattedCitation":"(2021)","plainCitation":"(2021)","noteIndex":0},"citationItems":[{"id":1434,"uris":["http://zotero.org/users/6396655/items/EMUMJPRJ"],"itemData":{"id":1434,"type":"article-journal","container-title":"Constitutional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(2021)</w:t>
      </w:r>
      <w:r w:rsidRPr="00F011C0">
        <w:rPr>
          <w:rFonts w:cstheme="minorHAnsi"/>
          <w:color w:val="000000" w:themeColor="text1"/>
          <w:lang w:val="en-AU"/>
        </w:rPr>
        <w:fldChar w:fldCharType="end"/>
      </w:r>
      <w:r w:rsidRPr="00F011C0">
        <w:rPr>
          <w:rFonts w:cstheme="minorHAnsi"/>
          <w:color w:val="000000" w:themeColor="text1"/>
          <w:lang w:val="en-AU"/>
        </w:rPr>
        <w:t xml:space="preserve"> recent research suggests that the Constitutional Court of the Republic of Indonesia disregarded the principle of non-discrimination in the right to freedom of religion, rejecting a request for a judicial review to annul the blasphemy law out of concern for the potential for conflict between different religious communities in the event of a legal vacuum. Nonetheless, current reality deviates from the legal philosophy of Constitutional Court, and despite efforts to enforce the Law Against Blasphemy of Religion, vigilante attacks on religious minorities accused of heresy persist.</w:t>
      </w:r>
    </w:p>
    <w:p w14:paraId="4DE74CEB" w14:textId="54D011CE" w:rsidR="008A5EF2" w:rsidRPr="00F011C0" w:rsidRDefault="00C76A71" w:rsidP="00465E86">
      <w:pPr>
        <w:ind w:firstLine="720"/>
        <w:jc w:val="both"/>
        <w:rPr>
          <w:rFonts w:cstheme="minorHAnsi"/>
          <w:color w:val="000000" w:themeColor="text1"/>
          <w:lang w:val="en-AU"/>
        </w:rPr>
      </w:pPr>
      <w:r w:rsidRPr="00F011C0">
        <w:rPr>
          <w:rFonts w:cstheme="minorHAnsi"/>
          <w:color w:val="000000" w:themeColor="text1"/>
          <w:lang w:val="en-AU"/>
        </w:rPr>
        <w:t>In Indonesia, blasphemy cases demonstrate that the accused subjected to violent or physical attacks at their places of worship, and the courts have handed down harsh sentences. The Setara Institute reports that 42 of the 97 blasphemy cases between 1965 and 2017 involved vigilante groups. Overall, 76 cases were settled through "pro-</w:t>
      </w:r>
      <w:proofErr w:type="spellStart"/>
      <w:r w:rsidRPr="00F011C0">
        <w:rPr>
          <w:rFonts w:cstheme="minorHAnsi"/>
          <w:color w:val="000000" w:themeColor="text1"/>
          <w:lang w:val="en-AU"/>
        </w:rPr>
        <w:t>justicia</w:t>
      </w:r>
      <w:proofErr w:type="spellEnd"/>
      <w:r w:rsidRPr="00F011C0">
        <w:rPr>
          <w:rFonts w:cstheme="minorHAnsi"/>
          <w:color w:val="000000" w:themeColor="text1"/>
          <w:lang w:val="en-AU"/>
        </w:rPr>
        <w:t xml:space="preserve">," with 47 receiving jail terms ranging from one to 4.5 years, five over 4.5 years, and eight less than a year in prison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{"citationID":"uOATKz4s","properties":{"formattedCitation":"(Nalle,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(Nalle, 2021)</w:t>
      </w:r>
      <w:r w:rsidRPr="00F011C0">
        <w:rPr>
          <w:rFonts w:cstheme="minorHAnsi"/>
          <w:color w:val="000000" w:themeColor="text1"/>
          <w:lang w:val="en-AU"/>
        </w:rPr>
        <w:fldChar w:fldCharType="end"/>
      </w:r>
      <w:r w:rsidRPr="00F011C0">
        <w:rPr>
          <w:rFonts w:cstheme="minorHAnsi"/>
          <w:color w:val="000000" w:themeColor="text1"/>
          <w:lang w:val="en-AU"/>
        </w:rPr>
        <w:t>.</w:t>
      </w:r>
    </w:p>
    <w:p w14:paraId="7C35E731" w14:textId="791A20BF" w:rsidR="00C76A71" w:rsidRPr="00F011C0" w:rsidRDefault="008409CD" w:rsidP="00465E86">
      <w:pPr>
        <w:ind w:firstLine="720"/>
        <w:jc w:val="both"/>
        <w:rPr>
          <w:rFonts w:cstheme="minorHAnsi"/>
          <w:bCs/>
          <w:color w:val="000000" w:themeColor="text1"/>
          <w:lang w:val="en-AU"/>
        </w:rPr>
      </w:pPr>
      <w:r w:rsidRPr="00F011C0">
        <w:rPr>
          <w:rFonts w:cstheme="minorHAnsi"/>
          <w:bCs/>
          <w:color w:val="000000" w:themeColor="text1"/>
          <w:lang w:val="en-AU"/>
        </w:rPr>
        <w:t>Vigilante actions often arise from community dissatisfaction with law enforcement processes, such as poorly handled criminal cases, instances of protected illegal activities, or perpetrators being allowed to go free without being held accountable. Therefore, communities may take matters into their own hands and punish the perpetrators even without considering the rule of law</w:t>
      </w:r>
      <w:r w:rsidR="00C76A71" w:rsidRPr="00F011C0">
        <w:rPr>
          <w:rFonts w:cstheme="minorHAnsi"/>
          <w:bCs/>
          <w:color w:val="000000" w:themeColor="text1"/>
          <w:lang w:val="en-AU"/>
        </w:rPr>
        <w:t xml:space="preserve"> </w:t>
      </w:r>
      <w:r w:rsidR="00C76A71" w:rsidRPr="00F011C0">
        <w:rPr>
          <w:rFonts w:cstheme="minorHAnsi"/>
          <w:bCs/>
          <w:color w:val="000000" w:themeColor="text1"/>
          <w:lang w:val="en-AU"/>
        </w:rPr>
        <w:fldChar w:fldCharType="begin"/>
      </w:r>
      <w:r w:rsidR="00C76A71" w:rsidRPr="00F011C0">
        <w:rPr>
          <w:rFonts w:cstheme="minorHAnsi"/>
          <w:bCs/>
          <w:color w:val="000000" w:themeColor="text1"/>
          <w:lang w:val="en-AU"/>
        </w:rPr>
        <w:instrText xml:space="preserve"> ADDIN ZOTERO_ITEM CSL_CITATION {"citationID":"vES2rQIK","properties":{"formattedCitation":"(Scheuerman,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C76A71" w:rsidRPr="00F011C0">
        <w:rPr>
          <w:rFonts w:cstheme="minorHAnsi"/>
          <w:bCs/>
          <w:color w:val="000000" w:themeColor="text1"/>
          <w:lang w:val="en-AU"/>
        </w:rPr>
        <w:fldChar w:fldCharType="separate"/>
      </w:r>
      <w:r w:rsidR="00C76A71" w:rsidRPr="00F011C0">
        <w:rPr>
          <w:rFonts w:cstheme="minorHAnsi"/>
          <w:bCs/>
          <w:noProof/>
          <w:color w:val="000000" w:themeColor="text1"/>
          <w:lang w:val="en-AU"/>
        </w:rPr>
        <w:t>(Scheuerman, 2022)</w:t>
      </w:r>
      <w:r w:rsidR="00C76A71" w:rsidRPr="00F011C0">
        <w:rPr>
          <w:rFonts w:cstheme="minorHAnsi"/>
          <w:bCs/>
          <w:color w:val="000000" w:themeColor="text1"/>
          <w:lang w:val="en-AU"/>
        </w:rPr>
        <w:fldChar w:fldCharType="end"/>
      </w:r>
      <w:r w:rsidR="00C76A71" w:rsidRPr="00F011C0">
        <w:rPr>
          <w:rFonts w:cstheme="minorHAnsi"/>
          <w:bCs/>
          <w:color w:val="000000" w:themeColor="text1"/>
          <w:lang w:val="en-AU"/>
        </w:rPr>
        <w:t>.</w:t>
      </w:r>
    </w:p>
    <w:p w14:paraId="1F1F68FA" w14:textId="053EB09B" w:rsidR="00C76A71" w:rsidRPr="00F011C0" w:rsidRDefault="00C76A71" w:rsidP="00465E86">
      <w:pPr>
        <w:ind w:firstLine="720"/>
        <w:jc w:val="both"/>
        <w:rPr>
          <w:rFonts w:cstheme="minorHAnsi"/>
          <w:bCs/>
          <w:color w:val="000000" w:themeColor="text1"/>
          <w:lang w:val="en-AU"/>
        </w:rPr>
      </w:pPr>
      <w:r w:rsidRPr="00F011C0">
        <w:rPr>
          <w:rFonts w:cstheme="minorHAnsi"/>
          <w:bCs/>
          <w:color w:val="000000" w:themeColor="text1"/>
          <w:lang w:val="en-AU"/>
        </w:rPr>
        <w:t xml:space="preserve">In cases of blasphemy, </w:t>
      </w:r>
      <w:proofErr w:type="spellStart"/>
      <w:r w:rsidRPr="00F011C0">
        <w:rPr>
          <w:rFonts w:cstheme="minorHAnsi"/>
          <w:bCs/>
          <w:color w:val="000000" w:themeColor="text1"/>
          <w:lang w:val="en-AU"/>
        </w:rPr>
        <w:t>Hassner's</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{"citationID":"eq8w2AFI","properties":{"formattedCitation":"(2011)","plainCitation":"(2011)","noteIndex":0},"citationItems":[{"id":2287,"uris":["http://zotero.org/users/6396655/items/XPNWAMKC"],"itemData":{"id":2287,"type":"article-journal","container-title":"International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(2011)</w:t>
      </w:r>
      <w:r w:rsidRPr="00F011C0">
        <w:rPr>
          <w:rFonts w:cstheme="minorHAnsi"/>
          <w:bCs/>
          <w:color w:val="000000" w:themeColor="text1"/>
          <w:lang w:val="en-AU"/>
        </w:rPr>
        <w:fldChar w:fldCharType="end"/>
      </w:r>
      <w:r w:rsidRPr="00F011C0">
        <w:rPr>
          <w:rFonts w:cstheme="minorHAnsi"/>
          <w:bCs/>
          <w:color w:val="000000" w:themeColor="text1"/>
          <w:lang w:val="en-AU"/>
        </w:rPr>
        <w:t xml:space="preserve"> research found that reactive religious violence results from inadequate protection of religious values against transgressive acts, regardless of religious affiliation. </w:t>
      </w:r>
      <w:proofErr w:type="spellStart"/>
      <w:r w:rsidRPr="00F011C0">
        <w:rPr>
          <w:rFonts w:cstheme="minorHAnsi"/>
          <w:bCs/>
          <w:color w:val="000000" w:themeColor="text1"/>
          <w:lang w:val="en-AU"/>
        </w:rPr>
        <w:t>Pratiwi</w:t>
      </w:r>
      <w:proofErr w:type="spellEnd"/>
      <w:r w:rsidRPr="00F011C0">
        <w:rPr>
          <w:rFonts w:cstheme="minorHAnsi"/>
          <w:bCs/>
          <w:color w:val="000000" w:themeColor="text1"/>
          <w:lang w:val="en-AU"/>
        </w:rPr>
        <w:t xml:space="preserve"> and </w:t>
      </w:r>
      <w:proofErr w:type="spellStart"/>
      <w:r w:rsidRPr="00F011C0">
        <w:rPr>
          <w:rFonts w:cstheme="minorHAnsi"/>
          <w:bCs/>
          <w:color w:val="000000" w:themeColor="text1"/>
          <w:lang w:val="en-AU"/>
        </w:rPr>
        <w:t>Sunaryo</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{"citationID":"C8rTCHHl","properties":{"formattedCitation":"(2021)","plainCitation":"(2021)","noteIndex":0},"citationItems":[{"id":1434,"uris":["http://zotero.org/users/6396655/items/EMUMJPRJ"],"itemData":{"id":1434,"type":"article-journal","container-title":"Constitutional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(2021)</w:t>
      </w:r>
      <w:r w:rsidRPr="00F011C0">
        <w:rPr>
          <w:rFonts w:cstheme="minorHAnsi"/>
          <w:bCs/>
          <w:color w:val="000000" w:themeColor="text1"/>
          <w:lang w:val="en-AU"/>
        </w:rPr>
        <w:fldChar w:fldCharType="end"/>
      </w:r>
      <w:r w:rsidRPr="00F011C0">
        <w:rPr>
          <w:rFonts w:cstheme="minorHAnsi"/>
          <w:bCs/>
          <w:color w:val="000000" w:themeColor="text1"/>
          <w:lang w:val="en-AU"/>
        </w:rPr>
        <w:t xml:space="preserve"> argue that vigilante violence surrounding blasphemy accusations in countries such as Indonesia, Malaysia, and Pakistan cannot be separated from State-created structural violence resulting from discriminatory anti-blasphemy laws.</w:t>
      </w:r>
    </w:p>
    <w:p w14:paraId="098A4FD3" w14:textId="6AFD1EE1" w:rsidR="00FD59A2" w:rsidRDefault="00C76A71" w:rsidP="00FD59A2">
      <w:pPr>
        <w:ind w:firstLine="720"/>
        <w:jc w:val="both"/>
      </w:pPr>
      <w:r w:rsidRPr="00F011C0">
        <w:rPr>
          <w:rFonts w:cstheme="minorHAnsi"/>
          <w:bCs/>
          <w:color w:val="000000" w:themeColor="text1"/>
          <w:lang w:val="en-AU"/>
        </w:rPr>
        <w:t xml:space="preserve">This study complements previous findings by </w:t>
      </w:r>
      <w:r w:rsidR="00CE2AB4" w:rsidRPr="00F011C0">
        <w:rPr>
          <w:rFonts w:cstheme="minorHAnsi"/>
          <w:bCs/>
          <w:color w:val="000000" w:themeColor="text1"/>
          <w:lang w:val="en-AU"/>
        </w:rPr>
        <w:t>analysing</w:t>
      </w:r>
      <w:r w:rsidRPr="00F011C0">
        <w:rPr>
          <w:rFonts w:cstheme="minorHAnsi"/>
          <w:bCs/>
          <w:color w:val="000000" w:themeColor="text1"/>
          <w:lang w:val="en-AU"/>
        </w:rPr>
        <w:t xml:space="preserve"> the occurrence of vigilante justice over blasphemy allegations, its impact on judicial independence in blasphemy cases, and why anti-blasphemy laws have failed to preserve justice. The study </w:t>
      </w:r>
      <w:r w:rsidR="00FD59A2">
        <w:rPr>
          <w:rFonts w:cstheme="minorHAnsi"/>
          <w:bCs/>
          <w:color w:val="000000" w:themeColor="text1"/>
          <w:lang w:val="en-AU"/>
        </w:rPr>
        <w:t xml:space="preserve">argues </w:t>
      </w:r>
      <w:r w:rsidR="00FD59A2">
        <w:t>the complexity of state-sponsored vigilantism outside of court creates the pattern, jeopardizes the independence of the judiciary, and prevents the court from delivering justice to the accused.</w:t>
      </w:r>
    </w:p>
    <w:p w14:paraId="1D12E1B4" w14:textId="1A2505BB" w:rsidR="008A5EF2" w:rsidRPr="008A5EF2" w:rsidRDefault="008A5EF2" w:rsidP="00FD59A2">
      <w:pPr>
        <w:ind w:firstLine="720"/>
        <w:jc w:val="both"/>
        <w:rPr>
          <w:rFonts w:asciiTheme="majorHAnsi" w:hAnsiTheme="majorHAnsi" w:cstheme="majorHAnsi"/>
          <w:bCs/>
          <w:color w:val="C00000"/>
          <w:lang w:val="en-AU"/>
        </w:rPr>
      </w:pPr>
    </w:p>
    <w:p w14:paraId="24BFC49B" w14:textId="77777777"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RESEARCH METHODOLOGY</w:t>
      </w:r>
    </w:p>
    <w:p w14:paraId="2D5BF6A5" w14:textId="77777777" w:rsidR="002D75B0" w:rsidRPr="00315563" w:rsidRDefault="002D75B0" w:rsidP="008A5EF2">
      <w:pPr>
        <w:ind w:firstLine="0"/>
        <w:rPr>
          <w:rFonts w:ascii="Calibri" w:hAnsi="Calibri" w:cs="Calibri"/>
          <w:b/>
          <w:lang w:val="en-US"/>
        </w:rPr>
      </w:pPr>
    </w:p>
    <w:p w14:paraId="6BE64380" w14:textId="453FD76C"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This study </w:t>
      </w:r>
      <w:r w:rsidR="00CE2AB4">
        <w:rPr>
          <w:rFonts w:ascii="Calibri" w:hAnsi="Calibri" w:cs="Calibri"/>
          <w:bCs/>
          <w:color w:val="000000"/>
          <w:lang w:val="en-AU"/>
        </w:rPr>
        <w:t xml:space="preserve">therefore focusing on </w:t>
      </w:r>
      <w:r w:rsidR="00CE2AB4" w:rsidRPr="00F011C0">
        <w:rPr>
          <w:rFonts w:cstheme="minorHAnsi"/>
          <w:bCs/>
          <w:color w:val="000000" w:themeColor="text1"/>
          <w:lang w:val="en-AU"/>
        </w:rPr>
        <w:t xml:space="preserve">analysing the occurrence of vigilante justice over blasphemy allegations, its impact on judicial independence in blasphemy cases, and why anti-blasphemy laws have failed to preserve justice. </w:t>
      </w:r>
      <w:r w:rsidR="00CE2AB4">
        <w:rPr>
          <w:rFonts w:cstheme="minorHAnsi"/>
          <w:bCs/>
          <w:color w:val="000000" w:themeColor="text1"/>
          <w:lang w:val="en-AU"/>
        </w:rPr>
        <w:t xml:space="preserve">We have </w:t>
      </w:r>
      <w:r w:rsidRPr="00EA09FE">
        <w:rPr>
          <w:rFonts w:ascii="Calibri" w:hAnsi="Calibri" w:cs="Calibri"/>
          <w:bCs/>
          <w:color w:val="000000"/>
          <w:lang w:val="en-AU"/>
        </w:rPr>
        <w:t xml:space="preserve">gathered a wide array of data, including case studies, statutory analysis, and in-depth interviews with experts, judges, religious followers, members of religious groups, and minority religious groups. </w:t>
      </w:r>
    </w:p>
    <w:p w14:paraId="6E339B7C" w14:textId="27BDDB9E" w:rsidR="008A5EF2" w:rsidRPr="00623356" w:rsidRDefault="00084432" w:rsidP="0035468F">
      <w:pPr>
        <w:ind w:firstLine="720"/>
        <w:jc w:val="both"/>
        <w:rPr>
          <w:rFonts w:ascii="Calibri" w:hAnsi="Calibri" w:cs="Calibri"/>
          <w:bCs/>
          <w:color w:val="000000"/>
          <w:lang w:val="en-AU"/>
        </w:rPr>
      </w:pPr>
      <w:r w:rsidRPr="00084432">
        <w:rPr>
          <w:rFonts w:ascii="Calibri" w:hAnsi="Calibri" w:cs="Calibri"/>
          <w:bCs/>
          <w:color w:val="000000"/>
          <w:lang w:val="en-AU"/>
        </w:rPr>
        <w:t>The study examines four cases related to blasphemy, including the conviction of a Christian Chinese Governor of Jakarta named Ahok, the conviction of a Buddhist woman from Medan named Meiliana for criticizing the loudness of the adhan call to prayer, and experiences related to the Ahmadiyya and Gafatar groups, highlighting the dangers of vigilantism in response to blasphemy law enforcement. The findings from the four cases will be presented in a table categorizing the events based on the form of vigilante actions that occurred, whether it affected judicial independence, and whether the anti-blasphemy law enforced in the case preserved public justice. Subsequently, the classified data is evaluated to address the research questions.</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Default="008A5EF2" w:rsidP="008A5EF2">
      <w:pPr>
        <w:ind w:firstLine="0"/>
        <w:rPr>
          <w:rFonts w:ascii="Calibri" w:hAnsi="Calibri" w:cs="Calibri"/>
          <w:b/>
          <w:color w:val="000000"/>
          <w:lang w:val="en-AU"/>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1472F9FE" w14:textId="77777777" w:rsidR="002D75B0" w:rsidRPr="00315563" w:rsidRDefault="002D75B0" w:rsidP="008A5EF2">
      <w:pPr>
        <w:ind w:firstLine="0"/>
        <w:rPr>
          <w:rFonts w:ascii="Calibri" w:hAnsi="Calibri" w:cs="Calibri"/>
          <w:b/>
          <w:lang w:val="en-US"/>
        </w:rPr>
      </w:pPr>
    </w:p>
    <w:p w14:paraId="73E1BDBE" w14:textId="6FA95121"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lastRenderedPageBreak/>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w:t>
      </w:r>
      <w:r w:rsidR="00505A3E" w:rsidRPr="00505A3E">
        <w:rPr>
          <w:rFonts w:ascii="Calibri" w:hAnsi="Calibri" w:cs="Calibri"/>
          <w:bCs/>
          <w:color w:val="000000"/>
          <w:lang w:val="en-AU"/>
        </w:rPr>
        <w:t>A 2019 study found that 40% of countries and territories had blasphemy laws, which are often related to ethno-religious sensitivity and outlaw speech, attitudes, or actions deemed insulting or degrading to religion, teachings, and sacred symbols</w:t>
      </w:r>
      <w:r w:rsidR="00084432">
        <w:rPr>
          <w:rFonts w:ascii="Calibri" w:hAnsi="Calibri" w:cs="Calibri"/>
          <w:bCs/>
          <w:color w:val="000000"/>
          <w:lang w:val="en-AU"/>
        </w:rPr>
        <w:t xml:space="preserve"> </w:t>
      </w:r>
      <w:r w:rsidR="00084432">
        <w:rPr>
          <w:rFonts w:ascii="Calibri" w:hAnsi="Calibri" w:cs="Calibri"/>
          <w:bCs/>
          <w:color w:val="000000"/>
          <w:lang w:val="en-AU"/>
        </w:rPr>
        <w:fldChar w:fldCharType="begin"/>
      </w:r>
      <w:r w:rsidR="00084432">
        <w:rPr>
          <w:rFonts w:ascii="Calibri" w:hAnsi="Calibri" w:cs="Calibri"/>
          <w:bCs/>
          <w:color w:val="000000"/>
          <w:lang w:val="en-AU"/>
        </w:rPr>
        <w:instrText xml:space="preserve"> ADDIN ZOTERO_ITEM CSL_CITATION {"citationID":"1XIuPH7O","properties":{"formattedCitation":"(Villa,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084432">
        <w:rPr>
          <w:rFonts w:ascii="Calibri" w:hAnsi="Calibri" w:cs="Calibri"/>
          <w:bCs/>
          <w:color w:val="000000"/>
          <w:lang w:val="en-AU"/>
        </w:rPr>
        <w:fldChar w:fldCharType="separate"/>
      </w:r>
      <w:r w:rsidR="00084432">
        <w:rPr>
          <w:rFonts w:ascii="Calibri" w:hAnsi="Calibri" w:cs="Calibri"/>
          <w:bCs/>
          <w:noProof/>
          <w:color w:val="000000"/>
          <w:lang w:val="en-AU"/>
        </w:rPr>
        <w:t>(Villa, 2022)</w:t>
      </w:r>
      <w:r w:rsidR="00084432">
        <w:rPr>
          <w:rFonts w:ascii="Calibri" w:hAnsi="Calibri" w:cs="Calibri"/>
          <w:bCs/>
          <w:color w:val="000000"/>
          <w:lang w:val="en-AU"/>
        </w:rPr>
        <w:fldChar w:fldCharType="end"/>
      </w:r>
      <w:r w:rsidR="00505A3E" w:rsidRPr="00505A3E">
        <w:rPr>
          <w:rFonts w:ascii="Calibri" w:hAnsi="Calibri" w:cs="Calibri"/>
          <w:bCs/>
          <w:color w:val="000000"/>
          <w:lang w:val="en-AU"/>
        </w:rPr>
        <w:t>. Definitions of religious offenses lack clarity and uniformity, with no international consensus on blasphemy's definition. The punishment for blasphemy varies by country, with some countries enforcing the death penalty. Blasphemy is controversial and often weaponized against political opponents</w:t>
      </w:r>
      <w:r w:rsidR="00505A3E">
        <w:rPr>
          <w:rFonts w:ascii="Calibri" w:hAnsi="Calibri" w:cs="Calibri"/>
          <w:bCs/>
          <w:color w:val="000000"/>
          <w:lang w:val="en-AU"/>
        </w:rPr>
        <w:t xml:space="preserve"> </w:t>
      </w:r>
      <w:r w:rsidR="00505A3E">
        <w:rPr>
          <w:rFonts w:ascii="Calibri" w:hAnsi="Calibri" w:cs="Calibri"/>
          <w:bCs/>
          <w:color w:val="000000"/>
          <w:lang w:val="en-AU"/>
        </w:rPr>
        <w:fldChar w:fldCharType="begin"/>
      </w:r>
      <w:r w:rsidR="00505A3E">
        <w:rPr>
          <w:rFonts w:ascii="Calibri" w:hAnsi="Calibri" w:cs="Calibri"/>
          <w:bCs/>
          <w:color w:val="000000"/>
          <w:lang w:val="en-AU"/>
        </w:rPr>
        <w:instrText xml:space="preserve"> ADDIN ZOTERO_ITEM CSL_CITATION {"citationID":"Fz1S7Jdl","properties":{"formattedCitation":"(Villa,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505A3E">
        <w:rPr>
          <w:rFonts w:ascii="Calibri" w:hAnsi="Calibri" w:cs="Calibri"/>
          <w:bCs/>
          <w:color w:val="000000"/>
          <w:lang w:val="en-AU"/>
        </w:rPr>
        <w:fldChar w:fldCharType="separate"/>
      </w:r>
      <w:r w:rsidR="00505A3E">
        <w:rPr>
          <w:rFonts w:ascii="Calibri" w:hAnsi="Calibri" w:cs="Calibri"/>
          <w:bCs/>
          <w:noProof/>
          <w:color w:val="000000"/>
          <w:lang w:val="en-AU"/>
        </w:rPr>
        <w:t>(Villa, 2022)</w:t>
      </w:r>
      <w:r w:rsidR="00505A3E">
        <w:rPr>
          <w:rFonts w:ascii="Calibri" w:hAnsi="Calibri" w:cs="Calibri"/>
          <w:bCs/>
          <w:color w:val="000000"/>
          <w:lang w:val="en-AU"/>
        </w:rPr>
        <w:fldChar w:fldCharType="end"/>
      </w:r>
      <w:r w:rsidR="00505A3E" w:rsidRPr="00505A3E">
        <w:rPr>
          <w:rFonts w:ascii="Calibri" w:hAnsi="Calibri" w:cs="Calibri"/>
          <w:bCs/>
          <w:color w:val="000000"/>
          <w:lang w:val="en-AU"/>
        </w:rPr>
        <w:t>.</w:t>
      </w:r>
      <w:r w:rsidR="00505A3E">
        <w:rPr>
          <w:rFonts w:ascii="Calibri" w:hAnsi="Calibri" w:cs="Calibri"/>
          <w:bCs/>
          <w:color w:val="000000"/>
          <w:lang w:val="en-AU"/>
        </w:rPr>
        <w:t xml:space="preserve"> </w:t>
      </w:r>
      <w:r w:rsidRPr="00782315">
        <w:rPr>
          <w:rFonts w:ascii="Calibri" w:hAnsi="Calibri" w:cs="Calibri"/>
          <w:bCs/>
          <w:color w:val="000000"/>
          <w:lang w:val="en-AU"/>
        </w:rPr>
        <w:t>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363924A0" w14:textId="29EF36F3"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w:t>
      </w:r>
      <w:r w:rsidR="00F1009C">
        <w:rPr>
          <w:rFonts w:ascii="Calibri" w:hAnsi="Calibri" w:cs="Calibri"/>
          <w:bCs/>
          <w:color w:val="000000"/>
          <w:lang w:val="en-AU"/>
        </w:rPr>
        <w:t>George</w:t>
      </w:r>
      <w:r w:rsidRPr="00782315">
        <w:rPr>
          <w:rFonts w:ascii="Calibri" w:hAnsi="Calibri" w:cs="Calibri"/>
          <w:bCs/>
          <w:color w:val="000000"/>
          <w:lang w:val="en-AU"/>
        </w:rPr>
        <w:t xml:space="preserve">, hate spin has become an instrument of political campaigning, planned as a sophisticated instrument designed to paralyse political opponents through identity concerns. </w:t>
      </w:r>
      <w:r w:rsidR="00F1009C">
        <w:rPr>
          <w:rFonts w:ascii="Calibri" w:hAnsi="Calibri" w:cs="Calibri"/>
          <w:bCs/>
          <w:color w:val="000000"/>
          <w:lang w:val="en-AU"/>
        </w:rPr>
        <w:t>George</w:t>
      </w:r>
      <w:r w:rsidRPr="00782315">
        <w:rPr>
          <w:rFonts w:ascii="Calibri" w:hAnsi="Calibri" w:cs="Calibri"/>
          <w:bCs/>
          <w:color w:val="000000"/>
          <w:lang w:val="en-AU"/>
        </w:rPr>
        <w:t xml:space="preserve">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1BEA3826" w14:textId="77777777" w:rsidR="00FD59A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00FD59A2" w:rsidRPr="00FD59A2">
        <w:rPr>
          <w:rFonts w:ascii="Calibri" w:hAnsi="Calibri" w:cs="Calibri"/>
          <w:bCs/>
          <w:color w:val="000000"/>
          <w:lang w:val="en-AU"/>
        </w:rPr>
        <w:t>In the majority of blasphemy cases, vigilante justice occurs because the state does not safeguard sacred values (</w:t>
      </w:r>
      <w:proofErr w:type="spellStart"/>
      <w:r w:rsidR="00FD59A2" w:rsidRPr="00FD59A2">
        <w:rPr>
          <w:rFonts w:ascii="Calibri" w:hAnsi="Calibri" w:cs="Calibri"/>
          <w:bCs/>
          <w:color w:val="000000"/>
          <w:lang w:val="en-AU"/>
        </w:rPr>
        <w:t>Hasnerr</w:t>
      </w:r>
      <w:proofErr w:type="spellEnd"/>
      <w:r w:rsidR="00FD59A2" w:rsidRPr="00FD59A2">
        <w:rPr>
          <w:rFonts w:ascii="Calibri" w:hAnsi="Calibri" w:cs="Calibri"/>
          <w:bCs/>
          <w:color w:val="000000"/>
          <w:lang w:val="en-AU"/>
        </w:rPr>
        <w:t>, 2018). This study wants to understand what factors influence vigilante justice against blasphemy to continue to occur when anti-blasphemy laws exist and to what extent it affects the trial of blasphemy cases in court.</w:t>
      </w:r>
    </w:p>
    <w:p w14:paraId="0B0B5ACA" w14:textId="4D143962"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005F0844">
        <w:rPr>
          <w:rFonts w:ascii="Calibri" w:hAnsi="Calibri" w:cs="Calibri"/>
          <w:bCs/>
          <w:color w:val="000000"/>
          <w:lang w:val="en-AU"/>
        </w:rPr>
        <w:t xml:space="preserve">; </w:t>
      </w:r>
      <w:proofErr w:type="spellStart"/>
      <w:r w:rsidR="005F0844">
        <w:rPr>
          <w:rFonts w:ascii="Calibri" w:hAnsi="Calibri" w:cs="Calibri"/>
          <w:bCs/>
          <w:color w:val="000000"/>
          <w:lang w:val="en-AU"/>
        </w:rPr>
        <w:t>Baxi</w:t>
      </w:r>
      <w:proofErr w:type="spellEnd"/>
      <w:r w:rsidR="005F0844">
        <w:rPr>
          <w:rFonts w:ascii="Calibri" w:hAnsi="Calibri" w:cs="Calibri"/>
          <w:bCs/>
          <w:color w:val="000000"/>
          <w:lang w:val="en-AU"/>
        </w:rPr>
        <w:t xml:space="preserve">, 2013; Zaidi, 2021).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xml:space="preserve">, 2013). </w:t>
      </w:r>
      <w:r w:rsidR="005F0844">
        <w:rPr>
          <w:rFonts w:ascii="Calibri" w:hAnsi="Calibri" w:cs="Calibri"/>
          <w:bCs/>
          <w:color w:val="000000"/>
          <w:lang w:val="en-AU"/>
        </w:rPr>
        <w:t>J</w:t>
      </w:r>
      <w:r w:rsidRPr="00096B7E">
        <w:rPr>
          <w:rFonts w:ascii="Calibri" w:hAnsi="Calibri" w:cs="Calibri"/>
          <w:bCs/>
          <w:color w:val="000000"/>
          <w:lang w:val="en-AU"/>
        </w:rPr>
        <w:t>ustice guides the rule of law</w:t>
      </w:r>
      <w:r w:rsidR="005F0844">
        <w:rPr>
          <w:rFonts w:ascii="Calibri" w:hAnsi="Calibri" w:cs="Calibri"/>
          <w:bCs/>
          <w:color w:val="000000"/>
          <w:lang w:val="en-AU"/>
        </w:rPr>
        <w:t xml:space="preserve"> and </w:t>
      </w:r>
      <w:r w:rsidRPr="00096B7E">
        <w:rPr>
          <w:rFonts w:ascii="Calibri" w:hAnsi="Calibri" w:cs="Calibri"/>
          <w:bCs/>
          <w:color w:val="000000"/>
          <w:lang w:val="en-AU"/>
        </w:rPr>
        <w:t>seeks to create a fair and just society where everyone has equal rights and opportunities. Without the rule of law, justice is impossible since an unequal judicial system would violate people's right to justice (Boer, 2020).</w:t>
      </w:r>
      <w:r>
        <w:rPr>
          <w:rFonts w:ascii="Calibri" w:hAnsi="Calibri" w:cs="Calibri"/>
          <w:bCs/>
          <w:color w:val="000000"/>
          <w:lang w:val="en-AU"/>
        </w:rPr>
        <w:t xml:space="preserve"> </w:t>
      </w:r>
    </w:p>
    <w:p w14:paraId="4D0DD1EB" w14:textId="77777777" w:rsidR="00FD59A2" w:rsidRDefault="0037365B" w:rsidP="008A5EF2">
      <w:pPr>
        <w:ind w:firstLine="720"/>
        <w:jc w:val="both"/>
        <w:rPr>
          <w:rFonts w:ascii="Calibri" w:hAnsi="Calibri" w:cs="Calibri"/>
          <w:bCs/>
          <w:color w:val="000000"/>
          <w:lang w:val="en-AU"/>
        </w:rPr>
      </w:pPr>
      <w:r w:rsidRPr="0037365B">
        <w:rPr>
          <w:rFonts w:ascii="Calibri" w:hAnsi="Calibri" w:cs="Calibri"/>
          <w:bCs/>
          <w:color w:val="000000"/>
          <w:lang w:val="en-AU"/>
        </w:rPr>
        <w:t>To accurately determine whether an action is prohibited in a legal context, judges require clear and unambiguous laws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{"citationID":"4BkPWLEx","properties":{"formattedCitation":"(Beckett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37365B">
        <w:rPr>
          <w:rFonts w:ascii="Calibri" w:hAnsi="Calibri" w:cs="Calibri"/>
          <w:bCs/>
          <w:color w:val="000000"/>
          <w:lang w:val="en-AU"/>
        </w:rPr>
        <w:t>. Conversely, ambiguous laws can lead to subjective interpretations, making it difficult for judges to determine if conduct is prohibited, and increasing susceptibility to external factors</w:t>
      </w:r>
      <w:r w:rsidR="00A50F98">
        <w:rPr>
          <w:rFonts w:ascii="Calibri" w:hAnsi="Calibri" w:cs="Calibri"/>
          <w:bCs/>
          <w:color w:val="000000"/>
          <w:lang w:val="en-AU"/>
        </w:rPr>
        <w:t xml:space="preserve"> </w:t>
      </w:r>
      <w:r w:rsidR="00A50F98">
        <w:rPr>
          <w:rFonts w:ascii="Calibri" w:hAnsi="Calibri" w:cs="Calibri"/>
          <w:bCs/>
          <w:color w:val="000000"/>
          <w:lang w:val="en-AU"/>
        </w:rPr>
        <w:fldChar w:fldCharType="begin"/>
      </w:r>
      <w:r w:rsidR="00A50F98">
        <w:rPr>
          <w:rFonts w:ascii="Calibri" w:hAnsi="Calibri" w:cs="Calibri"/>
          <w:bCs/>
          <w:color w:val="000000"/>
          <w:lang w:val="en-AU"/>
        </w:rPr>
        <w:instrText xml:space="preserve"> ADDIN ZOTERO_ITEM CSL_CITATION {"citationID":"3C2tPEJe","properties":{"formattedCitation":"(Malle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A50F98">
        <w:rPr>
          <w:rFonts w:ascii="Calibri" w:hAnsi="Calibri" w:cs="Calibri"/>
          <w:bCs/>
          <w:color w:val="000000"/>
          <w:lang w:val="en-AU"/>
        </w:rPr>
        <w:fldChar w:fldCharType="separate"/>
      </w:r>
      <w:r w:rsidR="00A50F98">
        <w:rPr>
          <w:rFonts w:ascii="Calibri" w:hAnsi="Calibri" w:cs="Calibri"/>
          <w:bCs/>
          <w:noProof/>
          <w:color w:val="000000"/>
          <w:lang w:val="en-AU"/>
        </w:rPr>
        <w:t>(Malle &amp; Nelson, 2003)</w:t>
      </w:r>
      <w:r w:rsidR="00A50F98">
        <w:rPr>
          <w:rFonts w:ascii="Calibri" w:hAnsi="Calibri" w:cs="Calibri"/>
          <w:bCs/>
          <w:color w:val="000000"/>
          <w:lang w:val="en-AU"/>
        </w:rPr>
        <w:fldChar w:fldCharType="end"/>
      </w:r>
      <w:r w:rsidRPr="0037365B">
        <w:rPr>
          <w:rFonts w:ascii="Calibri" w:hAnsi="Calibri" w:cs="Calibri"/>
          <w:bCs/>
          <w:color w:val="000000"/>
          <w:lang w:val="en-AU"/>
        </w:rPr>
        <w:t>. Fair trial is a human right, as highlighted in Articles 9-15 of the ICCPR, and it is the obligation of the state (the judiciary) to ensure it (General Comment No. 3 on Article 10; General Comment No. 13 on Article 14; and the Basic Principles on the Independence of the Judiciary 1985). To achieve fair trial</w:t>
      </w:r>
      <w:r w:rsidR="00FD59A2">
        <w:rPr>
          <w:rFonts w:ascii="Calibri" w:hAnsi="Calibri" w:cs="Calibri"/>
          <w:bCs/>
          <w:color w:val="000000"/>
          <w:lang w:val="en-AU"/>
        </w:rPr>
        <w:t xml:space="preserve">, </w:t>
      </w:r>
      <w:r w:rsidRPr="0037365B">
        <w:rPr>
          <w:rFonts w:ascii="Calibri" w:hAnsi="Calibri" w:cs="Calibri"/>
          <w:bCs/>
          <w:color w:val="000000"/>
          <w:lang w:val="en-AU"/>
        </w:rPr>
        <w:t xml:space="preserve">judicial independence are pivotal. In essence, an impartial court must base its decisions on factual evidence without being influenced by any restriction, improper influence, inducements, pressure, threats and interference, direct or indirect, from anywhere or for any reason. </w:t>
      </w:r>
    </w:p>
    <w:p w14:paraId="0D65D210" w14:textId="06D8FA7A" w:rsidR="008A5EF2" w:rsidRDefault="0037365B" w:rsidP="008A5EF2">
      <w:pPr>
        <w:ind w:firstLine="720"/>
        <w:jc w:val="both"/>
        <w:rPr>
          <w:rFonts w:ascii="Calibri" w:hAnsi="Calibri" w:cs="Calibri"/>
          <w:bCs/>
          <w:color w:val="000000"/>
          <w:lang w:val="en-AU"/>
        </w:rPr>
      </w:pPr>
      <w:r w:rsidRPr="0037365B">
        <w:rPr>
          <w:rFonts w:ascii="Calibri" w:hAnsi="Calibri" w:cs="Calibri"/>
          <w:bCs/>
          <w:color w:val="000000"/>
          <w:lang w:val="en-AU"/>
        </w:rPr>
        <w:t xml:space="preserve">Vigilante </w:t>
      </w:r>
      <w:r w:rsidR="00FD59A2">
        <w:rPr>
          <w:rFonts w:ascii="Calibri" w:hAnsi="Calibri" w:cs="Calibri"/>
          <w:bCs/>
          <w:color w:val="000000"/>
          <w:lang w:val="en-AU"/>
        </w:rPr>
        <w:t>justice</w:t>
      </w:r>
      <w:r w:rsidRPr="0037365B">
        <w:rPr>
          <w:rFonts w:ascii="Calibri" w:hAnsi="Calibri" w:cs="Calibri"/>
          <w:bCs/>
          <w:color w:val="000000"/>
          <w:lang w:val="en-AU"/>
        </w:rPr>
        <w:t xml:space="preserve"> outside courts during blasphemy cases can undermine judicial independence, while government regulations aimed at preventing vigilante justice may similarly impact judicial independence. As the ultimate arbiter of justice, courts must treat all individuals equally and carry out professional law enforcement. Defendants must be presumed innocent until proven guilty and have the right to present evidence to defend themselves. In criminal cases, the intention is crucial, and suspects must be acquitted if intent is absent. However, in practice, the qualification of blasphemy offenses is often influenced by subjective considerations of judges and factors outside the courts.</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1C585117" w14:textId="77777777" w:rsidR="002D75B0" w:rsidRDefault="002D75B0" w:rsidP="008A5EF2">
      <w:pPr>
        <w:ind w:firstLine="0"/>
        <w:jc w:val="both"/>
        <w:rPr>
          <w:rFonts w:ascii="Calibri" w:hAnsi="Calibri" w:cs="Calibri"/>
          <w:b/>
          <w:color w:val="000000"/>
          <w:lang w:val="en-AU"/>
        </w:rPr>
      </w:pP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362AF002" w14:textId="34D76749" w:rsidR="008A5EF2" w:rsidRDefault="000D376E" w:rsidP="000D376E">
      <w:pPr>
        <w:ind w:firstLine="0"/>
        <w:jc w:val="both"/>
        <w:rPr>
          <w:rFonts w:ascii="Calibri" w:hAnsi="Calibri" w:cs="Calibri"/>
          <w:bCs/>
          <w:color w:val="000000"/>
          <w:lang w:val="en-AU"/>
        </w:rPr>
      </w:pPr>
      <w:r w:rsidRPr="000D376E">
        <w:t xml:space="preserve">The Constitutional Court's rationale for upholding the </w:t>
      </w:r>
      <w:r w:rsidR="004E4715">
        <w:t>Anti-</w:t>
      </w:r>
      <w:r w:rsidRPr="000D376E">
        <w:t>Blasphemy in Indonesia is to prevent conflicts between religious groups by prohibiting one group from insulting another's religion. However, the reality is that it is still easy to falsely accuse religious minorities of blasphemy, making the anti-blasphemy law a weapon against them. If law enforcement authorities do not take these accusations seriously, the accusing groups may take matters into their own hands, leading to physical attacks, property damage, and forced eviction. This phenomenon contravenes the Constitutional Court's argument that the anti-blasphemy law prevents inter-religious conflicts. According to the hate spin theory suggested by Josh Cherian, vigilantism is motivated by hate speech from influential figures within hardcore Islamic groups, perpetrated against minority groups</w:t>
      </w:r>
      <w:r>
        <w:t xml:space="preserve"> </w:t>
      </w:r>
      <w:r>
        <w:fldChar w:fldCharType="begin"/>
      </w:r>
      <w:r>
        <w:instrText xml:space="preserve"> ADDIN ZOTERO_ITEM CSL_CITATION {"citationID":"fa4iW36X","properties":{"formattedCitation":"(George,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fldChar w:fldCharType="separate"/>
      </w:r>
      <w:r>
        <w:rPr>
          <w:noProof/>
        </w:rPr>
        <w:t>(George, 2017)</w:t>
      </w:r>
      <w:r>
        <w:fldChar w:fldCharType="end"/>
      </w:r>
      <w:r w:rsidRPr="000D376E">
        <w:t xml:space="preserve">. One such minority group targeted by vigilantism is the Ahmadiyya, a legally recognized group in Indonesia established in 1953, and the </w:t>
      </w:r>
      <w:proofErr w:type="spellStart"/>
      <w:r w:rsidRPr="000D376E">
        <w:t>Fajar</w:t>
      </w:r>
      <w:proofErr w:type="spellEnd"/>
      <w:r w:rsidRPr="000D376E">
        <w:t xml:space="preserve"> Nusantara Movement, who were accused of promoting heretical teachings.</w:t>
      </w:r>
      <w:r w:rsidR="004E4715">
        <w:t xml:space="preserve"> </w:t>
      </w:r>
      <w:r w:rsidR="008A5EF2"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8A5EF2">
        <w:rPr>
          <w:rFonts w:ascii="Calibri" w:hAnsi="Calibri" w:cs="Calibri"/>
          <w:bCs/>
          <w:color w:val="000000"/>
          <w:lang w:val="en-AU"/>
        </w:rPr>
        <w:t xml:space="preserve"> </w:t>
      </w:r>
      <w:r w:rsidR="008A5EF2">
        <w:rPr>
          <w:rFonts w:ascii="Calibri" w:hAnsi="Calibri" w:cs="Calibri"/>
          <w:bCs/>
          <w:color w:val="000000"/>
          <w:lang w:val="en-AU"/>
        </w:rPr>
        <w:fldChar w:fldCharType="begin"/>
      </w:r>
      <w:r w:rsidR="008A5EF2">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8A5EF2">
        <w:rPr>
          <w:rFonts w:ascii="Calibri" w:hAnsi="Calibri" w:cs="Calibri"/>
          <w:bCs/>
          <w:color w:val="000000"/>
          <w:lang w:val="en-AU"/>
        </w:rPr>
        <w:fldChar w:fldCharType="separate"/>
      </w:r>
      <w:r w:rsidR="008A5EF2">
        <w:rPr>
          <w:rFonts w:ascii="Calibri" w:hAnsi="Calibri" w:cs="Calibri"/>
          <w:bCs/>
          <w:noProof/>
          <w:color w:val="000000"/>
          <w:lang w:val="en-AU"/>
        </w:rPr>
        <w:t>(SETARA Institute, 2022)</w:t>
      </w:r>
      <w:r w:rsidR="008A5EF2">
        <w:rPr>
          <w:rFonts w:ascii="Calibri" w:hAnsi="Calibri" w:cs="Calibri"/>
          <w:bCs/>
          <w:color w:val="000000"/>
          <w:lang w:val="en-AU"/>
        </w:rPr>
        <w:fldChar w:fldCharType="end"/>
      </w:r>
      <w:r w:rsidR="008A5EF2" w:rsidRPr="00D940A0">
        <w:rPr>
          <w:rFonts w:ascii="Calibri" w:hAnsi="Calibri" w:cs="Calibri"/>
          <w:bCs/>
          <w:color w:val="000000"/>
          <w:lang w:val="en-AU"/>
        </w:rPr>
        <w:t>.</w:t>
      </w:r>
      <w:r w:rsidR="008A5EF2">
        <w:rPr>
          <w:rFonts w:ascii="Calibri" w:hAnsi="Calibri" w:cs="Calibri"/>
          <w:bCs/>
          <w:color w:val="000000"/>
          <w:lang w:val="en-AU"/>
        </w:rPr>
        <w:t xml:space="preserve"> </w:t>
      </w:r>
      <w:r w:rsidR="008A5EF2"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2"/>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4E13710" w:rsidR="008A5EF2" w:rsidRDefault="009F096F" w:rsidP="00FD59A2">
      <w:pPr>
        <w:ind w:firstLine="720"/>
        <w:jc w:val="both"/>
        <w:rPr>
          <w:rFonts w:ascii="Calibri" w:hAnsi="Calibri" w:cs="Calibri"/>
          <w:bCs/>
          <w:color w:val="000000"/>
          <w:lang w:val="en-AU"/>
        </w:rPr>
      </w:pPr>
      <w:r w:rsidRPr="009F096F">
        <w:rPr>
          <w:rFonts w:ascii="Calibri" w:hAnsi="Calibri" w:cs="Calibri"/>
          <w:bCs/>
          <w:color w:val="000000"/>
          <w:lang w:val="en-AU"/>
        </w:rPr>
        <w:t>This study reveals that vigilantism occurred repeatedly in the four cases examined, as illustrated in Table 2. Ambiguous legal standards might be misinterpreted by society, resulting in accusations of "tarnishing Islam" for criticizing Islamic teachings (the Ahok case), Muslim religious practices (the Meiliana case), or beliefs that vary from orthodox Islamic teachings (the Ahmadiyya and the Gafatar cases). Ministerial circulars, governor's regulations, and regional regulations support this interpretation. Social media also perpetuates slander and accusations of the "true" teachings of Islam to elicit support and outrage. It should be noted that even though legal proceedings were ongoing or had been reported to authorities during vigilantism incidents, they still occurred.</w:t>
      </w:r>
    </w:p>
    <w:p w14:paraId="30E3CE80" w14:textId="323A0718" w:rsidR="008A5EF2" w:rsidRDefault="008A5EF2" w:rsidP="00FD59A2">
      <w:pPr>
        <w:ind w:firstLine="720"/>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While the Ahmadiyya and Gafatar instances were also considered deviations from "true" Islam and violations of Islamic law. Propaganda and vigilante action against these groups resulted from this enmity.</w:t>
      </w:r>
    </w:p>
    <w:p w14:paraId="25903903" w14:textId="77777777" w:rsidR="002D75B0" w:rsidRPr="00096B7E" w:rsidRDefault="002D75B0" w:rsidP="00F1009C">
      <w:pPr>
        <w:jc w:val="both"/>
        <w:rPr>
          <w:rFonts w:ascii="Calibri" w:hAnsi="Calibri" w:cs="Calibri"/>
          <w:bCs/>
          <w:color w:val="000000"/>
          <w:lang w:val="en-AU"/>
        </w:rPr>
      </w:pPr>
    </w:p>
    <w:p w14:paraId="2E75C17E" w14:textId="13199BF7" w:rsidR="008A5EF2" w:rsidRPr="008F0259" w:rsidRDefault="008A5EF2" w:rsidP="008A5EF2">
      <w:pPr>
        <w:pStyle w:val="Caption"/>
        <w:keepNext/>
        <w:jc w:val="center"/>
        <w:rPr>
          <w:rFonts w:ascii="Calibri" w:hAnsi="Calibri" w:cs="Calibri"/>
          <w:sz w:val="22"/>
          <w:szCs w:val="22"/>
        </w:rPr>
      </w:pPr>
      <w:r w:rsidRPr="008F0259">
        <w:rPr>
          <w:rFonts w:ascii="Calibri" w:hAnsi="Calibri" w:cs="Calibri"/>
          <w:sz w:val="22"/>
          <w:szCs w:val="22"/>
        </w:rPr>
        <w:t xml:space="preserve">Table </w:t>
      </w:r>
      <w:r w:rsidRPr="008F0259">
        <w:rPr>
          <w:rFonts w:ascii="Calibri" w:hAnsi="Calibri" w:cs="Calibri"/>
          <w:sz w:val="22"/>
          <w:szCs w:val="22"/>
        </w:rPr>
        <w:fldChar w:fldCharType="begin"/>
      </w:r>
      <w:r w:rsidRPr="008F0259">
        <w:rPr>
          <w:rFonts w:ascii="Calibri" w:hAnsi="Calibri" w:cs="Calibri"/>
          <w:sz w:val="22"/>
          <w:szCs w:val="22"/>
        </w:rPr>
        <w:instrText xml:space="preserve"> SEQ Table \* ARABIC </w:instrText>
      </w:r>
      <w:r w:rsidRPr="008F0259">
        <w:rPr>
          <w:rFonts w:ascii="Calibri" w:hAnsi="Calibri" w:cs="Calibri"/>
          <w:sz w:val="22"/>
          <w:szCs w:val="22"/>
        </w:rPr>
        <w:fldChar w:fldCharType="separate"/>
      </w:r>
      <w:r w:rsidRPr="008F0259">
        <w:rPr>
          <w:rFonts w:ascii="Calibri" w:hAnsi="Calibri" w:cs="Calibri"/>
          <w:noProof/>
          <w:sz w:val="22"/>
          <w:szCs w:val="22"/>
        </w:rPr>
        <w:t>2</w:t>
      </w:r>
      <w:r w:rsidRPr="008F0259">
        <w:rPr>
          <w:rFonts w:ascii="Calibri" w:hAnsi="Calibri" w:cs="Calibri"/>
          <w:sz w:val="22"/>
          <w:szCs w:val="22"/>
        </w:rPr>
        <w:fldChar w:fldCharType="end"/>
      </w:r>
      <w:r w:rsidRPr="008F0259">
        <w:rPr>
          <w:rFonts w:ascii="Calibri" w:hAnsi="Calibri" w:cs="Calibri"/>
          <w:sz w:val="22"/>
          <w:szCs w:val="22"/>
        </w:rPr>
        <w:t>. Vigilante Justice</w:t>
      </w:r>
      <w:r w:rsidR="0044451F" w:rsidRPr="008F0259">
        <w:rPr>
          <w:rFonts w:ascii="Calibri" w:hAnsi="Calibri" w:cs="Calibri"/>
          <w:sz w:val="22"/>
          <w:szCs w:val="22"/>
        </w:rPr>
        <w:t xml:space="preserve"> Against Blasphemy Effects on </w:t>
      </w:r>
      <w:r w:rsidR="005231EF" w:rsidRPr="008F0259">
        <w:rPr>
          <w:rFonts w:ascii="Calibri" w:hAnsi="Calibri" w:cs="Calibri"/>
          <w:sz w:val="22"/>
          <w:szCs w:val="22"/>
        </w:rPr>
        <w:t>Law Enforcement</w:t>
      </w:r>
      <w:r w:rsidR="0044451F" w:rsidRPr="008F0259">
        <w:rPr>
          <w:rFonts w:ascii="Calibri" w:hAnsi="Calibri" w:cs="Calibri"/>
          <w:sz w:val="22"/>
          <w:szCs w:val="22"/>
        </w:rPr>
        <w:t xml:space="preserve"> </w:t>
      </w:r>
      <w:r w:rsidR="005231EF" w:rsidRPr="008F0259">
        <w:rPr>
          <w:rFonts w:ascii="Calibri" w:hAnsi="Calibri" w:cs="Calibri"/>
          <w:sz w:val="22"/>
          <w:szCs w:val="22"/>
        </w:rPr>
        <w:t>Process</w:t>
      </w:r>
      <w:r w:rsidR="0044451F" w:rsidRPr="008F0259">
        <w:rPr>
          <w:rFonts w:ascii="Calibri" w:hAnsi="Calibri" w:cs="Calibri"/>
          <w:sz w:val="22"/>
          <w:szCs w:val="22"/>
        </w:rPr>
        <w:t xml:space="preserve"> </w:t>
      </w: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
        <w:gridCol w:w="1202"/>
        <w:gridCol w:w="2551"/>
        <w:gridCol w:w="86"/>
        <w:gridCol w:w="3033"/>
        <w:gridCol w:w="24"/>
        <w:gridCol w:w="2925"/>
        <w:gridCol w:w="28"/>
      </w:tblGrid>
      <w:tr w:rsidR="00C947EB" w:rsidRPr="00773E67" w14:paraId="217FEFAA" w14:textId="0D9A72A5" w:rsidTr="002D75B0">
        <w:trPr>
          <w:gridBefore w:val="1"/>
          <w:gridAfter w:val="1"/>
          <w:wBefore w:w="216" w:type="dxa"/>
          <w:wAfter w:w="28" w:type="dxa"/>
          <w:tblHeader/>
          <w:jc w:val="center"/>
        </w:trPr>
        <w:tc>
          <w:tcPr>
            <w:tcW w:w="1202" w:type="dxa"/>
            <w:shd w:val="clear" w:color="auto" w:fill="AEAAAA" w:themeFill="background2" w:themeFillShade="BF"/>
          </w:tcPr>
          <w:p w14:paraId="768CD311" w14:textId="77777777" w:rsidR="00C947EB" w:rsidRPr="00773E67" w:rsidRDefault="00C947EB" w:rsidP="00655372">
            <w:pPr>
              <w:ind w:firstLine="41"/>
              <w:jc w:val="center"/>
              <w:rPr>
                <w:rFonts w:cstheme="minorHAnsi"/>
                <w:b/>
                <w:i/>
                <w:iCs/>
                <w:color w:val="000000"/>
                <w:sz w:val="20"/>
                <w:szCs w:val="20"/>
                <w:lang w:val="en-AU"/>
              </w:rPr>
            </w:pPr>
            <w:r w:rsidRPr="00773E67">
              <w:rPr>
                <w:rFonts w:cstheme="minorHAnsi"/>
                <w:b/>
                <w:i/>
                <w:iCs/>
                <w:color w:val="000000"/>
                <w:sz w:val="20"/>
                <w:szCs w:val="20"/>
                <w:lang w:val="en-AU"/>
              </w:rPr>
              <w:t>Cases</w:t>
            </w:r>
          </w:p>
        </w:tc>
        <w:tc>
          <w:tcPr>
            <w:tcW w:w="2637" w:type="dxa"/>
            <w:gridSpan w:val="2"/>
            <w:shd w:val="clear" w:color="auto" w:fill="AEAAAA" w:themeFill="background2" w:themeFillShade="BF"/>
          </w:tcPr>
          <w:p w14:paraId="138A1A48" w14:textId="6251708A" w:rsidR="00C947EB" w:rsidRPr="00773E67" w:rsidRDefault="00C947EB" w:rsidP="000E02BA">
            <w:pPr>
              <w:ind w:firstLine="61"/>
              <w:jc w:val="center"/>
              <w:rPr>
                <w:rFonts w:cstheme="minorHAnsi"/>
                <w:b/>
                <w:i/>
                <w:iCs/>
                <w:color w:val="000000"/>
                <w:sz w:val="20"/>
                <w:szCs w:val="20"/>
                <w:lang w:val="en-AU"/>
              </w:rPr>
            </w:pPr>
            <w:r w:rsidRPr="00773E67">
              <w:rPr>
                <w:rFonts w:cstheme="minorHAnsi"/>
                <w:b/>
                <w:i/>
                <w:iCs/>
                <w:color w:val="000000"/>
                <w:sz w:val="20"/>
                <w:szCs w:val="20"/>
                <w:lang w:val="en-AU"/>
              </w:rPr>
              <w:t>Vigilante Justice</w:t>
            </w:r>
            <w:r w:rsidR="0044451F" w:rsidRPr="00773E67">
              <w:rPr>
                <w:rFonts w:cstheme="minorHAnsi"/>
                <w:b/>
                <w:i/>
                <w:iCs/>
                <w:color w:val="000000"/>
                <w:sz w:val="20"/>
                <w:szCs w:val="20"/>
                <w:lang w:val="en-AU"/>
              </w:rPr>
              <w:t xml:space="preserve"> using hate spin strategy</w:t>
            </w:r>
          </w:p>
        </w:tc>
        <w:tc>
          <w:tcPr>
            <w:tcW w:w="3057" w:type="dxa"/>
            <w:gridSpan w:val="2"/>
            <w:shd w:val="clear" w:color="auto" w:fill="AEAAAA" w:themeFill="background2" w:themeFillShade="BF"/>
          </w:tcPr>
          <w:p w14:paraId="341EED3C" w14:textId="07E2D7C2" w:rsidR="00C947EB" w:rsidRPr="00773E67" w:rsidRDefault="0044451F" w:rsidP="00C947EB">
            <w:pPr>
              <w:ind w:firstLine="0"/>
              <w:jc w:val="center"/>
              <w:rPr>
                <w:rFonts w:cstheme="minorHAnsi"/>
                <w:b/>
                <w:i/>
                <w:iCs/>
                <w:color w:val="000000"/>
                <w:sz w:val="20"/>
                <w:szCs w:val="20"/>
                <w:lang w:val="en-AU"/>
              </w:rPr>
            </w:pPr>
            <w:r w:rsidRPr="00773E67">
              <w:rPr>
                <w:rFonts w:cstheme="minorHAnsi"/>
                <w:b/>
                <w:i/>
                <w:iCs/>
                <w:color w:val="000000"/>
                <w:sz w:val="20"/>
                <w:szCs w:val="20"/>
                <w:lang w:val="en-AU"/>
              </w:rPr>
              <w:t>Public Policies Support Vigilante Justice Against Blasphemy</w:t>
            </w:r>
          </w:p>
        </w:tc>
        <w:tc>
          <w:tcPr>
            <w:tcW w:w="2925" w:type="dxa"/>
            <w:shd w:val="clear" w:color="auto" w:fill="AEAAAA" w:themeFill="background2" w:themeFillShade="BF"/>
          </w:tcPr>
          <w:p w14:paraId="797D407E" w14:textId="74E6AD5D" w:rsidR="0044451F"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 xml:space="preserve">Vigilantism’s Effects on </w:t>
            </w:r>
          </w:p>
          <w:p w14:paraId="4BFCE31D" w14:textId="5520086D" w:rsidR="00C947EB"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Law Enforcement Process</w:t>
            </w:r>
          </w:p>
        </w:tc>
      </w:tr>
      <w:tr w:rsidR="00C947EB" w:rsidRPr="00773E67" w14:paraId="4B4E68FA" w14:textId="483FB652" w:rsidTr="002D75B0">
        <w:trPr>
          <w:gridBefore w:val="1"/>
          <w:gridAfter w:val="1"/>
          <w:wBefore w:w="216" w:type="dxa"/>
          <w:wAfter w:w="28" w:type="dxa"/>
          <w:jc w:val="center"/>
        </w:trPr>
        <w:tc>
          <w:tcPr>
            <w:tcW w:w="1202" w:type="dxa"/>
          </w:tcPr>
          <w:p w14:paraId="441A1091" w14:textId="7EA57DA0"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Ahok Case</w:t>
            </w:r>
            <w:r w:rsidR="0085376C" w:rsidRPr="00773E67">
              <w:rPr>
                <w:rFonts w:cstheme="minorHAnsi"/>
                <w:b/>
                <w:i/>
                <w:iCs/>
                <w:color w:val="000000"/>
                <w:sz w:val="20"/>
                <w:szCs w:val="20"/>
                <w:lang w:val="en-AU"/>
              </w:rPr>
              <w:t xml:space="preserve"> </w:t>
            </w:r>
            <w:r w:rsidR="0085376C" w:rsidRPr="00773E67">
              <w:rPr>
                <w:rFonts w:cstheme="minorHAnsi"/>
                <w:bCs/>
                <w:i/>
                <w:iCs/>
                <w:color w:val="000000"/>
                <w:sz w:val="20"/>
                <w:szCs w:val="20"/>
                <w:lang w:val="en-AU"/>
              </w:rPr>
              <w:fldChar w:fldCharType="begin"/>
            </w:r>
            <w:r w:rsidR="0037365B" w:rsidRPr="00773E67">
              <w:rPr>
                <w:rFonts w:cstheme="minorHAnsi"/>
                <w:bCs/>
                <w:i/>
                <w:iCs/>
                <w:color w:val="000000"/>
                <w:sz w:val="20"/>
                <w:szCs w:val="20"/>
                <w:lang w:val="en-AU"/>
              </w:rPr>
              <w:instrText xml:space="preserve"> ADDIN ZOTERO_ITEM CSL_CITATION {"citationID":"4HTi5pqM","properties":{"formattedCitation":"(George, 2017; Nuryanti, 2020)","plainCitation":"(George, 2017; Nuryanti, 2020)","noteIndex":0},"citationItems":[{"id":2277,"uris":["http://zotero.org/users/6396655/items/YSQNWZ66"],"itemData":{"id":2277,"type":"article-journal","container-title":"Communication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85376C" w:rsidRPr="00773E67">
              <w:rPr>
                <w:rFonts w:cstheme="minorHAnsi"/>
                <w:bCs/>
                <w:i/>
                <w:iCs/>
                <w:color w:val="000000"/>
                <w:sz w:val="20"/>
                <w:szCs w:val="20"/>
                <w:lang w:val="en-AU"/>
              </w:rPr>
              <w:fldChar w:fldCharType="separate"/>
            </w:r>
            <w:r w:rsidR="0037365B" w:rsidRPr="00773E67">
              <w:rPr>
                <w:rFonts w:cstheme="minorHAnsi"/>
                <w:bCs/>
                <w:i/>
                <w:iCs/>
                <w:noProof/>
                <w:color w:val="000000"/>
                <w:sz w:val="20"/>
                <w:szCs w:val="20"/>
                <w:lang w:val="en-AU"/>
              </w:rPr>
              <w:t xml:space="preserve">(George, 2017; </w:t>
            </w:r>
            <w:r w:rsidR="0037365B" w:rsidRPr="00773E67">
              <w:rPr>
                <w:rFonts w:cstheme="minorHAnsi"/>
                <w:bCs/>
                <w:i/>
                <w:iCs/>
                <w:noProof/>
                <w:color w:val="000000"/>
                <w:sz w:val="20"/>
                <w:szCs w:val="20"/>
                <w:lang w:val="en-AU"/>
              </w:rPr>
              <w:lastRenderedPageBreak/>
              <w:t>Nuryanti, 2020)</w:t>
            </w:r>
            <w:r w:rsidR="0085376C" w:rsidRPr="00773E67">
              <w:rPr>
                <w:rFonts w:cstheme="minorHAnsi"/>
                <w:bCs/>
                <w:i/>
                <w:iCs/>
                <w:color w:val="000000"/>
                <w:sz w:val="20"/>
                <w:szCs w:val="20"/>
                <w:lang w:val="en-AU"/>
              </w:rPr>
              <w:fldChar w:fldCharType="end"/>
            </w:r>
          </w:p>
        </w:tc>
        <w:tc>
          <w:tcPr>
            <w:tcW w:w="2637" w:type="dxa"/>
            <w:gridSpan w:val="2"/>
          </w:tcPr>
          <w:p w14:paraId="36FA7347" w14:textId="0A40794A" w:rsidR="00C947EB" w:rsidRPr="00773E67" w:rsidRDefault="0085376C" w:rsidP="002D75B0">
            <w:pPr>
              <w:jc w:val="both"/>
              <w:rPr>
                <w:rFonts w:cstheme="minorHAnsi"/>
                <w:b/>
                <w:i/>
                <w:iCs/>
                <w:color w:val="000000"/>
                <w:sz w:val="20"/>
                <w:szCs w:val="20"/>
                <w:lang w:val="en-AU"/>
              </w:rPr>
            </w:pPr>
            <w:r w:rsidRPr="00773E67">
              <w:rPr>
                <w:rFonts w:cstheme="minorHAnsi"/>
                <w:bCs/>
                <w:color w:val="000000"/>
                <w:sz w:val="20"/>
                <w:szCs w:val="20"/>
                <w:lang w:val="en-AU"/>
              </w:rPr>
              <w:lastRenderedPageBreak/>
              <w:t xml:space="preserve">When Ahok made a statement referencing QS. Al-Maida verse 51, </w:t>
            </w:r>
            <w:r w:rsidR="002D75B0" w:rsidRPr="00773E67">
              <w:rPr>
                <w:rFonts w:cstheme="minorHAnsi"/>
                <w:bCs/>
                <w:color w:val="000000"/>
                <w:sz w:val="20"/>
                <w:szCs w:val="20"/>
                <w:lang w:val="en-AU"/>
              </w:rPr>
              <w:t xml:space="preserve">a member of </w:t>
            </w:r>
            <w:r w:rsidR="002D75B0" w:rsidRPr="00773E67">
              <w:rPr>
                <w:rFonts w:cstheme="minorHAnsi"/>
                <w:bCs/>
                <w:color w:val="000000"/>
                <w:sz w:val="20"/>
                <w:szCs w:val="20"/>
                <w:lang w:val="en-AU"/>
              </w:rPr>
              <w:lastRenderedPageBreak/>
              <w:t xml:space="preserve">Hardlines Islamic Groups, Budi </w:t>
            </w:r>
            <w:proofErr w:type="spellStart"/>
            <w:r w:rsidR="002D75B0" w:rsidRPr="00773E67">
              <w:rPr>
                <w:rFonts w:cstheme="minorHAnsi"/>
                <w:bCs/>
                <w:color w:val="000000"/>
                <w:sz w:val="20"/>
                <w:szCs w:val="20"/>
                <w:lang w:val="en-AU"/>
              </w:rPr>
              <w:t>Yani</w:t>
            </w:r>
            <w:proofErr w:type="spellEnd"/>
            <w:r w:rsidRPr="00773E67">
              <w:rPr>
                <w:rFonts w:cstheme="minorHAnsi"/>
                <w:bCs/>
                <w:color w:val="000000"/>
                <w:sz w:val="20"/>
                <w:szCs w:val="20"/>
                <w:lang w:val="en-AU"/>
              </w:rPr>
              <w:t xml:space="preserve"> recorded the speech and edited the footage to falsely accuse Ahok of insulting the Quran. This hate spin strategy was used to portray the Ahok protest movement as a defence of Islam, implying that Ahok had attacked the religion and justifying the protests as retribution for his supposed hatred towards Islam.</w:t>
            </w:r>
          </w:p>
        </w:tc>
        <w:tc>
          <w:tcPr>
            <w:tcW w:w="3057" w:type="dxa"/>
            <w:gridSpan w:val="2"/>
          </w:tcPr>
          <w:p w14:paraId="646ED221"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w:t>
            </w:r>
            <w:r w:rsidRPr="00773E67">
              <w:rPr>
                <w:rFonts w:cs="Linux Libertine"/>
                <w:color w:val="000000" w:themeColor="text1"/>
                <w:sz w:val="20"/>
                <w:szCs w:val="20"/>
                <w:lang w:val="en-US"/>
              </w:rPr>
              <w:t xml:space="preserve">Habib Novel </w:t>
            </w:r>
            <w:proofErr w:type="spellStart"/>
            <w:r w:rsidRPr="00773E67">
              <w:rPr>
                <w:rFonts w:cs="Linux Libertine"/>
                <w:color w:val="000000" w:themeColor="text1"/>
                <w:sz w:val="20"/>
                <w:szCs w:val="20"/>
                <w:lang w:val="en-US"/>
              </w:rPr>
              <w:t>Chaidir</w:t>
            </w:r>
            <w:proofErr w:type="spellEnd"/>
            <w:r w:rsidRPr="00773E67">
              <w:rPr>
                <w:rFonts w:cs="Linux Libertine"/>
                <w:color w:val="000000" w:themeColor="text1"/>
                <w:sz w:val="20"/>
                <w:szCs w:val="20"/>
                <w:lang w:val="en-US"/>
              </w:rPr>
              <w:t xml:space="preserve"> Hasan and Muhammadiyah Youth's South Sumatra Indonesian Ulema Council </w:t>
            </w:r>
            <w:r w:rsidRPr="00773E67">
              <w:rPr>
                <w:rFonts w:cs="Linux Libertine"/>
                <w:color w:val="000000" w:themeColor="text1"/>
                <w:sz w:val="20"/>
                <w:szCs w:val="20"/>
                <w:lang w:val="en-US"/>
              </w:rPr>
              <w:lastRenderedPageBreak/>
              <w:t xml:space="preserve">(MUI) report sparked the Ahok issue. Ahok offended Islam, according to the 2016 MUI fatwa. </w:t>
            </w:r>
            <w:r w:rsidRPr="00773E67">
              <w:rPr>
                <w:rFonts w:cs="Linux Libertine"/>
                <w:color w:val="000000" w:themeColor="text1"/>
                <w:sz w:val="20"/>
                <w:szCs w:val="20"/>
                <w:lang w:val="en-US"/>
              </w:rPr>
              <w:t xml:space="preserve">    </w:t>
            </w:r>
          </w:p>
          <w:p w14:paraId="41253426" w14:textId="209589A2" w:rsidR="00C947EB" w:rsidRPr="00773E67" w:rsidRDefault="002D75B0" w:rsidP="002D75B0">
            <w:pPr>
              <w:ind w:firstLine="0"/>
              <w:jc w:val="both"/>
              <w:rPr>
                <w:rFonts w:cs="Linux Libertine"/>
                <w:b/>
                <w:bCs/>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During the trial, protesters demanded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sentencing. Thousands of Islamic groups participated in Action 212 and Action 414. Defending Islam Action 55 rallied to oppose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court examination of the Law Against Blasphemy. Even though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was unproven, </w:t>
            </w:r>
            <w:r w:rsidRPr="00773E67">
              <w:rPr>
                <w:rFonts w:cs="Linux Libertine"/>
                <w:color w:val="000000" w:themeColor="text1"/>
                <w:sz w:val="20"/>
                <w:szCs w:val="20"/>
                <w:lang w:val="en-US"/>
              </w:rPr>
              <w:t>the Police</w:t>
            </w: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officially </w:t>
            </w:r>
            <w:r w:rsidRPr="00773E67">
              <w:rPr>
                <w:rFonts w:cs="Linux Libertine"/>
                <w:color w:val="000000" w:themeColor="text1"/>
                <w:sz w:val="20"/>
                <w:szCs w:val="20"/>
                <w:lang w:val="en-US"/>
              </w:rPr>
              <w:t>called him a suspect.</w:t>
            </w:r>
          </w:p>
        </w:tc>
        <w:tc>
          <w:tcPr>
            <w:tcW w:w="2925" w:type="dxa"/>
          </w:tcPr>
          <w:p w14:paraId="24B07EE9"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w:t>
            </w:r>
            <w:r w:rsidRPr="00773E67">
              <w:rPr>
                <w:rFonts w:cs="Linux Libertine"/>
                <w:color w:val="000000" w:themeColor="text1"/>
                <w:sz w:val="20"/>
                <w:szCs w:val="20"/>
                <w:lang w:val="en-US"/>
              </w:rPr>
              <w:t xml:space="preserve">Budi </w:t>
            </w:r>
            <w:proofErr w:type="spellStart"/>
            <w:r w:rsidRPr="00773E67">
              <w:rPr>
                <w:rFonts w:cs="Linux Libertine"/>
                <w:color w:val="000000" w:themeColor="text1"/>
                <w:sz w:val="20"/>
                <w:szCs w:val="20"/>
                <w:lang w:val="en-US"/>
              </w:rPr>
              <w:t>Yani</w:t>
            </w:r>
            <w:proofErr w:type="spellEnd"/>
            <w:r w:rsidRPr="00773E67">
              <w:rPr>
                <w:rFonts w:cs="Linux Libertine"/>
                <w:color w:val="000000" w:themeColor="text1"/>
                <w:sz w:val="20"/>
                <w:szCs w:val="20"/>
                <w:lang w:val="en-US"/>
              </w:rPr>
              <w:t xml:space="preserve"> spread false information and hate speech during the early stages of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lastRenderedPageBreak/>
              <w:t xml:space="preserve">blasphemy case to rally the masses and secure his conviction. </w:t>
            </w:r>
            <w:r w:rsidRPr="00773E67">
              <w:rPr>
                <w:rFonts w:cs="Linux Libertine"/>
                <w:color w:val="000000" w:themeColor="text1"/>
                <w:sz w:val="20"/>
                <w:szCs w:val="20"/>
                <w:lang w:val="en-US"/>
              </w:rPr>
              <w:t xml:space="preserve">    </w:t>
            </w:r>
          </w:p>
          <w:p w14:paraId="39A085E4" w14:textId="57964B5B"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Security forces hesitated to take action on the spreading of fake news against Ahok and allowed hate speech to spread rapidly.</w:t>
            </w: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The District Court of Jakarta followed the Prosecutor, adopted the MUI Fatwa, and declared Ahok guilty of insulting Islam and sentenced him to two years in prison.</w:t>
            </w:r>
          </w:p>
        </w:tc>
      </w:tr>
      <w:tr w:rsidR="00C947EB" w:rsidRPr="00773E67" w14:paraId="1B7DF791" w14:textId="39C02779" w:rsidTr="00773E67">
        <w:trPr>
          <w:jc w:val="center"/>
        </w:trPr>
        <w:tc>
          <w:tcPr>
            <w:tcW w:w="1418" w:type="dxa"/>
            <w:gridSpan w:val="2"/>
            <w:shd w:val="clear" w:color="auto" w:fill="D0CECE" w:themeFill="background2" w:themeFillShade="E6"/>
          </w:tcPr>
          <w:p w14:paraId="1A1E0A20" w14:textId="5E984DA1"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lastRenderedPageBreak/>
              <w:t>Meiliana Case</w:t>
            </w:r>
            <w:r w:rsidR="00F20B00" w:rsidRPr="00773E67">
              <w:rPr>
                <w:rFonts w:cstheme="minorHAnsi"/>
                <w:b/>
                <w:i/>
                <w:iCs/>
                <w:color w:val="000000"/>
                <w:sz w:val="20"/>
                <w:szCs w:val="20"/>
                <w:lang w:val="en-AU"/>
              </w:rPr>
              <w:t xml:space="preserve"> </w:t>
            </w:r>
            <w:r w:rsidR="009830CB" w:rsidRPr="00773E67">
              <w:rPr>
                <w:rFonts w:cstheme="minorHAnsi"/>
                <w:bCs/>
                <w:i/>
                <w:iCs/>
                <w:color w:val="000000"/>
                <w:sz w:val="20"/>
                <w:szCs w:val="20"/>
                <w:lang w:val="en-AU"/>
              </w:rPr>
              <w:fldChar w:fldCharType="begin"/>
            </w:r>
            <w:r w:rsidR="00972BA7" w:rsidRPr="00773E67">
              <w:rPr>
                <w:rFonts w:cstheme="minorHAnsi"/>
                <w:bCs/>
                <w:i/>
                <w:iCs/>
                <w:color w:val="000000"/>
                <w:sz w:val="20"/>
                <w:szCs w:val="20"/>
                <w:lang w:val="en-AU"/>
              </w:rPr>
              <w:instrText xml:space="preserve"> ADDIN ZOTERO_ITEM CSL_CITATION {"citationID":"xYnKFnWl","properties":{"formattedCitation":"(Madanih, 2019)","plainCitation":"(Madanih, 2019)","noteIndex":0},"citationItems":[{"id":2293,"uris":["http://zotero.org/users/6396655/items/WJXTYVGQ"],"itemData":{"id":2293,"type":"book","call-number":"KNW3946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Achjani"}],"issued":{"date-parts":[["2019"]]}}}],"schema":"https://github.com/citation-style-language/schema/raw/master/csl-citation.json"} </w:instrText>
            </w:r>
            <w:r w:rsidR="009830CB" w:rsidRPr="00773E67">
              <w:rPr>
                <w:rFonts w:cstheme="minorHAnsi"/>
                <w:bCs/>
                <w:i/>
                <w:iCs/>
                <w:color w:val="000000"/>
                <w:sz w:val="20"/>
                <w:szCs w:val="20"/>
                <w:lang w:val="en-AU"/>
              </w:rPr>
              <w:fldChar w:fldCharType="separate"/>
            </w:r>
            <w:r w:rsidR="009830CB" w:rsidRPr="00773E67">
              <w:rPr>
                <w:rFonts w:cstheme="minorHAnsi"/>
                <w:bCs/>
                <w:i/>
                <w:iCs/>
                <w:noProof/>
                <w:color w:val="000000"/>
                <w:sz w:val="20"/>
                <w:szCs w:val="20"/>
                <w:lang w:val="en-AU"/>
              </w:rPr>
              <w:t>(Madanih, 2019)</w:t>
            </w:r>
            <w:r w:rsidR="009830CB"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7B2AAA0A" w14:textId="14471BC6"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Meiliana complained to a neighbor about the mosque's loud call to prayer, but social media portrayed her as rejecting Islam's call to prayer.</w:t>
            </w:r>
            <w:r w:rsidRPr="00773E67">
              <w:rPr>
                <w:rFonts w:cs="Linux Libertine"/>
                <w:color w:val="000000" w:themeColor="text1"/>
                <w:sz w:val="20"/>
                <w:szCs w:val="20"/>
                <w:lang w:val="en-US"/>
              </w:rPr>
              <w:t xml:space="preserve"> A vigilante group </w:t>
            </w:r>
            <w:r w:rsidRPr="00773E67">
              <w:rPr>
                <w:rFonts w:cs="Linux Libertine"/>
                <w:color w:val="000000" w:themeColor="text1"/>
                <w:sz w:val="20"/>
                <w:szCs w:val="20"/>
                <w:lang w:val="en-US"/>
              </w:rPr>
              <w:t xml:space="preserve">labeled Meiliana "the woman who incited the riot." Due to anti-Islamic sentiment, vigilantes burned numerous Buddhist temples, vandalized </w:t>
            </w:r>
            <w:proofErr w:type="spellStart"/>
            <w:r w:rsidRPr="00773E67">
              <w:rPr>
                <w:rFonts w:cs="Linux Libertine"/>
                <w:color w:val="000000" w:themeColor="text1"/>
                <w:sz w:val="20"/>
                <w:szCs w:val="20"/>
                <w:lang w:val="en-US"/>
              </w:rPr>
              <w:t>Meiliana's</w:t>
            </w:r>
            <w:proofErr w:type="spellEnd"/>
            <w:r w:rsidRPr="00773E67">
              <w:rPr>
                <w:rFonts w:cs="Linux Libertine"/>
                <w:color w:val="000000" w:themeColor="text1"/>
                <w:sz w:val="20"/>
                <w:szCs w:val="20"/>
                <w:lang w:val="en-US"/>
              </w:rPr>
              <w:t xml:space="preserve"> home, and forced her to flee during the trial.</w:t>
            </w:r>
          </w:p>
          <w:p w14:paraId="0D773629" w14:textId="14E49F97" w:rsidR="00C947EB" w:rsidRPr="00773E67" w:rsidRDefault="00C947EB" w:rsidP="002D75B0">
            <w:pPr>
              <w:ind w:firstLine="0"/>
              <w:jc w:val="both"/>
              <w:rPr>
                <w:rFonts w:cs="Linux Libertine"/>
                <w:color w:val="000000" w:themeColor="text1"/>
                <w:sz w:val="20"/>
                <w:szCs w:val="20"/>
                <w:lang w:val="en-US"/>
              </w:rPr>
            </w:pPr>
          </w:p>
        </w:tc>
        <w:tc>
          <w:tcPr>
            <w:tcW w:w="3119" w:type="dxa"/>
            <w:gridSpan w:val="2"/>
            <w:shd w:val="clear" w:color="auto" w:fill="D0CECE" w:themeFill="background2" w:themeFillShade="E6"/>
          </w:tcPr>
          <w:p w14:paraId="78916CC2"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On August 2, 2016, the MUI Chairman wrote to the Head of Police expressing concern about the arrest of 12 vandals and requesting that Meiliana be charged. </w:t>
            </w:r>
          </w:p>
          <w:p w14:paraId="0AAF7C3B"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The Alliance of Students and Independent Communities Bersatu conducted many mass protests to encourage law enforcement to arrest and jail Meiliana for religious blasphemy. North Sumatra MUI 001/KF/MUI-SU/I/2017 was issued. </w:t>
            </w:r>
          </w:p>
          <w:p w14:paraId="31656FC7" w14:textId="6D71E331" w:rsidR="00AC3A7D"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The </w:t>
            </w:r>
            <w:proofErr w:type="spellStart"/>
            <w:r w:rsidRPr="00773E67">
              <w:rPr>
                <w:rFonts w:cs="Linux Libertine"/>
                <w:color w:val="000000" w:themeColor="text1"/>
                <w:sz w:val="20"/>
                <w:szCs w:val="20"/>
                <w:lang w:val="en-US"/>
              </w:rPr>
              <w:t>Tanjung</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Balai</w:t>
            </w:r>
            <w:proofErr w:type="spellEnd"/>
            <w:r w:rsidRPr="00773E67">
              <w:rPr>
                <w:rFonts w:cs="Linux Libertine"/>
                <w:color w:val="000000" w:themeColor="text1"/>
                <w:sz w:val="20"/>
                <w:szCs w:val="20"/>
                <w:lang w:val="en-US"/>
              </w:rPr>
              <w:t xml:space="preserve"> local administration, MUI, and Forum for Inter-Religious Communication decided to demolish a Buddha monument after a vigilante attack on Buddhist property.</w:t>
            </w:r>
          </w:p>
        </w:tc>
        <w:tc>
          <w:tcPr>
            <w:tcW w:w="2977" w:type="dxa"/>
            <w:gridSpan w:val="3"/>
            <w:shd w:val="clear" w:color="auto" w:fill="D0CECE" w:themeFill="background2" w:themeFillShade="E6"/>
          </w:tcPr>
          <w:p w14:paraId="0E7186B4"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The Panel of Judges exclusively followed the MUI Fatwa of North Sumatra Province during the case, despite it not being legally binding, disregarding several expert testimonies.</w:t>
            </w:r>
            <w:r w:rsidRPr="00773E67">
              <w:rPr>
                <w:rFonts w:cs="Linux Libertine"/>
                <w:color w:val="000000" w:themeColor="text1"/>
                <w:sz w:val="20"/>
                <w:szCs w:val="20"/>
                <w:lang w:val="en-US"/>
              </w:rPr>
              <w:t xml:space="preserve"> </w:t>
            </w:r>
          </w:p>
          <w:p w14:paraId="1FACE833"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The Medan District Court made its ruling based on the MUI Fatwa.</w:t>
            </w:r>
          </w:p>
          <w:p w14:paraId="620DAF0D" w14:textId="7DE00EF4"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theme="minorHAnsi"/>
                <w:bCs/>
                <w:color w:val="000000"/>
                <w:sz w:val="20"/>
                <w:szCs w:val="20"/>
                <w:lang w:val="en-AU"/>
              </w:rPr>
              <w:t xml:space="preserve">Meiliana received a prison </w:t>
            </w:r>
            <w:r w:rsidRPr="00773E67">
              <w:rPr>
                <w:rFonts w:cs="Linux Libertine"/>
                <w:color w:val="000000" w:themeColor="text1"/>
                <w:sz w:val="20"/>
                <w:szCs w:val="20"/>
                <w:lang w:val="en-US"/>
              </w:rPr>
              <w:t>sentence of one year and eight months for insulting Islam when she complained to her neighbor about the overly loud call to prayer.</w:t>
            </w:r>
          </w:p>
          <w:p w14:paraId="0267C56E" w14:textId="77777777" w:rsidR="002D75B0" w:rsidRPr="00773E67" w:rsidRDefault="002D75B0" w:rsidP="002D75B0">
            <w:pPr>
              <w:pStyle w:val="ListParagraph"/>
              <w:ind w:left="392" w:firstLine="0"/>
              <w:jc w:val="both"/>
              <w:rPr>
                <w:rFonts w:ascii="Calibri" w:hAnsi="Calibri" w:cs="Calibri"/>
                <w:bCs/>
                <w:color w:val="000000"/>
                <w:sz w:val="20"/>
                <w:szCs w:val="20"/>
                <w:lang w:val="en-AU"/>
              </w:rPr>
            </w:pPr>
          </w:p>
          <w:p w14:paraId="7018294B" w14:textId="7F43EF22" w:rsidR="00C947EB" w:rsidRPr="00773E67" w:rsidRDefault="00C947EB" w:rsidP="0044451F">
            <w:pPr>
              <w:ind w:firstLine="0"/>
              <w:jc w:val="both"/>
              <w:rPr>
                <w:rFonts w:cstheme="minorHAnsi"/>
                <w:bCs/>
                <w:color w:val="000000"/>
                <w:sz w:val="20"/>
                <w:szCs w:val="20"/>
                <w:lang w:val="en-AU"/>
              </w:rPr>
            </w:pPr>
          </w:p>
        </w:tc>
      </w:tr>
      <w:tr w:rsidR="00C947EB" w:rsidRPr="00773E67" w14:paraId="532499CD" w14:textId="5D6665A0" w:rsidTr="00773E67">
        <w:trPr>
          <w:jc w:val="center"/>
        </w:trPr>
        <w:tc>
          <w:tcPr>
            <w:tcW w:w="1418" w:type="dxa"/>
            <w:gridSpan w:val="2"/>
          </w:tcPr>
          <w:p w14:paraId="575E77D9" w14:textId="77777777" w:rsidR="00655372"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Gafatar Case</w:t>
            </w:r>
            <w:r w:rsidR="00655372" w:rsidRPr="00773E67">
              <w:rPr>
                <w:rFonts w:cstheme="minorHAnsi"/>
                <w:b/>
                <w:i/>
                <w:iCs/>
                <w:color w:val="000000"/>
                <w:sz w:val="20"/>
                <w:szCs w:val="20"/>
                <w:lang w:val="en-AU"/>
              </w:rPr>
              <w:t xml:space="preserve"> </w:t>
            </w:r>
          </w:p>
          <w:p w14:paraId="4A8F3A16" w14:textId="4F930CCA" w:rsidR="00C947EB" w:rsidRPr="00773E67" w:rsidRDefault="00655372" w:rsidP="004557E3">
            <w:pPr>
              <w:ind w:firstLine="0"/>
              <w:jc w:val="both"/>
              <w:rPr>
                <w:rFonts w:cstheme="minorHAnsi"/>
                <w:bCs/>
                <w:i/>
                <w:iCs/>
                <w:color w:val="000000"/>
                <w:sz w:val="20"/>
                <w:szCs w:val="20"/>
                <w:lang w:val="en-AU"/>
              </w:rPr>
            </w:pPr>
            <w:r w:rsidRPr="00773E67">
              <w:rPr>
                <w:rFonts w:cstheme="minorHAnsi"/>
                <w:bCs/>
                <w:i/>
                <w:iCs/>
                <w:color w:val="000000"/>
                <w:sz w:val="20"/>
                <w:szCs w:val="20"/>
                <w:lang w:val="en-AU"/>
              </w:rPr>
              <w:fldChar w:fldCharType="begin"/>
            </w:r>
            <w:r w:rsidRPr="00773E67">
              <w:rPr>
                <w:rFonts w:cstheme="minorHAnsi"/>
                <w:bCs/>
                <w:i/>
                <w:iCs/>
                <w:color w:val="000000"/>
                <w:sz w:val="20"/>
                <w:szCs w:val="20"/>
                <w:lang w:val="en-AU"/>
              </w:rPr>
              <w:instrText xml:space="preserve"> ADDIN ZOTERO_ITEM CSL_CITATION {"citationID":"cECpVAzF","properties":{"formattedCitation":"(al Mutahar, 2017)","plainCitation":"(al Mutahar, 2017)","noteIndex":0},"citationItems":[{"id":2294,"uris":["http://zotero.org/users/6396655/items/WA2YRFP2"],"itemData":{"id":2294,"type":"article-journal","container-title":"Sosiohumaniora","issue":"1","page":"18–20","title":"Penyebab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Timur","volume":"19","author":[{"family":"Mutahar","given":"Hasan","non-dropping-particle":"al"}],"issued":{"date-parts":[["2017"]]}}}],"schema":"https://github.com/citation-style-language/schema/raw/master/csl-citation.json"} </w:instrText>
            </w:r>
            <w:r w:rsidRPr="00773E67">
              <w:rPr>
                <w:rFonts w:cstheme="minorHAnsi"/>
                <w:bCs/>
                <w:i/>
                <w:iCs/>
                <w:color w:val="000000"/>
                <w:sz w:val="20"/>
                <w:szCs w:val="20"/>
                <w:lang w:val="en-AU"/>
              </w:rPr>
              <w:fldChar w:fldCharType="separate"/>
            </w:r>
            <w:r w:rsidRPr="00773E67">
              <w:rPr>
                <w:rFonts w:cstheme="minorHAnsi"/>
                <w:bCs/>
                <w:i/>
                <w:iCs/>
                <w:noProof/>
                <w:color w:val="000000"/>
                <w:sz w:val="20"/>
                <w:szCs w:val="20"/>
                <w:lang w:val="en-AU"/>
              </w:rPr>
              <w:t>(al Mutahar, 2017)</w:t>
            </w:r>
            <w:r w:rsidRPr="00773E67">
              <w:rPr>
                <w:rFonts w:cstheme="minorHAnsi"/>
                <w:bCs/>
                <w:i/>
                <w:iCs/>
                <w:color w:val="000000"/>
                <w:sz w:val="20"/>
                <w:szCs w:val="20"/>
                <w:lang w:val="en-AU"/>
              </w:rPr>
              <w:fldChar w:fldCharType="end"/>
            </w:r>
          </w:p>
        </w:tc>
        <w:tc>
          <w:tcPr>
            <w:tcW w:w="2551" w:type="dxa"/>
          </w:tcPr>
          <w:p w14:paraId="6851991E" w14:textId="77FF7CF1" w:rsidR="000E02BA"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 xml:space="preserve">The villages of Moton Panjang and </w:t>
            </w:r>
            <w:proofErr w:type="spellStart"/>
            <w:r w:rsidR="000E02BA" w:rsidRPr="00773E67">
              <w:rPr>
                <w:rFonts w:cs="Linux Libertine"/>
                <w:color w:val="000000" w:themeColor="text1"/>
                <w:sz w:val="20"/>
                <w:szCs w:val="20"/>
                <w:lang w:val="en-US"/>
              </w:rPr>
              <w:t>Tanjung</w:t>
            </w:r>
            <w:proofErr w:type="spellEnd"/>
            <w:r w:rsidR="000E02BA" w:rsidRPr="00773E67">
              <w:rPr>
                <w:rFonts w:cs="Linux Libertine"/>
                <w:color w:val="000000" w:themeColor="text1"/>
                <w:sz w:val="20"/>
                <w:szCs w:val="20"/>
                <w:lang w:val="en-US"/>
              </w:rPr>
              <w:t xml:space="preserve"> </w:t>
            </w:r>
            <w:proofErr w:type="spellStart"/>
            <w:r w:rsidR="000E02BA" w:rsidRPr="00773E67">
              <w:rPr>
                <w:rFonts w:cs="Linux Libertine"/>
                <w:color w:val="000000" w:themeColor="text1"/>
                <w:sz w:val="20"/>
                <w:szCs w:val="20"/>
                <w:lang w:val="en-US"/>
              </w:rPr>
              <w:t>Pasir</w:t>
            </w:r>
            <w:proofErr w:type="spellEnd"/>
            <w:r w:rsidR="000E02BA" w:rsidRPr="00773E67">
              <w:rPr>
                <w:rFonts w:cs="Linux Libertine"/>
                <w:color w:val="000000" w:themeColor="text1"/>
                <w:sz w:val="20"/>
                <w:szCs w:val="20"/>
                <w:lang w:val="en-US"/>
              </w:rPr>
              <w:t xml:space="preserve"> in Kalimantan opposed Gafatar, which is a legal organization with a Ministry of Home Affairs establishment permit, and has 55,000 members.</w:t>
            </w:r>
          </w:p>
          <w:p w14:paraId="1D6C003F" w14:textId="7D555A3D" w:rsidR="000E02BA" w:rsidRPr="00773E67" w:rsidRDefault="002D75B0" w:rsidP="00773E67">
            <w:pPr>
              <w:ind w:left="30"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As a result of vigilante justice, Gafatar was disbanded in 2015, and 2,422 families, or 7,916 people, were forcibly displaced from Kalimantan and experienced property and place of worship destruction, while over 6,000 Gafatar members were illegally detained in detention centers.</w:t>
            </w:r>
          </w:p>
          <w:p w14:paraId="73B4319C" w14:textId="79EB3775" w:rsidR="00C947EB" w:rsidRPr="00773E67" w:rsidRDefault="000E02BA" w:rsidP="002D75B0">
            <w:pPr>
              <w:jc w:val="both"/>
              <w:rPr>
                <w:rFonts w:cstheme="minorHAnsi"/>
                <w:bCs/>
                <w:color w:val="000000"/>
                <w:sz w:val="20"/>
                <w:szCs w:val="20"/>
                <w:lang w:val="en-AU"/>
              </w:rPr>
            </w:pPr>
            <w:r w:rsidRPr="00773E67">
              <w:rPr>
                <w:rFonts w:cs="Linux Libertine"/>
                <w:color w:val="000000" w:themeColor="text1"/>
                <w:sz w:val="20"/>
                <w:szCs w:val="20"/>
                <w:lang w:val="en-US"/>
              </w:rPr>
              <w:t xml:space="preserve">The strategy employed against Gafatar was a hate spin that labeled it a deviant group, which had a </w:t>
            </w:r>
            <w:r w:rsidRPr="00773E67">
              <w:rPr>
                <w:rFonts w:cs="Linux Libertine"/>
                <w:color w:val="000000" w:themeColor="text1"/>
                <w:sz w:val="20"/>
                <w:szCs w:val="20"/>
                <w:lang w:val="en-US"/>
              </w:rPr>
              <w:lastRenderedPageBreak/>
              <w:t>disastrous effect on its members, who were subjected to vigilante acts resulting in eviction, property destruction</w:t>
            </w:r>
            <w:r w:rsidRPr="00773E67">
              <w:rPr>
                <w:rFonts w:cstheme="minorHAnsi"/>
                <w:bCs/>
                <w:color w:val="000000"/>
                <w:sz w:val="20"/>
                <w:szCs w:val="20"/>
                <w:lang w:val="en-AU"/>
              </w:rPr>
              <w:t>, and severe injuries.</w:t>
            </w:r>
          </w:p>
        </w:tc>
        <w:tc>
          <w:tcPr>
            <w:tcW w:w="3119" w:type="dxa"/>
            <w:gridSpan w:val="2"/>
          </w:tcPr>
          <w:p w14:paraId="3E6881ED"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w:t>
            </w:r>
            <w:r w:rsidRPr="00773E67">
              <w:rPr>
                <w:rFonts w:cs="Linux Libertine"/>
                <w:color w:val="000000" w:themeColor="text1"/>
                <w:sz w:val="20"/>
                <w:szCs w:val="20"/>
                <w:lang w:val="en-US"/>
              </w:rPr>
              <w:t>On January 14, the Indonesian Ministry of Home Affairs instructed the Regional Government to suspend all Gafatar offices, placing pressure on Gafatar.</w:t>
            </w:r>
          </w:p>
          <w:p w14:paraId="225EDF4C"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On March 24, Attorney General Muhammad </w:t>
            </w:r>
            <w:proofErr w:type="spellStart"/>
            <w:r w:rsidRPr="00773E67">
              <w:rPr>
                <w:rFonts w:cs="Linux Libertine"/>
                <w:color w:val="000000" w:themeColor="text1"/>
                <w:sz w:val="20"/>
                <w:szCs w:val="20"/>
                <w:lang w:val="en-US"/>
              </w:rPr>
              <w:t>Prasetyo</w:t>
            </w:r>
            <w:proofErr w:type="spellEnd"/>
            <w:r w:rsidRPr="00773E67">
              <w:rPr>
                <w:rFonts w:cs="Linux Libertine"/>
                <w:color w:val="000000" w:themeColor="text1"/>
                <w:sz w:val="20"/>
                <w:szCs w:val="20"/>
                <w:lang w:val="en-US"/>
              </w:rPr>
              <w:t xml:space="preserve"> warned "former members and administrators of Gafatar" that "spreading, interpreting, and activities that deviate from the main teachings of Islam" could result in five years in prison under article 156a of the 1965 anti-blasphemy law.</w:t>
            </w:r>
          </w:p>
          <w:p w14:paraId="2128219E" w14:textId="7645DB60"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Regional government officials, along with the police, military, Ministry of Social Affairs, and Ministry of Religion, forcibly evicted Gafatar members from Kalimantan and detained thousands of them in various detention centers without trial.</w:t>
            </w: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 xml:space="preserve">Gafatar members are banned </w:t>
            </w:r>
            <w:r w:rsidRPr="00773E67">
              <w:rPr>
                <w:rFonts w:cs="Linux Libertine"/>
                <w:color w:val="000000" w:themeColor="text1"/>
                <w:sz w:val="20"/>
                <w:szCs w:val="20"/>
                <w:lang w:val="en-US"/>
              </w:rPr>
              <w:lastRenderedPageBreak/>
              <w:t>by 2016 joint ministerial decrees 043 and 223-865.</w:t>
            </w:r>
          </w:p>
          <w:p w14:paraId="4BA34F43" w14:textId="002ABD49" w:rsidR="00CD4453" w:rsidRPr="00773E67" w:rsidRDefault="00CD4453" w:rsidP="002D75B0">
            <w:pPr>
              <w:pStyle w:val="ListParagraph"/>
              <w:ind w:left="401" w:hanging="284"/>
              <w:jc w:val="both"/>
              <w:rPr>
                <w:rFonts w:cs="Linux Libertine"/>
                <w:color w:val="000000" w:themeColor="text1"/>
                <w:sz w:val="20"/>
                <w:szCs w:val="20"/>
                <w:lang w:val="en-US"/>
              </w:rPr>
            </w:pPr>
          </w:p>
        </w:tc>
        <w:tc>
          <w:tcPr>
            <w:tcW w:w="2977" w:type="dxa"/>
            <w:gridSpan w:val="3"/>
          </w:tcPr>
          <w:p w14:paraId="73DF5E6E"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w:t>
            </w:r>
            <w:r w:rsidRPr="00773E67">
              <w:rPr>
                <w:rFonts w:cs="Linux Libertine"/>
                <w:color w:val="000000" w:themeColor="text1"/>
                <w:sz w:val="20"/>
                <w:szCs w:val="20"/>
                <w:lang w:val="en-US"/>
              </w:rPr>
              <w:t xml:space="preserve">Gafatar leaders G. </w:t>
            </w:r>
            <w:proofErr w:type="spellStart"/>
            <w:r w:rsidRPr="00773E67">
              <w:rPr>
                <w:rFonts w:cs="Linux Libertine"/>
                <w:color w:val="000000" w:themeColor="text1"/>
                <w:sz w:val="20"/>
                <w:szCs w:val="20"/>
                <w:lang w:val="en-US"/>
              </w:rPr>
              <w:t>Mahful</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Muis</w:t>
            </w:r>
            <w:proofErr w:type="spellEnd"/>
            <w:r w:rsidRPr="00773E67">
              <w:rPr>
                <w:rFonts w:cs="Linux Libertine"/>
                <w:color w:val="000000" w:themeColor="text1"/>
                <w:sz w:val="20"/>
                <w:szCs w:val="20"/>
                <w:lang w:val="en-US"/>
              </w:rPr>
              <w:t xml:space="preserve"> and Ahmad </w:t>
            </w:r>
            <w:proofErr w:type="spellStart"/>
            <w:r w:rsidRPr="00773E67">
              <w:rPr>
                <w:rFonts w:cs="Linux Libertine"/>
                <w:color w:val="000000" w:themeColor="text1"/>
                <w:sz w:val="20"/>
                <w:szCs w:val="20"/>
                <w:lang w:val="en-US"/>
              </w:rPr>
              <w:t>Musaddeq</w:t>
            </w:r>
            <w:proofErr w:type="spellEnd"/>
            <w:r w:rsidRPr="00773E67">
              <w:rPr>
                <w:rFonts w:cs="Linux Libertine"/>
                <w:color w:val="000000" w:themeColor="text1"/>
                <w:sz w:val="20"/>
                <w:szCs w:val="20"/>
                <w:lang w:val="en-US"/>
              </w:rPr>
              <w:t xml:space="preserve"> were apprehended and detained by police on March 27, 2016.</w:t>
            </w:r>
          </w:p>
          <w:p w14:paraId="27A42CF7"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The justice of Gafatar complied with Supreme Court Circular No.11 of 1964, which orders courts to severely punish those who commit religious blasphemy within their jurisdiction.</w:t>
            </w:r>
          </w:p>
          <w:p w14:paraId="184747E6"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According to Mohammad Said, the Chairman of the Gafatar Court Panel, a spokesperson for the Supreme Court stated that the letter had never been canceled.</w:t>
            </w:r>
            <w:r w:rsidRPr="00773E67">
              <w:rPr>
                <w:rFonts w:cs="Linux Libertine"/>
                <w:color w:val="000000" w:themeColor="text1"/>
                <w:sz w:val="20"/>
                <w:szCs w:val="20"/>
                <w:lang w:val="en-US"/>
              </w:rPr>
              <w:t xml:space="preserve"> </w:t>
            </w:r>
          </w:p>
          <w:p w14:paraId="7A5FFCBB" w14:textId="46C839CA" w:rsidR="002C2C63"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Linux Libertine"/>
                <w:color w:val="000000" w:themeColor="text1"/>
                <w:sz w:val="20"/>
                <w:szCs w:val="20"/>
                <w:lang w:val="en-US"/>
              </w:rPr>
              <w:t>In March 2017, the East Jakarta District Court adopted the MUI’s fatwa, found the two guilty of denigrating Islam, and sentenced them to five years in prison.</w:t>
            </w:r>
          </w:p>
        </w:tc>
      </w:tr>
      <w:tr w:rsidR="00C947EB" w:rsidRPr="00773E67" w14:paraId="6EC4AF2A" w14:textId="3739D0A5" w:rsidTr="00773E67">
        <w:trPr>
          <w:jc w:val="center"/>
        </w:trPr>
        <w:tc>
          <w:tcPr>
            <w:tcW w:w="1418" w:type="dxa"/>
            <w:gridSpan w:val="2"/>
            <w:shd w:val="clear" w:color="auto" w:fill="D0CECE" w:themeFill="background2" w:themeFillShade="E6"/>
          </w:tcPr>
          <w:p w14:paraId="3E2D2CDB" w14:textId="1D14D2EA"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Ahmadiyya Case</w:t>
            </w:r>
            <w:r w:rsidR="00655372" w:rsidRPr="00773E67">
              <w:rPr>
                <w:rFonts w:cstheme="minorHAnsi"/>
                <w:b/>
                <w:i/>
                <w:iCs/>
                <w:color w:val="000000"/>
                <w:sz w:val="20"/>
                <w:szCs w:val="20"/>
                <w:lang w:val="en-AU"/>
              </w:rPr>
              <w:t xml:space="preserve"> </w:t>
            </w:r>
            <w:r w:rsidR="00655372" w:rsidRPr="00773E67">
              <w:rPr>
                <w:rFonts w:cstheme="minorHAnsi"/>
                <w:bCs/>
                <w:i/>
                <w:iCs/>
                <w:color w:val="000000"/>
                <w:sz w:val="20"/>
                <w:szCs w:val="20"/>
                <w:lang w:val="en-AU"/>
              </w:rPr>
              <w:fldChar w:fldCharType="begin"/>
            </w:r>
            <w:r w:rsidR="00C2642C" w:rsidRPr="00773E67">
              <w:rPr>
                <w:rFonts w:cstheme="minorHAnsi"/>
                <w:bCs/>
                <w:i/>
                <w:iCs/>
                <w:color w:val="000000"/>
                <w:sz w:val="20"/>
                <w:szCs w:val="20"/>
                <w:lang w:val="en-AU"/>
              </w:rPr>
              <w:instrText xml:space="preserve"> ADDIN ZOTERO_ITEM CSL_CITATION {"citationID":"JY8G1cE3","properties":{"formattedCitation":"(M. Crouch, 2009)","plainCitation":"(M. Crouch, 2009)","noteIndex":0},"citationItems":[{"id":2295,"uris":["http://zotero.org/users/6396655/items/Y5JYF9YG"],"itemData":{"id":2295,"type":"article-journal","container-title":"ARC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implications","author":[{"family":"Crouch","given":"Melissa"}],"issued":{"date-parts":[["2009"]]}}}],"schema":"https://github.com/citation-style-language/schema/raw/master/csl-citation.json"} </w:instrText>
            </w:r>
            <w:r w:rsidR="00655372" w:rsidRPr="00773E67">
              <w:rPr>
                <w:rFonts w:cstheme="minorHAnsi"/>
                <w:bCs/>
                <w:i/>
                <w:iCs/>
                <w:color w:val="000000"/>
                <w:sz w:val="20"/>
                <w:szCs w:val="20"/>
                <w:lang w:val="en-AU"/>
              </w:rPr>
              <w:fldChar w:fldCharType="separate"/>
            </w:r>
            <w:r w:rsidR="00C2642C" w:rsidRPr="00773E67">
              <w:rPr>
                <w:rFonts w:cstheme="minorHAnsi"/>
                <w:bCs/>
                <w:i/>
                <w:iCs/>
                <w:noProof/>
                <w:color w:val="000000"/>
                <w:sz w:val="20"/>
                <w:szCs w:val="20"/>
                <w:lang w:val="en-AU"/>
              </w:rPr>
              <w:t>(M. Crouch, 2009)</w:t>
            </w:r>
            <w:r w:rsidR="00655372"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39907359" w14:textId="7399FE80" w:rsidR="00655372"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655372" w:rsidRPr="00773E67">
              <w:rPr>
                <w:rFonts w:cs="Linux Libertine"/>
                <w:color w:val="000000" w:themeColor="text1"/>
                <w:sz w:val="20"/>
                <w:szCs w:val="20"/>
                <w:lang w:val="en-US"/>
              </w:rPr>
              <w:t>Violence against Indonesia's Ahmadiyya community by vigilantes has been prevalent since 1980.</w:t>
            </w:r>
          </w:p>
          <w:p w14:paraId="06084124" w14:textId="730B2BDF" w:rsidR="00655372" w:rsidRPr="00773E67" w:rsidRDefault="002D75B0" w:rsidP="002D75B0">
            <w:pPr>
              <w:ind w:firstLine="0"/>
              <w:jc w:val="both"/>
              <w:rPr>
                <w:rFonts w:cstheme="minorHAnsi"/>
                <w:bCs/>
                <w:color w:val="000000"/>
                <w:sz w:val="20"/>
                <w:szCs w:val="20"/>
                <w:lang w:val="en-AU"/>
              </w:rPr>
            </w:pPr>
            <w:r w:rsidRPr="00773E67">
              <w:rPr>
                <w:rFonts w:cs="Linux Libertine"/>
                <w:color w:val="000000" w:themeColor="text1"/>
                <w:sz w:val="20"/>
                <w:szCs w:val="20"/>
                <w:lang w:val="en-US"/>
              </w:rPr>
              <w:t xml:space="preserve">     </w:t>
            </w:r>
            <w:r w:rsidR="00655372" w:rsidRPr="00773E67">
              <w:rPr>
                <w:rFonts w:cs="Linux Libertine"/>
                <w:color w:val="000000" w:themeColor="text1"/>
                <w:sz w:val="20"/>
                <w:szCs w:val="20"/>
                <w:lang w:val="en-US"/>
              </w:rPr>
              <w:t>In Lombok, West Nusa Tenggara, Tangerang, Bogor, and East Java, Ahmadiyya followers have been subjected to violent attacks, causing damages to their houses of worship, buildings, injuries both minor and severe</w:t>
            </w:r>
            <w:r w:rsidR="00655372" w:rsidRPr="00773E67">
              <w:rPr>
                <w:rFonts w:cstheme="minorHAnsi"/>
                <w:bCs/>
                <w:color w:val="000000"/>
                <w:sz w:val="20"/>
                <w:szCs w:val="20"/>
                <w:lang w:val="en-AU"/>
              </w:rPr>
              <w:t>, deaths, and displacement.</w:t>
            </w:r>
          </w:p>
          <w:p w14:paraId="7C588C7B" w14:textId="0D281A4E" w:rsidR="002D75B0" w:rsidRPr="00773E67" w:rsidRDefault="002D75B0" w:rsidP="002D75B0">
            <w:pPr>
              <w:ind w:firstLine="0"/>
              <w:jc w:val="both"/>
              <w:rPr>
                <w:rFonts w:cstheme="minorHAnsi"/>
                <w:bCs/>
                <w:color w:val="000000"/>
                <w:sz w:val="20"/>
                <w:szCs w:val="20"/>
                <w:lang w:val="en-AU"/>
              </w:rPr>
            </w:pPr>
            <w:r w:rsidRPr="00773E67">
              <w:rPr>
                <w:rFonts w:cstheme="minorHAnsi"/>
                <w:bCs/>
                <w:color w:val="000000"/>
                <w:sz w:val="20"/>
                <w:szCs w:val="20"/>
                <w:lang w:val="en-AU"/>
              </w:rPr>
              <w:t xml:space="preserve">     </w:t>
            </w:r>
            <w:r w:rsidRPr="00773E67">
              <w:rPr>
                <w:rFonts w:cstheme="minorHAnsi"/>
                <w:bCs/>
                <w:color w:val="000000"/>
                <w:sz w:val="20"/>
                <w:szCs w:val="20"/>
                <w:lang w:val="en-AU"/>
              </w:rPr>
              <w:t xml:space="preserve">The hate spin strategy has </w:t>
            </w:r>
            <w:r w:rsidRPr="00773E67">
              <w:rPr>
                <w:rFonts w:cs="Linux Libertine"/>
                <w:color w:val="000000" w:themeColor="text1"/>
                <w:sz w:val="20"/>
                <w:szCs w:val="20"/>
                <w:lang w:val="en-US"/>
              </w:rPr>
              <w:t>been employed against the Ahmadiyya community, considered heretical by the MUI because of their belief in Mirza Gulam Ahmad as the last prophet and having a sacred book, other than the Qur'an. This</w:t>
            </w:r>
            <w:r w:rsidRPr="00773E67">
              <w:rPr>
                <w:rFonts w:cstheme="minorHAnsi"/>
                <w:bCs/>
                <w:color w:val="000000"/>
                <w:sz w:val="20"/>
                <w:szCs w:val="20"/>
                <w:lang w:val="en-AU"/>
              </w:rPr>
              <w:t xml:space="preserve"> fundamental difference has created a tense environment and resulted in vigilante justice against Ahmadiyya followers. </w:t>
            </w:r>
          </w:p>
          <w:p w14:paraId="661EB02A" w14:textId="54B4F859" w:rsidR="00C947EB" w:rsidRPr="00773E67" w:rsidRDefault="00C947EB" w:rsidP="002D75B0">
            <w:pPr>
              <w:jc w:val="both"/>
              <w:rPr>
                <w:rFonts w:cstheme="minorHAnsi"/>
                <w:bCs/>
                <w:color w:val="000000"/>
                <w:sz w:val="20"/>
                <w:szCs w:val="20"/>
                <w:lang w:val="en-AU"/>
              </w:rPr>
            </w:pPr>
          </w:p>
        </w:tc>
        <w:tc>
          <w:tcPr>
            <w:tcW w:w="3119" w:type="dxa"/>
            <w:gridSpan w:val="2"/>
            <w:shd w:val="clear" w:color="auto" w:fill="D0CECE" w:themeFill="background2" w:themeFillShade="E6"/>
          </w:tcPr>
          <w:p w14:paraId="3C306DA5" w14:textId="7615EE3D" w:rsidR="00C947EB"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t xml:space="preserve">    </w:t>
            </w:r>
            <w:r w:rsidR="00655372" w:rsidRPr="00773E67">
              <w:rPr>
                <w:rFonts w:cstheme="minorHAnsi"/>
                <w:bCs/>
                <w:color w:val="000000"/>
                <w:sz w:val="20"/>
                <w:szCs w:val="20"/>
                <w:lang w:val="en-AU"/>
              </w:rPr>
              <w:t>The MUI</w:t>
            </w:r>
            <w:r w:rsidRPr="00773E67">
              <w:rPr>
                <w:rFonts w:cstheme="minorHAnsi"/>
                <w:bCs/>
                <w:color w:val="000000"/>
                <w:sz w:val="20"/>
                <w:szCs w:val="20"/>
                <w:lang w:val="en-AU"/>
              </w:rPr>
              <w:t xml:space="preserve"> released a fatwa that Ahmadiyya teachings deviates from the mainstream Islamic teaching. </w:t>
            </w:r>
          </w:p>
          <w:p w14:paraId="42591698" w14:textId="62B25B86" w:rsidR="00A05CAF"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t xml:space="preserve">    </w:t>
            </w:r>
            <w:r w:rsidRPr="00773E67">
              <w:rPr>
                <w:rFonts w:cstheme="minorHAnsi"/>
                <w:bCs/>
                <w:color w:val="000000"/>
                <w:sz w:val="20"/>
                <w:szCs w:val="20"/>
                <w:lang w:val="en-AU"/>
              </w:rPr>
              <w:t xml:space="preserve">There were various local government policies at province and city level that banned the Ahmadiyya community from spreading and promoting their teachings in Indonesia, such as a joint ministerial decree No. 3 of 2008; the regulation No. 12 of 2011 of the Governor of West Java; the regulation No. 17 of 2011 of the Mayor of Pontianak; the decree of the Mayor of Banjar; the Mayor of Bogor's decree No. 300.45-122 of 2011; the decree of the Mayor of </w:t>
            </w:r>
            <w:proofErr w:type="spellStart"/>
            <w:r w:rsidRPr="00773E67">
              <w:rPr>
                <w:rFonts w:cstheme="minorHAnsi"/>
                <w:bCs/>
                <w:color w:val="000000"/>
                <w:sz w:val="20"/>
                <w:szCs w:val="20"/>
                <w:lang w:val="en-AU"/>
              </w:rPr>
              <w:t>Sukabumi</w:t>
            </w:r>
            <w:proofErr w:type="spellEnd"/>
            <w:r w:rsidRPr="00773E67">
              <w:rPr>
                <w:rFonts w:cstheme="minorHAnsi"/>
                <w:bCs/>
                <w:color w:val="000000"/>
                <w:sz w:val="20"/>
                <w:szCs w:val="20"/>
                <w:lang w:val="en-AU"/>
              </w:rPr>
              <w:t xml:space="preserve"> No. 25 of 2011; and many others.</w:t>
            </w:r>
          </w:p>
        </w:tc>
        <w:tc>
          <w:tcPr>
            <w:tcW w:w="2977" w:type="dxa"/>
            <w:gridSpan w:val="3"/>
            <w:shd w:val="clear" w:color="auto" w:fill="D0CECE" w:themeFill="background2" w:themeFillShade="E6"/>
          </w:tcPr>
          <w:p w14:paraId="41B5CE87" w14:textId="01BD5CC4" w:rsidR="00655372" w:rsidRPr="00773E67" w:rsidRDefault="002D75B0" w:rsidP="002D75B0">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t xml:space="preserve">     </w:t>
            </w:r>
            <w:r w:rsidR="00655372" w:rsidRPr="00773E67">
              <w:rPr>
                <w:rFonts w:ascii="Calibri" w:hAnsi="Calibri" w:cs="Calibri"/>
                <w:bCs/>
                <w:color w:val="000000"/>
                <w:sz w:val="20"/>
                <w:szCs w:val="20"/>
                <w:lang w:val="en-AU"/>
              </w:rPr>
              <w:t>If the faith of Ahmadiyya followers deviates from mainstream Islam, they are banned from preaching in Indonesia.</w:t>
            </w:r>
          </w:p>
          <w:p w14:paraId="2AD7B68E" w14:textId="57AD6C25" w:rsidR="002D75B0" w:rsidRPr="00773E67" w:rsidRDefault="002D75B0" w:rsidP="002D75B0">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t xml:space="preserve">      </w:t>
            </w:r>
            <w:r w:rsidR="00655372" w:rsidRPr="00773E67">
              <w:rPr>
                <w:rFonts w:ascii="Calibri" w:hAnsi="Calibri" w:cs="Calibri"/>
                <w:bCs/>
                <w:color w:val="000000"/>
                <w:sz w:val="20"/>
                <w:szCs w:val="20"/>
                <w:lang w:val="en-AU"/>
              </w:rPr>
              <w:t>Even though Ahmadiyya was approved by the Ministry of Law in 1953 as a legal entity founded by the Indonesian Islamic Community, the Indonesian Council of Ulema declared them heretical in 1980 after issuing several fatwas.</w:t>
            </w:r>
            <w:r w:rsidR="0044451F" w:rsidRPr="00773E67">
              <w:rPr>
                <w:rFonts w:cs="Linux Libertine"/>
                <w:color w:val="000000" w:themeColor="text1"/>
                <w:sz w:val="20"/>
                <w:szCs w:val="20"/>
                <w:lang w:val="en-US"/>
              </w:rPr>
              <w:t xml:space="preserve"> </w:t>
            </w:r>
            <w:r w:rsidRPr="00773E67">
              <w:rPr>
                <w:rFonts w:ascii="Calibri" w:hAnsi="Calibri" w:cs="Calibri"/>
                <w:bCs/>
                <w:color w:val="000000"/>
                <w:sz w:val="20"/>
                <w:szCs w:val="20"/>
                <w:lang w:val="en-AU"/>
              </w:rPr>
              <w:t>B</w:t>
            </w:r>
            <w:r w:rsidRPr="00773E67">
              <w:rPr>
                <w:rFonts w:ascii="Calibri" w:hAnsi="Calibri" w:cs="Calibri"/>
                <w:bCs/>
                <w:color w:val="000000"/>
                <w:sz w:val="20"/>
                <w:szCs w:val="20"/>
                <w:lang w:val="en-AU"/>
              </w:rPr>
              <w:t xml:space="preserve">oth </w:t>
            </w:r>
            <w:r w:rsidRPr="00773E67">
              <w:rPr>
                <w:rFonts w:ascii="Calibri" w:hAnsi="Calibri" w:cs="Calibri"/>
                <w:bCs/>
                <w:color w:val="000000"/>
                <w:sz w:val="20"/>
                <w:szCs w:val="20"/>
                <w:lang w:val="en-AU"/>
              </w:rPr>
              <w:t xml:space="preserve">of </w:t>
            </w:r>
            <w:r w:rsidRPr="00773E67">
              <w:rPr>
                <w:rFonts w:ascii="Calibri" w:hAnsi="Calibri" w:cs="Calibri"/>
                <w:bCs/>
                <w:color w:val="000000"/>
                <w:sz w:val="20"/>
                <w:szCs w:val="20"/>
                <w:lang w:val="en-AU"/>
              </w:rPr>
              <w:t>the court of first instance and the high court ruled that blasphemy against religions other than Indonesia's is illegal. The court specifically targeted Ahmadiyya members who "intentionally committed an act publicly that is basically blasphemy against a religion adhered to in Indonesia."</w:t>
            </w:r>
          </w:p>
          <w:p w14:paraId="050CC8A3" w14:textId="63334A49" w:rsidR="002D75B0" w:rsidRPr="00773E67" w:rsidRDefault="002D75B0" w:rsidP="002D75B0">
            <w:pPr>
              <w:jc w:val="both"/>
              <w:rPr>
                <w:rFonts w:ascii="Calibri" w:hAnsi="Calibri" w:cs="Calibri"/>
                <w:bCs/>
                <w:color w:val="000000"/>
                <w:sz w:val="20"/>
                <w:szCs w:val="20"/>
                <w:lang w:val="en-AU"/>
              </w:rPr>
            </w:pPr>
          </w:p>
        </w:tc>
      </w:tr>
    </w:tbl>
    <w:p w14:paraId="0A80D852" w14:textId="3CDE06E6" w:rsidR="008A5EF2" w:rsidRPr="00F1009C" w:rsidRDefault="00F1009C" w:rsidP="00972BA7">
      <w:pPr>
        <w:ind w:firstLine="0"/>
        <w:jc w:val="both"/>
        <w:rPr>
          <w:rFonts w:ascii="Calibri" w:hAnsi="Calibri" w:cs="Calibri"/>
          <w:bCs/>
          <w:color w:val="000000"/>
          <w:sz w:val="18"/>
          <w:szCs w:val="18"/>
          <w:lang w:val="en-AU"/>
        </w:rPr>
      </w:pPr>
      <w:r>
        <w:rPr>
          <w:rFonts w:ascii="Calibri" w:hAnsi="Calibri" w:cs="Calibri"/>
          <w:bCs/>
          <w:color w:val="000000"/>
          <w:sz w:val="20"/>
          <w:szCs w:val="20"/>
          <w:lang w:val="en-AU"/>
        </w:rPr>
        <w:t xml:space="preserve">     </w:t>
      </w:r>
      <w:r w:rsidR="00972BA7" w:rsidRPr="00F1009C">
        <w:rPr>
          <w:rFonts w:ascii="Calibri" w:hAnsi="Calibri" w:cs="Calibri"/>
          <w:bCs/>
          <w:color w:val="000000"/>
          <w:sz w:val="18"/>
          <w:szCs w:val="18"/>
          <w:lang w:val="en-AU"/>
        </w:rPr>
        <w:t xml:space="preserve">Source: Summarised by </w:t>
      </w:r>
      <w:r>
        <w:rPr>
          <w:rFonts w:ascii="Calibri" w:hAnsi="Calibri" w:cs="Calibri"/>
          <w:bCs/>
          <w:color w:val="000000"/>
          <w:sz w:val="18"/>
          <w:szCs w:val="18"/>
          <w:lang w:val="en-AU"/>
        </w:rPr>
        <w:t>the A</w:t>
      </w:r>
      <w:r w:rsidR="00972BA7" w:rsidRPr="00F1009C">
        <w:rPr>
          <w:rFonts w:ascii="Calibri" w:hAnsi="Calibri" w:cs="Calibri"/>
          <w:bCs/>
          <w:color w:val="000000"/>
          <w:sz w:val="18"/>
          <w:szCs w:val="18"/>
          <w:lang w:val="en-AU"/>
        </w:rPr>
        <w:t>uthor from</w:t>
      </w:r>
      <w:r w:rsidR="00465E86" w:rsidRPr="00F1009C">
        <w:rPr>
          <w:rFonts w:ascii="Calibri" w:hAnsi="Calibri" w:cs="Calibri"/>
          <w:bCs/>
          <w:color w:val="000000"/>
          <w:sz w:val="18"/>
          <w:szCs w:val="18"/>
          <w:lang w:val="en-AU"/>
        </w:rPr>
        <w:t xml:space="preserve"> interviews and</w:t>
      </w:r>
      <w:r w:rsidR="00972BA7" w:rsidRPr="00F1009C">
        <w:rPr>
          <w:rFonts w:ascii="Calibri" w:hAnsi="Calibri" w:cs="Calibri"/>
          <w:bCs/>
          <w:color w:val="000000"/>
          <w:sz w:val="18"/>
          <w:szCs w:val="18"/>
          <w:lang w:val="en-AU"/>
        </w:rPr>
        <w:t xml:space="preserve"> </w:t>
      </w:r>
      <w:r w:rsidR="00972BA7" w:rsidRPr="00F1009C">
        <w:rPr>
          <w:rFonts w:ascii="Calibri" w:hAnsi="Calibri" w:cs="Calibri"/>
          <w:bCs/>
          <w:color w:val="000000"/>
          <w:sz w:val="18"/>
          <w:szCs w:val="18"/>
          <w:lang w:val="en-AU"/>
        </w:rPr>
        <w:fldChar w:fldCharType="begin"/>
      </w:r>
      <w:r w:rsidR="00C2642C" w:rsidRPr="00F1009C">
        <w:rPr>
          <w:rFonts w:ascii="Calibri" w:hAnsi="Calibri" w:cs="Calibri"/>
          <w:bCs/>
          <w:color w:val="000000"/>
          <w:sz w:val="18"/>
          <w:szCs w:val="18"/>
          <w:lang w:val="en-AU"/>
        </w:rPr>
        <w:instrText xml:space="preserve"> ADDIN ZOTERO_ITEM CSL_CITATION {"citationID":"bNalASrm","properties":{"formattedCitation":"(al Mutahar, 2017; M. Crouch, 2009; George, 2017; Madanih, 2019; Nuryanti, 2020)","plainCitation":"(al Mutahar, 2017; M. Crouch, 2009; George, 2017; Madanih, 2019; Nuryanti, 2020)","noteIndex":0},"citationItems":[{"id":2294,"uris":["http://zotero.org/users/6396655/items/WA2YRFP2"],"itemData":{"id":2294,"type":"article-journal","container-title":"Sosiohumaniora","issue":"1","page":"18–20","title":"Penyebab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972BA7" w:rsidRPr="00F1009C">
        <w:rPr>
          <w:rFonts w:ascii="Calibri" w:hAnsi="Calibri" w:cs="Calibri"/>
          <w:bCs/>
          <w:color w:val="000000"/>
          <w:sz w:val="18"/>
          <w:szCs w:val="18"/>
          <w:lang w:val="en-AU"/>
        </w:rPr>
        <w:fldChar w:fldCharType="separate"/>
      </w:r>
      <w:r w:rsidR="00C2642C" w:rsidRPr="00F1009C">
        <w:rPr>
          <w:rFonts w:ascii="Calibri" w:hAnsi="Calibri" w:cs="Calibri"/>
          <w:bCs/>
          <w:noProof/>
          <w:color w:val="000000"/>
          <w:sz w:val="18"/>
          <w:szCs w:val="18"/>
          <w:lang w:val="en-AU"/>
        </w:rPr>
        <w:t xml:space="preserve">al Mutahar, 2017; M. Crouch, 2009; George, 2017; Madanih, 2019; </w:t>
      </w:r>
      <w:r w:rsidRPr="00F1009C">
        <w:rPr>
          <w:rFonts w:ascii="Calibri" w:hAnsi="Calibri" w:cs="Calibri"/>
          <w:bCs/>
          <w:noProof/>
          <w:color w:val="000000"/>
          <w:sz w:val="18"/>
          <w:szCs w:val="18"/>
          <w:lang w:val="en-AU"/>
        </w:rPr>
        <w:t xml:space="preserve"> </w:t>
      </w:r>
      <w:r w:rsidR="00C2642C" w:rsidRPr="00F1009C">
        <w:rPr>
          <w:rFonts w:ascii="Calibri" w:hAnsi="Calibri" w:cs="Calibri"/>
          <w:bCs/>
          <w:noProof/>
          <w:color w:val="000000"/>
          <w:sz w:val="18"/>
          <w:szCs w:val="18"/>
          <w:lang w:val="en-AU"/>
        </w:rPr>
        <w:t>Nuryanti, 2020)</w:t>
      </w:r>
      <w:r w:rsidR="00972BA7" w:rsidRPr="00F1009C">
        <w:rPr>
          <w:rFonts w:ascii="Calibri" w:hAnsi="Calibri" w:cs="Calibri"/>
          <w:bCs/>
          <w:color w:val="000000"/>
          <w:sz w:val="18"/>
          <w:szCs w:val="18"/>
          <w:lang w:val="en-AU"/>
        </w:rPr>
        <w:fldChar w:fldCharType="end"/>
      </w:r>
    </w:p>
    <w:p w14:paraId="5A5D285F" w14:textId="77777777" w:rsidR="00972BA7" w:rsidRPr="00F1009C" w:rsidRDefault="00972BA7" w:rsidP="008A5EF2">
      <w:pPr>
        <w:jc w:val="both"/>
        <w:rPr>
          <w:rFonts w:ascii="Calibri" w:hAnsi="Calibri" w:cs="Calibri"/>
          <w:bCs/>
          <w:color w:val="000000"/>
          <w:sz w:val="18"/>
          <w:szCs w:val="18"/>
          <w:lang w:val="en-AU"/>
        </w:rPr>
      </w:pPr>
    </w:p>
    <w:p w14:paraId="4A9671B4" w14:textId="05EF666A" w:rsidR="00853635" w:rsidRDefault="00853635" w:rsidP="00853635">
      <w:pPr>
        <w:jc w:val="both"/>
        <w:rPr>
          <w:rFonts w:ascii="Calibri" w:hAnsi="Calibri" w:cs="Calibri"/>
          <w:bCs/>
          <w:color w:val="000000"/>
          <w:lang w:val="en-AU"/>
        </w:rPr>
      </w:pPr>
      <w:r w:rsidRPr="00853635">
        <w:rPr>
          <w:rFonts w:ascii="Calibri" w:hAnsi="Calibri" w:cs="Calibri"/>
          <w:bCs/>
          <w:color w:val="000000"/>
          <w:lang w:val="en-AU"/>
        </w:rPr>
        <w:t>Table 2 shows a pattern where vigilante justice always emerges</w:t>
      </w:r>
      <w:r w:rsidR="00967DB5">
        <w:rPr>
          <w:rFonts w:ascii="Calibri" w:hAnsi="Calibri" w:cs="Calibri"/>
          <w:bCs/>
          <w:color w:val="000000"/>
          <w:lang w:val="en-AU"/>
        </w:rPr>
        <w:t xml:space="preserve"> at least</w:t>
      </w:r>
      <w:r w:rsidRPr="00853635">
        <w:rPr>
          <w:rFonts w:ascii="Calibri" w:hAnsi="Calibri" w:cs="Calibri"/>
          <w:bCs/>
          <w:color w:val="000000"/>
          <w:lang w:val="en-AU"/>
        </w:rPr>
        <w:t xml:space="preserve"> in one of the stages of the legal process in each of the blasphemy cases examined. The emergence of vigilante justice is intertwined with the legitimacy given to it through fatwas issued by religious scholars or regional regulations strongly influenced by Shariah. Consequently, Shariah nuances in these regulations indicate that society's measure of truth is viewed from the perspective of the majority religion. Those accused of blasphemy face two punishments directly: the first from vigilante justice without trial, and the second from the court's verdict. During the trial, the accused are inevitably justly punished, as the proceedings are unfair due to pressure from vigilante groups on the court to deliver severe punishment quickly, without considering whether there is a fair process of proof against the accused. The government has defended the ambiguous and flawed Anti-Blasphemy Law by issuing various policies that label blasphemy cases as insults to Islam or deviant sects. Instead of promoting interreligious dialogue that respects different religious beliefs, these policies provide legitimacy that encourages intolerance and exclusion.</w:t>
      </w:r>
    </w:p>
    <w:p w14:paraId="41E66926" w14:textId="77777777" w:rsidR="00B316C0" w:rsidRDefault="00B316C0" w:rsidP="008A5EF2">
      <w:pPr>
        <w:ind w:firstLine="0"/>
        <w:jc w:val="both"/>
        <w:rPr>
          <w:rFonts w:ascii="Calibri" w:hAnsi="Calibri" w:cs="Calibri"/>
          <w:bCs/>
          <w:color w:val="000000"/>
          <w:lang w:val="en-AU"/>
        </w:rPr>
      </w:pPr>
    </w:p>
    <w:p w14:paraId="7B947D2A" w14:textId="0A10B67D" w:rsidR="008A5EF2" w:rsidRPr="00315563" w:rsidRDefault="00B316C0" w:rsidP="008A5EF2">
      <w:pPr>
        <w:ind w:firstLine="0"/>
        <w:jc w:val="both"/>
        <w:rPr>
          <w:rFonts w:ascii="Calibri" w:hAnsi="Calibri" w:cs="Calibri"/>
          <w:b/>
          <w:color w:val="000000"/>
          <w:lang w:val="en-AU"/>
        </w:rPr>
      </w:pPr>
      <w:r>
        <w:rPr>
          <w:rFonts w:ascii="Calibri" w:hAnsi="Calibri" w:cs="Calibri"/>
          <w:b/>
          <w:i/>
          <w:iCs/>
          <w:color w:val="000000"/>
          <w:lang w:val="en-AU"/>
        </w:rPr>
        <w:t>Actors and Factors Influence Vigilante Justice Against Blasphemy</w:t>
      </w:r>
      <w:r w:rsidR="0044451F">
        <w:rPr>
          <w:rFonts w:ascii="Calibri" w:hAnsi="Calibri" w:cs="Calibri"/>
          <w:b/>
          <w:i/>
          <w:iCs/>
          <w:color w:val="000000"/>
          <w:lang w:val="en-AU"/>
        </w:rPr>
        <w:t xml:space="preserve"> </w:t>
      </w:r>
    </w:p>
    <w:p w14:paraId="34749394" w14:textId="1629EB2A" w:rsidR="00C2642C" w:rsidRPr="00C2642C" w:rsidRDefault="00C2642C" w:rsidP="00C2642C">
      <w:pPr>
        <w:ind w:firstLine="0"/>
        <w:jc w:val="both"/>
        <w:rPr>
          <w:rFonts w:ascii="Calibri" w:hAnsi="Calibri" w:cs="Calibri"/>
          <w:bCs/>
          <w:color w:val="000000"/>
          <w:lang w:val="en-AU"/>
        </w:rPr>
      </w:pPr>
      <w:r w:rsidRPr="00C2642C">
        <w:rPr>
          <w:rFonts w:ascii="Calibri" w:hAnsi="Calibri" w:cs="Calibri"/>
          <w:bCs/>
          <w:color w:val="000000"/>
          <w:lang w:val="en-AU"/>
        </w:rPr>
        <w:t xml:space="preserve">Before discussing how vigilante justice against blasphemy cases has influenced law enforcement in Indonesia, this section describes the factors and actors that contribute to vigilante justice, as shown in Figure 1. This study reveals that actors who engage in vigilante justice are not limited to hard-line religious groups, but also the Indonesian </w:t>
      </w:r>
      <w:r w:rsidRPr="00C2642C">
        <w:rPr>
          <w:rFonts w:ascii="Calibri" w:hAnsi="Calibri" w:cs="Calibri"/>
          <w:bCs/>
          <w:color w:val="000000"/>
          <w:lang w:val="en-AU"/>
        </w:rPr>
        <w:lastRenderedPageBreak/>
        <w:t>Council of Ulama, state institutions, and law enforcement agencies. These actors play a significant, albeit indirect, role in supporting or at the very least allowing vigilante justice to continue to occur and repeat itself.</w:t>
      </w:r>
    </w:p>
    <w:p w14:paraId="0209078B" w14:textId="346C26B6" w:rsidR="00B316C0" w:rsidRDefault="00C2642C" w:rsidP="00C2642C">
      <w:pPr>
        <w:ind w:firstLine="720"/>
        <w:jc w:val="both"/>
        <w:rPr>
          <w:rFonts w:ascii="Calibri" w:hAnsi="Calibri" w:cs="Calibri"/>
          <w:bCs/>
          <w:color w:val="000000"/>
          <w:lang w:val="en-AU"/>
        </w:rPr>
      </w:pPr>
      <w:r w:rsidRPr="00C2642C">
        <w:rPr>
          <w:rFonts w:ascii="Calibri" w:hAnsi="Calibri" w:cs="Calibri"/>
          <w:bCs/>
          <w:color w:val="000000"/>
          <w:lang w:val="en-AU"/>
        </w:rPr>
        <w:t xml:space="preserve">Firstly, the ideology factor indicates that the ideology of Godly Nationalism in Indonesia contributes to the prolonged enforcement of the Anti-Blasphemy Law by creating a law enforcement system that glorifies vigilante acts. Scholars suggest that Godly Nationalism leads to religious intolerance by upholding religious values that are seen as contrary to blasphemy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{"citationID":"RQnUoDh2","properties":{"formattedCitation":"(Menchik,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C2642C">
        <w:rPr>
          <w:rFonts w:ascii="Calibri" w:hAnsi="Calibri" w:cs="Calibri"/>
          <w:bCs/>
          <w:color w:val="000000"/>
          <w:lang w:val="en-AU"/>
        </w:rPr>
        <w:t>. The ideology encourages dominant religious groups to monopolize the truth to protect orthodox religions from deviant teachings and intolerant actions. This ideology justifies vigilante acts against those accused of deviating from orthodox teachings, leading to religious intolerance and promoting mob violence.</w:t>
      </w:r>
    </w:p>
    <w:p w14:paraId="52541CE4" w14:textId="6F399579" w:rsidR="002D75B0" w:rsidRDefault="002D75B0"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The legal factor has contributed to the development of vigilante justice in Indonesia, particularly due to the existence of the flawed Anti-Blasphemy Law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{"citationID":"4p2MAb43","properties":{"formattedCitation":"(Pratiwi,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(Pratiwi, 2021)</w:t>
      </w:r>
      <w:r>
        <w:rPr>
          <w:rFonts w:ascii="Calibri" w:hAnsi="Calibri" w:cs="Calibri"/>
          <w:bCs/>
          <w:color w:val="000000"/>
          <w:lang w:val="en-AU"/>
        </w:rPr>
        <w:fldChar w:fldCharType="end"/>
      </w:r>
      <w:r>
        <w:rPr>
          <w:rFonts w:ascii="Calibri" w:hAnsi="Calibri" w:cs="Calibri"/>
          <w:bCs/>
          <w:color w:val="000000"/>
          <w:lang w:val="en-AU"/>
        </w:rPr>
        <w:t>,</w:t>
      </w:r>
      <w:r w:rsidRPr="00C2642C">
        <w:rPr>
          <w:rFonts w:ascii="Calibri" w:hAnsi="Calibri" w:cs="Calibri"/>
          <w:bCs/>
          <w:color w:val="000000"/>
          <w:lang w:val="en-AU"/>
        </w:rPr>
        <w:t xml:space="preserve"> that only recognizes six major religions: Islam, Christianity, Catholicism, Hinduism, Buddhism, and Confucianism</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{"citationID":"lCqYnC3O","properties":{"formattedCitation":"(M. A. Crouch, 2012)","plainCitation":"(M. A. Crouch, 2012)","noteIndex":0},"citationItems":[{"id":2141,"uris":["http://zotero.org/users/6396655/items/6CKKAVFW"],"itemData":{"id":2141,"type":"article-journal","container-title":"Asian J. Comp. Law","title":"Law and religion in Indonesia: The Constitutional court and the blasphemy law","URL":"https://doi.org/10.1515/1932-0205.1391","volume":"7","author":[{"family":"Crouch","given":"M. A."}],"issued":{"date-parts":[["2012"]]}}}],"schema":"https://github.com/citation-style-language/schema/raw/master/csl-citation.json"}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 A. Crouch, 2012)</w:t>
      </w:r>
      <w:r>
        <w:rPr>
          <w:rFonts w:ascii="Calibri" w:hAnsi="Calibri" w:cs="Calibri"/>
          <w:bCs/>
          <w:color w:val="000000"/>
          <w:lang w:val="en-AU"/>
        </w:rPr>
        <w:fldChar w:fldCharType="end"/>
      </w:r>
      <w:r w:rsidRPr="00C2642C">
        <w:rPr>
          <w:rFonts w:ascii="Calibri" w:hAnsi="Calibri" w:cs="Calibri"/>
          <w:bCs/>
          <w:color w:val="000000"/>
          <w:lang w:val="en-AU"/>
        </w:rPr>
        <w:t xml:space="preserve">. This has created a subjective interpretation of religious criticism, which is seen as a form of insult against these orthodox religions </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{"citationID":"EJiuM3HI","properties":{"formattedCitation":"(Peterson, 2018; Tyson, 2021)","plainCitation":"(Peterson, 2018; Tyson, 2021)","noteIndex":0},"citationItems":[{"id":2298,"uris":["http://zotero.org/users/6396655/items/GVMNHHZJ"],"itemData":{"id":2298,"type":"chapter","container-title":"The Asian Yearbook of Human Rights and Humanitarian Law","page":"52–94","publisher":"Brill Nijhoff","title":"2 Blasphemy, Human Rights, and the Case of Ahok","author":[{"family":"Peterson","given":"Daniel"}],"issued":{"date-parts":[["2018"]]}}},{"id":1441,"uris":["http://zotero.org/users/6396655/items/8WUZVQQA"],"itemData":{"id":1441,"type":"article-journal","abstract":"When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(Peterson, 2018; Tyson, 2021)</w:t>
      </w:r>
      <w:r>
        <w:rPr>
          <w:rFonts w:ascii="Calibri" w:hAnsi="Calibri" w:cs="Calibri"/>
          <w:bCs/>
          <w:color w:val="000000"/>
          <w:lang w:val="en-AU"/>
        </w:rPr>
        <w:fldChar w:fldCharType="end"/>
      </w:r>
      <w:r w:rsidRPr="00C2642C">
        <w:rPr>
          <w:rFonts w:ascii="Calibri" w:hAnsi="Calibri" w:cs="Calibri"/>
          <w:bCs/>
          <w:color w:val="000000"/>
          <w:lang w:val="en-AU"/>
        </w:rPr>
        <w:t xml:space="preserve">, leading to interference in religious life by organizations such as the MUI and various state institutions, as seen in Table 1. The reluctance of law enforcement officers to protect minority groups' freedom of religion and accommodating majority groups' demands for religious issues has resulted in widespread vigilante violence against religious minorities. All these regulations have been exploited by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to legitimize vigilante justice, as</w:t>
      </w:r>
      <w:r>
        <w:rPr>
          <w:rFonts w:ascii="Calibri" w:hAnsi="Calibri" w:cs="Calibri"/>
          <w:bCs/>
          <w:color w:val="000000"/>
          <w:lang w:val="en-AU"/>
        </w:rPr>
        <w:t xml:space="preserve"> Butt</w:t>
      </w:r>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{"citationID":"lFUrIh83","properties":{"formattedCitation":"(2018)","plainCitation":"(2018)","noteIndex":0},"citationItems":[{"id":2296,"uris":["http://zotero.org/users/6396655/items/Y4AUE3FK"],"itemData":{"id":2296,"type":"article-journal","container-title":"The Journal of Legal Pluralism and Unofficial Law","issue":"3","note":"publisher: Taylor &amp; Francis","page":"402–434","title":"Religious conservatism, Islamic criminal law and the judiciary in Indonesia: a tale of three courts","volume":"50","author":[{"family":"Butt","given":"Simon"}],"issued":{"date-parts":[["2018"]]}},"label":"page","suppress-author":true}],"schema":"https://github.com/citation-style-language/schema/raw/master/csl-citation.json"}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(2018)</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 xml:space="preserve">argues. </w:t>
      </w:r>
    </w:p>
    <w:p w14:paraId="74B81E19" w14:textId="77777777" w:rsidR="00C2642C" w:rsidRDefault="00C2642C" w:rsidP="00C2642C">
      <w:pPr>
        <w:ind w:firstLine="720"/>
        <w:jc w:val="both"/>
        <w:rPr>
          <w:rFonts w:ascii="Calibri" w:hAnsi="Calibri" w:cs="Calibri"/>
          <w:bCs/>
          <w:color w:val="000000"/>
          <w:lang w:val="en-AU"/>
        </w:rPr>
      </w:pPr>
    </w:p>
    <w:p w14:paraId="3A1BF970" w14:textId="08EE4907" w:rsidR="008A5EF2" w:rsidRDefault="008F0259" w:rsidP="008F0259">
      <w:pPr>
        <w:ind w:firstLine="0"/>
        <w:jc w:val="center"/>
        <w:rPr>
          <w:rFonts w:ascii="Calibri" w:hAnsi="Calibri" w:cs="Calibri"/>
          <w:bCs/>
          <w:color w:val="000000"/>
          <w:lang w:val="en-AU"/>
        </w:rPr>
      </w:pPr>
      <w:r>
        <w:rPr>
          <w:rFonts w:ascii="Calibri" w:hAnsi="Calibri" w:cs="Calibri"/>
          <w:bCs/>
          <w:noProof/>
          <w:color w:val="000000"/>
          <w:lang w:val="en-AU"/>
          <w14:ligatures w14:val="standardContextual"/>
        </w:rPr>
        <w:drawing>
          <wp:inline distT="0" distB="0" distL="0" distR="0" wp14:anchorId="38744DDC" wp14:editId="2848F079">
            <wp:extent cx="5664200" cy="1663700"/>
            <wp:effectExtent l="0" t="0" r="0" b="0"/>
            <wp:docPr id="167333515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35158" name="Picture 1" descr="A picture containing text, screensh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1663700"/>
                    </a:xfrm>
                    <a:prstGeom prst="rect">
                      <a:avLst/>
                    </a:prstGeom>
                  </pic:spPr>
                </pic:pic>
              </a:graphicData>
            </a:graphic>
          </wp:inline>
        </w:drawing>
      </w:r>
    </w:p>
    <w:p w14:paraId="5E3D17C0" w14:textId="08A2D10D" w:rsidR="008A5EF2" w:rsidRDefault="008A5EF2" w:rsidP="008A5EF2">
      <w:pPr>
        <w:ind w:firstLine="0"/>
        <w:jc w:val="both"/>
        <w:rPr>
          <w:rFonts w:ascii="Calibri" w:hAnsi="Calibri" w:cs="Calibri"/>
          <w:bCs/>
          <w:color w:val="000000"/>
          <w:lang w:val="en-AU"/>
        </w:rPr>
      </w:pPr>
    </w:p>
    <w:p w14:paraId="68C50753" w14:textId="3EB3B7AA" w:rsidR="008A5EF2" w:rsidRPr="00096B7E" w:rsidRDefault="008A5EF2" w:rsidP="008A5EF2">
      <w:pPr>
        <w:pStyle w:val="Caption"/>
        <w:jc w:val="center"/>
        <w:rPr>
          <w:rFonts w:ascii="Calibri" w:hAnsi="Calibri" w:cs="Calibri"/>
          <w:bCs w:val="0"/>
          <w:color w:val="000000"/>
          <w:sz w:val="22"/>
          <w:szCs w:val="22"/>
          <w:lang w:val="en-AU"/>
        </w:rPr>
      </w:pPr>
      <w:r>
        <w:t xml:space="preserve">Figure </w:t>
      </w:r>
      <w:r w:rsidR="00000000">
        <w:fldChar w:fldCharType="begin"/>
      </w:r>
      <w:r w:rsidR="00000000">
        <w:instrText xml:space="preserve"> SEQ Figure \* ARABIC </w:instrText>
      </w:r>
      <w:r w:rsidR="00000000">
        <w:fldChar w:fldCharType="separate"/>
      </w:r>
      <w:r w:rsidR="00D2148B">
        <w:rPr>
          <w:noProof/>
        </w:rPr>
        <w:t>1</w:t>
      </w:r>
      <w:r w:rsidR="00000000">
        <w:rPr>
          <w:noProof/>
        </w:rPr>
        <w:fldChar w:fldCharType="end"/>
      </w:r>
      <w:r>
        <w:t xml:space="preserve">. </w:t>
      </w:r>
      <w:r w:rsidRPr="007D6BC0">
        <w:t>Factors influenc</w:t>
      </w:r>
      <w:r w:rsidR="008F0259">
        <w:t>ing</w:t>
      </w:r>
      <w:r w:rsidRPr="007D6BC0">
        <w:t xml:space="preserve"> </w:t>
      </w:r>
      <w:r>
        <w:t>Vigilante Justice</w:t>
      </w:r>
      <w:r w:rsidR="008F0259">
        <w:t xml:space="preserve"> Against Blasphemy</w:t>
      </w:r>
    </w:p>
    <w:p w14:paraId="69B6EE8A" w14:textId="77777777" w:rsidR="008A5EF2" w:rsidRPr="0022722E" w:rsidRDefault="008A5EF2" w:rsidP="008A5EF2">
      <w:pPr>
        <w:ind w:firstLine="0"/>
        <w:jc w:val="both"/>
        <w:rPr>
          <w:rFonts w:ascii="Calibri" w:hAnsi="Calibri" w:cs="Calibri"/>
          <w:bCs/>
          <w:color w:val="000000"/>
          <w:lang w:val="en-AU"/>
        </w:rPr>
      </w:pPr>
    </w:p>
    <w:p w14:paraId="076338AF" w14:textId="01E731EB"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Moreover,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use blasphemy lawsuits to gain public support for political purposes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{"citationID":"0JiQNurN","properties":{"formattedCitation":"(Tyson,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C2642C">
        <w:rPr>
          <w:rFonts w:ascii="Calibri" w:hAnsi="Calibri" w:cs="Calibri"/>
          <w:bCs/>
          <w:color w:val="000000"/>
          <w:lang w:val="en-AU"/>
        </w:rPr>
        <w:t>. In the cases of Ahok and Meiliana, vigilante justice cannot be separated from the political context surrounding the regional elections in Indonesia at that time. The close connections between state officials and vigilante groups used identity politics to secure electoral victories. In addition, vigilante groups employ hate-mongering strategies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{"citationID":"So2bOykc","properties":{"formattedCitation":"(George,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Pr="00C2642C">
        <w:rPr>
          <w:rFonts w:ascii="Calibri" w:hAnsi="Calibri" w:cs="Calibri"/>
          <w:bCs/>
          <w:color w:val="000000"/>
          <w:lang w:val="en-AU"/>
        </w:rPr>
        <w:t xml:space="preserve"> by framing the accused as blasphemers who insulted their religion (Islam), making them undeserving of public support. </w:t>
      </w:r>
    </w:p>
    <w:p w14:paraId="167CFFEE" w14:textId="1D72ACE9"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According to Asif M and Don </w:t>
      </w:r>
      <w:proofErr w:type="spellStart"/>
      <w:r w:rsidRPr="00C2642C">
        <w:rPr>
          <w:rFonts w:ascii="Calibri" w:hAnsi="Calibri" w:cs="Calibri"/>
          <w:bCs/>
          <w:color w:val="000000"/>
          <w:lang w:val="en-AU"/>
        </w:rPr>
        <w:t>Weenink's</w:t>
      </w:r>
      <w:proofErr w:type="spellEnd"/>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{"citationID":"fukxTaWP","properties":{"formattedCitation":"(2022)","plainCitation":"(2022)","noteIndex":0},"citationItems":[{"id":2299,"uris":["http://zotero.org/users/6396655/items/889SKEIL"],"itemData":{"id":2299,"type":"article-journal","container-title":"European journal of criminology","issue":"2","note":"publisher: SAGE Publications Sage UK: London, England","page":"163–182","title":"Vigilante rituals theory: A cultural explanation of vigilante violence","volume":"19","author":[{"family":"Asif","given":"Muhammad"},{"family":"Weenink","given":"Don"}],"issued":{"date-parts":[["2022"]]}},"label":"page","suppress-author":true}],"schema":"https://github.com/citation-style-language/schema/raw/master/csl-citation.json"}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(2022)</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study, vigilante justice gains legitimacy because of the public's belief that blasphemy is a violation of public morals. Hence, vigilante groups exploit public fear and anger to legitimize their fight against blasphemers. While the law criminalizes blasphemy, hate speech that incites violence by vigilante groups is not adequately regulated in Indonesia, as Hewson's study found. This connection has allowed vigilante groups to commit violent acts against minority congregations with impunity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{"citationID":"wkNOjdmm","properties":{"formattedCitation":"(Hewson,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(Hewson, 2017)</w:t>
      </w:r>
      <w:r>
        <w:rPr>
          <w:rFonts w:ascii="Calibri" w:hAnsi="Calibri" w:cs="Calibri"/>
          <w:bCs/>
          <w:color w:val="000000"/>
          <w:lang w:val="en-AU"/>
        </w:rPr>
        <w:fldChar w:fldCharType="end"/>
      </w:r>
      <w:r>
        <w:rPr>
          <w:rFonts w:ascii="Calibri" w:hAnsi="Calibri" w:cs="Calibri"/>
          <w:bCs/>
          <w:color w:val="000000"/>
          <w:lang w:val="en-AU"/>
        </w:rPr>
        <w:t>.</w:t>
      </w:r>
    </w:p>
    <w:p w14:paraId="6B2EFD66" w14:textId="547306EE" w:rsidR="008A5EF2" w:rsidRPr="008A5EF2"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Ultimately, self-proclaimed "justice" undermines Indonesia's rule of law and democracy. To promote tolerance and individual rights, strong legislative frameworks and their enforcement are essential. Allowing extreme Islamic organizations to violate the law in the name of religion will erode Indonesia's national character and democracy.</w:t>
      </w:r>
    </w:p>
    <w:p w14:paraId="0E5629B9" w14:textId="77777777" w:rsidR="008A5EF2" w:rsidRDefault="008A5EF2" w:rsidP="008A5EF2">
      <w:pPr>
        <w:ind w:firstLine="0"/>
        <w:jc w:val="both"/>
        <w:rPr>
          <w:rFonts w:ascii="Calibri" w:hAnsi="Calibri" w:cs="Calibri"/>
          <w:bCs/>
          <w:color w:val="000000"/>
          <w:lang w:val="en-AU"/>
        </w:rPr>
      </w:pPr>
    </w:p>
    <w:p w14:paraId="146F0732" w14:textId="77777777" w:rsidR="00FD59A2" w:rsidRDefault="00FD59A2" w:rsidP="008A5EF2">
      <w:pPr>
        <w:ind w:firstLine="0"/>
        <w:jc w:val="both"/>
        <w:rPr>
          <w:rFonts w:ascii="Calibri" w:hAnsi="Calibri" w:cs="Calibri"/>
          <w:bCs/>
          <w:color w:val="000000"/>
          <w:lang w:val="en-AU"/>
        </w:rPr>
      </w:pPr>
    </w:p>
    <w:p w14:paraId="1A8B5F06" w14:textId="1465F3FB" w:rsidR="008A5EF2" w:rsidRPr="00443E35" w:rsidRDefault="00B316C0" w:rsidP="008A5EF2">
      <w:pPr>
        <w:ind w:firstLine="0"/>
        <w:jc w:val="both"/>
        <w:rPr>
          <w:rFonts w:ascii="Calibri" w:hAnsi="Calibri" w:cs="Calibri"/>
          <w:b/>
          <w:color w:val="000000"/>
          <w:lang w:val="en-AU"/>
        </w:rPr>
      </w:pPr>
      <w:r>
        <w:rPr>
          <w:rFonts w:ascii="Calibri" w:hAnsi="Calibri" w:cs="Calibri"/>
          <w:b/>
          <w:color w:val="000000"/>
          <w:lang w:val="en-AU"/>
        </w:rPr>
        <w:t>Hindering</w:t>
      </w:r>
      <w:r w:rsidR="008A5EF2" w:rsidRPr="00B14A95">
        <w:rPr>
          <w:rFonts w:ascii="Calibri" w:hAnsi="Calibri" w:cs="Calibri"/>
          <w:b/>
          <w:color w:val="000000"/>
          <w:lang w:val="en-AU"/>
        </w:rPr>
        <w:t xml:space="preserve"> Independency </w:t>
      </w:r>
      <w:r w:rsidR="008A5EF2">
        <w:rPr>
          <w:rFonts w:ascii="Calibri" w:hAnsi="Calibri" w:cs="Calibri"/>
          <w:b/>
          <w:color w:val="000000"/>
          <w:lang w:val="en-AU"/>
        </w:rPr>
        <w:t>o</w:t>
      </w:r>
      <w:r w:rsidR="008A5EF2" w:rsidRPr="00B14A95">
        <w:rPr>
          <w:rFonts w:ascii="Calibri" w:hAnsi="Calibri" w:cs="Calibri"/>
          <w:b/>
          <w:color w:val="000000"/>
          <w:lang w:val="en-AU"/>
        </w:rPr>
        <w:t xml:space="preserve">f </w:t>
      </w:r>
      <w:r w:rsidR="008A5EF2">
        <w:rPr>
          <w:rFonts w:ascii="Calibri" w:hAnsi="Calibri" w:cs="Calibri"/>
          <w:b/>
          <w:color w:val="000000"/>
          <w:lang w:val="en-AU"/>
        </w:rPr>
        <w:t>t</w:t>
      </w:r>
      <w:r w:rsidR="008A5EF2" w:rsidRPr="00B14A95">
        <w:rPr>
          <w:rFonts w:ascii="Calibri" w:hAnsi="Calibri" w:cs="Calibri"/>
          <w:b/>
          <w:color w:val="000000"/>
          <w:lang w:val="en-AU"/>
        </w:rPr>
        <w:t>he Court</w:t>
      </w:r>
      <w:r w:rsidR="008A5EF2">
        <w:rPr>
          <w:rFonts w:ascii="Calibri" w:hAnsi="Calibri" w:cs="Calibri"/>
          <w:b/>
          <w:color w:val="000000"/>
          <w:lang w:val="en-AU"/>
        </w:rPr>
        <w:t xml:space="preserve"> to </w:t>
      </w:r>
      <w:r w:rsidR="00F20B00">
        <w:rPr>
          <w:rFonts w:ascii="Calibri" w:hAnsi="Calibri" w:cs="Calibri"/>
          <w:b/>
          <w:color w:val="000000"/>
          <w:lang w:val="en-AU"/>
        </w:rPr>
        <w:t>P</w:t>
      </w:r>
      <w:r w:rsidR="008A5EF2">
        <w:rPr>
          <w:rFonts w:ascii="Calibri" w:hAnsi="Calibri" w:cs="Calibri"/>
          <w:b/>
          <w:color w:val="000000"/>
          <w:lang w:val="en-AU"/>
        </w:rPr>
        <w:t xml:space="preserve">reserve </w:t>
      </w:r>
      <w:r w:rsidR="00F20B00">
        <w:rPr>
          <w:rFonts w:ascii="Calibri" w:hAnsi="Calibri" w:cs="Calibri"/>
          <w:b/>
          <w:color w:val="000000"/>
          <w:lang w:val="en-AU"/>
        </w:rPr>
        <w:t>J</w:t>
      </w:r>
      <w:r w:rsidR="008A5EF2">
        <w:rPr>
          <w:rFonts w:ascii="Calibri" w:hAnsi="Calibri" w:cs="Calibri"/>
          <w:b/>
          <w:color w:val="000000"/>
          <w:lang w:val="en-AU"/>
        </w:rPr>
        <w:t>ustice</w:t>
      </w:r>
    </w:p>
    <w:p w14:paraId="2548274E" w14:textId="77777777" w:rsidR="0016562A" w:rsidRDefault="0016562A" w:rsidP="00935072">
      <w:pPr>
        <w:ind w:firstLine="720"/>
        <w:jc w:val="both"/>
        <w:rPr>
          <w:rFonts w:ascii="Calibri" w:hAnsi="Calibri" w:cs="Calibri"/>
          <w:bCs/>
          <w:color w:val="000000"/>
          <w:lang w:val="en-AU"/>
        </w:rPr>
      </w:pPr>
      <w:r w:rsidRPr="0016562A">
        <w:rPr>
          <w:rFonts w:ascii="Calibri" w:hAnsi="Calibri" w:cs="Calibri"/>
          <w:bCs/>
          <w:color w:val="000000"/>
          <w:lang w:val="en-AU"/>
        </w:rPr>
        <w:t xml:space="preserve">Figure 2 depicts the pattern that occurs in cases of blasphemy and its relationship with the frequent emergence of vigilante actions. Vigilante justice towards blasphemy suspects has a significant impact on the failure of judicial justice to achieve fairness. The independence of the judiciary, particularly in cases related to blasphemy, </w:t>
      </w:r>
      <w:r w:rsidRPr="0016562A">
        <w:rPr>
          <w:rFonts w:ascii="Calibri" w:hAnsi="Calibri" w:cs="Calibri"/>
          <w:bCs/>
          <w:color w:val="000000"/>
          <w:lang w:val="en-AU"/>
        </w:rPr>
        <w:lastRenderedPageBreak/>
        <w:t>is not realized for five reasons: (a) judges misapply the law; (b) judges fail to prove the defendant's guilt; (c) judges overlook legal facts presented in court; (d) judges disregard the due process of law. For example, in the case studies, suspected cases of blasphemy were categorized as such following demands by MUI, which influenced the court's decision. The fatwas issued by the Indonesian Ulama Council and religious figures from the majority group that label suspected individuals as deviant or blasphemous legitimize this injustice. The vigilantes use hate speech and disseminate fake news to manipulate social situations and exert pressure on law enforcement and courts to accelerate legal proceedings, oftentimes resulting in the violation of minority religious groups' rights with the support of local policymakers at the city, regency, and provincial levels.</w:t>
      </w:r>
      <w:r w:rsidR="00935072" w:rsidRPr="00F20B00">
        <w:rPr>
          <w:rFonts w:ascii="Calibri" w:hAnsi="Calibri" w:cs="Calibri"/>
          <w:bCs/>
          <w:color w:val="000000"/>
          <w:lang w:val="en-AU"/>
        </w:rPr>
        <w:t xml:space="preserve"> </w:t>
      </w:r>
    </w:p>
    <w:p w14:paraId="5CEC5E84" w14:textId="77777777" w:rsidR="00D2148B" w:rsidRDefault="00D2148B" w:rsidP="00935072">
      <w:pPr>
        <w:ind w:firstLine="720"/>
        <w:jc w:val="both"/>
        <w:rPr>
          <w:rFonts w:ascii="Calibri" w:hAnsi="Calibri" w:cs="Calibri"/>
          <w:bCs/>
          <w:color w:val="000000"/>
          <w:lang w:val="en-AU"/>
        </w:rPr>
      </w:pPr>
    </w:p>
    <w:p w14:paraId="3240E985" w14:textId="77777777" w:rsidR="00D2148B" w:rsidRDefault="00D2148B" w:rsidP="00D2148B">
      <w:pPr>
        <w:keepNext/>
        <w:ind w:firstLine="0"/>
        <w:jc w:val="center"/>
      </w:pPr>
      <w:r>
        <w:rPr>
          <w:noProof/>
          <w14:ligatures w14:val="standardContextual"/>
        </w:rPr>
        <w:drawing>
          <wp:anchor distT="0" distB="0" distL="114300" distR="114300" simplePos="0" relativeHeight="251658240" behindDoc="0" locked="0" layoutInCell="1" allowOverlap="1" wp14:anchorId="7164AA92" wp14:editId="17ACB6CF">
            <wp:simplePos x="0" y="0"/>
            <wp:positionH relativeFrom="column">
              <wp:posOffset>-3810</wp:posOffset>
            </wp:positionH>
            <wp:positionV relativeFrom="paragraph">
              <wp:posOffset>0</wp:posOffset>
            </wp:positionV>
            <wp:extent cx="6464935" cy="2115185"/>
            <wp:effectExtent l="0" t="0" r="0" b="5715"/>
            <wp:wrapTopAndBottom/>
            <wp:docPr id="1777593713" name="Picture 3"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3713" name="Picture 3" descr="A picture containing diagram, plan, line,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4935" cy="2115185"/>
                    </a:xfrm>
                    <a:prstGeom prst="rect">
                      <a:avLst/>
                    </a:prstGeom>
                  </pic:spPr>
                </pic:pic>
              </a:graphicData>
            </a:graphic>
            <wp14:sizeRelH relativeFrom="page">
              <wp14:pctWidth>0</wp14:pctWidth>
            </wp14:sizeRelH>
            <wp14:sizeRelV relativeFrom="page">
              <wp14:pctHeight>0</wp14:pctHeight>
            </wp14:sizeRelV>
          </wp:anchor>
        </w:drawing>
      </w:r>
    </w:p>
    <w:p w14:paraId="653D662C" w14:textId="0266A0D5" w:rsidR="00D2148B" w:rsidRDefault="00D2148B" w:rsidP="00D2148B">
      <w:pPr>
        <w:pStyle w:val="Caption"/>
        <w:jc w:val="center"/>
        <w:rPr>
          <w:rFonts w:ascii="Calibri" w:hAnsi="Calibri" w:cs="Calibri"/>
          <w:bCs w:val="0"/>
          <w:color w:val="000000"/>
          <w:lang w:val="en-AU"/>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00B79">
        <w:t>The Pattern of Vigilante Justice Against Blasphemy Weakens the Independence of the Court</w:t>
      </w:r>
    </w:p>
    <w:p w14:paraId="204B6C15" w14:textId="77777777" w:rsidR="00D2148B" w:rsidRDefault="00D2148B" w:rsidP="00D2148B">
      <w:pPr>
        <w:ind w:firstLine="720"/>
        <w:jc w:val="both"/>
        <w:rPr>
          <w:rFonts w:ascii="Calibri" w:hAnsi="Calibri" w:cs="Calibri"/>
          <w:bCs/>
          <w:color w:val="000000"/>
          <w:lang w:val="en-AU"/>
        </w:rPr>
      </w:pPr>
    </w:p>
    <w:p w14:paraId="33F43A1F" w14:textId="3634BD35" w:rsidR="00F3279D" w:rsidRDefault="00935072" w:rsidP="00D2148B">
      <w:pPr>
        <w:ind w:firstLine="720"/>
        <w:jc w:val="both"/>
        <w:rPr>
          <w:rFonts w:ascii="Calibri" w:hAnsi="Calibri" w:cs="Calibri"/>
          <w:bCs/>
          <w:color w:val="000000"/>
          <w:lang w:val="en-AU"/>
        </w:rPr>
      </w:pPr>
      <w:r w:rsidRPr="00F20B00">
        <w:rPr>
          <w:rFonts w:ascii="Calibri" w:hAnsi="Calibri" w:cs="Calibri"/>
          <w:bCs/>
          <w:color w:val="000000"/>
          <w:lang w:val="en-AU"/>
        </w:rPr>
        <w:t xml:space="preserve">The court's failure to establish the defendants' "intention" to blaspheme Islam demonstrates that it disregarded the Anti-Blasphemy Law's significant defects and compelled a social justice-based judgment. </w:t>
      </w:r>
      <w:r>
        <w:rPr>
          <w:rFonts w:ascii="Calibri" w:hAnsi="Calibri" w:cs="Calibri"/>
          <w:bCs/>
          <w:color w:val="000000"/>
          <w:lang w:val="en-AU"/>
        </w:rPr>
        <w:t>T</w:t>
      </w:r>
      <w:r w:rsidRPr="00F20B00">
        <w:rPr>
          <w:rFonts w:ascii="Calibri" w:hAnsi="Calibri" w:cs="Calibri"/>
          <w:bCs/>
          <w:color w:val="000000"/>
          <w:lang w:val="en-AU"/>
        </w:rPr>
        <w:t xml:space="preserve">he court's independence was compromised </w:t>
      </w:r>
      <w:r>
        <w:rPr>
          <w:rFonts w:ascii="Calibri" w:hAnsi="Calibri" w:cs="Calibri"/>
          <w:bCs/>
          <w:color w:val="000000"/>
          <w:lang w:val="en-AU"/>
        </w:rPr>
        <w:t>d</w:t>
      </w:r>
      <w:r w:rsidRPr="00F20B00">
        <w:rPr>
          <w:rFonts w:ascii="Calibri" w:hAnsi="Calibri" w:cs="Calibri"/>
          <w:bCs/>
          <w:color w:val="000000"/>
          <w:lang w:val="en-AU"/>
        </w:rPr>
        <w:t>ue to the lack of a comprehensive investigation and reliance on prejudiced testimony, the court's independence was compromised. Since the defendants' culpability were not established, the court failed to provide procedural justice.</w:t>
      </w:r>
      <w:r>
        <w:rPr>
          <w:rFonts w:ascii="Calibri" w:hAnsi="Calibri" w:cs="Calibri"/>
          <w:bCs/>
          <w:color w:val="000000"/>
          <w:lang w:val="en-AU"/>
        </w:rPr>
        <w:t xml:space="preserve"> </w:t>
      </w:r>
      <w:r w:rsidRPr="00F20B00">
        <w:rPr>
          <w:rFonts w:ascii="Calibri" w:hAnsi="Calibri" w:cs="Calibri"/>
          <w:bCs/>
          <w:color w:val="000000"/>
          <w:lang w:val="en-AU"/>
        </w:rPr>
        <w:t xml:space="preserve">Furthermore, the due process of law </w:t>
      </w:r>
      <w:r>
        <w:rPr>
          <w:rFonts w:ascii="Calibri" w:hAnsi="Calibri" w:cs="Calibri"/>
          <w:bCs/>
          <w:color w:val="000000"/>
          <w:lang w:val="en-AU"/>
        </w:rPr>
        <w:t xml:space="preserve">was violated </w:t>
      </w:r>
      <w:r w:rsidRPr="00F20B00">
        <w:rPr>
          <w:rFonts w:ascii="Calibri" w:hAnsi="Calibri" w:cs="Calibri"/>
          <w:bCs/>
          <w:color w:val="000000"/>
          <w:lang w:val="en-AU"/>
        </w:rPr>
        <w:t>because there was a procedural flaw in the trial process, such as there was no warrant for an investigation on behalf of the defendant, the defendant was not accompanied by an attorney during the examination process so that it was difficult to testify freely, and the trial was unfair due to the unequal relationship between the defendant and the witness in disclosing false information.</w:t>
      </w:r>
    </w:p>
    <w:p w14:paraId="71711E1B" w14:textId="313CB94F" w:rsidR="008A5EF2" w:rsidRPr="00F20B00" w:rsidRDefault="0016562A" w:rsidP="00F20B00">
      <w:pPr>
        <w:ind w:firstLine="720"/>
        <w:jc w:val="both"/>
        <w:rPr>
          <w:rFonts w:ascii="Calibri" w:hAnsi="Calibri" w:cs="Calibri"/>
          <w:bCs/>
          <w:color w:val="000000"/>
          <w:lang w:val="en-AU"/>
        </w:rPr>
      </w:pPr>
      <w:r w:rsidRPr="0016562A">
        <w:rPr>
          <w:rFonts w:ascii="Calibri" w:hAnsi="Calibri" w:cs="Calibri"/>
          <w:bCs/>
          <w:color w:val="000000"/>
          <w:lang w:val="en-AU"/>
        </w:rPr>
        <w:t>The blasphemy cases analysed in this study show that vigilante groups' extrajudicial trials are taken over by the court, resulting in the accused facing double punishment: social punishment and a much harsher prison sentence than the crime they are accused of. The judiciary's independence has been called into question due to the judges' attitude, who did not fully apply due process laws and failed to demonstrate equal treatment before the law and violated the defendant's rights. Similar cases of blasphemy demonstrate that law enforcement is unable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7B3C3D30" w14:textId="6324DC8B" w:rsidR="008A5EF2" w:rsidRPr="008A5EF2" w:rsidRDefault="002B37F7" w:rsidP="00935072">
      <w:pPr>
        <w:rPr>
          <w:rFonts w:ascii="Calibri" w:hAnsi="Calibri" w:cs="Calibri"/>
          <w:bCs/>
          <w:color w:val="000000"/>
          <w:lang w:val="en-AU"/>
        </w:rPr>
      </w:pPr>
      <w:r w:rsidRPr="002B37F7">
        <w:rPr>
          <w:rFonts w:ascii="Calibri" w:hAnsi="Calibri" w:cs="Calibri"/>
          <w:bCs/>
          <w:color w:val="000000"/>
          <w:lang w:val="en-AU"/>
        </w:rPr>
        <w:t xml:space="preserve">The analysis conducted in this study refutes the Constitutional Court's claim that the elimination of the Anti-Blasphemy Law would threaten society in cases of horizontal religious disputes. However, the cases of Ahok, Meiliana, Gafatar, and Ahmadiyya have all led to vigilante retaliation. Vigilantism in cases of blasphemy is motivated not solely by criminal activities in society, but by various other factors. The study also emphasizes that vigilante justice against blasphemy is not solely conducted by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religious organizations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{"citationID":"mbdE5Irn","properties":{"formattedCitation":"(Tyson,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2B37F7">
        <w:rPr>
          <w:rFonts w:ascii="Calibri" w:hAnsi="Calibri" w:cs="Calibri"/>
          <w:bCs/>
          <w:color w:val="000000"/>
          <w:lang w:val="en-AU"/>
        </w:rPr>
        <w:t xml:space="preserve">, but also receives sponsorship from non-state actors such as the MUI, local policymakers, and law enforcement officers. Sustaining a flawed Anti-Blasphemy Law allows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Islamic groups to engage in hate speech and perpetuate structural violence </w:t>
      </w:r>
      <w:r w:rsidR="00665E18">
        <w:rPr>
          <w:rFonts w:ascii="Calibri" w:hAnsi="Calibri" w:cs="Calibri"/>
          <w:bCs/>
          <w:color w:val="000000"/>
          <w:lang w:val="en-AU"/>
        </w:rPr>
        <w:fldChar w:fldCharType="begin"/>
      </w:r>
      <w:r w:rsidR="00665E18">
        <w:rPr>
          <w:rFonts w:ascii="Calibri" w:hAnsi="Calibri" w:cs="Calibri"/>
          <w:bCs/>
          <w:color w:val="000000"/>
          <w:lang w:val="en-AU"/>
        </w:rPr>
        <w:instrText xml:space="preserve"> ADDIN ZOTERO_ITEM CSL_CITATION {"citationID":"lcLwX7FV","properties":{"formattedCitation":"(Galtung, 1969; Pratiwi, 2021)","plainCitation":"(Galtung, 1969; Pratiwi, 2021)","noteIndex":0},"citationItems":[{"id":1919,"uris":["http://zotero.org/users/6396655/items/36E9X5ZY"],"itemData":{"id":1919,"type":"article-journal","container-title":"Journal of Peace Research","DOI":"10.1177/002234336900600301","issue":"3","page":"167-191","title":"Violence, Peace, and Peace Research","volume":"6","author":[{"family":"Galtung","given":"Johan"}],"issued":{"date-parts":[["1969"]]}}},{"id":1434,"uris":["http://zotero.org/users/6396655/items/EMUMJPRJ"],"itemData":{"id":1434,"type":"article-journal","container-title":"Constitutional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665E18">
        <w:rPr>
          <w:rFonts w:ascii="Calibri" w:hAnsi="Calibri" w:cs="Calibri"/>
          <w:bCs/>
          <w:color w:val="000000"/>
          <w:lang w:val="en-AU"/>
        </w:rPr>
        <w:fldChar w:fldCharType="separate"/>
      </w:r>
      <w:r w:rsidR="00665E18">
        <w:rPr>
          <w:rFonts w:ascii="Calibri" w:hAnsi="Calibri" w:cs="Calibri"/>
          <w:bCs/>
          <w:noProof/>
          <w:color w:val="000000"/>
          <w:lang w:val="en-AU"/>
        </w:rPr>
        <w:t>(Galtung, 1969; Pratiwi, 2021)</w:t>
      </w:r>
      <w:r w:rsidR="00665E18">
        <w:rPr>
          <w:rFonts w:ascii="Calibri" w:hAnsi="Calibri" w:cs="Calibri"/>
          <w:bCs/>
          <w:color w:val="000000"/>
          <w:lang w:val="en-AU"/>
        </w:rPr>
        <w:fldChar w:fldCharType="end"/>
      </w:r>
      <w:r>
        <w:rPr>
          <w:rFonts w:ascii="Calibri" w:hAnsi="Calibri" w:cs="Calibri"/>
          <w:bCs/>
          <w:color w:val="000000"/>
          <w:lang w:val="en-AU"/>
        </w:rPr>
        <w:t xml:space="preserve"> </w:t>
      </w:r>
      <w:r w:rsidRPr="002B37F7">
        <w:rPr>
          <w:rFonts w:ascii="Calibri" w:hAnsi="Calibri" w:cs="Calibri"/>
          <w:bCs/>
          <w:color w:val="000000"/>
          <w:lang w:val="en-AU"/>
        </w:rPr>
        <w:t>as it encourages policymakers to produce discriminatory policies and prevents courts from delivering just and impartial judgments.</w:t>
      </w:r>
      <w:r w:rsidR="008A5EF2" w:rsidRPr="008A5EF2">
        <w:rPr>
          <w:rFonts w:ascii="Calibri" w:hAnsi="Calibri" w:cs="Calibri"/>
          <w:bCs/>
          <w:color w:val="000000"/>
          <w:lang w:val="en-AU"/>
        </w:rPr>
        <w:t xml:space="preserve"> </w:t>
      </w:r>
    </w:p>
    <w:p w14:paraId="48D1A3F5" w14:textId="113E3155"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To prevent minority groups' religious freedom from being violated, policymakers and law enforcers must examine the Anti-Blasphemy Law's shortcomings and stop implementing it. </w:t>
      </w:r>
      <w:r w:rsidR="00465E86" w:rsidRPr="008A5EF2">
        <w:rPr>
          <w:rFonts w:ascii="Calibri" w:hAnsi="Calibri" w:cs="Calibri"/>
          <w:bCs/>
          <w:color w:val="000000"/>
          <w:lang w:val="en-AU"/>
        </w:rPr>
        <w:t xml:space="preserve">This research urges Indonesia to </w:t>
      </w:r>
      <w:r w:rsidR="00465E86">
        <w:rPr>
          <w:rFonts w:ascii="Calibri" w:hAnsi="Calibri" w:cs="Calibri"/>
          <w:bCs/>
          <w:color w:val="000000"/>
          <w:lang w:val="en-AU"/>
        </w:rPr>
        <w:t>amend</w:t>
      </w:r>
      <w:r w:rsidR="00465E86" w:rsidRPr="008A5EF2">
        <w:rPr>
          <w:rFonts w:ascii="Calibri" w:hAnsi="Calibri" w:cs="Calibri"/>
          <w:bCs/>
          <w:color w:val="000000"/>
          <w:lang w:val="en-AU"/>
        </w:rPr>
        <w:t xml:space="preserve"> its Anti-Blasphemy Law to defend human rights and achieve social fairness. </w:t>
      </w:r>
      <w:r w:rsidRPr="008A5EF2">
        <w:rPr>
          <w:rFonts w:ascii="Calibri" w:hAnsi="Calibri" w:cs="Calibri"/>
          <w:bCs/>
          <w:color w:val="000000"/>
          <w:lang w:val="en-AU"/>
        </w:rPr>
        <w:t xml:space="preserve">Social justice and a legislation </w:t>
      </w:r>
      <w:r w:rsidRPr="008A5EF2">
        <w:rPr>
          <w:rFonts w:ascii="Calibri" w:hAnsi="Calibri" w:cs="Calibri"/>
          <w:bCs/>
          <w:color w:val="000000"/>
          <w:lang w:val="en-AU"/>
        </w:rPr>
        <w:lastRenderedPageBreak/>
        <w:t xml:space="preserve">that upholds the rule of law and human rights are essential. The </w:t>
      </w:r>
      <w:r w:rsidR="00465E86">
        <w:rPr>
          <w:rFonts w:ascii="Calibri" w:hAnsi="Calibri" w:cs="Calibri"/>
          <w:bCs/>
          <w:color w:val="000000"/>
          <w:lang w:val="en-AU"/>
        </w:rPr>
        <w:t>study</w:t>
      </w:r>
      <w:r w:rsidRPr="008A5EF2">
        <w:rPr>
          <w:rFonts w:ascii="Calibri" w:hAnsi="Calibri" w:cs="Calibri"/>
          <w:bCs/>
          <w:color w:val="000000"/>
          <w:lang w:val="en-AU"/>
        </w:rPr>
        <w:t xml:space="preserve"> urges law enforcement to reconsider its limits and difficulties in religious intolerance by identifying the numerous elements that promote vigilante justice. The study's findings may help Indonesian </w:t>
      </w:r>
      <w:r w:rsidR="00465E86">
        <w:rPr>
          <w:rFonts w:ascii="Calibri" w:hAnsi="Calibri" w:cs="Calibri"/>
          <w:bCs/>
          <w:color w:val="000000"/>
          <w:lang w:val="en-AU"/>
        </w:rPr>
        <w:t>law enforcement officer</w:t>
      </w:r>
      <w:r w:rsidRPr="008A5EF2">
        <w:rPr>
          <w:rFonts w:ascii="Calibri" w:hAnsi="Calibri" w:cs="Calibri"/>
          <w:bCs/>
          <w:color w:val="000000"/>
          <w:lang w:val="en-AU"/>
        </w:rPr>
        <w:t xml:space="preserve"> enhance fairness and justice.</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15284651" w14:textId="77777777" w:rsidR="00665E18" w:rsidRPr="00665E18" w:rsidRDefault="008A5EF2" w:rsidP="00DF714D">
      <w:pPr>
        <w:pStyle w:val="Bibliography"/>
        <w:spacing w:line="240" w:lineRule="auto"/>
        <w:rPr>
          <w:rFonts w:ascii="Calibri" w:hAnsi="Calibri" w:cs="Calibri"/>
          <w:color w:val="000000"/>
          <w:lang w:val="en-GB"/>
        </w:rPr>
      </w:pPr>
      <w:r>
        <w:rPr>
          <w:rFonts w:ascii="Calibri" w:hAnsi="Calibri" w:cs="Calibri"/>
          <w:bCs/>
          <w:color w:val="000000"/>
          <w:lang w:val="en-AU"/>
        </w:rPr>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665E18" w:rsidRPr="00665E18">
        <w:rPr>
          <w:rFonts w:ascii="Calibri" w:hAnsi="Calibri" w:cs="Calibri"/>
          <w:color w:val="000000"/>
          <w:lang w:val="en-GB"/>
        </w:rPr>
        <w:t xml:space="preserve">al Mutahar, H. (2017). Penyebab Konflik Antara Pengikut Gerakan Fajar Nusantara (Gafatar) Dan Masyarakat Mempawah Timur. </w:t>
      </w:r>
      <w:r w:rsidR="00665E18" w:rsidRPr="00665E18">
        <w:rPr>
          <w:rFonts w:ascii="Calibri" w:hAnsi="Calibri" w:cs="Calibri"/>
          <w:i/>
          <w:iCs/>
          <w:color w:val="000000"/>
          <w:lang w:val="en-GB"/>
        </w:rPr>
        <w:t>Sosiohumaniora</w:t>
      </w:r>
      <w:r w:rsidR="00665E18" w:rsidRPr="00665E18">
        <w:rPr>
          <w:rFonts w:ascii="Calibri" w:hAnsi="Calibri" w:cs="Calibri"/>
          <w:color w:val="000000"/>
          <w:lang w:val="en-GB"/>
        </w:rPr>
        <w:t xml:space="preserve">, </w:t>
      </w:r>
      <w:r w:rsidR="00665E18" w:rsidRPr="00665E18">
        <w:rPr>
          <w:rFonts w:ascii="Calibri" w:hAnsi="Calibri" w:cs="Calibri"/>
          <w:i/>
          <w:iCs/>
          <w:color w:val="000000"/>
          <w:lang w:val="en-GB"/>
        </w:rPr>
        <w:t>19</w:t>
      </w:r>
      <w:r w:rsidR="00665E18" w:rsidRPr="00665E18">
        <w:rPr>
          <w:rFonts w:ascii="Calibri" w:hAnsi="Calibri" w:cs="Calibri"/>
          <w:color w:val="000000"/>
          <w:lang w:val="en-GB"/>
        </w:rPr>
        <w:t>(1), 18–20.</w:t>
      </w:r>
    </w:p>
    <w:p w14:paraId="451E56CF"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Asif, M., &amp; Weenink, D. (2022). Vigilante rituals theory: A cultural explanation of vigilante violence. </w:t>
      </w:r>
      <w:r w:rsidRPr="00665E18">
        <w:rPr>
          <w:rFonts w:ascii="Calibri" w:hAnsi="Calibri" w:cs="Calibri"/>
          <w:i/>
          <w:iCs/>
          <w:color w:val="000000"/>
          <w:lang w:val="en-GB"/>
        </w:rPr>
        <w:t>European Journal of Criminology</w:t>
      </w:r>
      <w:r w:rsidRPr="00665E18">
        <w:rPr>
          <w:rFonts w:ascii="Calibri" w:hAnsi="Calibri" w:cs="Calibri"/>
          <w:color w:val="000000"/>
          <w:lang w:val="en-GB"/>
        </w:rPr>
        <w:t xml:space="preserve">, </w:t>
      </w:r>
      <w:r w:rsidRPr="00665E18">
        <w:rPr>
          <w:rFonts w:ascii="Calibri" w:hAnsi="Calibri" w:cs="Calibri"/>
          <w:i/>
          <w:iCs/>
          <w:color w:val="000000"/>
          <w:lang w:val="en-GB"/>
        </w:rPr>
        <w:t>19</w:t>
      </w:r>
      <w:r w:rsidRPr="00665E18">
        <w:rPr>
          <w:rFonts w:ascii="Calibri" w:hAnsi="Calibri" w:cs="Calibri"/>
          <w:color w:val="000000"/>
          <w:lang w:val="en-GB"/>
        </w:rPr>
        <w:t>(2), 163–182.</w:t>
      </w:r>
    </w:p>
    <w:p w14:paraId="37F524AF"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Banakar, R. (2019). </w:t>
      </w:r>
      <w:r w:rsidRPr="00665E18">
        <w:rPr>
          <w:rFonts w:ascii="Calibri" w:hAnsi="Calibri" w:cs="Calibri"/>
          <w:i/>
          <w:iCs/>
          <w:color w:val="000000"/>
          <w:lang w:val="en-GB"/>
        </w:rPr>
        <w:t>On Socio-Legal Design</w:t>
      </w:r>
      <w:r w:rsidRPr="00665E18">
        <w:rPr>
          <w:rFonts w:ascii="Calibri" w:hAnsi="Calibri" w:cs="Calibri"/>
          <w:color w:val="000000"/>
          <w:lang w:val="en-GB"/>
        </w:rPr>
        <w:t>. https://papers.ssrn.com/sol3/papers.cfm?abstract_id=3463028</w:t>
      </w:r>
    </w:p>
    <w:p w14:paraId="528D0D1D"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Beckett, K., Beach, L., Knaphus, E., &amp; Reosti, A. (2018). US criminal justice policy and practice in the twenty-first century: Toward the end of mass incarceration? </w:t>
      </w:r>
      <w:r w:rsidRPr="00665E18">
        <w:rPr>
          <w:rFonts w:ascii="Calibri" w:hAnsi="Calibri" w:cs="Calibri"/>
          <w:i/>
          <w:iCs/>
          <w:color w:val="000000"/>
          <w:lang w:val="en-GB"/>
        </w:rPr>
        <w:t>Law &amp; Policy</w:t>
      </w:r>
      <w:r w:rsidRPr="00665E18">
        <w:rPr>
          <w:rFonts w:ascii="Calibri" w:hAnsi="Calibri" w:cs="Calibri"/>
          <w:color w:val="000000"/>
          <w:lang w:val="en-GB"/>
        </w:rPr>
        <w:t xml:space="preserve">, </w:t>
      </w:r>
      <w:r w:rsidRPr="00665E18">
        <w:rPr>
          <w:rFonts w:ascii="Calibri" w:hAnsi="Calibri" w:cs="Calibri"/>
          <w:i/>
          <w:iCs/>
          <w:color w:val="000000"/>
          <w:lang w:val="en-GB"/>
        </w:rPr>
        <w:t>40</w:t>
      </w:r>
      <w:r w:rsidRPr="00665E18">
        <w:rPr>
          <w:rFonts w:ascii="Calibri" w:hAnsi="Calibri" w:cs="Calibri"/>
          <w:color w:val="000000"/>
          <w:lang w:val="en-GB"/>
        </w:rPr>
        <w:t>(4), 321–345.</w:t>
      </w:r>
    </w:p>
    <w:p w14:paraId="083CEC94"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Bedner, A., &amp; Vel, J. A. C. (2010). An Analytical Framework for Empirical Research on Access to Justice. </w:t>
      </w:r>
      <w:r w:rsidRPr="00665E18">
        <w:rPr>
          <w:rFonts w:ascii="Calibri" w:hAnsi="Calibri" w:cs="Calibri"/>
          <w:i/>
          <w:iCs/>
          <w:color w:val="000000"/>
          <w:lang w:val="en-GB"/>
        </w:rPr>
        <w:t>Law, Social Justice &amp; Global Development Journal (LGD)</w:t>
      </w:r>
      <w:r w:rsidRPr="00665E18">
        <w:rPr>
          <w:rFonts w:ascii="Calibri" w:hAnsi="Calibri" w:cs="Calibri"/>
          <w:color w:val="000000"/>
          <w:lang w:val="en-GB"/>
        </w:rPr>
        <w:t>.</w:t>
      </w:r>
    </w:p>
    <w:p w14:paraId="244C917B"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Bellamy, R. (2017). </w:t>
      </w:r>
      <w:r w:rsidRPr="00665E18">
        <w:rPr>
          <w:rFonts w:ascii="Calibri" w:hAnsi="Calibri" w:cs="Calibri"/>
          <w:i/>
          <w:iCs/>
          <w:color w:val="000000"/>
          <w:lang w:val="en-GB"/>
        </w:rPr>
        <w:t>The rule of law and the separation of powers</w:t>
      </w:r>
      <w:r w:rsidRPr="00665E18">
        <w:rPr>
          <w:rFonts w:ascii="Calibri" w:hAnsi="Calibri" w:cs="Calibri"/>
          <w:color w:val="000000"/>
          <w:lang w:val="en-GB"/>
        </w:rPr>
        <w:t>. Routledge.</w:t>
      </w:r>
    </w:p>
    <w:p w14:paraId="2875D980"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Bielefeldt, H. (2012). Freedom of Religion or Belief–A Human Right under Pressure. </w:t>
      </w:r>
      <w:r w:rsidRPr="00665E18">
        <w:rPr>
          <w:rFonts w:ascii="Calibri" w:hAnsi="Calibri" w:cs="Calibri"/>
          <w:i/>
          <w:iCs/>
          <w:color w:val="000000"/>
          <w:lang w:val="en-GB"/>
        </w:rPr>
        <w:t>Oxford Journal of Law and Religion</w:t>
      </w:r>
      <w:r w:rsidRPr="00665E18">
        <w:rPr>
          <w:rFonts w:ascii="Calibri" w:hAnsi="Calibri" w:cs="Calibri"/>
          <w:color w:val="000000"/>
          <w:lang w:val="en-GB"/>
        </w:rPr>
        <w:t xml:space="preserve">, </w:t>
      </w:r>
      <w:r w:rsidRPr="00665E18">
        <w:rPr>
          <w:rFonts w:ascii="Calibri" w:hAnsi="Calibri" w:cs="Calibri"/>
          <w:i/>
          <w:iCs/>
          <w:color w:val="000000"/>
          <w:lang w:val="en-GB"/>
        </w:rPr>
        <w:t>1</w:t>
      </w:r>
      <w:r w:rsidRPr="00665E18">
        <w:rPr>
          <w:rFonts w:ascii="Calibri" w:hAnsi="Calibri" w:cs="Calibri"/>
          <w:color w:val="000000"/>
          <w:lang w:val="en-GB"/>
        </w:rPr>
        <w:t>(1), 15–35. https://doi.org/10.1093/ojlr/rwr018</w:t>
      </w:r>
    </w:p>
    <w:p w14:paraId="4C25D7B8"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Bush, R. (2015). 13 Religious politics and minority rights during the Yudhoyono presidency. </w:t>
      </w:r>
      <w:r w:rsidRPr="00665E18">
        <w:rPr>
          <w:rFonts w:ascii="Calibri" w:hAnsi="Calibri" w:cs="Calibri"/>
          <w:i/>
          <w:iCs/>
          <w:color w:val="000000"/>
          <w:lang w:val="en-GB"/>
        </w:rPr>
        <w:t>The Yudhoyono Presidency: Indonesia’s Decade of Stability and Stagnation</w:t>
      </w:r>
      <w:r w:rsidRPr="00665E18">
        <w:rPr>
          <w:rFonts w:ascii="Calibri" w:hAnsi="Calibri" w:cs="Calibri"/>
          <w:color w:val="000000"/>
          <w:lang w:val="en-GB"/>
        </w:rPr>
        <w:t>, 239.</w:t>
      </w:r>
    </w:p>
    <w:p w14:paraId="62D18DFA"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Butt, S. (2018). Religious conservatism, Islamic criminal law and the judiciary in Indonesia: A tale of three courts. </w:t>
      </w:r>
      <w:r w:rsidRPr="00665E18">
        <w:rPr>
          <w:rFonts w:ascii="Calibri" w:hAnsi="Calibri" w:cs="Calibri"/>
          <w:i/>
          <w:iCs/>
          <w:color w:val="000000"/>
          <w:lang w:val="en-GB"/>
        </w:rPr>
        <w:t>The Journal of Legal Pluralism and Unofficial Law</w:t>
      </w:r>
      <w:r w:rsidRPr="00665E18">
        <w:rPr>
          <w:rFonts w:ascii="Calibri" w:hAnsi="Calibri" w:cs="Calibri"/>
          <w:color w:val="000000"/>
          <w:lang w:val="en-GB"/>
        </w:rPr>
        <w:t xml:space="preserve">, </w:t>
      </w:r>
      <w:r w:rsidRPr="00665E18">
        <w:rPr>
          <w:rFonts w:ascii="Calibri" w:hAnsi="Calibri" w:cs="Calibri"/>
          <w:i/>
          <w:iCs/>
          <w:color w:val="000000"/>
          <w:lang w:val="en-GB"/>
        </w:rPr>
        <w:t>50</w:t>
      </w:r>
      <w:r w:rsidRPr="00665E18">
        <w:rPr>
          <w:rFonts w:ascii="Calibri" w:hAnsi="Calibri" w:cs="Calibri"/>
          <w:color w:val="000000"/>
          <w:lang w:val="en-GB"/>
        </w:rPr>
        <w:t>(3), 402–434.</w:t>
      </w:r>
    </w:p>
    <w:p w14:paraId="1C408B63"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Crouch, M. (2009). Indonesia, militant Islam and Ahmadiyah: Origins and implications. </w:t>
      </w:r>
      <w:r w:rsidRPr="00665E18">
        <w:rPr>
          <w:rFonts w:ascii="Calibri" w:hAnsi="Calibri" w:cs="Calibri"/>
          <w:i/>
          <w:iCs/>
          <w:color w:val="000000"/>
          <w:lang w:val="en-GB"/>
        </w:rPr>
        <w:t>ARC Federation Fellowship,‘Islam, Shariah and Governance’Background Paper Series</w:t>
      </w:r>
      <w:r w:rsidRPr="00665E18">
        <w:rPr>
          <w:rFonts w:ascii="Calibri" w:hAnsi="Calibri" w:cs="Calibri"/>
          <w:color w:val="000000"/>
          <w:lang w:val="en-GB"/>
        </w:rPr>
        <w:t xml:space="preserve">, </w:t>
      </w:r>
      <w:r w:rsidRPr="00665E18">
        <w:rPr>
          <w:rFonts w:ascii="Calibri" w:hAnsi="Calibri" w:cs="Calibri"/>
          <w:i/>
          <w:iCs/>
          <w:color w:val="000000"/>
          <w:lang w:val="en-GB"/>
        </w:rPr>
        <w:t>4</w:t>
      </w:r>
      <w:r w:rsidRPr="00665E18">
        <w:rPr>
          <w:rFonts w:ascii="Calibri" w:hAnsi="Calibri" w:cs="Calibri"/>
          <w:color w:val="000000"/>
          <w:lang w:val="en-GB"/>
        </w:rPr>
        <w:t>.</w:t>
      </w:r>
    </w:p>
    <w:p w14:paraId="73300717"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Crouch, M. A. (2012). Law and religion in Indonesia: The Constitutional court and the blasphemy law. </w:t>
      </w:r>
      <w:r w:rsidRPr="00665E18">
        <w:rPr>
          <w:rFonts w:ascii="Calibri" w:hAnsi="Calibri" w:cs="Calibri"/>
          <w:i/>
          <w:iCs/>
          <w:color w:val="000000"/>
          <w:lang w:val="en-GB"/>
        </w:rPr>
        <w:t>Asian J. Comp. Law</w:t>
      </w:r>
      <w:r w:rsidRPr="00665E18">
        <w:rPr>
          <w:rFonts w:ascii="Calibri" w:hAnsi="Calibri" w:cs="Calibri"/>
          <w:color w:val="000000"/>
          <w:lang w:val="en-GB"/>
        </w:rPr>
        <w:t xml:space="preserve">, </w:t>
      </w:r>
      <w:r w:rsidRPr="00665E18">
        <w:rPr>
          <w:rFonts w:ascii="Calibri" w:hAnsi="Calibri" w:cs="Calibri"/>
          <w:i/>
          <w:iCs/>
          <w:color w:val="000000"/>
          <w:lang w:val="en-GB"/>
        </w:rPr>
        <w:t>7</w:t>
      </w:r>
      <w:r w:rsidRPr="00665E18">
        <w:rPr>
          <w:rFonts w:ascii="Calibri" w:hAnsi="Calibri" w:cs="Calibri"/>
          <w:color w:val="000000"/>
          <w:lang w:val="en-GB"/>
        </w:rPr>
        <w:t>. https://doi.org/10.1515/1932-0205.1391</w:t>
      </w:r>
    </w:p>
    <w:p w14:paraId="148CEB0E"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Fischer, M. (2021). Hate Speech Laws and Blasphemy Laws: Parallels Show Problems with the UN Strategy and Plan of Action on Hate Speech. </w:t>
      </w:r>
      <w:r w:rsidRPr="00665E18">
        <w:rPr>
          <w:rFonts w:ascii="Calibri" w:hAnsi="Calibri" w:cs="Calibri"/>
          <w:i/>
          <w:iCs/>
          <w:color w:val="000000"/>
          <w:lang w:val="en-GB"/>
        </w:rPr>
        <w:t>Emory Int’l L. Rev.</w:t>
      </w:r>
      <w:r w:rsidRPr="00665E18">
        <w:rPr>
          <w:rFonts w:ascii="Calibri" w:hAnsi="Calibri" w:cs="Calibri"/>
          <w:color w:val="000000"/>
          <w:lang w:val="en-GB"/>
        </w:rPr>
        <w:t xml:space="preserve">, </w:t>
      </w:r>
      <w:r w:rsidRPr="00665E18">
        <w:rPr>
          <w:rFonts w:ascii="Calibri" w:hAnsi="Calibri" w:cs="Calibri"/>
          <w:i/>
          <w:iCs/>
          <w:color w:val="000000"/>
          <w:lang w:val="en-GB"/>
        </w:rPr>
        <w:t>35</w:t>
      </w:r>
      <w:r w:rsidRPr="00665E18">
        <w:rPr>
          <w:rFonts w:ascii="Calibri" w:hAnsi="Calibri" w:cs="Calibri"/>
          <w:color w:val="000000"/>
          <w:lang w:val="en-GB"/>
        </w:rPr>
        <w:t>, 177.</w:t>
      </w:r>
    </w:p>
    <w:p w14:paraId="7D222890"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Galtung, J. (1969). Violence, Peace, and Peace Research. </w:t>
      </w:r>
      <w:r w:rsidRPr="00665E18">
        <w:rPr>
          <w:rFonts w:ascii="Calibri" w:hAnsi="Calibri" w:cs="Calibri"/>
          <w:i/>
          <w:iCs/>
          <w:color w:val="000000"/>
          <w:lang w:val="en-GB"/>
        </w:rPr>
        <w:t>Journal of Peace Research</w:t>
      </w:r>
      <w:r w:rsidRPr="00665E18">
        <w:rPr>
          <w:rFonts w:ascii="Calibri" w:hAnsi="Calibri" w:cs="Calibri"/>
          <w:color w:val="000000"/>
          <w:lang w:val="en-GB"/>
        </w:rPr>
        <w:t xml:space="preserve">, </w:t>
      </w:r>
      <w:r w:rsidRPr="00665E18">
        <w:rPr>
          <w:rFonts w:ascii="Calibri" w:hAnsi="Calibri" w:cs="Calibri"/>
          <w:i/>
          <w:iCs/>
          <w:color w:val="000000"/>
          <w:lang w:val="en-GB"/>
        </w:rPr>
        <w:t>6</w:t>
      </w:r>
      <w:r w:rsidRPr="00665E18">
        <w:rPr>
          <w:rFonts w:ascii="Calibri" w:hAnsi="Calibri" w:cs="Calibri"/>
          <w:color w:val="000000"/>
          <w:lang w:val="en-GB"/>
        </w:rPr>
        <w:t>(3), 167–191. https://doi.org/10.1177/002234336900600301</w:t>
      </w:r>
    </w:p>
    <w:p w14:paraId="227B0A29"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George, C. (2017). Hate spin: The twin political strategies of religious incitement and offense-taking. </w:t>
      </w:r>
      <w:r w:rsidRPr="00665E18">
        <w:rPr>
          <w:rFonts w:ascii="Calibri" w:hAnsi="Calibri" w:cs="Calibri"/>
          <w:i/>
          <w:iCs/>
          <w:color w:val="000000"/>
          <w:lang w:val="en-GB"/>
        </w:rPr>
        <w:t>Communication Theory</w:t>
      </w:r>
      <w:r w:rsidRPr="00665E18">
        <w:rPr>
          <w:rFonts w:ascii="Calibri" w:hAnsi="Calibri" w:cs="Calibri"/>
          <w:color w:val="000000"/>
          <w:lang w:val="en-GB"/>
        </w:rPr>
        <w:t xml:space="preserve">, </w:t>
      </w:r>
      <w:r w:rsidRPr="00665E18">
        <w:rPr>
          <w:rFonts w:ascii="Calibri" w:hAnsi="Calibri" w:cs="Calibri"/>
          <w:i/>
          <w:iCs/>
          <w:color w:val="000000"/>
          <w:lang w:val="en-GB"/>
        </w:rPr>
        <w:t>27</w:t>
      </w:r>
      <w:r w:rsidRPr="00665E18">
        <w:rPr>
          <w:rFonts w:ascii="Calibri" w:hAnsi="Calibri" w:cs="Calibri"/>
          <w:color w:val="000000"/>
          <w:lang w:val="en-GB"/>
        </w:rPr>
        <w:t>(2), 156–175.</w:t>
      </w:r>
    </w:p>
    <w:p w14:paraId="65418575"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Hassner, R. E. (2011). Blasphemy and Violence1: Blasphemy and Violence. </w:t>
      </w:r>
      <w:r w:rsidRPr="00665E18">
        <w:rPr>
          <w:rFonts w:ascii="Calibri" w:hAnsi="Calibri" w:cs="Calibri"/>
          <w:i/>
          <w:iCs/>
          <w:color w:val="000000"/>
          <w:lang w:val="en-GB"/>
        </w:rPr>
        <w:t>International Studies Quarterly</w:t>
      </w:r>
      <w:r w:rsidRPr="00665E18">
        <w:rPr>
          <w:rFonts w:ascii="Calibri" w:hAnsi="Calibri" w:cs="Calibri"/>
          <w:color w:val="000000"/>
          <w:lang w:val="en-GB"/>
        </w:rPr>
        <w:t xml:space="preserve">, </w:t>
      </w:r>
      <w:r w:rsidRPr="00665E18">
        <w:rPr>
          <w:rFonts w:ascii="Calibri" w:hAnsi="Calibri" w:cs="Calibri"/>
          <w:i/>
          <w:iCs/>
          <w:color w:val="000000"/>
          <w:lang w:val="en-GB"/>
        </w:rPr>
        <w:t>55</w:t>
      </w:r>
      <w:r w:rsidRPr="00665E18">
        <w:rPr>
          <w:rFonts w:ascii="Calibri" w:hAnsi="Calibri" w:cs="Calibri"/>
          <w:color w:val="000000"/>
          <w:lang w:val="en-GB"/>
        </w:rPr>
        <w:t>(1), 23–45. https://doi.org/10.1111/j.1468-2478.2010.00634.x</w:t>
      </w:r>
    </w:p>
    <w:p w14:paraId="1DA9CD0C"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Hewson, J. (2017). </w:t>
      </w:r>
      <w:r w:rsidRPr="00665E18">
        <w:rPr>
          <w:rFonts w:ascii="Calibri" w:hAnsi="Calibri" w:cs="Calibri"/>
          <w:i/>
          <w:iCs/>
          <w:color w:val="000000"/>
          <w:lang w:val="en-GB"/>
        </w:rPr>
        <w:t>Focus—Mob justice on the rise in Indonesia</w:t>
      </w:r>
      <w:r w:rsidRPr="00665E18">
        <w:rPr>
          <w:rFonts w:ascii="Calibri" w:hAnsi="Calibri" w:cs="Calibri"/>
          <w:color w:val="000000"/>
          <w:lang w:val="en-GB"/>
        </w:rPr>
        <w:t>. https://www.france24.com/en/20170928-focus-indonesia-mob-justice-rise-vigilante-violence-ethnic-religious-minorities</w:t>
      </w:r>
    </w:p>
    <w:p w14:paraId="162BFC49"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Madanih, D. (Ed.). (2019). </w:t>
      </w:r>
      <w:r w:rsidRPr="00665E18">
        <w:rPr>
          <w:rFonts w:ascii="Calibri" w:hAnsi="Calibri" w:cs="Calibri"/>
          <w:i/>
          <w:iCs/>
          <w:color w:val="000000"/>
          <w:lang w:val="en-GB"/>
        </w:rPr>
        <w:t>Eksaminasi Publik Putusan Pengadilan Negeri Medan Nomor 1612/Pud.B/2018/PN.Mdn Kasus Pemidanaan Meiliana</w:t>
      </w:r>
      <w:r w:rsidRPr="00665E18">
        <w:rPr>
          <w:rFonts w:ascii="Calibri" w:hAnsi="Calibri" w:cs="Calibri"/>
          <w:color w:val="000000"/>
          <w:lang w:val="en-GB"/>
        </w:rPr>
        <w:t>. Komnas Perempuan.</w:t>
      </w:r>
    </w:p>
    <w:p w14:paraId="307A3577"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Malle, B. F., &amp; Nelson, S. E. (2003). Judging mens rea: The tension between folk concepts and legal concepts of intentionality. </w:t>
      </w:r>
      <w:r w:rsidRPr="00665E18">
        <w:rPr>
          <w:rFonts w:ascii="Calibri" w:hAnsi="Calibri" w:cs="Calibri"/>
          <w:i/>
          <w:iCs/>
          <w:color w:val="000000"/>
          <w:lang w:val="en-GB"/>
        </w:rPr>
        <w:t>Behavioral Sciences &amp; the Law</w:t>
      </w:r>
      <w:r w:rsidRPr="00665E18">
        <w:rPr>
          <w:rFonts w:ascii="Calibri" w:hAnsi="Calibri" w:cs="Calibri"/>
          <w:color w:val="000000"/>
          <w:lang w:val="en-GB"/>
        </w:rPr>
        <w:t xml:space="preserve">, </w:t>
      </w:r>
      <w:r w:rsidRPr="00665E18">
        <w:rPr>
          <w:rFonts w:ascii="Calibri" w:hAnsi="Calibri" w:cs="Calibri"/>
          <w:i/>
          <w:iCs/>
          <w:color w:val="000000"/>
          <w:lang w:val="en-GB"/>
        </w:rPr>
        <w:t>21</w:t>
      </w:r>
      <w:r w:rsidRPr="00665E18">
        <w:rPr>
          <w:rFonts w:ascii="Calibri" w:hAnsi="Calibri" w:cs="Calibri"/>
          <w:color w:val="000000"/>
          <w:lang w:val="en-GB"/>
        </w:rPr>
        <w:t>(5), 563–580.</w:t>
      </w:r>
    </w:p>
    <w:p w14:paraId="5B61F1DE"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Manan, A. (2013). Penemuan Hukum Oleh Hakim Dalam Praktek Hukum Acara Di Peradilan Agama. </w:t>
      </w:r>
      <w:r w:rsidRPr="00665E18">
        <w:rPr>
          <w:rFonts w:ascii="Calibri" w:hAnsi="Calibri" w:cs="Calibri"/>
          <w:i/>
          <w:iCs/>
          <w:color w:val="000000"/>
          <w:lang w:val="en-GB"/>
        </w:rPr>
        <w:t>Jurnal Hukum Dan Peradilan</w:t>
      </w:r>
      <w:r w:rsidRPr="00665E18">
        <w:rPr>
          <w:rFonts w:ascii="Calibri" w:hAnsi="Calibri" w:cs="Calibri"/>
          <w:color w:val="000000"/>
          <w:lang w:val="en-GB"/>
        </w:rPr>
        <w:t xml:space="preserve">, </w:t>
      </w:r>
      <w:r w:rsidRPr="00665E18">
        <w:rPr>
          <w:rFonts w:ascii="Calibri" w:hAnsi="Calibri" w:cs="Calibri"/>
          <w:i/>
          <w:iCs/>
          <w:color w:val="000000"/>
          <w:lang w:val="en-GB"/>
        </w:rPr>
        <w:t>2</w:t>
      </w:r>
      <w:r w:rsidRPr="00665E18">
        <w:rPr>
          <w:rFonts w:ascii="Calibri" w:hAnsi="Calibri" w:cs="Calibri"/>
          <w:color w:val="000000"/>
          <w:lang w:val="en-GB"/>
        </w:rPr>
        <w:t>(2), 189–202.</w:t>
      </w:r>
    </w:p>
    <w:p w14:paraId="5788B11B"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Marshall, P. (2018). The Ambiguities of Religious Freedom in Indonesia. </w:t>
      </w:r>
      <w:r w:rsidRPr="00665E18">
        <w:rPr>
          <w:rFonts w:ascii="Calibri" w:hAnsi="Calibri" w:cs="Calibri"/>
          <w:i/>
          <w:iCs/>
          <w:color w:val="000000"/>
          <w:lang w:val="en-GB"/>
        </w:rPr>
        <w:t>The Review of Faith &amp; International Affairs</w:t>
      </w:r>
      <w:r w:rsidRPr="00665E18">
        <w:rPr>
          <w:rFonts w:ascii="Calibri" w:hAnsi="Calibri" w:cs="Calibri"/>
          <w:color w:val="000000"/>
          <w:lang w:val="en-GB"/>
        </w:rPr>
        <w:t xml:space="preserve">, </w:t>
      </w:r>
      <w:r w:rsidRPr="00665E18">
        <w:rPr>
          <w:rFonts w:ascii="Calibri" w:hAnsi="Calibri" w:cs="Calibri"/>
          <w:i/>
          <w:iCs/>
          <w:color w:val="000000"/>
          <w:lang w:val="en-GB"/>
        </w:rPr>
        <w:t>16</w:t>
      </w:r>
      <w:r w:rsidRPr="00665E18">
        <w:rPr>
          <w:rFonts w:ascii="Calibri" w:hAnsi="Calibri" w:cs="Calibri"/>
          <w:color w:val="000000"/>
          <w:lang w:val="en-GB"/>
        </w:rPr>
        <w:t>(1), 85–96. https://doi.org/10.1080/15570274.2018.1433588</w:t>
      </w:r>
    </w:p>
    <w:p w14:paraId="31FF4262"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Menchik, J. (2014). Productive intolerance: Godly nationalism in Indonesia. </w:t>
      </w:r>
      <w:r w:rsidRPr="00665E18">
        <w:rPr>
          <w:rFonts w:ascii="Calibri" w:hAnsi="Calibri" w:cs="Calibri"/>
          <w:i/>
          <w:iCs/>
          <w:color w:val="000000"/>
          <w:lang w:val="en-GB"/>
        </w:rPr>
        <w:t>Comparative Studies in Society and History</w:t>
      </w:r>
      <w:r w:rsidRPr="00665E18">
        <w:rPr>
          <w:rFonts w:ascii="Calibri" w:hAnsi="Calibri" w:cs="Calibri"/>
          <w:color w:val="000000"/>
          <w:lang w:val="en-GB"/>
        </w:rPr>
        <w:t xml:space="preserve">, </w:t>
      </w:r>
      <w:r w:rsidRPr="00665E18">
        <w:rPr>
          <w:rFonts w:ascii="Calibri" w:hAnsi="Calibri" w:cs="Calibri"/>
          <w:i/>
          <w:iCs/>
          <w:color w:val="000000"/>
          <w:lang w:val="en-GB"/>
        </w:rPr>
        <w:t>56</w:t>
      </w:r>
      <w:r w:rsidRPr="00665E18">
        <w:rPr>
          <w:rFonts w:ascii="Calibri" w:hAnsi="Calibri" w:cs="Calibri"/>
          <w:color w:val="000000"/>
          <w:lang w:val="en-GB"/>
        </w:rPr>
        <w:t>(3), 591–621. https://doi.org/10.1017/S0010417514000267</w:t>
      </w:r>
    </w:p>
    <w:p w14:paraId="28A280D2"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Merkel, W. (2012). Measuring the Quality of Rule of Law. </w:t>
      </w:r>
      <w:r w:rsidRPr="00665E18">
        <w:rPr>
          <w:rFonts w:ascii="Calibri" w:hAnsi="Calibri" w:cs="Calibri"/>
          <w:i/>
          <w:iCs/>
          <w:color w:val="000000"/>
          <w:lang w:val="en-GB"/>
        </w:rPr>
        <w:t>Rule of Law Dynamics: In an Era of International and Transnational Governance</w:t>
      </w:r>
      <w:r w:rsidRPr="00665E18">
        <w:rPr>
          <w:rFonts w:ascii="Calibri" w:hAnsi="Calibri" w:cs="Calibri"/>
          <w:color w:val="000000"/>
          <w:lang w:val="en-GB"/>
        </w:rPr>
        <w:t>, 21–47.</w:t>
      </w:r>
    </w:p>
    <w:p w14:paraId="7D34BC3F"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Mulyartono, S., RAFSADIE, IRSYAD, &amp; NUR SAHID, Ali. (2021). </w:t>
      </w:r>
      <w:r w:rsidRPr="00665E18">
        <w:rPr>
          <w:rFonts w:ascii="Calibri" w:hAnsi="Calibri" w:cs="Calibri"/>
          <w:i/>
          <w:iCs/>
          <w:color w:val="000000"/>
          <w:lang w:val="en-GB"/>
        </w:rPr>
        <w:t>How did a complaint about a mosque loudspeaker end up in a blasphemy conviction?</w:t>
      </w:r>
      <w:r w:rsidRPr="00665E18">
        <w:rPr>
          <w:rFonts w:ascii="Calibri" w:hAnsi="Calibri" w:cs="Calibri"/>
          <w:color w:val="000000"/>
          <w:lang w:val="en-GB"/>
        </w:rPr>
        <w:t xml:space="preserve"> University of Melbourne. https://indonesiaatmelbourne.unimelb.edu.au/how-did-a-complaint-about-a-mosque-loudspeaker-end-up-in-a-blasphemy-conviction/</w:t>
      </w:r>
    </w:p>
    <w:p w14:paraId="6B26B36C"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Nalle, V. I. W. (2021). The politics of intolerant laws against adherents of indigenous beliefs or aliran kepercayaan in Indonesia. </w:t>
      </w:r>
      <w:r w:rsidRPr="00665E18">
        <w:rPr>
          <w:rFonts w:ascii="Calibri" w:hAnsi="Calibri" w:cs="Calibri"/>
          <w:i/>
          <w:iCs/>
          <w:color w:val="000000"/>
          <w:lang w:val="en-GB"/>
        </w:rPr>
        <w:t>Asian Journal of Law and Society</w:t>
      </w:r>
      <w:r w:rsidRPr="00665E18">
        <w:rPr>
          <w:rFonts w:ascii="Calibri" w:hAnsi="Calibri" w:cs="Calibri"/>
          <w:color w:val="000000"/>
          <w:lang w:val="en-GB"/>
        </w:rPr>
        <w:t xml:space="preserve">, </w:t>
      </w:r>
      <w:r w:rsidRPr="00665E18">
        <w:rPr>
          <w:rFonts w:ascii="Calibri" w:hAnsi="Calibri" w:cs="Calibri"/>
          <w:i/>
          <w:iCs/>
          <w:color w:val="000000"/>
          <w:lang w:val="en-GB"/>
        </w:rPr>
        <w:t>8</w:t>
      </w:r>
      <w:r w:rsidRPr="00665E18">
        <w:rPr>
          <w:rFonts w:ascii="Calibri" w:hAnsi="Calibri" w:cs="Calibri"/>
          <w:color w:val="000000"/>
          <w:lang w:val="en-GB"/>
        </w:rPr>
        <w:t>(3), 558–576.</w:t>
      </w:r>
    </w:p>
    <w:p w14:paraId="46BE1DDC"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lastRenderedPageBreak/>
        <w:t xml:space="preserve">Nuryanti, S. (2020). </w:t>
      </w:r>
      <w:r w:rsidRPr="00665E18">
        <w:rPr>
          <w:rFonts w:ascii="Calibri" w:hAnsi="Calibri" w:cs="Calibri"/>
          <w:i/>
          <w:iCs/>
          <w:color w:val="000000"/>
          <w:lang w:val="en-GB"/>
        </w:rPr>
        <w:t>Chapter 9 Populism in Indonesia: Learning from the 212 Movement in Response to the Blasphemy Case against Ahok in Jakarta</w:t>
      </w:r>
      <w:r w:rsidRPr="00665E18">
        <w:rPr>
          <w:rFonts w:ascii="Calibri" w:hAnsi="Calibri" w:cs="Calibri"/>
          <w:color w:val="000000"/>
          <w:lang w:val="en-GB"/>
        </w:rPr>
        <w:t xml:space="preserve"> (pp. 165–175). Brill. https://doi.org/10.1163/9789004444461_011</w:t>
      </w:r>
    </w:p>
    <w:p w14:paraId="068C62DB"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Peterson, D. (2018). 2 Blasphemy, Human Rights, and the Case of Ahok. In </w:t>
      </w:r>
      <w:r w:rsidRPr="00665E18">
        <w:rPr>
          <w:rFonts w:ascii="Calibri" w:hAnsi="Calibri" w:cs="Calibri"/>
          <w:i/>
          <w:iCs/>
          <w:color w:val="000000"/>
          <w:lang w:val="en-GB"/>
        </w:rPr>
        <w:t>The Asian Yearbook of Human Rights and Humanitarian Law</w:t>
      </w:r>
      <w:r w:rsidRPr="00665E18">
        <w:rPr>
          <w:rFonts w:ascii="Calibri" w:hAnsi="Calibri" w:cs="Calibri"/>
          <w:color w:val="000000"/>
          <w:lang w:val="en-GB"/>
        </w:rPr>
        <w:t xml:space="preserve"> (pp. 52–94). Brill Nijhoff.</w:t>
      </w:r>
    </w:p>
    <w:p w14:paraId="52B92E8B"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Pratiwi, C. S. (2021). Rethinking the Constitutionality of Indonesia’s Flawed Anti Blasphemy Law. </w:t>
      </w:r>
      <w:r w:rsidRPr="00665E18">
        <w:rPr>
          <w:rFonts w:ascii="Calibri" w:hAnsi="Calibri" w:cs="Calibri"/>
          <w:i/>
          <w:iCs/>
          <w:color w:val="000000"/>
          <w:lang w:val="en-GB"/>
        </w:rPr>
        <w:t>Constitutional Review</w:t>
      </w:r>
      <w:r w:rsidRPr="00665E18">
        <w:rPr>
          <w:rFonts w:ascii="Calibri" w:hAnsi="Calibri" w:cs="Calibri"/>
          <w:color w:val="000000"/>
          <w:lang w:val="en-GB"/>
        </w:rPr>
        <w:t xml:space="preserve">, </w:t>
      </w:r>
      <w:r w:rsidRPr="00665E18">
        <w:rPr>
          <w:rFonts w:ascii="Calibri" w:hAnsi="Calibri" w:cs="Calibri"/>
          <w:i/>
          <w:iCs/>
          <w:color w:val="000000"/>
          <w:lang w:val="en-GB"/>
        </w:rPr>
        <w:t>7</w:t>
      </w:r>
      <w:r w:rsidRPr="00665E18">
        <w:rPr>
          <w:rFonts w:ascii="Calibri" w:hAnsi="Calibri" w:cs="Calibri"/>
          <w:color w:val="000000"/>
          <w:lang w:val="en-GB"/>
        </w:rPr>
        <w:t>(2), 273–299. https://doi.org/10.31078/consrev724</w:t>
      </w:r>
    </w:p>
    <w:p w14:paraId="253B732C"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Scheuerman, W. E. (2022). Why not uncivil disobedience? </w:t>
      </w:r>
      <w:r w:rsidRPr="00665E18">
        <w:rPr>
          <w:rFonts w:ascii="Calibri" w:hAnsi="Calibri" w:cs="Calibri"/>
          <w:i/>
          <w:iCs/>
          <w:color w:val="000000"/>
          <w:lang w:val="en-GB"/>
        </w:rPr>
        <w:t>Critical Review of International Social and Political Philosophy</w:t>
      </w:r>
      <w:r w:rsidRPr="00665E18">
        <w:rPr>
          <w:rFonts w:ascii="Calibri" w:hAnsi="Calibri" w:cs="Calibri"/>
          <w:color w:val="000000"/>
          <w:lang w:val="en-GB"/>
        </w:rPr>
        <w:t xml:space="preserve">, </w:t>
      </w:r>
      <w:r w:rsidRPr="00665E18">
        <w:rPr>
          <w:rFonts w:ascii="Calibri" w:hAnsi="Calibri" w:cs="Calibri"/>
          <w:i/>
          <w:iCs/>
          <w:color w:val="000000"/>
          <w:lang w:val="en-GB"/>
        </w:rPr>
        <w:t>25</w:t>
      </w:r>
      <w:r w:rsidRPr="00665E18">
        <w:rPr>
          <w:rFonts w:ascii="Calibri" w:hAnsi="Calibri" w:cs="Calibri"/>
          <w:color w:val="000000"/>
          <w:lang w:val="en-GB"/>
        </w:rPr>
        <w:t>(7), 980–999.</w:t>
      </w:r>
    </w:p>
    <w:p w14:paraId="74BE2F4E"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Sebastian, L. C., &amp; Arifianto, A. R. (2020). TRaNS special section on “Growing Religious Intolerance in Indonesia.” </w:t>
      </w:r>
      <w:r w:rsidRPr="00665E18">
        <w:rPr>
          <w:rFonts w:ascii="Calibri" w:hAnsi="Calibri" w:cs="Calibri"/>
          <w:i/>
          <w:iCs/>
          <w:color w:val="000000"/>
          <w:lang w:val="en-GB"/>
        </w:rPr>
        <w:t>TRaNS: Trans -Regional and -National Studies of Southeast Asia</w:t>
      </w:r>
      <w:r w:rsidRPr="00665E18">
        <w:rPr>
          <w:rFonts w:ascii="Calibri" w:hAnsi="Calibri" w:cs="Calibri"/>
          <w:color w:val="000000"/>
          <w:lang w:val="en-GB"/>
        </w:rPr>
        <w:t xml:space="preserve">, </w:t>
      </w:r>
      <w:r w:rsidRPr="00665E18">
        <w:rPr>
          <w:rFonts w:ascii="Calibri" w:hAnsi="Calibri" w:cs="Calibri"/>
          <w:i/>
          <w:iCs/>
          <w:color w:val="000000"/>
          <w:lang w:val="en-GB"/>
        </w:rPr>
        <w:t>8</w:t>
      </w:r>
      <w:r w:rsidRPr="00665E18">
        <w:rPr>
          <w:rFonts w:ascii="Calibri" w:hAnsi="Calibri" w:cs="Calibri"/>
          <w:color w:val="000000"/>
          <w:lang w:val="en-GB"/>
        </w:rPr>
        <w:t>(1), 1–5. https://doi.org/10.1017/trn.2020.1</w:t>
      </w:r>
    </w:p>
    <w:p w14:paraId="3F29B8C0"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SETARA Institute. (2022, November). </w:t>
      </w:r>
      <w:r w:rsidRPr="00665E18">
        <w:rPr>
          <w:rFonts w:ascii="Calibri" w:hAnsi="Calibri" w:cs="Calibri"/>
          <w:i/>
          <w:iCs/>
          <w:color w:val="000000"/>
          <w:lang w:val="en-GB"/>
        </w:rPr>
        <w:t>Mengatasi intoleransi dalam tata kebinekaan indonesia: Update dan rekomendasi terkait peribadatan</w:t>
      </w:r>
      <w:r w:rsidRPr="00665E18">
        <w:rPr>
          <w:rFonts w:ascii="Calibri" w:hAnsi="Calibri" w:cs="Calibri"/>
          <w:color w:val="000000"/>
          <w:lang w:val="en-GB"/>
        </w:rPr>
        <w:t>. https://setara-institute.org/mengatasi-intoleransi-dalam-tata-kebinekaan-indonesia-update-dan-rekomendasi-terkait-peribadatan/</w:t>
      </w:r>
    </w:p>
    <w:p w14:paraId="3EA16981"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Telle, K. (2017). Faith on Trial: Blasphemy and ‘Lawfare’ in Indonesia. </w:t>
      </w:r>
      <w:r w:rsidRPr="00665E18">
        <w:rPr>
          <w:rFonts w:ascii="Calibri" w:hAnsi="Calibri" w:cs="Calibri"/>
          <w:i/>
          <w:iCs/>
          <w:color w:val="000000"/>
          <w:lang w:val="en-GB"/>
        </w:rPr>
        <w:t>Ethnos</w:t>
      </w:r>
      <w:r w:rsidRPr="00665E18">
        <w:rPr>
          <w:rFonts w:ascii="Calibri" w:hAnsi="Calibri" w:cs="Calibri"/>
          <w:color w:val="000000"/>
          <w:lang w:val="en-GB"/>
        </w:rPr>
        <w:t xml:space="preserve">, </w:t>
      </w:r>
      <w:r w:rsidRPr="00665E18">
        <w:rPr>
          <w:rFonts w:ascii="Calibri" w:hAnsi="Calibri" w:cs="Calibri"/>
          <w:i/>
          <w:iCs/>
          <w:color w:val="000000"/>
          <w:lang w:val="en-GB"/>
        </w:rPr>
        <w:t>83</w:t>
      </w:r>
      <w:r w:rsidRPr="00665E18">
        <w:rPr>
          <w:rFonts w:ascii="Calibri" w:hAnsi="Calibri" w:cs="Calibri"/>
          <w:color w:val="000000"/>
          <w:lang w:val="en-GB"/>
        </w:rPr>
        <w:t>(2), 371–391. https://doi.org/10.1080/00141844.2017.1282973</w:t>
      </w:r>
    </w:p>
    <w:p w14:paraId="515945D7"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Temperman, J., &amp; Koltay, A. (2017). </w:t>
      </w:r>
      <w:r w:rsidRPr="00665E18">
        <w:rPr>
          <w:rFonts w:ascii="Calibri" w:hAnsi="Calibri" w:cs="Calibri"/>
          <w:i/>
          <w:iCs/>
          <w:color w:val="000000"/>
          <w:lang w:val="en-GB"/>
        </w:rPr>
        <w:t>Blasphemy and Freedom of Expression: Comparative, Theoretical and Historical Reflections after the Charlie Hebdo Massacre</w:t>
      </w:r>
      <w:r w:rsidRPr="00665E18">
        <w:rPr>
          <w:rFonts w:ascii="Calibri" w:hAnsi="Calibri" w:cs="Calibri"/>
          <w:color w:val="000000"/>
          <w:lang w:val="en-GB"/>
        </w:rPr>
        <w:t>. Cambridge University Press.</w:t>
      </w:r>
    </w:p>
    <w:p w14:paraId="68D929FC"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Tyson, A. (2021). Blasphemy and Judicial Legitimacy in Indonesia. </w:t>
      </w:r>
      <w:r w:rsidRPr="00665E18">
        <w:rPr>
          <w:rFonts w:ascii="Calibri" w:hAnsi="Calibri" w:cs="Calibri"/>
          <w:i/>
          <w:iCs/>
          <w:color w:val="000000"/>
          <w:lang w:val="en-GB"/>
        </w:rPr>
        <w:t>Politics and Religion</w:t>
      </w:r>
      <w:r w:rsidRPr="00665E18">
        <w:rPr>
          <w:rFonts w:ascii="Calibri" w:hAnsi="Calibri" w:cs="Calibri"/>
          <w:color w:val="000000"/>
          <w:lang w:val="en-GB"/>
        </w:rPr>
        <w:t xml:space="preserve">, </w:t>
      </w:r>
      <w:r w:rsidRPr="00665E18">
        <w:rPr>
          <w:rFonts w:ascii="Calibri" w:hAnsi="Calibri" w:cs="Calibri"/>
          <w:i/>
          <w:iCs/>
          <w:color w:val="000000"/>
          <w:lang w:val="en-GB"/>
        </w:rPr>
        <w:t>14</w:t>
      </w:r>
      <w:r w:rsidRPr="00665E18">
        <w:rPr>
          <w:rFonts w:ascii="Calibri" w:hAnsi="Calibri" w:cs="Calibri"/>
          <w:color w:val="000000"/>
          <w:lang w:val="en-GB"/>
        </w:rPr>
        <w:t>(1), 182–205. Cambridge Core. https://doi.org/10.1017/S1755048319000427</w:t>
      </w:r>
    </w:p>
    <w:p w14:paraId="6E2CA36D" w14:textId="77777777" w:rsidR="00665E18" w:rsidRPr="00665E18" w:rsidRDefault="00665E18" w:rsidP="00DF714D">
      <w:pPr>
        <w:pStyle w:val="Bibliography"/>
        <w:spacing w:line="240" w:lineRule="auto"/>
        <w:rPr>
          <w:rFonts w:ascii="Calibri" w:hAnsi="Calibri" w:cs="Calibri"/>
          <w:color w:val="000000"/>
          <w:lang w:val="en-GB"/>
        </w:rPr>
      </w:pPr>
      <w:r w:rsidRPr="00665E18">
        <w:rPr>
          <w:rFonts w:ascii="Calibri" w:hAnsi="Calibri" w:cs="Calibri"/>
          <w:color w:val="000000"/>
          <w:lang w:val="en-GB"/>
        </w:rPr>
        <w:t xml:space="preserve">Villa, V. (2022). </w:t>
      </w:r>
      <w:r w:rsidRPr="00665E18">
        <w:rPr>
          <w:rFonts w:ascii="Calibri" w:hAnsi="Calibri" w:cs="Calibri"/>
          <w:i/>
          <w:iCs/>
          <w:color w:val="000000"/>
          <w:lang w:val="en-GB"/>
        </w:rPr>
        <w:t>40% of world’s countries and territories had blasphemy laws in 2019 | Pew Research Center</w:t>
      </w:r>
      <w:r w:rsidRPr="00665E18">
        <w:rPr>
          <w:rFonts w:ascii="Calibri" w:hAnsi="Calibri" w:cs="Calibri"/>
          <w:color w:val="000000"/>
          <w:lang w:val="en-GB"/>
        </w:rPr>
        <w:t>. Pew Research Center. https://www.pewresearch.org/short-reads/2022/01/25/four-in-ten-countries-and-territories-worldwide-had-blasphemy-laws-in-2019-2/</w:t>
      </w:r>
    </w:p>
    <w:p w14:paraId="40981A93" w14:textId="1A5A0224" w:rsidR="008A5EF2" w:rsidRPr="00FA3EE7" w:rsidRDefault="008A5EF2" w:rsidP="00DF714D">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12"/>
      <w:headerReference w:type="default" r:id="rId13"/>
      <w:footerReference w:type="even" r:id="rId14"/>
      <w:footerReference w:type="default" r:id="rId15"/>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5AC9" w14:textId="77777777" w:rsidR="00EC749A" w:rsidRDefault="00EC749A" w:rsidP="008A5EF2">
      <w:r>
        <w:separator/>
      </w:r>
    </w:p>
  </w:endnote>
  <w:endnote w:type="continuationSeparator" w:id="0">
    <w:p w14:paraId="42F8B6FE" w14:textId="77777777" w:rsidR="00EC749A" w:rsidRDefault="00EC749A"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1C129" w14:textId="77777777" w:rsidR="00EC749A" w:rsidRDefault="00EC749A" w:rsidP="008A5EF2">
      <w:r>
        <w:separator/>
      </w:r>
    </w:p>
  </w:footnote>
  <w:footnote w:type="continuationSeparator" w:id="0">
    <w:p w14:paraId="14529D74" w14:textId="77777777" w:rsidR="00EC749A" w:rsidRDefault="00EC749A" w:rsidP="008A5EF2">
      <w:r>
        <w:continuationSeparator/>
      </w:r>
    </w:p>
  </w:footnote>
  <w:footnote w:id="1">
    <w:p w14:paraId="3307A8BE" w14:textId="0273D05A" w:rsidR="0016562A" w:rsidRPr="00DF714D" w:rsidRDefault="0016562A" w:rsidP="00FD59A2">
      <w:pPr>
        <w:pStyle w:val="FootnoteText"/>
        <w:ind w:left="426" w:hanging="426"/>
        <w:rPr>
          <w:rStyle w:val="FootnoteReference"/>
          <w:rFonts w:cstheme="minorHAnsi"/>
        </w:rPr>
      </w:pPr>
      <w:r>
        <w:rPr>
          <w:rStyle w:val="FootnoteReference"/>
        </w:rPr>
        <w:footnoteRef/>
      </w:r>
      <w:r>
        <w:t xml:space="preserve"> </w:t>
      </w:r>
      <w:r w:rsidR="00FD59A2">
        <w:tab/>
      </w:r>
      <w:r w:rsidR="002D75B0" w:rsidRPr="002D75B0">
        <w:rPr>
          <w:lang w:val="en-US"/>
        </w:rPr>
        <w:t xml:space="preserve">This </w:t>
      </w:r>
      <w:r w:rsidR="002D75B0">
        <w:rPr>
          <w:lang w:val="en-US"/>
        </w:rPr>
        <w:t>study</w:t>
      </w:r>
      <w:r w:rsidR="002D75B0" w:rsidRPr="002D75B0">
        <w:rPr>
          <w:lang w:val="en-US"/>
        </w:rPr>
        <w:t xml:space="preserve"> is part of the author's dissertation report</w:t>
      </w:r>
      <w:r w:rsidR="002D75B0">
        <w:rPr>
          <w:lang w:val="en-US"/>
        </w:rPr>
        <w:t xml:space="preserve"> at </w:t>
      </w:r>
      <w:r w:rsidR="002D75B0" w:rsidRPr="002D75B0">
        <w:rPr>
          <w:lang w:val="en-US"/>
        </w:rPr>
        <w:t xml:space="preserve">IHRP Mahidol University. The author expresses gratitude to the advisors, Dr. Michael George, Dr. </w:t>
      </w:r>
      <w:proofErr w:type="spellStart"/>
      <w:r w:rsidR="002D75B0" w:rsidRPr="002D75B0">
        <w:rPr>
          <w:lang w:val="en-US"/>
        </w:rPr>
        <w:t>Sriprapha</w:t>
      </w:r>
      <w:proofErr w:type="spellEnd"/>
      <w:r w:rsidR="002D75B0" w:rsidRPr="002D75B0">
        <w:rPr>
          <w:lang w:val="en-US"/>
        </w:rPr>
        <w:t>, and Dr. Amalia, who provided guidance and valuable feedback on this paper's initial draft. The author also thanks the 18th Singapore Graduate Forum on Southeast Asian Studies for providing the opportunity to present this paper and receive insightful comments from ARI NUS specialists.</w:t>
      </w:r>
    </w:p>
  </w:footnote>
  <w:footnote w:id="2">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 xml:space="preserve">19-23 June 2023,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1A84"/>
    <w:multiLevelType w:val="hybridMultilevel"/>
    <w:tmpl w:val="E9620212"/>
    <w:lvl w:ilvl="0" w:tplc="08090001">
      <w:start w:val="1"/>
      <w:numFmt w:val="bullet"/>
      <w:lvlText w:val=""/>
      <w:lvlJc w:val="left"/>
      <w:pPr>
        <w:ind w:left="469" w:hanging="360"/>
      </w:pPr>
      <w:rPr>
        <w:rFonts w:ascii="Symbol" w:hAnsi="Symbol"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 w15:restartNumberingAfterBreak="0">
    <w:nsid w:val="3921608F"/>
    <w:multiLevelType w:val="hybridMultilevel"/>
    <w:tmpl w:val="3A786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73E00"/>
    <w:multiLevelType w:val="hybridMultilevel"/>
    <w:tmpl w:val="FB50B878"/>
    <w:lvl w:ilvl="0" w:tplc="F948DF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F51A3"/>
    <w:multiLevelType w:val="hybridMultilevel"/>
    <w:tmpl w:val="71AA0DD6"/>
    <w:lvl w:ilvl="0" w:tplc="08090001">
      <w:start w:val="1"/>
      <w:numFmt w:val="bullet"/>
      <w:lvlText w:val=""/>
      <w:lvlJc w:val="left"/>
      <w:pPr>
        <w:ind w:left="610" w:hanging="360"/>
      </w:pPr>
      <w:rPr>
        <w:rFonts w:ascii="Symbol" w:hAnsi="Symbol" w:hint="default"/>
      </w:rPr>
    </w:lvl>
    <w:lvl w:ilvl="1" w:tplc="ED1AB884">
      <w:numFmt w:val="bullet"/>
      <w:lvlText w:val="-"/>
      <w:lvlJc w:val="left"/>
      <w:pPr>
        <w:ind w:left="1330" w:hanging="360"/>
      </w:pPr>
      <w:rPr>
        <w:rFonts w:ascii="Calibri" w:eastAsiaTheme="minorEastAsia" w:hAnsi="Calibri" w:cs="Calibri"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cs="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cs="Courier New" w:hint="default"/>
      </w:rPr>
    </w:lvl>
    <w:lvl w:ilvl="8" w:tplc="08090005" w:tentative="1">
      <w:start w:val="1"/>
      <w:numFmt w:val="bullet"/>
      <w:lvlText w:val=""/>
      <w:lvlJc w:val="left"/>
      <w:pPr>
        <w:ind w:left="6370" w:hanging="360"/>
      </w:pPr>
      <w:rPr>
        <w:rFonts w:ascii="Wingdings" w:hAnsi="Wingdings" w:hint="default"/>
      </w:rPr>
    </w:lvl>
  </w:abstractNum>
  <w:abstractNum w:abstractNumId="4" w15:restartNumberingAfterBreak="0">
    <w:nsid w:val="74FF22E7"/>
    <w:multiLevelType w:val="hybridMultilevel"/>
    <w:tmpl w:val="62FC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1050321">
    <w:abstractNumId w:val="4"/>
  </w:num>
  <w:num w:numId="2" w16cid:durableId="1764884896">
    <w:abstractNumId w:val="2"/>
  </w:num>
  <w:num w:numId="3" w16cid:durableId="731578973">
    <w:abstractNumId w:val="3"/>
  </w:num>
  <w:num w:numId="4" w16cid:durableId="1623996577">
    <w:abstractNumId w:val="1"/>
  </w:num>
  <w:num w:numId="5" w16cid:durableId="26006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084432"/>
    <w:rsid w:val="000A1F11"/>
    <w:rsid w:val="000A4EA6"/>
    <w:rsid w:val="000D376E"/>
    <w:rsid w:val="000E02BA"/>
    <w:rsid w:val="0016562A"/>
    <w:rsid w:val="002278D9"/>
    <w:rsid w:val="00251662"/>
    <w:rsid w:val="002B37F7"/>
    <w:rsid w:val="002C2C63"/>
    <w:rsid w:val="002D75B0"/>
    <w:rsid w:val="0035468F"/>
    <w:rsid w:val="00370ECC"/>
    <w:rsid w:val="0037365B"/>
    <w:rsid w:val="00425BAB"/>
    <w:rsid w:val="0044451F"/>
    <w:rsid w:val="00465E86"/>
    <w:rsid w:val="004E4056"/>
    <w:rsid w:val="004E4715"/>
    <w:rsid w:val="00505A3E"/>
    <w:rsid w:val="005231EF"/>
    <w:rsid w:val="005F0844"/>
    <w:rsid w:val="00640BF0"/>
    <w:rsid w:val="00655372"/>
    <w:rsid w:val="00665E18"/>
    <w:rsid w:val="00673081"/>
    <w:rsid w:val="006760B6"/>
    <w:rsid w:val="00703277"/>
    <w:rsid w:val="00773E67"/>
    <w:rsid w:val="00823880"/>
    <w:rsid w:val="008409CD"/>
    <w:rsid w:val="00853635"/>
    <w:rsid w:val="0085376C"/>
    <w:rsid w:val="00880F44"/>
    <w:rsid w:val="008A5EF2"/>
    <w:rsid w:val="008F0259"/>
    <w:rsid w:val="00935072"/>
    <w:rsid w:val="00957355"/>
    <w:rsid w:val="00967DB5"/>
    <w:rsid w:val="00972BA7"/>
    <w:rsid w:val="009830CB"/>
    <w:rsid w:val="009E3584"/>
    <w:rsid w:val="009F096F"/>
    <w:rsid w:val="009F4D21"/>
    <w:rsid w:val="00A05CAF"/>
    <w:rsid w:val="00A0609C"/>
    <w:rsid w:val="00A27FE0"/>
    <w:rsid w:val="00A50F98"/>
    <w:rsid w:val="00A60A7C"/>
    <w:rsid w:val="00AC3A7D"/>
    <w:rsid w:val="00B157F1"/>
    <w:rsid w:val="00B316C0"/>
    <w:rsid w:val="00B60F7D"/>
    <w:rsid w:val="00C2642C"/>
    <w:rsid w:val="00C752FE"/>
    <w:rsid w:val="00C76A71"/>
    <w:rsid w:val="00C775E9"/>
    <w:rsid w:val="00C947EB"/>
    <w:rsid w:val="00CD4453"/>
    <w:rsid w:val="00CE2AB4"/>
    <w:rsid w:val="00D12DEA"/>
    <w:rsid w:val="00D2148B"/>
    <w:rsid w:val="00D452CC"/>
    <w:rsid w:val="00DC08B8"/>
    <w:rsid w:val="00DC2F88"/>
    <w:rsid w:val="00DE0C32"/>
    <w:rsid w:val="00DF714D"/>
    <w:rsid w:val="00E24405"/>
    <w:rsid w:val="00E46256"/>
    <w:rsid w:val="00EC749A"/>
    <w:rsid w:val="00F011C0"/>
    <w:rsid w:val="00F1009C"/>
    <w:rsid w:val="00F20B00"/>
    <w:rsid w:val="00F306EE"/>
    <w:rsid w:val="00F3279D"/>
    <w:rsid w:val="00F449A3"/>
    <w:rsid w:val="00F84953"/>
    <w:rsid w:val="00FD59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ข้อความเชิงอรรถ Char,¢éÍ¤ÇÒÁàªÔ§ÍÃÃ¶ Char,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7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0671">
      <w:bodyDiv w:val="1"/>
      <w:marLeft w:val="0"/>
      <w:marRight w:val="0"/>
      <w:marTop w:val="0"/>
      <w:marBottom w:val="0"/>
      <w:divBdr>
        <w:top w:val="none" w:sz="0" w:space="0" w:color="auto"/>
        <w:left w:val="none" w:sz="0" w:space="0" w:color="auto"/>
        <w:bottom w:val="none" w:sz="0" w:space="0" w:color="auto"/>
        <w:right w:val="none" w:sz="0" w:space="0" w:color="auto"/>
      </w:divBdr>
    </w:div>
    <w:div w:id="886333247">
      <w:bodyDiv w:val="1"/>
      <w:marLeft w:val="0"/>
      <w:marRight w:val="0"/>
      <w:marTop w:val="0"/>
      <w:marBottom w:val="0"/>
      <w:divBdr>
        <w:top w:val="none" w:sz="0" w:space="0" w:color="auto"/>
        <w:left w:val="none" w:sz="0" w:space="0" w:color="auto"/>
        <w:bottom w:val="none" w:sz="0" w:space="0" w:color="auto"/>
        <w:right w:val="none" w:sz="0" w:space="0" w:color="auto"/>
      </w:divBdr>
    </w:div>
    <w:div w:id="911475726">
      <w:bodyDiv w:val="1"/>
      <w:marLeft w:val="0"/>
      <w:marRight w:val="0"/>
      <w:marTop w:val="0"/>
      <w:marBottom w:val="0"/>
      <w:divBdr>
        <w:top w:val="none" w:sz="0" w:space="0" w:color="auto"/>
        <w:left w:val="none" w:sz="0" w:space="0" w:color="auto"/>
        <w:bottom w:val="none" w:sz="0" w:space="0" w:color="auto"/>
        <w:right w:val="none" w:sz="0" w:space="0" w:color="auto"/>
      </w:divBdr>
    </w:div>
    <w:div w:id="995688754">
      <w:bodyDiv w:val="1"/>
      <w:marLeft w:val="0"/>
      <w:marRight w:val="0"/>
      <w:marTop w:val="0"/>
      <w:marBottom w:val="0"/>
      <w:divBdr>
        <w:top w:val="none" w:sz="0" w:space="0" w:color="auto"/>
        <w:left w:val="none" w:sz="0" w:space="0" w:color="auto"/>
        <w:bottom w:val="none" w:sz="0" w:space="0" w:color="auto"/>
        <w:right w:val="none" w:sz="0" w:space="0" w:color="auto"/>
      </w:divBdr>
    </w:div>
    <w:div w:id="1103841011">
      <w:bodyDiv w:val="1"/>
      <w:marLeft w:val="0"/>
      <w:marRight w:val="0"/>
      <w:marTop w:val="0"/>
      <w:marBottom w:val="0"/>
      <w:divBdr>
        <w:top w:val="none" w:sz="0" w:space="0" w:color="auto"/>
        <w:left w:val="none" w:sz="0" w:space="0" w:color="auto"/>
        <w:bottom w:val="none" w:sz="0" w:space="0" w:color="auto"/>
        <w:right w:val="none" w:sz="0" w:space="0" w:color="auto"/>
      </w:divBdr>
    </w:div>
    <w:div w:id="1413576623">
      <w:bodyDiv w:val="1"/>
      <w:marLeft w:val="0"/>
      <w:marRight w:val="0"/>
      <w:marTop w:val="0"/>
      <w:marBottom w:val="0"/>
      <w:divBdr>
        <w:top w:val="none" w:sz="0" w:space="0" w:color="auto"/>
        <w:left w:val="none" w:sz="0" w:space="0" w:color="auto"/>
        <w:bottom w:val="none" w:sz="0" w:space="0" w:color="auto"/>
        <w:right w:val="none" w:sz="0" w:space="0" w:color="auto"/>
      </w:divBdr>
    </w:div>
    <w:div w:id="16789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58B3-8DF3-6E4E-AFCC-D944E1C5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12168</Words>
  <Characters>69360</Characters>
  <Application>Microsoft Office Word</Application>
  <DocSecurity>0</DocSecurity>
  <Lines>578</Lines>
  <Paragraphs>162</Paragraphs>
  <ScaleCrop>false</ScaleCrop>
  <Company/>
  <LinksUpToDate>false</LinksUpToDate>
  <CharactersWithSpaces>81366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18</cp:revision>
  <dcterms:created xsi:type="dcterms:W3CDTF">2023-05-22T01:55:00Z</dcterms:created>
  <dcterms:modified xsi:type="dcterms:W3CDTF">2023-05-22T06:22:00Z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id="5VQRbnUb"/&gt;&lt;style id="http://www.zotero.org/styles/apa" locale="en-US" hasBibliography="1" bibliographyStyleHasBeenSet="1"/&gt;&lt;prefs&gt;&lt;pref name="fieldType" value="Field"/&gt;&lt;/prefs&gt;&lt;/data&gt;</vt:lpwstr>
  </property>
</Properties>
</file>