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D8DC60" w14:textId="3E0780D4" w:rsidR="000C57E7" w:rsidRDefault="00AB17C8" w:rsidP="000B267C">
      <w:pPr>
        <w:jc w:val="center"/>
        <w:rPr>
          <w:rFonts w:ascii="Calibri" w:eastAsia="SimSun" w:hAnsi="Calibri" w:cs="Calibri"/>
          <w:b/>
          <w:bCs/>
          <w:sz w:val="28"/>
          <w:szCs w:val="28"/>
          <w:lang w:eastAsia="zh-CN"/>
        </w:rPr>
      </w:pPr>
      <w:r w:rsidRPr="00AB17C8">
        <w:rPr>
          <w:rFonts w:ascii="Calibri" w:eastAsia="SimSun" w:hAnsi="Calibri" w:cs="Calibri"/>
          <w:b/>
          <w:bCs/>
          <w:sz w:val="28"/>
          <w:szCs w:val="28"/>
          <w:lang w:eastAsia="zh-CN"/>
        </w:rPr>
        <w:t>Vigilante Justice Persists Amid the Enforcement of Indonesian Anti-Blasphemy Law's Failure to Preserve Justice.</w:t>
      </w:r>
    </w:p>
    <w:p w14:paraId="136DF81E" w14:textId="77777777" w:rsidR="000C57E7" w:rsidRPr="000C57E7" w:rsidRDefault="000C57E7" w:rsidP="000B267C">
      <w:pPr>
        <w:jc w:val="center"/>
        <w:rPr>
          <w:rFonts w:ascii="Calibri" w:eastAsia="SimSun" w:hAnsi="Calibri" w:cs="Calibri"/>
          <w:b/>
          <w:bCs/>
          <w:sz w:val="28"/>
          <w:szCs w:val="28"/>
          <w:lang w:eastAsia="zh-CN"/>
        </w:rPr>
      </w:pPr>
    </w:p>
    <w:p w14:paraId="28EDE10B" w14:textId="77777777" w:rsidR="00E033CF" w:rsidRPr="00042460" w:rsidRDefault="00E033CF" w:rsidP="00E033CF">
      <w:pPr>
        <w:jc w:val="center"/>
        <w:rPr>
          <w:rFonts w:ascii="Calibri" w:eastAsia="SimSun" w:hAnsi="Calibri" w:cs="Calibri"/>
          <w:lang w:eastAsia="zh-CN"/>
        </w:rPr>
      </w:pPr>
    </w:p>
    <w:p w14:paraId="48DF35CB" w14:textId="77777777" w:rsidR="00E033CF" w:rsidRPr="00042460" w:rsidRDefault="000B267C" w:rsidP="00E033CF">
      <w:pPr>
        <w:jc w:val="center"/>
        <w:rPr>
          <w:rFonts w:ascii="Calibri" w:eastAsia="SimSun" w:hAnsi="Calibri" w:cs="Calibri"/>
          <w:b/>
          <w:lang w:eastAsia="zh-CN"/>
        </w:rPr>
      </w:pPr>
      <w:proofErr w:type="spellStart"/>
      <w:r w:rsidRPr="000B267C">
        <w:rPr>
          <w:rFonts w:ascii="Calibri" w:eastAsia="SimSun" w:hAnsi="Calibri" w:cs="Calibri"/>
          <w:b/>
          <w:lang w:eastAsia="zh-CN"/>
        </w:rPr>
        <w:t>Cekli</w:t>
      </w:r>
      <w:proofErr w:type="spellEnd"/>
      <w:r w:rsidRPr="000B267C">
        <w:rPr>
          <w:rFonts w:ascii="Calibri" w:eastAsia="SimSun" w:hAnsi="Calibri" w:cs="Calibri"/>
          <w:b/>
          <w:lang w:eastAsia="zh-CN"/>
        </w:rPr>
        <w:t xml:space="preserve"> </w:t>
      </w:r>
      <w:proofErr w:type="spellStart"/>
      <w:r w:rsidRPr="000B267C">
        <w:rPr>
          <w:rFonts w:ascii="Calibri" w:eastAsia="SimSun" w:hAnsi="Calibri" w:cs="Calibri"/>
          <w:b/>
          <w:lang w:eastAsia="zh-CN"/>
        </w:rPr>
        <w:t>Setya</w:t>
      </w:r>
      <w:proofErr w:type="spellEnd"/>
      <w:r w:rsidRPr="000B267C">
        <w:rPr>
          <w:rFonts w:ascii="Calibri" w:eastAsia="SimSun" w:hAnsi="Calibri" w:cs="Calibri"/>
          <w:b/>
          <w:lang w:eastAsia="zh-CN"/>
        </w:rPr>
        <w:t xml:space="preserve"> </w:t>
      </w:r>
      <w:proofErr w:type="spellStart"/>
      <w:r w:rsidRPr="000B267C">
        <w:rPr>
          <w:rFonts w:ascii="Calibri" w:eastAsia="SimSun" w:hAnsi="Calibri" w:cs="Calibri"/>
          <w:b/>
          <w:lang w:eastAsia="zh-CN"/>
        </w:rPr>
        <w:t>Pratiwi</w:t>
      </w:r>
      <w:proofErr w:type="spellEnd"/>
    </w:p>
    <w:p w14:paraId="361F7B92" w14:textId="77777777" w:rsidR="00E033CF" w:rsidRPr="00042460" w:rsidRDefault="000B267C" w:rsidP="008C602E">
      <w:pPr>
        <w:jc w:val="center"/>
        <w:rPr>
          <w:rFonts w:ascii="Calibri" w:eastAsia="SimSun" w:hAnsi="Calibri" w:cs="Calibri"/>
          <w:lang w:eastAsia="zh-CN"/>
        </w:rPr>
      </w:pPr>
      <w:r>
        <w:rPr>
          <w:rFonts w:ascii="Calibri" w:eastAsia="SimSun" w:hAnsi="Calibri" w:cs="Calibri"/>
          <w:lang w:eastAsia="zh-CN"/>
        </w:rPr>
        <w:t xml:space="preserve">Institute of </w:t>
      </w:r>
      <w:r w:rsidRPr="000B267C">
        <w:rPr>
          <w:rFonts w:ascii="Calibri" w:eastAsia="SimSun" w:hAnsi="Calibri" w:cs="Calibri"/>
          <w:lang w:eastAsia="zh-CN"/>
        </w:rPr>
        <w:t>Human Rights and Peace Studies at Mahidol University</w:t>
      </w:r>
      <w:r>
        <w:rPr>
          <w:rFonts w:ascii="Calibri" w:eastAsia="SimSun" w:hAnsi="Calibri" w:cs="Calibri"/>
          <w:lang w:eastAsia="zh-CN"/>
        </w:rPr>
        <w:t xml:space="preserve">, </w:t>
      </w:r>
      <w:r>
        <w:rPr>
          <w:rFonts w:ascii="Calibri" w:eastAsia="SimSun" w:hAnsi="Calibri" w:cs="Calibri"/>
          <w:lang w:eastAsia="zh-CN"/>
        </w:rPr>
        <w:br/>
      </w:r>
      <w:r w:rsidRPr="000B267C">
        <w:rPr>
          <w:rFonts w:ascii="Calibri" w:eastAsia="SimSun" w:hAnsi="Calibri" w:cs="Calibri"/>
          <w:lang w:eastAsia="zh-CN"/>
        </w:rPr>
        <w:t>Faculty of Law, Universi</w:t>
      </w:r>
      <w:r>
        <w:rPr>
          <w:rFonts w:ascii="Calibri" w:eastAsia="SimSun" w:hAnsi="Calibri" w:cs="Calibri"/>
          <w:lang w:eastAsia="zh-CN"/>
        </w:rPr>
        <w:t>ty of</w:t>
      </w:r>
      <w:r w:rsidRPr="000B267C">
        <w:rPr>
          <w:rFonts w:ascii="Calibri" w:eastAsia="SimSun" w:hAnsi="Calibri" w:cs="Calibri"/>
          <w:lang w:eastAsia="zh-CN"/>
        </w:rPr>
        <w:t xml:space="preserve"> Muhammadiyah Malang</w:t>
      </w:r>
    </w:p>
    <w:p w14:paraId="70D46D2C" w14:textId="41A0CC94" w:rsidR="00E033CF" w:rsidRDefault="00000000" w:rsidP="00E033CF">
      <w:pPr>
        <w:jc w:val="center"/>
        <w:rPr>
          <w:rFonts w:ascii="Calibri" w:eastAsia="SimSun" w:hAnsi="Calibri" w:cs="Calibri"/>
          <w:lang w:eastAsia="zh-CN"/>
        </w:rPr>
      </w:pPr>
      <w:hyperlink r:id="rId8" w:history="1">
        <w:r w:rsidR="008C602E" w:rsidRPr="00161BC1">
          <w:rPr>
            <w:rStyle w:val="Hyperlink"/>
            <w:rFonts w:ascii="Calibri" w:eastAsia="SimSun" w:hAnsi="Calibri" w:cs="Calibri"/>
            <w:lang w:eastAsia="zh-CN"/>
          </w:rPr>
          <w:t>ceklisetya.pra@student.mahidol.edu</w:t>
        </w:r>
      </w:hyperlink>
      <w:r w:rsidR="00AA781A">
        <w:rPr>
          <w:rFonts w:ascii="Calibri" w:eastAsia="SimSun" w:hAnsi="Calibri" w:cs="Calibri"/>
          <w:lang w:eastAsia="zh-CN"/>
        </w:rPr>
        <w:t xml:space="preserve"> or</w:t>
      </w:r>
      <w:r w:rsidR="008C602E">
        <w:rPr>
          <w:rFonts w:ascii="Calibri" w:eastAsia="SimSun" w:hAnsi="Calibri" w:cs="Calibri"/>
          <w:lang w:eastAsia="zh-CN"/>
        </w:rPr>
        <w:t xml:space="preserve"> </w:t>
      </w:r>
      <w:hyperlink r:id="rId9" w:history="1">
        <w:r w:rsidR="008C602E" w:rsidRPr="00161BC1">
          <w:rPr>
            <w:rStyle w:val="Hyperlink"/>
            <w:rFonts w:ascii="Calibri" w:eastAsia="SimSun" w:hAnsi="Calibri" w:cs="Calibri"/>
            <w:lang w:eastAsia="zh-CN"/>
          </w:rPr>
          <w:t>cekli@umm.ac.id</w:t>
        </w:r>
      </w:hyperlink>
      <w:r w:rsidR="00AA781A">
        <w:rPr>
          <w:rFonts w:ascii="Calibri" w:eastAsia="SimSun" w:hAnsi="Calibri" w:cs="Calibri"/>
          <w:lang w:eastAsia="zh-CN"/>
        </w:rPr>
        <w:t xml:space="preserve">; </w:t>
      </w:r>
    </w:p>
    <w:p w14:paraId="206D28B9" w14:textId="77777777" w:rsidR="00E033CF" w:rsidRPr="00042460" w:rsidRDefault="00E033CF" w:rsidP="00AA781A">
      <w:pPr>
        <w:pBdr>
          <w:bottom w:val="single" w:sz="6" w:space="1" w:color="auto"/>
        </w:pBdr>
        <w:rPr>
          <w:rFonts w:ascii="Calibri" w:eastAsia="SimSun" w:hAnsi="Calibri" w:cs="Calibri"/>
          <w:lang w:eastAsia="zh-CN"/>
        </w:rPr>
      </w:pPr>
    </w:p>
    <w:p w14:paraId="5FDD5698" w14:textId="77777777" w:rsidR="001702FC" w:rsidRPr="00042460" w:rsidRDefault="0055514C" w:rsidP="00940329">
      <w:pPr>
        <w:ind w:firstLine="0"/>
        <w:rPr>
          <w:rFonts w:ascii="Calibri" w:eastAsia="SimSun" w:hAnsi="Calibri" w:cs="Calibri"/>
          <w:b/>
          <w:lang w:eastAsia="zh-CN"/>
        </w:rPr>
      </w:pPr>
      <w:r>
        <w:rPr>
          <w:rFonts w:ascii="Calibri" w:eastAsia="SimSun" w:hAnsi="Calibri" w:cs="Calibri"/>
          <w:b/>
          <w:lang w:eastAsia="zh-CN"/>
        </w:rPr>
        <w:t>ABSTRACT</w:t>
      </w:r>
    </w:p>
    <w:p w14:paraId="494FE4C1" w14:textId="77777777" w:rsidR="0077334F" w:rsidRPr="00042460" w:rsidRDefault="0077334F" w:rsidP="001702FC">
      <w:pPr>
        <w:rPr>
          <w:rFonts w:ascii="Calibri" w:eastAsia="SimSun" w:hAnsi="Calibri" w:cs="Calibri"/>
          <w:color w:val="0000FF"/>
          <w:lang w:eastAsia="zh-CN"/>
        </w:rPr>
      </w:pPr>
    </w:p>
    <w:p w14:paraId="19078A4C" w14:textId="26C661E6" w:rsidR="00697B6F" w:rsidRPr="0055514C" w:rsidRDefault="00B02D52" w:rsidP="00AA781A">
      <w:pPr>
        <w:ind w:firstLine="720"/>
        <w:jc w:val="both"/>
        <w:rPr>
          <w:rFonts w:ascii="Calibri" w:eastAsia="SimSun" w:hAnsi="Calibri" w:cs="Calibri"/>
          <w:color w:val="000000"/>
          <w:lang w:eastAsia="zh-CN"/>
        </w:rPr>
      </w:pPr>
      <w:r w:rsidRPr="00B02D52">
        <w:rPr>
          <w:rFonts w:ascii="Calibri" w:eastAsia="SimSun" w:hAnsi="Calibri" w:cs="Calibri"/>
          <w:color w:val="000000"/>
          <w:lang w:eastAsia="zh-CN"/>
        </w:rPr>
        <w:t>In recent years, scholars have conducted extensive research to investigate how Indonesia's Anti-Blasphemy Law has hindered individuals' freedom of religion and expression, specifically as it pertains to International Human Rights Laws. Despite the law's enforcement, public disorder has continued to escalate, manifesting in acts of vigilante justice.  The purpose of this socio-legal study is to answer three critical questions regarding blasphemy in Indonesia. These include</w:t>
      </w:r>
      <w:r w:rsidR="00AA781A">
        <w:rPr>
          <w:rFonts w:ascii="Calibri" w:eastAsia="SimSun" w:hAnsi="Calibri" w:cs="Calibri"/>
          <w:color w:val="000000"/>
          <w:lang w:eastAsia="zh-CN"/>
        </w:rPr>
        <w:t>, h</w:t>
      </w:r>
      <w:r w:rsidRPr="00B02D52">
        <w:rPr>
          <w:rFonts w:ascii="Calibri" w:eastAsia="SimSun" w:hAnsi="Calibri" w:cs="Calibri"/>
          <w:color w:val="000000"/>
          <w:lang w:eastAsia="zh-CN"/>
        </w:rPr>
        <w:t xml:space="preserve">ow does vigilante justice persist despite the </w:t>
      </w:r>
      <w:r w:rsidR="00D1555E">
        <w:rPr>
          <w:rFonts w:ascii="Calibri" w:eastAsia="SimSun" w:hAnsi="Calibri" w:cs="Calibri"/>
          <w:color w:val="000000"/>
          <w:lang w:eastAsia="zh-CN"/>
        </w:rPr>
        <w:t>enforcement of blasphemy law</w:t>
      </w:r>
      <w:r w:rsidRPr="00B02D52">
        <w:rPr>
          <w:rFonts w:ascii="Calibri" w:eastAsia="SimSun" w:hAnsi="Calibri" w:cs="Calibri"/>
          <w:color w:val="000000"/>
          <w:lang w:eastAsia="zh-CN"/>
        </w:rPr>
        <w:t xml:space="preserve">? </w:t>
      </w:r>
      <w:r w:rsidR="001F0A21">
        <w:rPr>
          <w:rFonts w:ascii="Calibri" w:eastAsia="SimSun" w:hAnsi="Calibri" w:cs="Calibri"/>
          <w:color w:val="000000"/>
          <w:lang w:eastAsia="zh-CN"/>
        </w:rPr>
        <w:t xml:space="preserve">To what extent vigilantism actions </w:t>
      </w:r>
      <w:r w:rsidR="008C5053">
        <w:rPr>
          <w:rFonts w:ascii="Calibri" w:eastAsia="SimSun" w:hAnsi="Calibri" w:cs="Calibri"/>
          <w:color w:val="000000"/>
          <w:lang w:eastAsia="zh-CN"/>
        </w:rPr>
        <w:t>shaped the court decisions?</w:t>
      </w:r>
      <w:r w:rsidRPr="00B02D52">
        <w:rPr>
          <w:rFonts w:ascii="Calibri" w:eastAsia="SimSun" w:hAnsi="Calibri" w:cs="Calibri"/>
          <w:color w:val="000000"/>
          <w:lang w:eastAsia="zh-CN"/>
        </w:rPr>
        <w:t xml:space="preserve"> Why has the continued enforcement of the Anti-Blasphemy Law not led to ensuring justice?</w:t>
      </w:r>
      <w:r>
        <w:rPr>
          <w:rFonts w:ascii="Calibri" w:eastAsia="SimSun" w:hAnsi="Calibri" w:cs="Calibri"/>
          <w:color w:val="000000"/>
          <w:lang w:eastAsia="zh-CN"/>
        </w:rPr>
        <w:t xml:space="preserve"> </w:t>
      </w:r>
      <w:r w:rsidR="002A7B3F">
        <w:rPr>
          <w:rFonts w:ascii="Calibri" w:eastAsia="SimSun" w:hAnsi="Calibri" w:cs="Calibri"/>
          <w:color w:val="000000"/>
          <w:lang w:eastAsia="zh-CN"/>
        </w:rPr>
        <w:t>T</w:t>
      </w:r>
      <w:r w:rsidR="00AA781A">
        <w:rPr>
          <w:rFonts w:ascii="Calibri" w:eastAsia="SimSun" w:hAnsi="Calibri" w:cs="Calibri"/>
          <w:color w:val="000000"/>
          <w:lang w:eastAsia="zh-CN"/>
        </w:rPr>
        <w:t>his study</w:t>
      </w:r>
      <w:r w:rsidRPr="00B02D52">
        <w:rPr>
          <w:rFonts w:ascii="Calibri" w:eastAsia="SimSun" w:hAnsi="Calibri" w:cs="Calibri"/>
          <w:color w:val="000000"/>
          <w:lang w:eastAsia="zh-CN"/>
        </w:rPr>
        <w:t xml:space="preserve"> examines </w:t>
      </w:r>
      <w:r w:rsidR="00AA781A">
        <w:rPr>
          <w:rFonts w:ascii="Calibri" w:eastAsia="SimSun" w:hAnsi="Calibri" w:cs="Calibri"/>
          <w:color w:val="000000"/>
          <w:lang w:eastAsia="zh-CN"/>
        </w:rPr>
        <w:t xml:space="preserve">various data, namely </w:t>
      </w:r>
      <w:r w:rsidRPr="00B02D52">
        <w:rPr>
          <w:rFonts w:ascii="Calibri" w:eastAsia="SimSun" w:hAnsi="Calibri" w:cs="Calibri"/>
          <w:color w:val="000000"/>
          <w:lang w:eastAsia="zh-CN"/>
        </w:rPr>
        <w:t>interview</w:t>
      </w:r>
      <w:r w:rsidR="00AA781A">
        <w:rPr>
          <w:rFonts w:ascii="Calibri" w:eastAsia="SimSun" w:hAnsi="Calibri" w:cs="Calibri"/>
          <w:color w:val="000000"/>
          <w:lang w:eastAsia="zh-CN"/>
        </w:rPr>
        <w:t>s</w:t>
      </w:r>
      <w:r w:rsidRPr="00B02D52">
        <w:rPr>
          <w:rFonts w:ascii="Calibri" w:eastAsia="SimSun" w:hAnsi="Calibri" w:cs="Calibri"/>
          <w:color w:val="000000"/>
          <w:lang w:eastAsia="zh-CN"/>
        </w:rPr>
        <w:t>, case</w:t>
      </w:r>
      <w:r w:rsidR="00AA781A">
        <w:rPr>
          <w:rFonts w:ascii="Calibri" w:eastAsia="SimSun" w:hAnsi="Calibri" w:cs="Calibri"/>
          <w:color w:val="000000"/>
          <w:lang w:eastAsia="zh-CN"/>
        </w:rPr>
        <w:t>s</w:t>
      </w:r>
      <w:r w:rsidRPr="00B02D52">
        <w:rPr>
          <w:rFonts w:ascii="Calibri" w:eastAsia="SimSun" w:hAnsi="Calibri" w:cs="Calibri"/>
          <w:color w:val="000000"/>
          <w:lang w:eastAsia="zh-CN"/>
        </w:rPr>
        <w:t xml:space="preserve"> stud</w:t>
      </w:r>
      <w:r w:rsidR="00AA781A">
        <w:rPr>
          <w:rFonts w:ascii="Calibri" w:eastAsia="SimSun" w:hAnsi="Calibri" w:cs="Calibri"/>
          <w:color w:val="000000"/>
          <w:lang w:eastAsia="zh-CN"/>
        </w:rPr>
        <w:t>y</w:t>
      </w:r>
      <w:r w:rsidRPr="00B02D52">
        <w:rPr>
          <w:rFonts w:ascii="Calibri" w:eastAsia="SimSun" w:hAnsi="Calibri" w:cs="Calibri"/>
          <w:color w:val="000000"/>
          <w:lang w:eastAsia="zh-CN"/>
        </w:rPr>
        <w:t xml:space="preserve">, </w:t>
      </w:r>
      <w:r w:rsidR="00AA781A">
        <w:rPr>
          <w:rFonts w:ascii="Calibri" w:eastAsia="SimSun" w:hAnsi="Calibri" w:cs="Calibri"/>
          <w:color w:val="000000"/>
          <w:lang w:eastAsia="zh-CN"/>
        </w:rPr>
        <w:t xml:space="preserve">statues </w:t>
      </w:r>
      <w:r w:rsidRPr="00B02D52">
        <w:rPr>
          <w:rFonts w:ascii="Calibri" w:eastAsia="SimSun" w:hAnsi="Calibri" w:cs="Calibri"/>
          <w:color w:val="000000"/>
          <w:lang w:eastAsia="zh-CN"/>
        </w:rPr>
        <w:t>and court rulings. The study's results demonstrate that the claim of enforcing the Anti-Blasphemy Law with the aim of maintaining public order is not substantiated by evidence. Instead, the neglectful and ambiguous enforcement of the law has depleted trust in Indonesia's legal system, resulting in social injustice. Additionally, instances of blasphemy in Indonesia have often led to acts of vigilante justice, which are legitimized by the law.</w:t>
      </w:r>
      <w:r>
        <w:rPr>
          <w:rFonts w:ascii="Calibri" w:eastAsia="SimSun" w:hAnsi="Calibri" w:cs="Calibri"/>
          <w:color w:val="000000"/>
          <w:lang w:eastAsia="zh-CN"/>
        </w:rPr>
        <w:t xml:space="preserve"> </w:t>
      </w:r>
      <w:r w:rsidRPr="00B02D52">
        <w:rPr>
          <w:rFonts w:ascii="Calibri" w:eastAsia="SimSun" w:hAnsi="Calibri" w:cs="Calibri"/>
          <w:color w:val="000000"/>
          <w:lang w:eastAsia="zh-CN"/>
        </w:rPr>
        <w:t>Among many factors, the study points to the rising Islamic populism in Indonesia as a major contributor to such behavior. Continuing to enforce the Anti-Blasphemy Law disregards the democratic foundations and the rule of law, making social justice unattainable.</w:t>
      </w:r>
      <w:r>
        <w:rPr>
          <w:rFonts w:ascii="Calibri" w:eastAsia="SimSun" w:hAnsi="Calibri" w:cs="Calibri"/>
          <w:color w:val="000000"/>
          <w:lang w:eastAsia="zh-CN"/>
        </w:rPr>
        <w:t xml:space="preserve"> </w:t>
      </w:r>
    </w:p>
    <w:p w14:paraId="51513257" w14:textId="60B55C61" w:rsidR="00B02D52" w:rsidRDefault="00AA781A" w:rsidP="00697B6F">
      <w:pPr>
        <w:rPr>
          <w:rFonts w:ascii="Calibri" w:eastAsia="SimSun" w:hAnsi="Calibri" w:cs="Calibri"/>
          <w:b/>
          <w:color w:val="000000"/>
          <w:lang w:eastAsia="zh-CN"/>
        </w:rPr>
      </w:pPr>
      <w:r>
        <w:rPr>
          <w:rFonts w:ascii="Calibri" w:eastAsia="SimSun" w:hAnsi="Calibri" w:cs="Calibri"/>
          <w:b/>
          <w:color w:val="000000"/>
          <w:lang w:eastAsia="zh-CN"/>
        </w:rPr>
        <w:t>Keywords: vigilante justice, anti-blasphemy law enforcement, Indonesia, human rights, social justice.</w:t>
      </w:r>
    </w:p>
    <w:p w14:paraId="7D509510" w14:textId="77777777" w:rsidR="00AA781A" w:rsidRDefault="00AA781A" w:rsidP="00697B6F">
      <w:pPr>
        <w:rPr>
          <w:rFonts w:ascii="Calibri" w:eastAsia="SimSun" w:hAnsi="Calibri" w:cs="Calibri"/>
          <w:b/>
          <w:color w:val="000000"/>
          <w:lang w:eastAsia="zh-CN"/>
        </w:rPr>
      </w:pPr>
    </w:p>
    <w:p w14:paraId="33051E4E" w14:textId="77777777" w:rsidR="001702FC" w:rsidRPr="00042460" w:rsidRDefault="0055514C" w:rsidP="00940329">
      <w:pPr>
        <w:ind w:firstLine="0"/>
        <w:rPr>
          <w:rFonts w:ascii="Calibri" w:eastAsia="SimSun" w:hAnsi="Calibri" w:cs="Calibri"/>
          <w:b/>
          <w:color w:val="000000"/>
          <w:lang w:eastAsia="zh-CN"/>
        </w:rPr>
      </w:pPr>
      <w:r>
        <w:rPr>
          <w:rFonts w:ascii="Calibri" w:eastAsia="SimSun" w:hAnsi="Calibri" w:cs="Calibri"/>
          <w:b/>
          <w:color w:val="000000"/>
          <w:lang w:eastAsia="zh-CN"/>
        </w:rPr>
        <w:t>ABOUT THE SPEAKER</w:t>
      </w:r>
    </w:p>
    <w:p w14:paraId="666862FC" w14:textId="77777777" w:rsidR="0055514C" w:rsidRDefault="0055514C" w:rsidP="001702FC">
      <w:pPr>
        <w:rPr>
          <w:rFonts w:ascii="Calibri" w:hAnsi="Calibri" w:cs="Calibri"/>
          <w:color w:val="000000"/>
          <w:lang w:val="en-AU"/>
        </w:rPr>
      </w:pPr>
    </w:p>
    <w:p w14:paraId="4DAA56C8" w14:textId="61593B98" w:rsidR="001702FC" w:rsidRPr="00042460" w:rsidRDefault="00426118" w:rsidP="00AA781A">
      <w:pPr>
        <w:ind w:firstLine="720"/>
        <w:jc w:val="both"/>
        <w:rPr>
          <w:rFonts w:ascii="Calibri" w:hAnsi="Calibri" w:cs="Calibri"/>
          <w:color w:val="000000"/>
          <w:lang w:val="en-AU"/>
        </w:rPr>
      </w:pPr>
      <w:proofErr w:type="spellStart"/>
      <w:r w:rsidRPr="00426118">
        <w:rPr>
          <w:rFonts w:ascii="Calibri" w:hAnsi="Calibri" w:cs="Calibri"/>
          <w:color w:val="000000"/>
          <w:lang w:val="en-AU"/>
        </w:rPr>
        <w:t>Cekli</w:t>
      </w:r>
      <w:proofErr w:type="spellEnd"/>
      <w:r w:rsidRPr="00426118">
        <w:rPr>
          <w:rFonts w:ascii="Calibri" w:hAnsi="Calibri" w:cs="Calibri"/>
          <w:color w:val="000000"/>
          <w:lang w:val="en-AU"/>
        </w:rPr>
        <w:t xml:space="preserve"> </w:t>
      </w:r>
      <w:proofErr w:type="spellStart"/>
      <w:r w:rsidRPr="00426118">
        <w:rPr>
          <w:rFonts w:ascii="Calibri" w:hAnsi="Calibri" w:cs="Calibri"/>
          <w:color w:val="000000"/>
          <w:lang w:val="en-AU"/>
        </w:rPr>
        <w:t>Setya</w:t>
      </w:r>
      <w:proofErr w:type="spellEnd"/>
      <w:r w:rsidRPr="00426118">
        <w:rPr>
          <w:rFonts w:ascii="Calibri" w:hAnsi="Calibri" w:cs="Calibri"/>
          <w:color w:val="000000"/>
          <w:lang w:val="en-AU"/>
        </w:rPr>
        <w:t xml:space="preserve"> </w:t>
      </w:r>
      <w:proofErr w:type="spellStart"/>
      <w:r w:rsidRPr="00426118">
        <w:rPr>
          <w:rFonts w:ascii="Calibri" w:hAnsi="Calibri" w:cs="Calibri"/>
          <w:color w:val="000000"/>
          <w:lang w:val="en-AU"/>
        </w:rPr>
        <w:t>Pratiwi</w:t>
      </w:r>
      <w:proofErr w:type="spellEnd"/>
      <w:r w:rsidRPr="00426118">
        <w:rPr>
          <w:rFonts w:ascii="Calibri" w:hAnsi="Calibri" w:cs="Calibri"/>
          <w:color w:val="000000"/>
          <w:lang w:val="en-AU"/>
        </w:rPr>
        <w:t xml:space="preserve"> is an experienced law professor at the Law Faculty of Universitas Muhammadiyah Malang (UMM) who is actively engaged in human rights and peace studies as a PhD candidate. She is a distinguished tutor of a human rights program on standard and mechanisms at the IHRP Mahidol University. </w:t>
      </w:r>
      <w:proofErr w:type="spellStart"/>
      <w:r w:rsidRPr="00426118">
        <w:rPr>
          <w:rFonts w:ascii="Calibri" w:hAnsi="Calibri" w:cs="Calibri"/>
          <w:color w:val="000000"/>
          <w:lang w:val="en-AU"/>
        </w:rPr>
        <w:t>Pratiwi</w:t>
      </w:r>
      <w:proofErr w:type="spellEnd"/>
      <w:r w:rsidRPr="00426118">
        <w:rPr>
          <w:rFonts w:ascii="Calibri" w:hAnsi="Calibri" w:cs="Calibri"/>
          <w:color w:val="000000"/>
          <w:lang w:val="en-AU"/>
        </w:rPr>
        <w:t xml:space="preserve"> holds a Master's degree in Comparative Law from J. Reuben Clark Law School, Brigham Young University</w:t>
      </w:r>
      <w:r w:rsidR="00AA781A">
        <w:rPr>
          <w:rFonts w:ascii="Calibri" w:hAnsi="Calibri" w:cs="Calibri"/>
          <w:color w:val="000000"/>
          <w:lang w:val="en-AU"/>
        </w:rPr>
        <w:t xml:space="preserve"> (2019) </w:t>
      </w:r>
      <w:r w:rsidRPr="00426118">
        <w:rPr>
          <w:rFonts w:ascii="Calibri" w:hAnsi="Calibri" w:cs="Calibri"/>
          <w:color w:val="000000"/>
          <w:lang w:val="en-AU"/>
        </w:rPr>
        <w:t>and an LLM degree in International and European Protection of Human Rights from School of Law, Utrecht University</w:t>
      </w:r>
      <w:r w:rsidR="00AA781A">
        <w:rPr>
          <w:rFonts w:ascii="Calibri" w:hAnsi="Calibri" w:cs="Calibri"/>
          <w:color w:val="000000"/>
          <w:lang w:val="en-AU"/>
        </w:rPr>
        <w:t xml:space="preserve"> (2006)</w:t>
      </w:r>
      <w:r w:rsidRPr="00426118">
        <w:rPr>
          <w:rFonts w:ascii="Calibri" w:hAnsi="Calibri" w:cs="Calibri"/>
          <w:color w:val="000000"/>
          <w:lang w:val="en-AU"/>
        </w:rPr>
        <w:t xml:space="preserve">. Her research work on law, religious law, and human rights law is widely acclaimed and a few examples of her publications include peer-reviewed articles such as Blasphemy Law as Structural Violence (Muslim World Journal of Human Rights, 2020), Rethinking the Constitutionality of Anti-Blasphemy Law (Constitutional Review, 2021), and Indonesia's Legal Policies amidst Covid-19: Balancing Public Health and Religious Freedom (Journal of Southeast Asian Human Rights Journal, 2022). Since 2011, she has been involved in teaching the Master Course on Shariah and Human Rights organized by UMM, the ICLRS, and the Norwegian </w:t>
      </w:r>
      <w:proofErr w:type="spellStart"/>
      <w:r w:rsidRPr="00426118">
        <w:rPr>
          <w:rFonts w:ascii="Calibri" w:hAnsi="Calibri" w:cs="Calibri"/>
          <w:color w:val="000000"/>
          <w:lang w:val="en-AU"/>
        </w:rPr>
        <w:t>Center</w:t>
      </w:r>
      <w:proofErr w:type="spellEnd"/>
      <w:r w:rsidRPr="00426118">
        <w:rPr>
          <w:rFonts w:ascii="Calibri" w:hAnsi="Calibri" w:cs="Calibri"/>
          <w:color w:val="000000"/>
          <w:lang w:val="en-AU"/>
        </w:rPr>
        <w:t xml:space="preserve"> for Human Rights, and is an editor-in-chief of a book titled </w:t>
      </w:r>
      <w:proofErr w:type="spellStart"/>
      <w:r w:rsidRPr="00426118">
        <w:rPr>
          <w:rFonts w:ascii="Calibri" w:hAnsi="Calibri" w:cs="Calibri"/>
          <w:color w:val="000000"/>
          <w:lang w:val="en-AU"/>
        </w:rPr>
        <w:t>Shari'a</w:t>
      </w:r>
      <w:proofErr w:type="spellEnd"/>
      <w:r w:rsidRPr="00426118">
        <w:rPr>
          <w:rFonts w:ascii="Calibri" w:hAnsi="Calibri" w:cs="Calibri"/>
          <w:color w:val="000000"/>
          <w:lang w:val="en-AU"/>
        </w:rPr>
        <w:t xml:space="preserve"> and Human Rights: A Coursebook (</w:t>
      </w:r>
      <w:proofErr w:type="spellStart"/>
      <w:r w:rsidRPr="00426118">
        <w:rPr>
          <w:rFonts w:ascii="Calibri" w:hAnsi="Calibri" w:cs="Calibri"/>
          <w:color w:val="000000"/>
          <w:lang w:val="en-AU"/>
        </w:rPr>
        <w:t>Mizan</w:t>
      </w:r>
      <w:proofErr w:type="spellEnd"/>
      <w:r w:rsidRPr="00426118">
        <w:rPr>
          <w:rFonts w:ascii="Calibri" w:hAnsi="Calibri" w:cs="Calibri"/>
          <w:color w:val="000000"/>
          <w:lang w:val="en-AU"/>
        </w:rPr>
        <w:t xml:space="preserve"> Publisher, 2022) written in two languages, as well as the main author of A Study of the Second Amendment of the Bill of Informati</w:t>
      </w:r>
      <w:r>
        <w:rPr>
          <w:rFonts w:ascii="Calibri" w:hAnsi="Calibri" w:cs="Calibri"/>
          <w:color w:val="000000"/>
          <w:lang w:val="en-AU"/>
        </w:rPr>
        <w:t>on</w:t>
      </w:r>
      <w:r w:rsidRPr="00426118">
        <w:rPr>
          <w:rFonts w:ascii="Calibri" w:hAnsi="Calibri" w:cs="Calibri"/>
          <w:color w:val="000000"/>
          <w:lang w:val="en-AU"/>
        </w:rPr>
        <w:t xml:space="preserve"> and Electronic Transaction in Indonesia Relevan</w:t>
      </w:r>
      <w:r w:rsidR="00714970">
        <w:rPr>
          <w:rFonts w:ascii="Calibri" w:hAnsi="Calibri" w:cs="Calibri"/>
          <w:color w:val="000000"/>
          <w:lang w:val="en-AU"/>
        </w:rPr>
        <w:t>cy</w:t>
      </w:r>
      <w:r w:rsidRPr="00426118">
        <w:rPr>
          <w:rFonts w:ascii="Calibri" w:hAnsi="Calibri" w:cs="Calibri"/>
          <w:color w:val="000000"/>
          <w:lang w:val="en-AU"/>
        </w:rPr>
        <w:t xml:space="preserve"> to the Right of Freedom of Expression (</w:t>
      </w:r>
      <w:r w:rsidR="00AA781A">
        <w:rPr>
          <w:rFonts w:ascii="Calibri" w:hAnsi="Calibri" w:cs="Calibri"/>
          <w:color w:val="000000"/>
          <w:lang w:val="en-AU"/>
        </w:rPr>
        <w:t>National Human Rights Commission of Indonesia /</w:t>
      </w:r>
      <w:r w:rsidRPr="00426118">
        <w:rPr>
          <w:rFonts w:ascii="Calibri" w:hAnsi="Calibri" w:cs="Calibri"/>
          <w:color w:val="000000"/>
          <w:lang w:val="en-AU"/>
        </w:rPr>
        <w:t>KOMNAS-HAM, 2022).</w:t>
      </w:r>
      <w:r w:rsidR="008C602E">
        <w:rPr>
          <w:rFonts w:ascii="Calibri" w:hAnsi="Calibri" w:cs="Calibri"/>
          <w:color w:val="000000"/>
          <w:lang w:val="en-AU"/>
        </w:rPr>
        <w:t xml:space="preserve"> </w:t>
      </w:r>
      <w:r w:rsidR="00AA781A">
        <w:rPr>
          <w:rFonts w:ascii="Calibri" w:hAnsi="Calibri" w:cs="Calibri"/>
          <w:color w:val="000000"/>
          <w:lang w:val="en-AU"/>
        </w:rPr>
        <w:t xml:space="preserve">Currently she is pointed by KOMNAS-HAM as an expert on building a guideline for Human Rights Compliance Assessment for State Institutions. </w:t>
      </w:r>
    </w:p>
    <w:p w14:paraId="1AD00C74" w14:textId="77777777" w:rsidR="00697B6F" w:rsidRPr="00042460" w:rsidRDefault="00697B6F" w:rsidP="00697B6F">
      <w:pPr>
        <w:pBdr>
          <w:bottom w:val="single" w:sz="6" w:space="1" w:color="auto"/>
        </w:pBdr>
        <w:rPr>
          <w:rFonts w:ascii="Calibri" w:eastAsia="SimSun" w:hAnsi="Calibri" w:cs="Calibri"/>
          <w:lang w:val="en-AU" w:eastAsia="zh-CN"/>
        </w:rPr>
      </w:pPr>
    </w:p>
    <w:p w14:paraId="16FCB27F" w14:textId="77777777" w:rsidR="00B053B4" w:rsidRPr="00042460" w:rsidRDefault="00B053B4" w:rsidP="00B053B4">
      <w:pPr>
        <w:rPr>
          <w:rFonts w:ascii="Calibri" w:hAnsi="Calibri" w:cs="Calibri"/>
        </w:rPr>
      </w:pPr>
    </w:p>
    <w:p w14:paraId="525ED336" w14:textId="4A8BB81C" w:rsidR="004C38B8" w:rsidRDefault="00F945CD" w:rsidP="00940329">
      <w:pPr>
        <w:ind w:firstLine="0"/>
        <w:rPr>
          <w:rFonts w:ascii="Calibri" w:hAnsi="Calibri" w:cs="Calibri"/>
          <w:b/>
          <w:color w:val="000000"/>
          <w:lang w:val="en-AU"/>
        </w:rPr>
      </w:pPr>
      <w:r w:rsidRPr="00F945CD">
        <w:rPr>
          <w:rFonts w:ascii="Calibri" w:hAnsi="Calibri" w:cs="Calibri"/>
          <w:b/>
          <w:color w:val="000000"/>
          <w:lang w:val="en-AU"/>
        </w:rPr>
        <w:t>INTRODUCTION</w:t>
      </w:r>
    </w:p>
    <w:p w14:paraId="3832F116" w14:textId="31BD4CF5" w:rsidR="00AA5BD3" w:rsidRPr="00AA5BD3" w:rsidRDefault="00AA5BD3" w:rsidP="00AA5BD3">
      <w:pPr>
        <w:ind w:firstLine="720"/>
        <w:jc w:val="both"/>
        <w:rPr>
          <w:rFonts w:ascii="Calibri" w:hAnsi="Calibri" w:cs="Calibri"/>
          <w:b/>
          <w:color w:val="000000"/>
          <w:sz w:val="28"/>
          <w:szCs w:val="28"/>
          <w:lang w:val="en-AU"/>
        </w:rPr>
      </w:pPr>
      <w:r w:rsidRPr="00AA5BD3">
        <w:rPr>
          <w:rFonts w:ascii="Calibri" w:hAnsi="Calibri" w:cs="Calibri"/>
          <w:b/>
          <w:color w:val="000000"/>
          <w:sz w:val="28"/>
          <w:szCs w:val="28"/>
          <w:lang w:val="en-AU"/>
        </w:rPr>
        <w:t xml:space="preserve">Di </w:t>
      </w:r>
      <w:proofErr w:type="spellStart"/>
      <w:r w:rsidRPr="00AA5BD3">
        <w:rPr>
          <w:rFonts w:ascii="Calibri" w:hAnsi="Calibri" w:cs="Calibri"/>
          <w:b/>
          <w:color w:val="000000"/>
          <w:sz w:val="28"/>
          <w:szCs w:val="28"/>
          <w:lang w:val="en-AU"/>
        </w:rPr>
        <w:t>tengah</w:t>
      </w:r>
      <w:proofErr w:type="spellEnd"/>
      <w:r w:rsidRPr="00AA5BD3">
        <w:rPr>
          <w:rFonts w:ascii="Calibri" w:hAnsi="Calibri" w:cs="Calibri"/>
          <w:b/>
          <w:color w:val="000000"/>
          <w:sz w:val="28"/>
          <w:szCs w:val="28"/>
          <w:lang w:val="en-AU"/>
        </w:rPr>
        <w:t xml:space="preserve"> </w:t>
      </w:r>
      <w:proofErr w:type="spellStart"/>
      <w:r w:rsidRPr="00AA5BD3">
        <w:rPr>
          <w:rFonts w:ascii="Calibri" w:hAnsi="Calibri" w:cs="Calibri"/>
          <w:b/>
          <w:color w:val="000000"/>
          <w:sz w:val="28"/>
          <w:szCs w:val="28"/>
          <w:lang w:val="en-AU"/>
        </w:rPr>
        <w:t>penegakan</w:t>
      </w:r>
      <w:proofErr w:type="spellEnd"/>
      <w:r w:rsidRPr="00AA5BD3">
        <w:rPr>
          <w:rFonts w:ascii="Calibri" w:hAnsi="Calibri" w:cs="Calibri"/>
          <w:b/>
          <w:color w:val="000000"/>
          <w:sz w:val="28"/>
          <w:szCs w:val="28"/>
          <w:lang w:val="en-AU"/>
        </w:rPr>
        <w:t xml:space="preserve"> </w:t>
      </w:r>
      <w:proofErr w:type="spellStart"/>
      <w:r w:rsidRPr="00AA5BD3">
        <w:rPr>
          <w:rFonts w:ascii="Calibri" w:hAnsi="Calibri" w:cs="Calibri"/>
          <w:b/>
          <w:color w:val="000000"/>
          <w:sz w:val="28"/>
          <w:szCs w:val="28"/>
          <w:lang w:val="en-AU"/>
        </w:rPr>
        <w:t>hukum</w:t>
      </w:r>
      <w:proofErr w:type="spellEnd"/>
      <w:r w:rsidRPr="00AA5BD3">
        <w:rPr>
          <w:rFonts w:ascii="Calibri" w:hAnsi="Calibri" w:cs="Calibri"/>
          <w:b/>
          <w:color w:val="000000"/>
          <w:sz w:val="28"/>
          <w:szCs w:val="28"/>
          <w:lang w:val="en-AU"/>
        </w:rPr>
        <w:t xml:space="preserve"> </w:t>
      </w:r>
      <w:proofErr w:type="spellStart"/>
      <w:r w:rsidRPr="00AA5BD3">
        <w:rPr>
          <w:rFonts w:ascii="Calibri" w:hAnsi="Calibri" w:cs="Calibri"/>
          <w:b/>
          <w:color w:val="000000"/>
          <w:sz w:val="28"/>
          <w:szCs w:val="28"/>
          <w:lang w:val="en-AU"/>
        </w:rPr>
        <w:t>terhadap</w:t>
      </w:r>
      <w:proofErr w:type="spellEnd"/>
      <w:r w:rsidRPr="00AA5BD3">
        <w:rPr>
          <w:rFonts w:ascii="Calibri" w:hAnsi="Calibri" w:cs="Calibri"/>
          <w:b/>
          <w:color w:val="000000"/>
          <w:sz w:val="28"/>
          <w:szCs w:val="28"/>
          <w:lang w:val="en-AU"/>
        </w:rPr>
        <w:t xml:space="preserve"> </w:t>
      </w:r>
      <w:proofErr w:type="spellStart"/>
      <w:r w:rsidRPr="00AA5BD3">
        <w:rPr>
          <w:rFonts w:ascii="Calibri" w:hAnsi="Calibri" w:cs="Calibri"/>
          <w:b/>
          <w:color w:val="000000"/>
          <w:sz w:val="28"/>
          <w:szCs w:val="28"/>
          <w:lang w:val="en-AU"/>
        </w:rPr>
        <w:t>tertuduh</w:t>
      </w:r>
      <w:proofErr w:type="spellEnd"/>
      <w:r w:rsidRPr="00AA5BD3">
        <w:rPr>
          <w:rFonts w:ascii="Calibri" w:hAnsi="Calibri" w:cs="Calibri"/>
          <w:b/>
          <w:color w:val="000000"/>
          <w:sz w:val="28"/>
          <w:szCs w:val="28"/>
          <w:lang w:val="en-AU"/>
        </w:rPr>
        <w:t xml:space="preserve"> blasphemy </w:t>
      </w:r>
      <w:proofErr w:type="spellStart"/>
      <w:r w:rsidRPr="00AA5BD3">
        <w:rPr>
          <w:rFonts w:ascii="Calibri" w:hAnsi="Calibri" w:cs="Calibri"/>
          <w:b/>
          <w:color w:val="000000"/>
          <w:sz w:val="28"/>
          <w:szCs w:val="28"/>
          <w:lang w:val="en-AU"/>
        </w:rPr>
        <w:t>berlangsung</w:t>
      </w:r>
      <w:proofErr w:type="spellEnd"/>
      <w:r w:rsidRPr="00AA5BD3">
        <w:rPr>
          <w:rFonts w:ascii="Calibri" w:hAnsi="Calibri" w:cs="Calibri"/>
          <w:b/>
          <w:color w:val="000000"/>
          <w:sz w:val="28"/>
          <w:szCs w:val="28"/>
          <w:lang w:val="en-AU"/>
        </w:rPr>
        <w:t xml:space="preserve">, vigilante justice </w:t>
      </w:r>
      <w:proofErr w:type="spellStart"/>
      <w:r w:rsidRPr="00AA5BD3">
        <w:rPr>
          <w:rFonts w:ascii="Calibri" w:hAnsi="Calibri" w:cs="Calibri"/>
          <w:b/>
          <w:color w:val="000000"/>
          <w:sz w:val="28"/>
          <w:szCs w:val="28"/>
          <w:lang w:val="en-AU"/>
        </w:rPr>
        <w:t>melawan</w:t>
      </w:r>
      <w:proofErr w:type="spellEnd"/>
      <w:r w:rsidRPr="00AA5BD3">
        <w:rPr>
          <w:rFonts w:ascii="Calibri" w:hAnsi="Calibri" w:cs="Calibri"/>
          <w:b/>
          <w:color w:val="000000"/>
          <w:sz w:val="28"/>
          <w:szCs w:val="28"/>
          <w:lang w:val="en-AU"/>
        </w:rPr>
        <w:t xml:space="preserve"> </w:t>
      </w:r>
      <w:proofErr w:type="spellStart"/>
      <w:r w:rsidRPr="00AA5BD3">
        <w:rPr>
          <w:rFonts w:ascii="Calibri" w:hAnsi="Calibri" w:cs="Calibri"/>
          <w:b/>
          <w:color w:val="000000"/>
          <w:sz w:val="28"/>
          <w:szCs w:val="28"/>
          <w:lang w:val="en-AU"/>
        </w:rPr>
        <w:t>mereka</w:t>
      </w:r>
      <w:proofErr w:type="spellEnd"/>
      <w:r w:rsidRPr="00AA5BD3">
        <w:rPr>
          <w:rFonts w:ascii="Calibri" w:hAnsi="Calibri" w:cs="Calibri"/>
          <w:b/>
          <w:color w:val="000000"/>
          <w:sz w:val="28"/>
          <w:szCs w:val="28"/>
          <w:lang w:val="en-AU"/>
        </w:rPr>
        <w:t xml:space="preserve"> </w:t>
      </w:r>
      <w:proofErr w:type="spellStart"/>
      <w:r w:rsidRPr="00AA5BD3">
        <w:rPr>
          <w:rFonts w:ascii="Calibri" w:hAnsi="Calibri" w:cs="Calibri"/>
          <w:b/>
          <w:color w:val="000000"/>
          <w:sz w:val="28"/>
          <w:szCs w:val="28"/>
          <w:lang w:val="en-AU"/>
        </w:rPr>
        <w:t>atau</w:t>
      </w:r>
      <w:proofErr w:type="spellEnd"/>
      <w:r w:rsidRPr="00AA5BD3">
        <w:rPr>
          <w:rFonts w:ascii="Calibri" w:hAnsi="Calibri" w:cs="Calibri"/>
          <w:b/>
          <w:color w:val="000000"/>
          <w:sz w:val="28"/>
          <w:szCs w:val="28"/>
          <w:lang w:val="en-AU"/>
        </w:rPr>
        <w:t xml:space="preserve"> para </w:t>
      </w:r>
      <w:proofErr w:type="spellStart"/>
      <w:r w:rsidRPr="00AA5BD3">
        <w:rPr>
          <w:rFonts w:ascii="Calibri" w:hAnsi="Calibri" w:cs="Calibri"/>
          <w:b/>
          <w:color w:val="000000"/>
          <w:sz w:val="28"/>
          <w:szCs w:val="28"/>
          <w:lang w:val="en-AU"/>
        </w:rPr>
        <w:t>pengikutnya</w:t>
      </w:r>
      <w:proofErr w:type="spellEnd"/>
      <w:r w:rsidRPr="00AA5BD3">
        <w:rPr>
          <w:rFonts w:ascii="Calibri" w:hAnsi="Calibri" w:cs="Calibri"/>
          <w:b/>
          <w:color w:val="000000"/>
          <w:sz w:val="28"/>
          <w:szCs w:val="28"/>
          <w:lang w:val="en-AU"/>
        </w:rPr>
        <w:t xml:space="preserve"> </w:t>
      </w:r>
      <w:proofErr w:type="spellStart"/>
      <w:r w:rsidRPr="00AA5BD3">
        <w:rPr>
          <w:rFonts w:ascii="Calibri" w:hAnsi="Calibri" w:cs="Calibri"/>
          <w:b/>
          <w:color w:val="000000"/>
          <w:sz w:val="28"/>
          <w:szCs w:val="28"/>
          <w:lang w:val="en-AU"/>
        </w:rPr>
        <w:t>tetap</w:t>
      </w:r>
      <w:proofErr w:type="spellEnd"/>
      <w:r w:rsidRPr="00AA5BD3">
        <w:rPr>
          <w:rFonts w:ascii="Calibri" w:hAnsi="Calibri" w:cs="Calibri"/>
          <w:b/>
          <w:color w:val="000000"/>
          <w:sz w:val="28"/>
          <w:szCs w:val="28"/>
          <w:lang w:val="en-AU"/>
        </w:rPr>
        <w:t xml:space="preserve"> </w:t>
      </w:r>
      <w:proofErr w:type="spellStart"/>
      <w:r w:rsidRPr="00AA5BD3">
        <w:rPr>
          <w:rFonts w:ascii="Calibri" w:hAnsi="Calibri" w:cs="Calibri"/>
          <w:b/>
          <w:color w:val="000000"/>
          <w:sz w:val="28"/>
          <w:szCs w:val="28"/>
          <w:lang w:val="en-AU"/>
        </w:rPr>
        <w:t>terjadi</w:t>
      </w:r>
      <w:proofErr w:type="spellEnd"/>
      <w:r w:rsidRPr="00AA5BD3">
        <w:rPr>
          <w:rFonts w:ascii="Calibri" w:hAnsi="Calibri" w:cs="Calibri"/>
          <w:b/>
          <w:color w:val="000000"/>
          <w:sz w:val="28"/>
          <w:szCs w:val="28"/>
          <w:lang w:val="en-AU"/>
        </w:rPr>
        <w:t xml:space="preserve">. Vigilante justice yang </w:t>
      </w:r>
      <w:proofErr w:type="spellStart"/>
      <w:r w:rsidRPr="00AA5BD3">
        <w:rPr>
          <w:rFonts w:ascii="Calibri" w:hAnsi="Calibri" w:cs="Calibri"/>
          <w:b/>
          <w:color w:val="000000"/>
          <w:sz w:val="28"/>
          <w:szCs w:val="28"/>
          <w:lang w:val="en-AU"/>
        </w:rPr>
        <w:t>umumnya</w:t>
      </w:r>
      <w:proofErr w:type="spellEnd"/>
      <w:r w:rsidRPr="00AA5BD3">
        <w:rPr>
          <w:rFonts w:ascii="Calibri" w:hAnsi="Calibri" w:cs="Calibri"/>
          <w:b/>
          <w:color w:val="000000"/>
          <w:sz w:val="28"/>
          <w:szCs w:val="28"/>
          <w:lang w:val="en-AU"/>
        </w:rPr>
        <w:t xml:space="preserve"> </w:t>
      </w:r>
      <w:proofErr w:type="spellStart"/>
      <w:r w:rsidRPr="00AA5BD3">
        <w:rPr>
          <w:rFonts w:ascii="Calibri" w:hAnsi="Calibri" w:cs="Calibri"/>
          <w:b/>
          <w:color w:val="000000"/>
          <w:sz w:val="28"/>
          <w:szCs w:val="28"/>
          <w:lang w:val="en-AU"/>
        </w:rPr>
        <w:t>dilakukan</w:t>
      </w:r>
      <w:proofErr w:type="spellEnd"/>
      <w:r w:rsidRPr="00AA5BD3">
        <w:rPr>
          <w:rFonts w:ascii="Calibri" w:hAnsi="Calibri" w:cs="Calibri"/>
          <w:b/>
          <w:color w:val="000000"/>
          <w:sz w:val="28"/>
          <w:szCs w:val="28"/>
          <w:lang w:val="en-AU"/>
        </w:rPr>
        <w:t xml:space="preserve"> oleh </w:t>
      </w:r>
      <w:proofErr w:type="spellStart"/>
      <w:r w:rsidRPr="00AA5BD3">
        <w:rPr>
          <w:rFonts w:ascii="Calibri" w:hAnsi="Calibri" w:cs="Calibri"/>
          <w:b/>
          <w:color w:val="000000"/>
          <w:sz w:val="28"/>
          <w:szCs w:val="28"/>
          <w:lang w:val="en-AU"/>
        </w:rPr>
        <w:t>masyarakat</w:t>
      </w:r>
      <w:proofErr w:type="spellEnd"/>
      <w:r w:rsidRPr="00AA5BD3">
        <w:rPr>
          <w:rFonts w:ascii="Calibri" w:hAnsi="Calibri" w:cs="Calibri"/>
          <w:b/>
          <w:color w:val="000000"/>
          <w:sz w:val="28"/>
          <w:szCs w:val="28"/>
          <w:lang w:val="en-AU"/>
        </w:rPr>
        <w:t xml:space="preserve"> </w:t>
      </w:r>
      <w:proofErr w:type="spellStart"/>
      <w:r w:rsidRPr="00AA5BD3">
        <w:rPr>
          <w:rFonts w:ascii="Calibri" w:hAnsi="Calibri" w:cs="Calibri"/>
          <w:b/>
          <w:color w:val="000000"/>
          <w:sz w:val="28"/>
          <w:szCs w:val="28"/>
          <w:lang w:val="en-AU"/>
        </w:rPr>
        <w:t>karena</w:t>
      </w:r>
      <w:proofErr w:type="spellEnd"/>
      <w:r w:rsidRPr="00AA5BD3">
        <w:rPr>
          <w:rFonts w:ascii="Calibri" w:hAnsi="Calibri" w:cs="Calibri"/>
          <w:b/>
          <w:color w:val="000000"/>
          <w:sz w:val="28"/>
          <w:szCs w:val="28"/>
          <w:lang w:val="en-AU"/>
        </w:rPr>
        <w:t xml:space="preserve"> </w:t>
      </w:r>
      <w:proofErr w:type="spellStart"/>
      <w:r w:rsidRPr="00AA5BD3">
        <w:rPr>
          <w:rFonts w:ascii="Calibri" w:hAnsi="Calibri" w:cs="Calibri"/>
          <w:b/>
          <w:color w:val="000000"/>
          <w:sz w:val="28"/>
          <w:szCs w:val="28"/>
          <w:lang w:val="en-AU"/>
        </w:rPr>
        <w:t>ketidakpuasan</w:t>
      </w:r>
      <w:proofErr w:type="spellEnd"/>
      <w:r w:rsidRPr="00AA5BD3">
        <w:rPr>
          <w:rFonts w:ascii="Calibri" w:hAnsi="Calibri" w:cs="Calibri"/>
          <w:b/>
          <w:color w:val="000000"/>
          <w:sz w:val="28"/>
          <w:szCs w:val="28"/>
          <w:lang w:val="en-AU"/>
        </w:rPr>
        <w:t xml:space="preserve"> </w:t>
      </w:r>
      <w:proofErr w:type="spellStart"/>
      <w:r w:rsidRPr="00AA5BD3">
        <w:rPr>
          <w:rFonts w:ascii="Calibri" w:hAnsi="Calibri" w:cs="Calibri"/>
          <w:b/>
          <w:color w:val="000000"/>
          <w:sz w:val="28"/>
          <w:szCs w:val="28"/>
          <w:lang w:val="en-AU"/>
        </w:rPr>
        <w:t>atas</w:t>
      </w:r>
      <w:proofErr w:type="spellEnd"/>
      <w:r w:rsidRPr="00AA5BD3">
        <w:rPr>
          <w:rFonts w:ascii="Calibri" w:hAnsi="Calibri" w:cs="Calibri"/>
          <w:b/>
          <w:color w:val="000000"/>
          <w:sz w:val="28"/>
          <w:szCs w:val="28"/>
          <w:lang w:val="en-AU"/>
        </w:rPr>
        <w:t xml:space="preserve"> </w:t>
      </w:r>
      <w:proofErr w:type="spellStart"/>
      <w:r w:rsidRPr="00AA5BD3">
        <w:rPr>
          <w:rFonts w:ascii="Calibri" w:hAnsi="Calibri" w:cs="Calibri"/>
          <w:b/>
          <w:color w:val="000000"/>
          <w:sz w:val="28"/>
          <w:szCs w:val="28"/>
          <w:lang w:val="en-AU"/>
        </w:rPr>
        <w:t>putusan</w:t>
      </w:r>
      <w:proofErr w:type="spellEnd"/>
      <w:r w:rsidRPr="00AA5BD3">
        <w:rPr>
          <w:rFonts w:ascii="Calibri" w:hAnsi="Calibri" w:cs="Calibri"/>
          <w:b/>
          <w:color w:val="000000"/>
          <w:sz w:val="28"/>
          <w:szCs w:val="28"/>
          <w:lang w:val="en-AU"/>
        </w:rPr>
        <w:t xml:space="preserve"> </w:t>
      </w:r>
      <w:proofErr w:type="spellStart"/>
      <w:r w:rsidRPr="00AA5BD3">
        <w:rPr>
          <w:rFonts w:ascii="Calibri" w:hAnsi="Calibri" w:cs="Calibri"/>
          <w:b/>
          <w:color w:val="000000"/>
          <w:sz w:val="28"/>
          <w:szCs w:val="28"/>
          <w:lang w:val="en-AU"/>
        </w:rPr>
        <w:t>pengadilan</w:t>
      </w:r>
      <w:proofErr w:type="spellEnd"/>
      <w:r w:rsidRPr="00AA5BD3">
        <w:rPr>
          <w:rFonts w:ascii="Calibri" w:hAnsi="Calibri" w:cs="Calibri"/>
          <w:b/>
          <w:color w:val="000000"/>
          <w:sz w:val="28"/>
          <w:szCs w:val="28"/>
          <w:lang w:val="en-AU"/>
        </w:rPr>
        <w:t xml:space="preserve">, </w:t>
      </w:r>
      <w:proofErr w:type="spellStart"/>
      <w:r w:rsidRPr="00AA5BD3">
        <w:rPr>
          <w:rFonts w:ascii="Calibri" w:hAnsi="Calibri" w:cs="Calibri"/>
          <w:b/>
          <w:color w:val="000000"/>
          <w:sz w:val="28"/>
          <w:szCs w:val="28"/>
          <w:lang w:val="en-AU"/>
        </w:rPr>
        <w:lastRenderedPageBreak/>
        <w:t>dalam</w:t>
      </w:r>
      <w:proofErr w:type="spellEnd"/>
      <w:r w:rsidRPr="00AA5BD3">
        <w:rPr>
          <w:rFonts w:ascii="Calibri" w:hAnsi="Calibri" w:cs="Calibri"/>
          <w:b/>
          <w:color w:val="000000"/>
          <w:sz w:val="28"/>
          <w:szCs w:val="28"/>
          <w:lang w:val="en-AU"/>
        </w:rPr>
        <w:t xml:space="preserve"> </w:t>
      </w:r>
      <w:proofErr w:type="spellStart"/>
      <w:r w:rsidRPr="00AA5BD3">
        <w:rPr>
          <w:rFonts w:ascii="Calibri" w:hAnsi="Calibri" w:cs="Calibri"/>
          <w:b/>
          <w:color w:val="000000"/>
          <w:sz w:val="28"/>
          <w:szCs w:val="28"/>
          <w:lang w:val="en-AU"/>
        </w:rPr>
        <w:t>kasus</w:t>
      </w:r>
      <w:proofErr w:type="spellEnd"/>
      <w:r w:rsidRPr="00AA5BD3">
        <w:rPr>
          <w:rFonts w:ascii="Calibri" w:hAnsi="Calibri" w:cs="Calibri"/>
          <w:b/>
          <w:color w:val="000000"/>
          <w:sz w:val="28"/>
          <w:szCs w:val="28"/>
          <w:lang w:val="en-AU"/>
        </w:rPr>
        <w:t xml:space="preserve"> blasphemy </w:t>
      </w:r>
      <w:proofErr w:type="spellStart"/>
      <w:r w:rsidRPr="00AA5BD3">
        <w:rPr>
          <w:rFonts w:ascii="Calibri" w:hAnsi="Calibri" w:cs="Calibri"/>
          <w:b/>
          <w:color w:val="000000"/>
          <w:sz w:val="28"/>
          <w:szCs w:val="28"/>
          <w:lang w:val="en-AU"/>
        </w:rPr>
        <w:t>studi</w:t>
      </w:r>
      <w:proofErr w:type="spellEnd"/>
      <w:r w:rsidRPr="00AA5BD3">
        <w:rPr>
          <w:rFonts w:ascii="Calibri" w:hAnsi="Calibri" w:cs="Calibri"/>
          <w:b/>
          <w:color w:val="000000"/>
          <w:sz w:val="28"/>
          <w:szCs w:val="28"/>
          <w:lang w:val="en-AU"/>
        </w:rPr>
        <w:t xml:space="preserve"> </w:t>
      </w:r>
      <w:proofErr w:type="spellStart"/>
      <w:r w:rsidRPr="00AA5BD3">
        <w:rPr>
          <w:rFonts w:ascii="Calibri" w:hAnsi="Calibri" w:cs="Calibri"/>
          <w:b/>
          <w:color w:val="000000"/>
          <w:sz w:val="28"/>
          <w:szCs w:val="28"/>
          <w:lang w:val="en-AU"/>
        </w:rPr>
        <w:t>ini</w:t>
      </w:r>
      <w:proofErr w:type="spellEnd"/>
      <w:r w:rsidRPr="00AA5BD3">
        <w:rPr>
          <w:rFonts w:ascii="Calibri" w:hAnsi="Calibri" w:cs="Calibri"/>
          <w:b/>
          <w:color w:val="000000"/>
          <w:sz w:val="28"/>
          <w:szCs w:val="28"/>
          <w:lang w:val="en-AU"/>
        </w:rPr>
        <w:t xml:space="preserve"> </w:t>
      </w:r>
      <w:proofErr w:type="spellStart"/>
      <w:r w:rsidRPr="00AA5BD3">
        <w:rPr>
          <w:rFonts w:ascii="Calibri" w:hAnsi="Calibri" w:cs="Calibri"/>
          <w:b/>
          <w:color w:val="000000"/>
          <w:sz w:val="28"/>
          <w:szCs w:val="28"/>
          <w:lang w:val="en-AU"/>
        </w:rPr>
        <w:t>menemukan</w:t>
      </w:r>
      <w:proofErr w:type="spellEnd"/>
      <w:r w:rsidRPr="00AA5BD3">
        <w:rPr>
          <w:rFonts w:ascii="Calibri" w:hAnsi="Calibri" w:cs="Calibri"/>
          <w:b/>
          <w:color w:val="000000"/>
          <w:sz w:val="28"/>
          <w:szCs w:val="28"/>
          <w:lang w:val="en-AU"/>
        </w:rPr>
        <w:t xml:space="preserve"> </w:t>
      </w:r>
      <w:proofErr w:type="spellStart"/>
      <w:r w:rsidRPr="00AA5BD3">
        <w:rPr>
          <w:rFonts w:ascii="Calibri" w:hAnsi="Calibri" w:cs="Calibri"/>
          <w:b/>
          <w:color w:val="000000"/>
          <w:sz w:val="28"/>
          <w:szCs w:val="28"/>
          <w:lang w:val="en-AU"/>
        </w:rPr>
        <w:t>bahwa</w:t>
      </w:r>
      <w:proofErr w:type="spellEnd"/>
      <w:r w:rsidRPr="00AA5BD3">
        <w:rPr>
          <w:rFonts w:ascii="Calibri" w:hAnsi="Calibri" w:cs="Calibri"/>
          <w:b/>
          <w:color w:val="000000"/>
          <w:sz w:val="28"/>
          <w:szCs w:val="28"/>
          <w:lang w:val="en-AU"/>
        </w:rPr>
        <w:t xml:space="preserve"> vigilante justice </w:t>
      </w:r>
      <w:proofErr w:type="spellStart"/>
      <w:r w:rsidRPr="00AA5BD3">
        <w:rPr>
          <w:rFonts w:ascii="Calibri" w:hAnsi="Calibri" w:cs="Calibri"/>
          <w:b/>
          <w:color w:val="000000"/>
          <w:sz w:val="28"/>
          <w:szCs w:val="28"/>
          <w:lang w:val="en-AU"/>
        </w:rPr>
        <w:t>justru</w:t>
      </w:r>
      <w:proofErr w:type="spellEnd"/>
      <w:r w:rsidRPr="00AA5BD3">
        <w:rPr>
          <w:rFonts w:ascii="Calibri" w:hAnsi="Calibri" w:cs="Calibri"/>
          <w:b/>
          <w:color w:val="000000"/>
          <w:sz w:val="28"/>
          <w:szCs w:val="28"/>
          <w:lang w:val="en-AU"/>
        </w:rPr>
        <w:t xml:space="preserve"> </w:t>
      </w:r>
      <w:proofErr w:type="spellStart"/>
      <w:r w:rsidRPr="00AA5BD3">
        <w:rPr>
          <w:rFonts w:ascii="Calibri" w:hAnsi="Calibri" w:cs="Calibri"/>
          <w:b/>
          <w:color w:val="000000"/>
          <w:sz w:val="28"/>
          <w:szCs w:val="28"/>
          <w:lang w:val="en-AU"/>
        </w:rPr>
        <w:t>terjadi</w:t>
      </w:r>
      <w:proofErr w:type="spellEnd"/>
      <w:r w:rsidRPr="00AA5BD3">
        <w:rPr>
          <w:rFonts w:ascii="Calibri" w:hAnsi="Calibri" w:cs="Calibri"/>
          <w:b/>
          <w:color w:val="000000"/>
          <w:sz w:val="28"/>
          <w:szCs w:val="28"/>
          <w:lang w:val="en-AU"/>
        </w:rPr>
        <w:t xml:space="preserve"> </w:t>
      </w:r>
      <w:proofErr w:type="spellStart"/>
      <w:r w:rsidRPr="00AA5BD3">
        <w:rPr>
          <w:rFonts w:ascii="Calibri" w:hAnsi="Calibri" w:cs="Calibri"/>
          <w:b/>
          <w:color w:val="000000"/>
          <w:sz w:val="28"/>
          <w:szCs w:val="28"/>
          <w:lang w:val="en-AU"/>
        </w:rPr>
        <w:t>sebelum</w:t>
      </w:r>
      <w:proofErr w:type="spellEnd"/>
      <w:r w:rsidRPr="00AA5BD3">
        <w:rPr>
          <w:rFonts w:ascii="Calibri" w:hAnsi="Calibri" w:cs="Calibri"/>
          <w:b/>
          <w:color w:val="000000"/>
          <w:sz w:val="28"/>
          <w:szCs w:val="28"/>
          <w:lang w:val="en-AU"/>
        </w:rPr>
        <w:t xml:space="preserve"> </w:t>
      </w:r>
      <w:proofErr w:type="spellStart"/>
      <w:r w:rsidRPr="00AA5BD3">
        <w:rPr>
          <w:rFonts w:ascii="Calibri" w:hAnsi="Calibri" w:cs="Calibri"/>
          <w:b/>
          <w:color w:val="000000"/>
          <w:sz w:val="28"/>
          <w:szCs w:val="28"/>
          <w:lang w:val="en-AU"/>
        </w:rPr>
        <w:t>pengadilan</w:t>
      </w:r>
      <w:proofErr w:type="spellEnd"/>
      <w:r w:rsidRPr="00AA5BD3">
        <w:rPr>
          <w:rFonts w:ascii="Calibri" w:hAnsi="Calibri" w:cs="Calibri"/>
          <w:b/>
          <w:color w:val="000000"/>
          <w:sz w:val="28"/>
          <w:szCs w:val="28"/>
          <w:lang w:val="en-AU"/>
        </w:rPr>
        <w:t xml:space="preserve"> </w:t>
      </w:r>
      <w:proofErr w:type="spellStart"/>
      <w:r w:rsidRPr="00AA5BD3">
        <w:rPr>
          <w:rFonts w:ascii="Calibri" w:hAnsi="Calibri" w:cs="Calibri"/>
          <w:b/>
          <w:color w:val="000000"/>
          <w:sz w:val="28"/>
          <w:szCs w:val="28"/>
          <w:lang w:val="en-AU"/>
        </w:rPr>
        <w:t>menjatuhkan</w:t>
      </w:r>
      <w:proofErr w:type="spellEnd"/>
      <w:r w:rsidRPr="00AA5BD3">
        <w:rPr>
          <w:rFonts w:ascii="Calibri" w:hAnsi="Calibri" w:cs="Calibri"/>
          <w:b/>
          <w:color w:val="000000"/>
          <w:sz w:val="28"/>
          <w:szCs w:val="28"/>
          <w:lang w:val="en-AU"/>
        </w:rPr>
        <w:t xml:space="preserve"> </w:t>
      </w:r>
      <w:proofErr w:type="spellStart"/>
      <w:r w:rsidRPr="00AA5BD3">
        <w:rPr>
          <w:rFonts w:ascii="Calibri" w:hAnsi="Calibri" w:cs="Calibri"/>
          <w:b/>
          <w:color w:val="000000"/>
          <w:sz w:val="28"/>
          <w:szCs w:val="28"/>
          <w:lang w:val="en-AU"/>
        </w:rPr>
        <w:t>putusan</w:t>
      </w:r>
      <w:proofErr w:type="spellEnd"/>
      <w:r w:rsidRPr="00AA5BD3">
        <w:rPr>
          <w:rFonts w:ascii="Calibri" w:hAnsi="Calibri" w:cs="Calibri"/>
          <w:b/>
          <w:color w:val="000000"/>
          <w:sz w:val="28"/>
          <w:szCs w:val="28"/>
          <w:lang w:val="en-AU"/>
        </w:rPr>
        <w:t xml:space="preserve"> </w:t>
      </w:r>
      <w:proofErr w:type="spellStart"/>
      <w:r w:rsidRPr="00AA5BD3">
        <w:rPr>
          <w:rFonts w:ascii="Calibri" w:hAnsi="Calibri" w:cs="Calibri"/>
          <w:b/>
          <w:color w:val="000000"/>
          <w:sz w:val="28"/>
          <w:szCs w:val="28"/>
          <w:lang w:val="en-AU"/>
        </w:rPr>
        <w:t>terhadap</w:t>
      </w:r>
      <w:proofErr w:type="spellEnd"/>
      <w:r w:rsidRPr="00AA5BD3">
        <w:rPr>
          <w:rFonts w:ascii="Calibri" w:hAnsi="Calibri" w:cs="Calibri"/>
          <w:b/>
          <w:color w:val="000000"/>
          <w:sz w:val="28"/>
          <w:szCs w:val="28"/>
          <w:lang w:val="en-AU"/>
        </w:rPr>
        <w:t xml:space="preserve"> </w:t>
      </w:r>
      <w:proofErr w:type="spellStart"/>
      <w:r w:rsidRPr="00AA5BD3">
        <w:rPr>
          <w:rFonts w:ascii="Calibri" w:hAnsi="Calibri" w:cs="Calibri"/>
          <w:b/>
          <w:color w:val="000000"/>
          <w:sz w:val="28"/>
          <w:szCs w:val="28"/>
          <w:lang w:val="en-AU"/>
        </w:rPr>
        <w:t>tertuduh</w:t>
      </w:r>
      <w:proofErr w:type="spellEnd"/>
      <w:r w:rsidRPr="00AA5BD3">
        <w:rPr>
          <w:rFonts w:ascii="Calibri" w:hAnsi="Calibri" w:cs="Calibri"/>
          <w:b/>
          <w:color w:val="000000"/>
          <w:sz w:val="28"/>
          <w:szCs w:val="28"/>
          <w:lang w:val="en-AU"/>
        </w:rPr>
        <w:t xml:space="preserve">. </w:t>
      </w:r>
      <w:proofErr w:type="spellStart"/>
      <w:r>
        <w:rPr>
          <w:rFonts w:ascii="Calibri" w:hAnsi="Calibri" w:cs="Calibri"/>
          <w:b/>
          <w:color w:val="000000"/>
          <w:sz w:val="28"/>
          <w:szCs w:val="28"/>
          <w:lang w:val="en-AU"/>
        </w:rPr>
        <w:t>Selain</w:t>
      </w:r>
      <w:proofErr w:type="spellEnd"/>
      <w:r>
        <w:rPr>
          <w:rFonts w:ascii="Calibri" w:hAnsi="Calibri" w:cs="Calibri"/>
          <w:b/>
          <w:color w:val="000000"/>
          <w:sz w:val="28"/>
          <w:szCs w:val="28"/>
          <w:lang w:val="en-AU"/>
        </w:rPr>
        <w:t xml:space="preserve"> </w:t>
      </w:r>
      <w:proofErr w:type="spellStart"/>
      <w:r>
        <w:rPr>
          <w:rFonts w:ascii="Calibri" w:hAnsi="Calibri" w:cs="Calibri"/>
          <w:b/>
          <w:color w:val="000000"/>
          <w:sz w:val="28"/>
          <w:szCs w:val="28"/>
          <w:lang w:val="en-AU"/>
        </w:rPr>
        <w:t>faktor-faktor</w:t>
      </w:r>
      <w:proofErr w:type="spellEnd"/>
      <w:r>
        <w:rPr>
          <w:rFonts w:ascii="Calibri" w:hAnsi="Calibri" w:cs="Calibri"/>
          <w:b/>
          <w:color w:val="000000"/>
          <w:sz w:val="28"/>
          <w:szCs w:val="28"/>
          <w:lang w:val="en-AU"/>
        </w:rPr>
        <w:t xml:space="preserve"> </w:t>
      </w:r>
      <w:proofErr w:type="spellStart"/>
      <w:r>
        <w:rPr>
          <w:rFonts w:ascii="Calibri" w:hAnsi="Calibri" w:cs="Calibri"/>
          <w:b/>
          <w:color w:val="000000"/>
          <w:sz w:val="28"/>
          <w:szCs w:val="28"/>
          <w:lang w:val="en-AU"/>
        </w:rPr>
        <w:t>idiologi</w:t>
      </w:r>
      <w:proofErr w:type="spellEnd"/>
      <w:r>
        <w:rPr>
          <w:rFonts w:ascii="Calibri" w:hAnsi="Calibri" w:cs="Calibri"/>
          <w:b/>
          <w:color w:val="000000"/>
          <w:sz w:val="28"/>
          <w:szCs w:val="28"/>
          <w:lang w:val="en-AU"/>
        </w:rPr>
        <w:t>, social-</w:t>
      </w:r>
      <w:proofErr w:type="spellStart"/>
      <w:r>
        <w:rPr>
          <w:rFonts w:ascii="Calibri" w:hAnsi="Calibri" w:cs="Calibri"/>
          <w:b/>
          <w:color w:val="000000"/>
          <w:sz w:val="28"/>
          <w:szCs w:val="28"/>
          <w:lang w:val="en-AU"/>
        </w:rPr>
        <w:t>budaya</w:t>
      </w:r>
      <w:proofErr w:type="spellEnd"/>
      <w:r>
        <w:rPr>
          <w:rFonts w:ascii="Calibri" w:hAnsi="Calibri" w:cs="Calibri"/>
          <w:b/>
          <w:color w:val="000000"/>
          <w:sz w:val="28"/>
          <w:szCs w:val="28"/>
          <w:lang w:val="en-AU"/>
        </w:rPr>
        <w:t xml:space="preserve">, dan </w:t>
      </w:r>
      <w:proofErr w:type="spellStart"/>
      <w:r>
        <w:rPr>
          <w:rFonts w:ascii="Calibri" w:hAnsi="Calibri" w:cs="Calibri"/>
          <w:b/>
          <w:color w:val="000000"/>
          <w:sz w:val="28"/>
          <w:szCs w:val="28"/>
          <w:lang w:val="en-AU"/>
        </w:rPr>
        <w:t>politik</w:t>
      </w:r>
      <w:proofErr w:type="spellEnd"/>
      <w:r>
        <w:rPr>
          <w:rFonts w:ascii="Calibri" w:hAnsi="Calibri" w:cs="Calibri"/>
          <w:b/>
          <w:color w:val="000000"/>
          <w:sz w:val="28"/>
          <w:szCs w:val="28"/>
          <w:lang w:val="en-AU"/>
        </w:rPr>
        <w:t>, v</w:t>
      </w:r>
      <w:r w:rsidRPr="00AA5BD3">
        <w:rPr>
          <w:rFonts w:ascii="Calibri" w:hAnsi="Calibri" w:cs="Calibri"/>
          <w:b/>
          <w:color w:val="000000"/>
          <w:sz w:val="28"/>
          <w:szCs w:val="28"/>
          <w:lang w:val="en-AU"/>
        </w:rPr>
        <w:t xml:space="preserve">igilante justice </w:t>
      </w:r>
      <w:proofErr w:type="spellStart"/>
      <w:r w:rsidRPr="00AA5BD3">
        <w:rPr>
          <w:rFonts w:ascii="Calibri" w:hAnsi="Calibri" w:cs="Calibri"/>
          <w:b/>
          <w:color w:val="000000"/>
          <w:sz w:val="28"/>
          <w:szCs w:val="28"/>
          <w:lang w:val="en-AU"/>
        </w:rPr>
        <w:t>mendapatkan</w:t>
      </w:r>
      <w:proofErr w:type="spellEnd"/>
      <w:r w:rsidRPr="00AA5BD3">
        <w:rPr>
          <w:rFonts w:ascii="Calibri" w:hAnsi="Calibri" w:cs="Calibri"/>
          <w:b/>
          <w:color w:val="000000"/>
          <w:sz w:val="28"/>
          <w:szCs w:val="28"/>
          <w:lang w:val="en-AU"/>
        </w:rPr>
        <w:t xml:space="preserve"> </w:t>
      </w:r>
      <w:proofErr w:type="spellStart"/>
      <w:r w:rsidRPr="00AA5BD3">
        <w:rPr>
          <w:rFonts w:ascii="Calibri" w:hAnsi="Calibri" w:cs="Calibri"/>
          <w:b/>
          <w:color w:val="000000"/>
          <w:sz w:val="28"/>
          <w:szCs w:val="28"/>
          <w:lang w:val="en-AU"/>
        </w:rPr>
        <w:t>legitimasi</w:t>
      </w:r>
      <w:proofErr w:type="spellEnd"/>
      <w:r w:rsidRPr="00AA5BD3">
        <w:rPr>
          <w:rFonts w:ascii="Calibri" w:hAnsi="Calibri" w:cs="Calibri"/>
          <w:b/>
          <w:color w:val="000000"/>
          <w:sz w:val="28"/>
          <w:szCs w:val="28"/>
          <w:lang w:val="en-AU"/>
        </w:rPr>
        <w:t xml:space="preserve"> </w:t>
      </w:r>
      <w:proofErr w:type="spellStart"/>
      <w:r w:rsidRPr="00AA5BD3">
        <w:rPr>
          <w:rFonts w:ascii="Calibri" w:hAnsi="Calibri" w:cs="Calibri"/>
          <w:b/>
          <w:color w:val="000000"/>
          <w:sz w:val="28"/>
          <w:szCs w:val="28"/>
          <w:lang w:val="en-AU"/>
        </w:rPr>
        <w:t>karena</w:t>
      </w:r>
      <w:proofErr w:type="spellEnd"/>
      <w:r w:rsidRPr="00AA5BD3">
        <w:rPr>
          <w:rFonts w:ascii="Calibri" w:hAnsi="Calibri" w:cs="Calibri"/>
          <w:b/>
          <w:color w:val="000000"/>
          <w:sz w:val="28"/>
          <w:szCs w:val="28"/>
          <w:lang w:val="en-AU"/>
        </w:rPr>
        <w:t xml:space="preserve"> </w:t>
      </w:r>
      <w:proofErr w:type="spellStart"/>
      <w:r w:rsidRPr="00AA5BD3">
        <w:rPr>
          <w:rFonts w:ascii="Calibri" w:hAnsi="Calibri" w:cs="Calibri"/>
          <w:b/>
          <w:color w:val="000000"/>
          <w:sz w:val="28"/>
          <w:szCs w:val="28"/>
          <w:lang w:val="en-AU"/>
        </w:rPr>
        <w:t>adanya</w:t>
      </w:r>
      <w:proofErr w:type="spellEnd"/>
      <w:r w:rsidRPr="00AA5BD3">
        <w:rPr>
          <w:rFonts w:ascii="Calibri" w:hAnsi="Calibri" w:cs="Calibri"/>
          <w:b/>
          <w:color w:val="000000"/>
          <w:sz w:val="28"/>
          <w:szCs w:val="28"/>
          <w:lang w:val="en-AU"/>
        </w:rPr>
        <w:t xml:space="preserve"> fatwa </w:t>
      </w:r>
      <w:proofErr w:type="spellStart"/>
      <w:r w:rsidRPr="00AA5BD3">
        <w:rPr>
          <w:rFonts w:ascii="Calibri" w:hAnsi="Calibri" w:cs="Calibri"/>
          <w:b/>
          <w:color w:val="000000"/>
          <w:sz w:val="28"/>
          <w:szCs w:val="28"/>
          <w:lang w:val="en-AU"/>
        </w:rPr>
        <w:t>sesat</w:t>
      </w:r>
      <w:proofErr w:type="spellEnd"/>
      <w:r w:rsidRPr="00AA5BD3">
        <w:rPr>
          <w:rFonts w:ascii="Calibri" w:hAnsi="Calibri" w:cs="Calibri"/>
          <w:b/>
          <w:color w:val="000000"/>
          <w:sz w:val="28"/>
          <w:szCs w:val="28"/>
          <w:lang w:val="en-AU"/>
        </w:rPr>
        <w:t xml:space="preserve"> yang </w:t>
      </w:r>
      <w:proofErr w:type="spellStart"/>
      <w:r w:rsidRPr="00AA5BD3">
        <w:rPr>
          <w:rFonts w:ascii="Calibri" w:hAnsi="Calibri" w:cs="Calibri"/>
          <w:b/>
          <w:color w:val="000000"/>
          <w:sz w:val="28"/>
          <w:szCs w:val="28"/>
          <w:lang w:val="en-AU"/>
        </w:rPr>
        <w:t>dikeluarkan</w:t>
      </w:r>
      <w:proofErr w:type="spellEnd"/>
      <w:r w:rsidRPr="00AA5BD3">
        <w:rPr>
          <w:rFonts w:ascii="Calibri" w:hAnsi="Calibri" w:cs="Calibri"/>
          <w:b/>
          <w:color w:val="000000"/>
          <w:sz w:val="28"/>
          <w:szCs w:val="28"/>
          <w:lang w:val="en-AU"/>
        </w:rPr>
        <w:t xml:space="preserve"> oleh </w:t>
      </w:r>
      <w:proofErr w:type="spellStart"/>
      <w:r w:rsidRPr="00AA5BD3">
        <w:rPr>
          <w:rFonts w:ascii="Calibri" w:hAnsi="Calibri" w:cs="Calibri"/>
          <w:b/>
          <w:color w:val="000000"/>
          <w:sz w:val="28"/>
          <w:szCs w:val="28"/>
          <w:lang w:val="en-AU"/>
        </w:rPr>
        <w:t>Majelis</w:t>
      </w:r>
      <w:proofErr w:type="spellEnd"/>
      <w:r w:rsidRPr="00AA5BD3">
        <w:rPr>
          <w:rFonts w:ascii="Calibri" w:hAnsi="Calibri" w:cs="Calibri"/>
          <w:b/>
          <w:color w:val="000000"/>
          <w:sz w:val="28"/>
          <w:szCs w:val="28"/>
          <w:lang w:val="en-AU"/>
        </w:rPr>
        <w:t xml:space="preserve"> Ulama Indonesia </w:t>
      </w:r>
      <w:proofErr w:type="spellStart"/>
      <w:r w:rsidRPr="00AA5BD3">
        <w:rPr>
          <w:rFonts w:ascii="Calibri" w:hAnsi="Calibri" w:cs="Calibri"/>
          <w:b/>
          <w:color w:val="000000"/>
          <w:sz w:val="28"/>
          <w:szCs w:val="28"/>
          <w:lang w:val="en-AU"/>
        </w:rPr>
        <w:t>mengenai</w:t>
      </w:r>
      <w:proofErr w:type="spellEnd"/>
      <w:r w:rsidRPr="00AA5BD3">
        <w:rPr>
          <w:rFonts w:ascii="Calibri" w:hAnsi="Calibri" w:cs="Calibri"/>
          <w:b/>
          <w:color w:val="000000"/>
          <w:sz w:val="28"/>
          <w:szCs w:val="28"/>
          <w:lang w:val="en-AU"/>
        </w:rPr>
        <w:t xml:space="preserve"> </w:t>
      </w:r>
      <w:proofErr w:type="spellStart"/>
      <w:r w:rsidRPr="00AA5BD3">
        <w:rPr>
          <w:rFonts w:ascii="Calibri" w:hAnsi="Calibri" w:cs="Calibri"/>
          <w:b/>
          <w:color w:val="000000"/>
          <w:sz w:val="28"/>
          <w:szCs w:val="28"/>
          <w:lang w:val="en-AU"/>
        </w:rPr>
        <w:t>ajaran</w:t>
      </w:r>
      <w:proofErr w:type="spellEnd"/>
      <w:r w:rsidRPr="00AA5BD3">
        <w:rPr>
          <w:rFonts w:ascii="Calibri" w:hAnsi="Calibri" w:cs="Calibri"/>
          <w:b/>
          <w:color w:val="000000"/>
          <w:sz w:val="28"/>
          <w:szCs w:val="28"/>
          <w:lang w:val="en-AU"/>
        </w:rPr>
        <w:t xml:space="preserve"> “</w:t>
      </w:r>
      <w:proofErr w:type="spellStart"/>
      <w:r w:rsidRPr="00AA5BD3">
        <w:rPr>
          <w:rFonts w:ascii="Calibri" w:hAnsi="Calibri" w:cs="Calibri"/>
          <w:b/>
          <w:color w:val="000000"/>
          <w:sz w:val="28"/>
          <w:szCs w:val="28"/>
          <w:lang w:val="en-AU"/>
        </w:rPr>
        <w:t>sesat</w:t>
      </w:r>
      <w:proofErr w:type="spellEnd"/>
      <w:r w:rsidRPr="00AA5BD3">
        <w:rPr>
          <w:rFonts w:ascii="Calibri" w:hAnsi="Calibri" w:cs="Calibri"/>
          <w:b/>
          <w:color w:val="000000"/>
          <w:sz w:val="28"/>
          <w:szCs w:val="28"/>
          <w:lang w:val="en-AU"/>
        </w:rPr>
        <w:t xml:space="preserve">” </w:t>
      </w:r>
      <w:proofErr w:type="spellStart"/>
      <w:r w:rsidRPr="00AA5BD3">
        <w:rPr>
          <w:rFonts w:ascii="Calibri" w:hAnsi="Calibri" w:cs="Calibri"/>
          <w:b/>
          <w:color w:val="000000"/>
          <w:sz w:val="28"/>
          <w:szCs w:val="28"/>
          <w:lang w:val="en-AU"/>
        </w:rPr>
        <w:t>atau</w:t>
      </w:r>
      <w:proofErr w:type="spellEnd"/>
      <w:r w:rsidRPr="00AA5BD3">
        <w:rPr>
          <w:rFonts w:ascii="Calibri" w:hAnsi="Calibri" w:cs="Calibri"/>
          <w:b/>
          <w:color w:val="000000"/>
          <w:sz w:val="28"/>
          <w:szCs w:val="28"/>
          <w:lang w:val="en-AU"/>
        </w:rPr>
        <w:t xml:space="preserve"> “</w:t>
      </w:r>
      <w:proofErr w:type="spellStart"/>
      <w:r w:rsidRPr="00AA5BD3">
        <w:rPr>
          <w:rFonts w:ascii="Calibri" w:hAnsi="Calibri" w:cs="Calibri"/>
          <w:b/>
          <w:color w:val="000000"/>
          <w:sz w:val="28"/>
          <w:szCs w:val="28"/>
          <w:lang w:val="en-AU"/>
        </w:rPr>
        <w:t>penghinaan</w:t>
      </w:r>
      <w:proofErr w:type="spellEnd"/>
      <w:r w:rsidRPr="00AA5BD3">
        <w:rPr>
          <w:rFonts w:ascii="Calibri" w:hAnsi="Calibri" w:cs="Calibri"/>
          <w:b/>
          <w:color w:val="000000"/>
          <w:sz w:val="28"/>
          <w:szCs w:val="28"/>
          <w:lang w:val="en-AU"/>
        </w:rPr>
        <w:t xml:space="preserve"> </w:t>
      </w:r>
      <w:proofErr w:type="spellStart"/>
      <w:r w:rsidRPr="00AA5BD3">
        <w:rPr>
          <w:rFonts w:ascii="Calibri" w:hAnsi="Calibri" w:cs="Calibri"/>
          <w:b/>
          <w:color w:val="000000"/>
          <w:sz w:val="28"/>
          <w:szCs w:val="28"/>
          <w:lang w:val="en-AU"/>
        </w:rPr>
        <w:t>atau</w:t>
      </w:r>
      <w:proofErr w:type="spellEnd"/>
      <w:r w:rsidRPr="00AA5BD3">
        <w:rPr>
          <w:rFonts w:ascii="Calibri" w:hAnsi="Calibri" w:cs="Calibri"/>
          <w:b/>
          <w:color w:val="000000"/>
          <w:sz w:val="28"/>
          <w:szCs w:val="28"/>
          <w:lang w:val="en-AU"/>
        </w:rPr>
        <w:t xml:space="preserve"> </w:t>
      </w:r>
      <w:proofErr w:type="spellStart"/>
      <w:r w:rsidRPr="00AA5BD3">
        <w:rPr>
          <w:rFonts w:ascii="Calibri" w:hAnsi="Calibri" w:cs="Calibri"/>
          <w:b/>
          <w:color w:val="000000"/>
          <w:sz w:val="28"/>
          <w:szCs w:val="28"/>
          <w:lang w:val="en-AU"/>
        </w:rPr>
        <w:t>penodaan</w:t>
      </w:r>
      <w:proofErr w:type="spellEnd"/>
      <w:r w:rsidRPr="00AA5BD3">
        <w:rPr>
          <w:rFonts w:ascii="Calibri" w:hAnsi="Calibri" w:cs="Calibri"/>
          <w:b/>
          <w:color w:val="000000"/>
          <w:sz w:val="28"/>
          <w:szCs w:val="28"/>
          <w:lang w:val="en-AU"/>
        </w:rPr>
        <w:t xml:space="preserve"> </w:t>
      </w:r>
      <w:proofErr w:type="spellStart"/>
      <w:r w:rsidRPr="00AA5BD3">
        <w:rPr>
          <w:rFonts w:ascii="Calibri" w:hAnsi="Calibri" w:cs="Calibri"/>
          <w:b/>
          <w:color w:val="000000"/>
          <w:sz w:val="28"/>
          <w:szCs w:val="28"/>
          <w:lang w:val="en-AU"/>
        </w:rPr>
        <w:t>terhadap</w:t>
      </w:r>
      <w:proofErr w:type="spellEnd"/>
      <w:r w:rsidRPr="00AA5BD3">
        <w:rPr>
          <w:rFonts w:ascii="Calibri" w:hAnsi="Calibri" w:cs="Calibri"/>
          <w:b/>
          <w:color w:val="000000"/>
          <w:sz w:val="28"/>
          <w:szCs w:val="28"/>
          <w:lang w:val="en-AU"/>
        </w:rPr>
        <w:t xml:space="preserve"> Islam” yang </w:t>
      </w:r>
      <w:proofErr w:type="spellStart"/>
      <w:r w:rsidRPr="00AA5BD3">
        <w:rPr>
          <w:rFonts w:ascii="Calibri" w:hAnsi="Calibri" w:cs="Calibri"/>
          <w:b/>
          <w:color w:val="000000"/>
          <w:sz w:val="28"/>
          <w:szCs w:val="28"/>
          <w:lang w:val="en-AU"/>
        </w:rPr>
        <w:t>dilakukan</w:t>
      </w:r>
      <w:proofErr w:type="spellEnd"/>
      <w:r w:rsidRPr="00AA5BD3">
        <w:rPr>
          <w:rFonts w:ascii="Calibri" w:hAnsi="Calibri" w:cs="Calibri"/>
          <w:b/>
          <w:color w:val="000000"/>
          <w:sz w:val="28"/>
          <w:szCs w:val="28"/>
          <w:lang w:val="en-AU"/>
        </w:rPr>
        <w:t xml:space="preserve"> oleh </w:t>
      </w:r>
      <w:proofErr w:type="spellStart"/>
      <w:r w:rsidRPr="00AA5BD3">
        <w:rPr>
          <w:rFonts w:ascii="Calibri" w:hAnsi="Calibri" w:cs="Calibri"/>
          <w:b/>
          <w:color w:val="000000"/>
          <w:sz w:val="28"/>
          <w:szCs w:val="28"/>
          <w:lang w:val="en-AU"/>
        </w:rPr>
        <w:t>tertuduh</w:t>
      </w:r>
      <w:proofErr w:type="spellEnd"/>
      <w:r w:rsidRPr="00AA5BD3">
        <w:rPr>
          <w:rFonts w:ascii="Calibri" w:hAnsi="Calibri" w:cs="Calibri"/>
          <w:b/>
          <w:color w:val="000000"/>
          <w:sz w:val="28"/>
          <w:szCs w:val="28"/>
          <w:lang w:val="en-AU"/>
        </w:rPr>
        <w:t xml:space="preserve"> dan </w:t>
      </w:r>
      <w:proofErr w:type="spellStart"/>
      <w:r w:rsidRPr="00AA5BD3">
        <w:rPr>
          <w:rFonts w:ascii="Calibri" w:hAnsi="Calibri" w:cs="Calibri"/>
          <w:b/>
          <w:color w:val="000000"/>
          <w:sz w:val="28"/>
          <w:szCs w:val="28"/>
          <w:lang w:val="en-AU"/>
        </w:rPr>
        <w:t>diperkuat</w:t>
      </w:r>
      <w:proofErr w:type="spellEnd"/>
      <w:r w:rsidRPr="00AA5BD3">
        <w:rPr>
          <w:rFonts w:ascii="Calibri" w:hAnsi="Calibri" w:cs="Calibri"/>
          <w:b/>
          <w:color w:val="000000"/>
          <w:sz w:val="28"/>
          <w:szCs w:val="28"/>
          <w:lang w:val="en-AU"/>
        </w:rPr>
        <w:t xml:space="preserve"> oleh </w:t>
      </w:r>
      <w:proofErr w:type="spellStart"/>
      <w:r w:rsidRPr="00AA5BD3">
        <w:rPr>
          <w:rFonts w:ascii="Calibri" w:hAnsi="Calibri" w:cs="Calibri"/>
          <w:b/>
          <w:color w:val="000000"/>
          <w:sz w:val="28"/>
          <w:szCs w:val="28"/>
          <w:lang w:val="en-AU"/>
        </w:rPr>
        <w:t>berbagai</w:t>
      </w:r>
      <w:proofErr w:type="spellEnd"/>
      <w:r w:rsidRPr="00AA5BD3">
        <w:rPr>
          <w:rFonts w:ascii="Calibri" w:hAnsi="Calibri" w:cs="Calibri"/>
          <w:b/>
          <w:color w:val="000000"/>
          <w:sz w:val="28"/>
          <w:szCs w:val="28"/>
          <w:lang w:val="en-AU"/>
        </w:rPr>
        <w:t xml:space="preserve"> </w:t>
      </w:r>
      <w:proofErr w:type="spellStart"/>
      <w:r w:rsidRPr="00AA5BD3">
        <w:rPr>
          <w:rFonts w:ascii="Calibri" w:hAnsi="Calibri" w:cs="Calibri"/>
          <w:b/>
          <w:color w:val="000000"/>
          <w:sz w:val="28"/>
          <w:szCs w:val="28"/>
          <w:lang w:val="en-AU"/>
        </w:rPr>
        <w:t>kebijakan</w:t>
      </w:r>
      <w:proofErr w:type="spellEnd"/>
      <w:r w:rsidRPr="00AA5BD3">
        <w:rPr>
          <w:rFonts w:ascii="Calibri" w:hAnsi="Calibri" w:cs="Calibri"/>
          <w:b/>
          <w:color w:val="000000"/>
          <w:sz w:val="28"/>
          <w:szCs w:val="28"/>
          <w:lang w:val="en-AU"/>
        </w:rPr>
        <w:t xml:space="preserve"> </w:t>
      </w:r>
      <w:proofErr w:type="spellStart"/>
      <w:r w:rsidRPr="00AA5BD3">
        <w:rPr>
          <w:rFonts w:ascii="Calibri" w:hAnsi="Calibri" w:cs="Calibri"/>
          <w:b/>
          <w:color w:val="000000"/>
          <w:sz w:val="28"/>
          <w:szCs w:val="28"/>
          <w:lang w:val="en-AU"/>
        </w:rPr>
        <w:t>publik</w:t>
      </w:r>
      <w:proofErr w:type="spellEnd"/>
      <w:r w:rsidRPr="00AA5BD3">
        <w:rPr>
          <w:rFonts w:ascii="Calibri" w:hAnsi="Calibri" w:cs="Calibri"/>
          <w:b/>
          <w:color w:val="000000"/>
          <w:sz w:val="28"/>
          <w:szCs w:val="28"/>
          <w:lang w:val="en-AU"/>
        </w:rPr>
        <w:t xml:space="preserve"> yang </w:t>
      </w:r>
      <w:proofErr w:type="spellStart"/>
      <w:r w:rsidRPr="00AA5BD3">
        <w:rPr>
          <w:rFonts w:ascii="Calibri" w:hAnsi="Calibri" w:cs="Calibri"/>
          <w:b/>
          <w:color w:val="000000"/>
          <w:sz w:val="28"/>
          <w:szCs w:val="28"/>
          <w:lang w:val="en-AU"/>
        </w:rPr>
        <w:t>dikeluarkan</w:t>
      </w:r>
      <w:proofErr w:type="spellEnd"/>
      <w:r w:rsidRPr="00AA5BD3">
        <w:rPr>
          <w:rFonts w:ascii="Calibri" w:hAnsi="Calibri" w:cs="Calibri"/>
          <w:b/>
          <w:color w:val="000000"/>
          <w:sz w:val="28"/>
          <w:szCs w:val="28"/>
          <w:lang w:val="en-AU"/>
        </w:rPr>
        <w:t xml:space="preserve"> oleh </w:t>
      </w:r>
      <w:proofErr w:type="spellStart"/>
      <w:r w:rsidRPr="00AA5BD3">
        <w:rPr>
          <w:rFonts w:ascii="Calibri" w:hAnsi="Calibri" w:cs="Calibri"/>
          <w:b/>
          <w:color w:val="000000"/>
          <w:sz w:val="28"/>
          <w:szCs w:val="28"/>
          <w:lang w:val="en-AU"/>
        </w:rPr>
        <w:t>pemerintah</w:t>
      </w:r>
      <w:proofErr w:type="spellEnd"/>
      <w:r w:rsidRPr="00AA5BD3">
        <w:rPr>
          <w:rFonts w:ascii="Calibri" w:hAnsi="Calibri" w:cs="Calibri"/>
          <w:b/>
          <w:color w:val="000000"/>
          <w:sz w:val="28"/>
          <w:szCs w:val="28"/>
          <w:lang w:val="en-AU"/>
        </w:rPr>
        <w:t xml:space="preserve"> </w:t>
      </w:r>
      <w:proofErr w:type="spellStart"/>
      <w:r w:rsidRPr="00AA5BD3">
        <w:rPr>
          <w:rFonts w:ascii="Calibri" w:hAnsi="Calibri" w:cs="Calibri"/>
          <w:b/>
          <w:color w:val="000000"/>
          <w:sz w:val="28"/>
          <w:szCs w:val="28"/>
          <w:lang w:val="en-AU"/>
        </w:rPr>
        <w:t>kota</w:t>
      </w:r>
      <w:proofErr w:type="spellEnd"/>
      <w:r w:rsidRPr="00AA5BD3">
        <w:rPr>
          <w:rFonts w:ascii="Calibri" w:hAnsi="Calibri" w:cs="Calibri"/>
          <w:b/>
          <w:color w:val="000000"/>
          <w:sz w:val="28"/>
          <w:szCs w:val="28"/>
          <w:lang w:val="en-AU"/>
        </w:rPr>
        <w:t xml:space="preserve">/ </w:t>
      </w:r>
      <w:proofErr w:type="spellStart"/>
      <w:r w:rsidRPr="00AA5BD3">
        <w:rPr>
          <w:rFonts w:ascii="Calibri" w:hAnsi="Calibri" w:cs="Calibri"/>
          <w:b/>
          <w:color w:val="000000"/>
          <w:sz w:val="28"/>
          <w:szCs w:val="28"/>
          <w:lang w:val="en-AU"/>
        </w:rPr>
        <w:t>kabupaten</w:t>
      </w:r>
      <w:proofErr w:type="spellEnd"/>
      <w:r w:rsidRPr="00AA5BD3">
        <w:rPr>
          <w:rFonts w:ascii="Calibri" w:hAnsi="Calibri" w:cs="Calibri"/>
          <w:b/>
          <w:color w:val="000000"/>
          <w:sz w:val="28"/>
          <w:szCs w:val="28"/>
          <w:lang w:val="en-AU"/>
        </w:rPr>
        <w:t xml:space="preserve"> dan </w:t>
      </w:r>
      <w:proofErr w:type="spellStart"/>
      <w:r w:rsidRPr="00AA5BD3">
        <w:rPr>
          <w:rFonts w:ascii="Calibri" w:hAnsi="Calibri" w:cs="Calibri"/>
          <w:b/>
          <w:color w:val="000000"/>
          <w:sz w:val="28"/>
          <w:szCs w:val="28"/>
          <w:lang w:val="en-AU"/>
        </w:rPr>
        <w:t>propinsi</w:t>
      </w:r>
      <w:proofErr w:type="spellEnd"/>
      <w:r w:rsidRPr="00AA5BD3">
        <w:rPr>
          <w:rFonts w:ascii="Calibri" w:hAnsi="Calibri" w:cs="Calibri"/>
          <w:b/>
          <w:color w:val="000000"/>
          <w:sz w:val="28"/>
          <w:szCs w:val="28"/>
          <w:lang w:val="en-AU"/>
        </w:rPr>
        <w:t xml:space="preserve">. Lalu, pada </w:t>
      </w:r>
      <w:proofErr w:type="spellStart"/>
      <w:r w:rsidRPr="00AA5BD3">
        <w:rPr>
          <w:rFonts w:ascii="Calibri" w:hAnsi="Calibri" w:cs="Calibri"/>
          <w:b/>
          <w:color w:val="000000"/>
          <w:sz w:val="28"/>
          <w:szCs w:val="28"/>
          <w:lang w:val="en-AU"/>
        </w:rPr>
        <w:t>saat</w:t>
      </w:r>
      <w:proofErr w:type="spellEnd"/>
      <w:r w:rsidRPr="00AA5BD3">
        <w:rPr>
          <w:rFonts w:ascii="Calibri" w:hAnsi="Calibri" w:cs="Calibri"/>
          <w:b/>
          <w:color w:val="000000"/>
          <w:sz w:val="28"/>
          <w:szCs w:val="28"/>
          <w:lang w:val="en-AU"/>
        </w:rPr>
        <w:t xml:space="preserve"> </w:t>
      </w:r>
      <w:proofErr w:type="spellStart"/>
      <w:r w:rsidRPr="00AA5BD3">
        <w:rPr>
          <w:rFonts w:ascii="Calibri" w:hAnsi="Calibri" w:cs="Calibri"/>
          <w:b/>
          <w:color w:val="000000"/>
          <w:sz w:val="28"/>
          <w:szCs w:val="28"/>
          <w:lang w:val="en-AU"/>
        </w:rPr>
        <w:t>tersangka</w:t>
      </w:r>
      <w:proofErr w:type="spellEnd"/>
      <w:r w:rsidRPr="00AA5BD3">
        <w:rPr>
          <w:rFonts w:ascii="Calibri" w:hAnsi="Calibri" w:cs="Calibri"/>
          <w:b/>
          <w:color w:val="000000"/>
          <w:sz w:val="28"/>
          <w:szCs w:val="28"/>
          <w:lang w:val="en-AU"/>
        </w:rPr>
        <w:t xml:space="preserve"> blasphemy </w:t>
      </w:r>
      <w:proofErr w:type="spellStart"/>
      <w:r w:rsidRPr="00AA5BD3">
        <w:rPr>
          <w:rFonts w:ascii="Calibri" w:hAnsi="Calibri" w:cs="Calibri"/>
          <w:b/>
          <w:color w:val="000000"/>
          <w:sz w:val="28"/>
          <w:szCs w:val="28"/>
          <w:lang w:val="en-AU"/>
        </w:rPr>
        <w:t>dibawa</w:t>
      </w:r>
      <w:proofErr w:type="spellEnd"/>
      <w:r w:rsidRPr="00AA5BD3">
        <w:rPr>
          <w:rFonts w:ascii="Calibri" w:hAnsi="Calibri" w:cs="Calibri"/>
          <w:b/>
          <w:color w:val="000000"/>
          <w:sz w:val="28"/>
          <w:szCs w:val="28"/>
          <w:lang w:val="en-AU"/>
        </w:rPr>
        <w:t xml:space="preserve"> </w:t>
      </w:r>
      <w:proofErr w:type="spellStart"/>
      <w:r w:rsidRPr="00AA5BD3">
        <w:rPr>
          <w:rFonts w:ascii="Calibri" w:hAnsi="Calibri" w:cs="Calibri"/>
          <w:b/>
          <w:color w:val="000000"/>
          <w:sz w:val="28"/>
          <w:szCs w:val="28"/>
          <w:lang w:val="en-AU"/>
        </w:rPr>
        <w:t>ke</w:t>
      </w:r>
      <w:proofErr w:type="spellEnd"/>
      <w:r w:rsidRPr="00AA5BD3">
        <w:rPr>
          <w:rFonts w:ascii="Calibri" w:hAnsi="Calibri" w:cs="Calibri"/>
          <w:b/>
          <w:color w:val="000000"/>
          <w:sz w:val="28"/>
          <w:szCs w:val="28"/>
          <w:lang w:val="en-AU"/>
        </w:rPr>
        <w:t xml:space="preserve"> </w:t>
      </w:r>
      <w:proofErr w:type="spellStart"/>
      <w:r w:rsidRPr="00AA5BD3">
        <w:rPr>
          <w:rFonts w:ascii="Calibri" w:hAnsi="Calibri" w:cs="Calibri"/>
          <w:b/>
          <w:color w:val="000000"/>
          <w:sz w:val="28"/>
          <w:szCs w:val="28"/>
          <w:lang w:val="en-AU"/>
        </w:rPr>
        <w:t>meja</w:t>
      </w:r>
      <w:proofErr w:type="spellEnd"/>
      <w:r w:rsidRPr="00AA5BD3">
        <w:rPr>
          <w:rFonts w:ascii="Calibri" w:hAnsi="Calibri" w:cs="Calibri"/>
          <w:b/>
          <w:color w:val="000000"/>
          <w:sz w:val="28"/>
          <w:szCs w:val="28"/>
          <w:lang w:val="en-AU"/>
        </w:rPr>
        <w:t xml:space="preserve"> </w:t>
      </w:r>
      <w:proofErr w:type="spellStart"/>
      <w:r w:rsidRPr="00AA5BD3">
        <w:rPr>
          <w:rFonts w:ascii="Calibri" w:hAnsi="Calibri" w:cs="Calibri"/>
          <w:b/>
          <w:color w:val="000000"/>
          <w:sz w:val="28"/>
          <w:szCs w:val="28"/>
          <w:lang w:val="en-AU"/>
        </w:rPr>
        <w:t>hijua</w:t>
      </w:r>
      <w:proofErr w:type="spellEnd"/>
      <w:r w:rsidRPr="00AA5BD3">
        <w:rPr>
          <w:rFonts w:ascii="Calibri" w:hAnsi="Calibri" w:cs="Calibri"/>
          <w:b/>
          <w:color w:val="000000"/>
          <w:sz w:val="28"/>
          <w:szCs w:val="28"/>
          <w:lang w:val="en-AU"/>
        </w:rPr>
        <w:t xml:space="preserve">, </w:t>
      </w:r>
      <w:proofErr w:type="spellStart"/>
      <w:r w:rsidRPr="00AA5BD3">
        <w:rPr>
          <w:rFonts w:ascii="Calibri" w:hAnsi="Calibri" w:cs="Calibri"/>
          <w:b/>
          <w:color w:val="000000"/>
          <w:sz w:val="28"/>
          <w:szCs w:val="28"/>
          <w:lang w:val="en-AU"/>
        </w:rPr>
        <w:t>pengadilan</w:t>
      </w:r>
      <w:proofErr w:type="spellEnd"/>
      <w:r w:rsidRPr="00AA5BD3">
        <w:rPr>
          <w:rFonts w:ascii="Calibri" w:hAnsi="Calibri" w:cs="Calibri"/>
          <w:b/>
          <w:color w:val="000000"/>
          <w:sz w:val="28"/>
          <w:szCs w:val="28"/>
          <w:lang w:val="en-AU"/>
        </w:rPr>
        <w:t xml:space="preserve"> </w:t>
      </w:r>
      <w:proofErr w:type="spellStart"/>
      <w:r w:rsidRPr="00AA5BD3">
        <w:rPr>
          <w:rFonts w:ascii="Calibri" w:hAnsi="Calibri" w:cs="Calibri"/>
          <w:b/>
          <w:color w:val="000000"/>
          <w:sz w:val="28"/>
          <w:szCs w:val="28"/>
          <w:lang w:val="en-AU"/>
        </w:rPr>
        <w:t>gagal</w:t>
      </w:r>
      <w:proofErr w:type="spellEnd"/>
      <w:r w:rsidRPr="00AA5BD3">
        <w:rPr>
          <w:rFonts w:ascii="Calibri" w:hAnsi="Calibri" w:cs="Calibri"/>
          <w:b/>
          <w:color w:val="000000"/>
          <w:sz w:val="28"/>
          <w:szCs w:val="28"/>
          <w:lang w:val="en-AU"/>
        </w:rPr>
        <w:t xml:space="preserve"> </w:t>
      </w:r>
      <w:proofErr w:type="spellStart"/>
      <w:r w:rsidRPr="00AA5BD3">
        <w:rPr>
          <w:rFonts w:ascii="Calibri" w:hAnsi="Calibri" w:cs="Calibri"/>
          <w:b/>
          <w:color w:val="000000"/>
          <w:sz w:val="28"/>
          <w:szCs w:val="28"/>
          <w:lang w:val="en-AU"/>
        </w:rPr>
        <w:t>menghadirkan</w:t>
      </w:r>
      <w:proofErr w:type="spellEnd"/>
      <w:r w:rsidRPr="00AA5BD3">
        <w:rPr>
          <w:rFonts w:ascii="Calibri" w:hAnsi="Calibri" w:cs="Calibri"/>
          <w:b/>
          <w:color w:val="000000"/>
          <w:sz w:val="28"/>
          <w:szCs w:val="28"/>
          <w:lang w:val="en-AU"/>
        </w:rPr>
        <w:t xml:space="preserve"> </w:t>
      </w:r>
      <w:proofErr w:type="spellStart"/>
      <w:r w:rsidRPr="00AA5BD3">
        <w:rPr>
          <w:rFonts w:ascii="Calibri" w:hAnsi="Calibri" w:cs="Calibri"/>
          <w:b/>
          <w:color w:val="000000"/>
          <w:sz w:val="28"/>
          <w:szCs w:val="28"/>
          <w:lang w:val="en-AU"/>
        </w:rPr>
        <w:t>keadilan</w:t>
      </w:r>
      <w:proofErr w:type="spellEnd"/>
      <w:r w:rsidRPr="00AA5BD3">
        <w:rPr>
          <w:rFonts w:ascii="Calibri" w:hAnsi="Calibri" w:cs="Calibri"/>
          <w:b/>
          <w:color w:val="000000"/>
          <w:sz w:val="28"/>
          <w:szCs w:val="28"/>
          <w:lang w:val="en-AU"/>
        </w:rPr>
        <w:t xml:space="preserve">, </w:t>
      </w:r>
      <w:proofErr w:type="spellStart"/>
      <w:r w:rsidRPr="00AA5BD3">
        <w:rPr>
          <w:rFonts w:ascii="Calibri" w:hAnsi="Calibri" w:cs="Calibri"/>
          <w:b/>
          <w:color w:val="000000"/>
          <w:sz w:val="28"/>
          <w:szCs w:val="28"/>
          <w:lang w:val="en-AU"/>
        </w:rPr>
        <w:t>karena</w:t>
      </w:r>
      <w:proofErr w:type="spellEnd"/>
      <w:r w:rsidRPr="00AA5BD3">
        <w:rPr>
          <w:rFonts w:ascii="Calibri" w:hAnsi="Calibri" w:cs="Calibri"/>
          <w:b/>
          <w:color w:val="000000"/>
          <w:sz w:val="28"/>
          <w:szCs w:val="28"/>
          <w:lang w:val="en-AU"/>
        </w:rPr>
        <w:t xml:space="preserve"> </w:t>
      </w:r>
      <w:proofErr w:type="spellStart"/>
      <w:r w:rsidRPr="00AA5BD3">
        <w:rPr>
          <w:rFonts w:ascii="Calibri" w:hAnsi="Calibri" w:cs="Calibri"/>
          <w:b/>
          <w:color w:val="000000"/>
          <w:sz w:val="28"/>
          <w:szCs w:val="28"/>
          <w:lang w:val="en-AU"/>
        </w:rPr>
        <w:t>independensi</w:t>
      </w:r>
      <w:proofErr w:type="spellEnd"/>
      <w:r w:rsidRPr="00AA5BD3">
        <w:rPr>
          <w:rFonts w:ascii="Calibri" w:hAnsi="Calibri" w:cs="Calibri"/>
          <w:b/>
          <w:color w:val="000000"/>
          <w:sz w:val="28"/>
          <w:szCs w:val="28"/>
          <w:lang w:val="en-AU"/>
        </w:rPr>
        <w:t xml:space="preserve"> </w:t>
      </w:r>
      <w:proofErr w:type="spellStart"/>
      <w:r w:rsidRPr="00AA5BD3">
        <w:rPr>
          <w:rFonts w:ascii="Calibri" w:hAnsi="Calibri" w:cs="Calibri"/>
          <w:b/>
          <w:color w:val="000000"/>
          <w:sz w:val="28"/>
          <w:szCs w:val="28"/>
          <w:lang w:val="en-AU"/>
        </w:rPr>
        <w:t>pengadilan</w:t>
      </w:r>
      <w:proofErr w:type="spellEnd"/>
      <w:r w:rsidRPr="00AA5BD3">
        <w:rPr>
          <w:rFonts w:ascii="Calibri" w:hAnsi="Calibri" w:cs="Calibri"/>
          <w:b/>
          <w:color w:val="000000"/>
          <w:sz w:val="28"/>
          <w:szCs w:val="28"/>
          <w:lang w:val="en-AU"/>
        </w:rPr>
        <w:t xml:space="preserve"> </w:t>
      </w:r>
      <w:proofErr w:type="spellStart"/>
      <w:r w:rsidRPr="00AA5BD3">
        <w:rPr>
          <w:rFonts w:ascii="Calibri" w:hAnsi="Calibri" w:cs="Calibri"/>
          <w:b/>
          <w:color w:val="000000"/>
          <w:sz w:val="28"/>
          <w:szCs w:val="28"/>
          <w:lang w:val="en-AU"/>
        </w:rPr>
        <w:t>terganggu</w:t>
      </w:r>
      <w:proofErr w:type="spellEnd"/>
      <w:r w:rsidRPr="00AA5BD3">
        <w:rPr>
          <w:rFonts w:ascii="Calibri" w:hAnsi="Calibri" w:cs="Calibri"/>
          <w:b/>
          <w:color w:val="000000"/>
          <w:sz w:val="28"/>
          <w:szCs w:val="28"/>
          <w:lang w:val="en-AU"/>
        </w:rPr>
        <w:t xml:space="preserve"> oleh </w:t>
      </w:r>
      <w:proofErr w:type="spellStart"/>
      <w:r w:rsidRPr="00AA5BD3">
        <w:rPr>
          <w:rFonts w:ascii="Calibri" w:hAnsi="Calibri" w:cs="Calibri"/>
          <w:b/>
          <w:color w:val="000000"/>
          <w:sz w:val="28"/>
          <w:szCs w:val="28"/>
          <w:lang w:val="en-AU"/>
        </w:rPr>
        <w:t>tuntutan</w:t>
      </w:r>
      <w:proofErr w:type="spellEnd"/>
      <w:r w:rsidRPr="00AA5BD3">
        <w:rPr>
          <w:rFonts w:ascii="Calibri" w:hAnsi="Calibri" w:cs="Calibri"/>
          <w:b/>
          <w:color w:val="000000"/>
          <w:sz w:val="28"/>
          <w:szCs w:val="28"/>
          <w:lang w:val="en-AU"/>
        </w:rPr>
        <w:t xml:space="preserve"> </w:t>
      </w:r>
      <w:proofErr w:type="spellStart"/>
      <w:r w:rsidRPr="00AA5BD3">
        <w:rPr>
          <w:rFonts w:ascii="Calibri" w:hAnsi="Calibri" w:cs="Calibri"/>
          <w:b/>
          <w:color w:val="000000"/>
          <w:sz w:val="28"/>
          <w:szCs w:val="28"/>
          <w:lang w:val="en-AU"/>
        </w:rPr>
        <w:t>kelompok</w:t>
      </w:r>
      <w:proofErr w:type="spellEnd"/>
      <w:r w:rsidRPr="00AA5BD3">
        <w:rPr>
          <w:rFonts w:ascii="Calibri" w:hAnsi="Calibri" w:cs="Calibri"/>
          <w:b/>
          <w:color w:val="000000"/>
          <w:sz w:val="28"/>
          <w:szCs w:val="28"/>
          <w:lang w:val="en-AU"/>
        </w:rPr>
        <w:t xml:space="preserve"> vigilante, fatwa MUI dan </w:t>
      </w:r>
      <w:proofErr w:type="spellStart"/>
      <w:r w:rsidRPr="00AA5BD3">
        <w:rPr>
          <w:rFonts w:ascii="Calibri" w:hAnsi="Calibri" w:cs="Calibri"/>
          <w:b/>
          <w:color w:val="000000"/>
          <w:sz w:val="28"/>
          <w:szCs w:val="28"/>
          <w:lang w:val="en-AU"/>
        </w:rPr>
        <w:t>berbagai</w:t>
      </w:r>
      <w:proofErr w:type="spellEnd"/>
      <w:r w:rsidRPr="00AA5BD3">
        <w:rPr>
          <w:rFonts w:ascii="Calibri" w:hAnsi="Calibri" w:cs="Calibri"/>
          <w:b/>
          <w:color w:val="000000"/>
          <w:sz w:val="28"/>
          <w:szCs w:val="28"/>
          <w:lang w:val="en-AU"/>
        </w:rPr>
        <w:t xml:space="preserve"> </w:t>
      </w:r>
      <w:proofErr w:type="spellStart"/>
      <w:r w:rsidRPr="00AA5BD3">
        <w:rPr>
          <w:rFonts w:ascii="Calibri" w:hAnsi="Calibri" w:cs="Calibri"/>
          <w:b/>
          <w:color w:val="000000"/>
          <w:sz w:val="28"/>
          <w:szCs w:val="28"/>
          <w:lang w:val="en-AU"/>
        </w:rPr>
        <w:t>kebijakan</w:t>
      </w:r>
      <w:proofErr w:type="spellEnd"/>
      <w:r w:rsidRPr="00AA5BD3">
        <w:rPr>
          <w:rFonts w:ascii="Calibri" w:hAnsi="Calibri" w:cs="Calibri"/>
          <w:b/>
          <w:color w:val="000000"/>
          <w:sz w:val="28"/>
          <w:szCs w:val="28"/>
          <w:lang w:val="en-AU"/>
        </w:rPr>
        <w:t xml:space="preserve"> </w:t>
      </w:r>
      <w:proofErr w:type="spellStart"/>
      <w:r w:rsidRPr="00AA5BD3">
        <w:rPr>
          <w:rFonts w:ascii="Calibri" w:hAnsi="Calibri" w:cs="Calibri"/>
          <w:b/>
          <w:color w:val="000000"/>
          <w:sz w:val="28"/>
          <w:szCs w:val="28"/>
          <w:lang w:val="en-AU"/>
        </w:rPr>
        <w:t>publik</w:t>
      </w:r>
      <w:proofErr w:type="spellEnd"/>
      <w:r w:rsidRPr="00AA5BD3">
        <w:rPr>
          <w:rFonts w:ascii="Calibri" w:hAnsi="Calibri" w:cs="Calibri"/>
          <w:b/>
          <w:color w:val="000000"/>
          <w:sz w:val="28"/>
          <w:szCs w:val="28"/>
          <w:lang w:val="en-AU"/>
        </w:rPr>
        <w:t xml:space="preserve"> yang </w:t>
      </w:r>
      <w:proofErr w:type="spellStart"/>
      <w:r w:rsidRPr="00AA5BD3">
        <w:rPr>
          <w:rFonts w:ascii="Calibri" w:hAnsi="Calibri" w:cs="Calibri"/>
          <w:b/>
          <w:color w:val="000000"/>
          <w:sz w:val="28"/>
          <w:szCs w:val="28"/>
          <w:lang w:val="en-AU"/>
        </w:rPr>
        <w:t>telah</w:t>
      </w:r>
      <w:proofErr w:type="spellEnd"/>
      <w:r w:rsidRPr="00AA5BD3">
        <w:rPr>
          <w:rFonts w:ascii="Calibri" w:hAnsi="Calibri" w:cs="Calibri"/>
          <w:b/>
          <w:color w:val="000000"/>
          <w:sz w:val="28"/>
          <w:szCs w:val="28"/>
          <w:lang w:val="en-AU"/>
        </w:rPr>
        <w:t xml:space="preserve"> </w:t>
      </w:r>
      <w:proofErr w:type="spellStart"/>
      <w:r w:rsidRPr="00AA5BD3">
        <w:rPr>
          <w:rFonts w:ascii="Calibri" w:hAnsi="Calibri" w:cs="Calibri"/>
          <w:b/>
          <w:color w:val="000000"/>
          <w:sz w:val="28"/>
          <w:szCs w:val="28"/>
          <w:lang w:val="en-AU"/>
        </w:rPr>
        <w:t>memberikan</w:t>
      </w:r>
      <w:proofErr w:type="spellEnd"/>
      <w:r w:rsidRPr="00AA5BD3">
        <w:rPr>
          <w:rFonts w:ascii="Calibri" w:hAnsi="Calibri" w:cs="Calibri"/>
          <w:b/>
          <w:color w:val="000000"/>
          <w:sz w:val="28"/>
          <w:szCs w:val="28"/>
          <w:lang w:val="en-AU"/>
        </w:rPr>
        <w:t xml:space="preserve"> </w:t>
      </w:r>
      <w:proofErr w:type="spellStart"/>
      <w:r w:rsidRPr="00AA5BD3">
        <w:rPr>
          <w:rFonts w:ascii="Calibri" w:hAnsi="Calibri" w:cs="Calibri"/>
          <w:b/>
          <w:color w:val="000000"/>
          <w:sz w:val="28"/>
          <w:szCs w:val="28"/>
          <w:lang w:val="en-AU"/>
        </w:rPr>
        <w:t>petunjuk</w:t>
      </w:r>
      <w:proofErr w:type="spellEnd"/>
      <w:r w:rsidRPr="00AA5BD3">
        <w:rPr>
          <w:rFonts w:ascii="Calibri" w:hAnsi="Calibri" w:cs="Calibri"/>
          <w:b/>
          <w:color w:val="000000"/>
          <w:sz w:val="28"/>
          <w:szCs w:val="28"/>
          <w:lang w:val="en-AU"/>
        </w:rPr>
        <w:t xml:space="preserve"> </w:t>
      </w:r>
      <w:proofErr w:type="spellStart"/>
      <w:r w:rsidRPr="00AA5BD3">
        <w:rPr>
          <w:rFonts w:ascii="Calibri" w:hAnsi="Calibri" w:cs="Calibri"/>
          <w:b/>
          <w:color w:val="000000"/>
          <w:sz w:val="28"/>
          <w:szCs w:val="28"/>
          <w:lang w:val="en-AU"/>
        </w:rPr>
        <w:t>bahwa</w:t>
      </w:r>
      <w:proofErr w:type="spellEnd"/>
      <w:r w:rsidRPr="00AA5BD3">
        <w:rPr>
          <w:rFonts w:ascii="Calibri" w:hAnsi="Calibri" w:cs="Calibri"/>
          <w:b/>
          <w:color w:val="000000"/>
          <w:sz w:val="28"/>
          <w:szCs w:val="28"/>
          <w:lang w:val="en-AU"/>
        </w:rPr>
        <w:t xml:space="preserve"> </w:t>
      </w:r>
      <w:proofErr w:type="spellStart"/>
      <w:r w:rsidRPr="00AA5BD3">
        <w:rPr>
          <w:rFonts w:ascii="Calibri" w:hAnsi="Calibri" w:cs="Calibri"/>
          <w:b/>
          <w:color w:val="000000"/>
          <w:sz w:val="28"/>
          <w:szCs w:val="28"/>
          <w:lang w:val="en-AU"/>
        </w:rPr>
        <w:t>tertuduh</w:t>
      </w:r>
      <w:proofErr w:type="spellEnd"/>
      <w:r w:rsidRPr="00AA5BD3">
        <w:rPr>
          <w:rFonts w:ascii="Calibri" w:hAnsi="Calibri" w:cs="Calibri"/>
          <w:b/>
          <w:color w:val="000000"/>
          <w:sz w:val="28"/>
          <w:szCs w:val="28"/>
          <w:lang w:val="en-AU"/>
        </w:rPr>
        <w:t xml:space="preserve"> </w:t>
      </w:r>
      <w:proofErr w:type="spellStart"/>
      <w:r w:rsidRPr="00AA5BD3">
        <w:rPr>
          <w:rFonts w:ascii="Calibri" w:hAnsi="Calibri" w:cs="Calibri"/>
          <w:b/>
          <w:color w:val="000000"/>
          <w:sz w:val="28"/>
          <w:szCs w:val="28"/>
          <w:lang w:val="en-AU"/>
        </w:rPr>
        <w:t>telah</w:t>
      </w:r>
      <w:proofErr w:type="spellEnd"/>
      <w:r w:rsidRPr="00AA5BD3">
        <w:rPr>
          <w:rFonts w:ascii="Calibri" w:hAnsi="Calibri" w:cs="Calibri"/>
          <w:b/>
          <w:color w:val="000000"/>
          <w:sz w:val="28"/>
          <w:szCs w:val="28"/>
          <w:lang w:val="en-AU"/>
        </w:rPr>
        <w:t xml:space="preserve"> </w:t>
      </w:r>
      <w:proofErr w:type="spellStart"/>
      <w:r w:rsidRPr="00AA5BD3">
        <w:rPr>
          <w:rFonts w:ascii="Calibri" w:hAnsi="Calibri" w:cs="Calibri"/>
          <w:b/>
          <w:color w:val="000000"/>
          <w:sz w:val="28"/>
          <w:szCs w:val="28"/>
          <w:lang w:val="en-AU"/>
        </w:rPr>
        <w:t>menganut</w:t>
      </w:r>
      <w:proofErr w:type="spellEnd"/>
      <w:r w:rsidRPr="00AA5BD3">
        <w:rPr>
          <w:rFonts w:ascii="Calibri" w:hAnsi="Calibri" w:cs="Calibri"/>
          <w:b/>
          <w:color w:val="000000"/>
          <w:sz w:val="28"/>
          <w:szCs w:val="28"/>
          <w:lang w:val="en-AU"/>
        </w:rPr>
        <w:t xml:space="preserve"> </w:t>
      </w:r>
      <w:proofErr w:type="spellStart"/>
      <w:r w:rsidRPr="00AA5BD3">
        <w:rPr>
          <w:rFonts w:ascii="Calibri" w:hAnsi="Calibri" w:cs="Calibri"/>
          <w:b/>
          <w:color w:val="000000"/>
          <w:sz w:val="28"/>
          <w:szCs w:val="28"/>
          <w:lang w:val="en-AU"/>
        </w:rPr>
        <w:t>ajaran</w:t>
      </w:r>
      <w:proofErr w:type="spellEnd"/>
      <w:r w:rsidRPr="00AA5BD3">
        <w:rPr>
          <w:rFonts w:ascii="Calibri" w:hAnsi="Calibri" w:cs="Calibri"/>
          <w:b/>
          <w:color w:val="000000"/>
          <w:sz w:val="28"/>
          <w:szCs w:val="28"/>
          <w:lang w:val="en-AU"/>
        </w:rPr>
        <w:t xml:space="preserve"> </w:t>
      </w:r>
      <w:proofErr w:type="spellStart"/>
      <w:r w:rsidRPr="00AA5BD3">
        <w:rPr>
          <w:rFonts w:ascii="Calibri" w:hAnsi="Calibri" w:cs="Calibri"/>
          <w:b/>
          <w:color w:val="000000"/>
          <w:sz w:val="28"/>
          <w:szCs w:val="28"/>
          <w:lang w:val="en-AU"/>
        </w:rPr>
        <w:t>sesat</w:t>
      </w:r>
      <w:proofErr w:type="spellEnd"/>
      <w:r w:rsidRPr="00AA5BD3">
        <w:rPr>
          <w:rFonts w:ascii="Calibri" w:hAnsi="Calibri" w:cs="Calibri"/>
          <w:b/>
          <w:color w:val="000000"/>
          <w:sz w:val="28"/>
          <w:szCs w:val="28"/>
          <w:lang w:val="en-AU"/>
        </w:rPr>
        <w:t xml:space="preserve"> </w:t>
      </w:r>
      <w:proofErr w:type="spellStart"/>
      <w:r w:rsidRPr="00AA5BD3">
        <w:rPr>
          <w:rFonts w:ascii="Calibri" w:hAnsi="Calibri" w:cs="Calibri"/>
          <w:b/>
          <w:color w:val="000000"/>
          <w:sz w:val="28"/>
          <w:szCs w:val="28"/>
          <w:lang w:val="en-AU"/>
        </w:rPr>
        <w:t>atau</w:t>
      </w:r>
      <w:proofErr w:type="spellEnd"/>
      <w:r w:rsidRPr="00AA5BD3">
        <w:rPr>
          <w:rFonts w:ascii="Calibri" w:hAnsi="Calibri" w:cs="Calibri"/>
          <w:b/>
          <w:color w:val="000000"/>
          <w:sz w:val="28"/>
          <w:szCs w:val="28"/>
          <w:lang w:val="en-AU"/>
        </w:rPr>
        <w:t xml:space="preserve"> </w:t>
      </w:r>
      <w:proofErr w:type="spellStart"/>
      <w:r w:rsidRPr="00AA5BD3">
        <w:rPr>
          <w:rFonts w:ascii="Calibri" w:hAnsi="Calibri" w:cs="Calibri"/>
          <w:b/>
          <w:color w:val="000000"/>
          <w:sz w:val="28"/>
          <w:szCs w:val="28"/>
          <w:lang w:val="en-AU"/>
        </w:rPr>
        <w:t>menghina</w:t>
      </w:r>
      <w:proofErr w:type="spellEnd"/>
      <w:r w:rsidRPr="00AA5BD3">
        <w:rPr>
          <w:rFonts w:ascii="Calibri" w:hAnsi="Calibri" w:cs="Calibri"/>
          <w:b/>
          <w:color w:val="000000"/>
          <w:sz w:val="28"/>
          <w:szCs w:val="28"/>
          <w:lang w:val="en-AU"/>
        </w:rPr>
        <w:t xml:space="preserve"> </w:t>
      </w:r>
      <w:proofErr w:type="spellStart"/>
      <w:r w:rsidRPr="00AA5BD3">
        <w:rPr>
          <w:rFonts w:ascii="Calibri" w:hAnsi="Calibri" w:cs="Calibri"/>
          <w:b/>
          <w:color w:val="000000"/>
          <w:sz w:val="28"/>
          <w:szCs w:val="28"/>
          <w:lang w:val="en-AU"/>
        </w:rPr>
        <w:t>atau</w:t>
      </w:r>
      <w:proofErr w:type="spellEnd"/>
      <w:r w:rsidRPr="00AA5BD3">
        <w:rPr>
          <w:rFonts w:ascii="Calibri" w:hAnsi="Calibri" w:cs="Calibri"/>
          <w:b/>
          <w:color w:val="000000"/>
          <w:sz w:val="28"/>
          <w:szCs w:val="28"/>
          <w:lang w:val="en-AU"/>
        </w:rPr>
        <w:t xml:space="preserve"> </w:t>
      </w:r>
      <w:proofErr w:type="spellStart"/>
      <w:r w:rsidRPr="00AA5BD3">
        <w:rPr>
          <w:rFonts w:ascii="Calibri" w:hAnsi="Calibri" w:cs="Calibri"/>
          <w:b/>
          <w:color w:val="000000"/>
          <w:sz w:val="28"/>
          <w:szCs w:val="28"/>
          <w:lang w:val="en-AU"/>
        </w:rPr>
        <w:t>menodai</w:t>
      </w:r>
      <w:proofErr w:type="spellEnd"/>
      <w:r w:rsidRPr="00AA5BD3">
        <w:rPr>
          <w:rFonts w:ascii="Calibri" w:hAnsi="Calibri" w:cs="Calibri"/>
          <w:b/>
          <w:color w:val="000000"/>
          <w:sz w:val="28"/>
          <w:szCs w:val="28"/>
          <w:lang w:val="en-AU"/>
        </w:rPr>
        <w:t xml:space="preserve"> agama (Islam). </w:t>
      </w:r>
      <w:proofErr w:type="spellStart"/>
      <w:r w:rsidRPr="00AA5BD3">
        <w:rPr>
          <w:rFonts w:ascii="Calibri" w:hAnsi="Calibri" w:cs="Calibri"/>
          <w:b/>
          <w:color w:val="000000"/>
          <w:sz w:val="28"/>
          <w:szCs w:val="28"/>
          <w:lang w:val="en-AU"/>
        </w:rPr>
        <w:t>Pengadilan</w:t>
      </w:r>
      <w:proofErr w:type="spellEnd"/>
      <w:r w:rsidRPr="00AA5BD3">
        <w:rPr>
          <w:rFonts w:ascii="Calibri" w:hAnsi="Calibri" w:cs="Calibri"/>
          <w:b/>
          <w:color w:val="000000"/>
          <w:sz w:val="28"/>
          <w:szCs w:val="28"/>
          <w:lang w:val="en-AU"/>
        </w:rPr>
        <w:t xml:space="preserve"> yang </w:t>
      </w:r>
      <w:proofErr w:type="spellStart"/>
      <w:r w:rsidRPr="00AA5BD3">
        <w:rPr>
          <w:rFonts w:ascii="Calibri" w:hAnsi="Calibri" w:cs="Calibri"/>
          <w:b/>
          <w:color w:val="000000"/>
          <w:sz w:val="28"/>
          <w:szCs w:val="28"/>
          <w:lang w:val="en-AU"/>
        </w:rPr>
        <w:t>seharusnya</w:t>
      </w:r>
      <w:proofErr w:type="spellEnd"/>
      <w:r w:rsidRPr="00AA5BD3">
        <w:rPr>
          <w:rFonts w:ascii="Calibri" w:hAnsi="Calibri" w:cs="Calibri"/>
          <w:b/>
          <w:color w:val="000000"/>
          <w:sz w:val="28"/>
          <w:szCs w:val="28"/>
          <w:lang w:val="en-AU"/>
        </w:rPr>
        <w:t xml:space="preserve"> </w:t>
      </w:r>
      <w:proofErr w:type="spellStart"/>
      <w:r w:rsidRPr="00AA5BD3">
        <w:rPr>
          <w:rFonts w:ascii="Calibri" w:hAnsi="Calibri" w:cs="Calibri"/>
          <w:b/>
          <w:color w:val="000000"/>
          <w:sz w:val="28"/>
          <w:szCs w:val="28"/>
          <w:lang w:val="en-AU"/>
        </w:rPr>
        <w:t>mampu</w:t>
      </w:r>
      <w:proofErr w:type="spellEnd"/>
      <w:r w:rsidRPr="00AA5BD3">
        <w:rPr>
          <w:rFonts w:ascii="Calibri" w:hAnsi="Calibri" w:cs="Calibri"/>
          <w:b/>
          <w:color w:val="000000"/>
          <w:sz w:val="28"/>
          <w:szCs w:val="28"/>
          <w:lang w:val="en-AU"/>
        </w:rPr>
        <w:t xml:space="preserve"> </w:t>
      </w:r>
      <w:proofErr w:type="spellStart"/>
      <w:r w:rsidRPr="00AA5BD3">
        <w:rPr>
          <w:rFonts w:ascii="Calibri" w:hAnsi="Calibri" w:cs="Calibri"/>
          <w:b/>
          <w:color w:val="000000"/>
          <w:sz w:val="28"/>
          <w:szCs w:val="28"/>
          <w:lang w:val="en-AU"/>
        </w:rPr>
        <w:t>menilai</w:t>
      </w:r>
      <w:proofErr w:type="spellEnd"/>
      <w:r w:rsidRPr="00AA5BD3">
        <w:rPr>
          <w:rFonts w:ascii="Calibri" w:hAnsi="Calibri" w:cs="Calibri"/>
          <w:b/>
          <w:color w:val="000000"/>
          <w:sz w:val="28"/>
          <w:szCs w:val="28"/>
          <w:lang w:val="en-AU"/>
        </w:rPr>
        <w:t xml:space="preserve"> dan </w:t>
      </w:r>
      <w:proofErr w:type="spellStart"/>
      <w:r w:rsidRPr="00AA5BD3">
        <w:rPr>
          <w:rFonts w:ascii="Calibri" w:hAnsi="Calibri" w:cs="Calibri"/>
          <w:b/>
          <w:color w:val="000000"/>
          <w:sz w:val="28"/>
          <w:szCs w:val="28"/>
          <w:lang w:val="en-AU"/>
        </w:rPr>
        <w:t>mengadili</w:t>
      </w:r>
      <w:proofErr w:type="spellEnd"/>
      <w:r w:rsidRPr="00AA5BD3">
        <w:rPr>
          <w:rFonts w:ascii="Calibri" w:hAnsi="Calibri" w:cs="Calibri"/>
          <w:b/>
          <w:color w:val="000000"/>
          <w:sz w:val="28"/>
          <w:szCs w:val="28"/>
          <w:lang w:val="en-AU"/>
        </w:rPr>
        <w:t xml:space="preserve"> </w:t>
      </w:r>
      <w:proofErr w:type="spellStart"/>
      <w:r w:rsidRPr="00AA5BD3">
        <w:rPr>
          <w:rFonts w:ascii="Calibri" w:hAnsi="Calibri" w:cs="Calibri"/>
          <w:b/>
          <w:color w:val="000000"/>
          <w:sz w:val="28"/>
          <w:szCs w:val="28"/>
          <w:lang w:val="en-AU"/>
        </w:rPr>
        <w:t>sendiri</w:t>
      </w:r>
      <w:proofErr w:type="spellEnd"/>
      <w:r w:rsidRPr="00AA5BD3">
        <w:rPr>
          <w:rFonts w:ascii="Calibri" w:hAnsi="Calibri" w:cs="Calibri"/>
          <w:b/>
          <w:color w:val="000000"/>
          <w:sz w:val="28"/>
          <w:szCs w:val="28"/>
          <w:lang w:val="en-AU"/>
        </w:rPr>
        <w:t xml:space="preserve"> </w:t>
      </w:r>
      <w:proofErr w:type="spellStart"/>
      <w:r w:rsidRPr="00AA5BD3">
        <w:rPr>
          <w:rFonts w:ascii="Calibri" w:hAnsi="Calibri" w:cs="Calibri"/>
          <w:b/>
          <w:color w:val="000000"/>
          <w:sz w:val="28"/>
          <w:szCs w:val="28"/>
          <w:lang w:val="en-AU"/>
        </w:rPr>
        <w:t>kasus</w:t>
      </w:r>
      <w:proofErr w:type="spellEnd"/>
      <w:r w:rsidRPr="00AA5BD3">
        <w:rPr>
          <w:rFonts w:ascii="Calibri" w:hAnsi="Calibri" w:cs="Calibri"/>
          <w:b/>
          <w:color w:val="000000"/>
          <w:sz w:val="28"/>
          <w:szCs w:val="28"/>
          <w:lang w:val="en-AU"/>
        </w:rPr>
        <w:t xml:space="preserve"> blasphemy </w:t>
      </w:r>
      <w:proofErr w:type="spellStart"/>
      <w:r w:rsidRPr="00AA5BD3">
        <w:rPr>
          <w:rFonts w:ascii="Calibri" w:hAnsi="Calibri" w:cs="Calibri"/>
          <w:b/>
          <w:color w:val="000000"/>
          <w:sz w:val="28"/>
          <w:szCs w:val="28"/>
          <w:lang w:val="en-AU"/>
        </w:rPr>
        <w:t>untuk</w:t>
      </w:r>
      <w:proofErr w:type="spellEnd"/>
      <w:r w:rsidRPr="00AA5BD3">
        <w:rPr>
          <w:rFonts w:ascii="Calibri" w:hAnsi="Calibri" w:cs="Calibri"/>
          <w:b/>
          <w:color w:val="000000"/>
          <w:sz w:val="28"/>
          <w:szCs w:val="28"/>
          <w:lang w:val="en-AU"/>
        </w:rPr>
        <w:t xml:space="preserve"> </w:t>
      </w:r>
      <w:proofErr w:type="spellStart"/>
      <w:r w:rsidRPr="00AA5BD3">
        <w:rPr>
          <w:rFonts w:ascii="Calibri" w:hAnsi="Calibri" w:cs="Calibri"/>
          <w:b/>
          <w:color w:val="000000"/>
          <w:sz w:val="28"/>
          <w:szCs w:val="28"/>
          <w:lang w:val="en-AU"/>
        </w:rPr>
        <w:t>membuktikan</w:t>
      </w:r>
      <w:proofErr w:type="spellEnd"/>
      <w:r w:rsidRPr="00AA5BD3">
        <w:rPr>
          <w:rFonts w:ascii="Calibri" w:hAnsi="Calibri" w:cs="Calibri"/>
          <w:b/>
          <w:color w:val="000000"/>
          <w:sz w:val="28"/>
          <w:szCs w:val="28"/>
          <w:lang w:val="en-AU"/>
        </w:rPr>
        <w:t xml:space="preserve"> </w:t>
      </w:r>
      <w:proofErr w:type="spellStart"/>
      <w:r w:rsidRPr="00AA5BD3">
        <w:rPr>
          <w:rFonts w:ascii="Calibri" w:hAnsi="Calibri" w:cs="Calibri"/>
          <w:b/>
          <w:color w:val="000000"/>
          <w:sz w:val="28"/>
          <w:szCs w:val="28"/>
          <w:lang w:val="en-AU"/>
        </w:rPr>
        <w:t>unsur</w:t>
      </w:r>
      <w:proofErr w:type="spellEnd"/>
      <w:r w:rsidRPr="00AA5BD3">
        <w:rPr>
          <w:rFonts w:ascii="Calibri" w:hAnsi="Calibri" w:cs="Calibri"/>
          <w:b/>
          <w:color w:val="000000"/>
          <w:sz w:val="28"/>
          <w:szCs w:val="28"/>
          <w:lang w:val="en-AU"/>
        </w:rPr>
        <w:t xml:space="preserve"> </w:t>
      </w:r>
      <w:proofErr w:type="spellStart"/>
      <w:r w:rsidRPr="00AA5BD3">
        <w:rPr>
          <w:rFonts w:ascii="Calibri" w:hAnsi="Calibri" w:cs="Calibri"/>
          <w:b/>
          <w:color w:val="000000"/>
          <w:sz w:val="28"/>
          <w:szCs w:val="28"/>
          <w:lang w:val="en-AU"/>
        </w:rPr>
        <w:t>kesengajaan</w:t>
      </w:r>
      <w:proofErr w:type="spellEnd"/>
      <w:r w:rsidRPr="00AA5BD3">
        <w:rPr>
          <w:rFonts w:ascii="Calibri" w:hAnsi="Calibri" w:cs="Calibri"/>
          <w:b/>
          <w:color w:val="000000"/>
          <w:sz w:val="28"/>
          <w:szCs w:val="28"/>
          <w:lang w:val="en-AU"/>
        </w:rPr>
        <w:t xml:space="preserve"> dan </w:t>
      </w:r>
      <w:proofErr w:type="spellStart"/>
      <w:r w:rsidRPr="00AA5BD3">
        <w:rPr>
          <w:rFonts w:ascii="Calibri" w:hAnsi="Calibri" w:cs="Calibri"/>
          <w:b/>
          <w:color w:val="000000"/>
          <w:sz w:val="28"/>
          <w:szCs w:val="28"/>
          <w:lang w:val="en-AU"/>
        </w:rPr>
        <w:t>kesalahan</w:t>
      </w:r>
      <w:proofErr w:type="spellEnd"/>
      <w:r w:rsidRPr="00AA5BD3">
        <w:rPr>
          <w:rFonts w:ascii="Calibri" w:hAnsi="Calibri" w:cs="Calibri"/>
          <w:b/>
          <w:color w:val="000000"/>
          <w:sz w:val="28"/>
          <w:szCs w:val="28"/>
          <w:lang w:val="en-AU"/>
        </w:rPr>
        <w:t xml:space="preserve"> </w:t>
      </w:r>
      <w:proofErr w:type="spellStart"/>
      <w:r w:rsidRPr="00AA5BD3">
        <w:rPr>
          <w:rFonts w:ascii="Calibri" w:hAnsi="Calibri" w:cs="Calibri"/>
          <w:b/>
          <w:color w:val="000000"/>
          <w:sz w:val="28"/>
          <w:szCs w:val="28"/>
          <w:lang w:val="en-AU"/>
        </w:rPr>
        <w:t>tertuduh</w:t>
      </w:r>
      <w:proofErr w:type="spellEnd"/>
      <w:r w:rsidRPr="00AA5BD3">
        <w:rPr>
          <w:rFonts w:ascii="Calibri" w:hAnsi="Calibri" w:cs="Calibri"/>
          <w:b/>
          <w:color w:val="000000"/>
          <w:sz w:val="28"/>
          <w:szCs w:val="28"/>
          <w:lang w:val="en-AU"/>
        </w:rPr>
        <w:t xml:space="preserve">, </w:t>
      </w:r>
      <w:proofErr w:type="spellStart"/>
      <w:r w:rsidRPr="00AA5BD3">
        <w:rPr>
          <w:rFonts w:ascii="Calibri" w:hAnsi="Calibri" w:cs="Calibri"/>
          <w:b/>
          <w:color w:val="000000"/>
          <w:sz w:val="28"/>
          <w:szCs w:val="28"/>
          <w:lang w:val="en-AU"/>
        </w:rPr>
        <w:t>tidak</w:t>
      </w:r>
      <w:proofErr w:type="spellEnd"/>
      <w:r w:rsidRPr="00AA5BD3">
        <w:rPr>
          <w:rFonts w:ascii="Calibri" w:hAnsi="Calibri" w:cs="Calibri"/>
          <w:b/>
          <w:color w:val="000000"/>
          <w:sz w:val="28"/>
          <w:szCs w:val="28"/>
          <w:lang w:val="en-AU"/>
        </w:rPr>
        <w:t xml:space="preserve"> </w:t>
      </w:r>
      <w:proofErr w:type="spellStart"/>
      <w:r w:rsidRPr="00AA5BD3">
        <w:rPr>
          <w:rFonts w:ascii="Calibri" w:hAnsi="Calibri" w:cs="Calibri"/>
          <w:b/>
          <w:color w:val="000000"/>
          <w:sz w:val="28"/>
          <w:szCs w:val="28"/>
          <w:lang w:val="en-AU"/>
        </w:rPr>
        <w:t>secara</w:t>
      </w:r>
      <w:proofErr w:type="spellEnd"/>
      <w:r w:rsidRPr="00AA5BD3">
        <w:rPr>
          <w:rFonts w:ascii="Calibri" w:hAnsi="Calibri" w:cs="Calibri"/>
          <w:b/>
          <w:color w:val="000000"/>
          <w:sz w:val="28"/>
          <w:szCs w:val="28"/>
          <w:lang w:val="en-AU"/>
        </w:rPr>
        <w:t xml:space="preserve"> </w:t>
      </w:r>
      <w:proofErr w:type="spellStart"/>
      <w:r w:rsidRPr="00AA5BD3">
        <w:rPr>
          <w:rFonts w:ascii="Calibri" w:hAnsi="Calibri" w:cs="Calibri"/>
          <w:b/>
          <w:color w:val="000000"/>
          <w:sz w:val="28"/>
          <w:szCs w:val="28"/>
          <w:lang w:val="en-AU"/>
        </w:rPr>
        <w:t>maksimal</w:t>
      </w:r>
      <w:proofErr w:type="spellEnd"/>
      <w:r w:rsidRPr="00AA5BD3">
        <w:rPr>
          <w:rFonts w:ascii="Calibri" w:hAnsi="Calibri" w:cs="Calibri"/>
          <w:b/>
          <w:color w:val="000000"/>
          <w:sz w:val="28"/>
          <w:szCs w:val="28"/>
          <w:lang w:val="en-AU"/>
        </w:rPr>
        <w:t xml:space="preserve"> </w:t>
      </w:r>
      <w:proofErr w:type="spellStart"/>
      <w:r w:rsidRPr="00AA5BD3">
        <w:rPr>
          <w:rFonts w:ascii="Calibri" w:hAnsi="Calibri" w:cs="Calibri"/>
          <w:b/>
          <w:color w:val="000000"/>
          <w:sz w:val="28"/>
          <w:szCs w:val="28"/>
          <w:lang w:val="en-AU"/>
        </w:rPr>
        <w:t>dilakukan</w:t>
      </w:r>
      <w:proofErr w:type="spellEnd"/>
      <w:r w:rsidRPr="00AA5BD3">
        <w:rPr>
          <w:rFonts w:ascii="Calibri" w:hAnsi="Calibri" w:cs="Calibri"/>
          <w:b/>
          <w:color w:val="000000"/>
          <w:sz w:val="28"/>
          <w:szCs w:val="28"/>
          <w:lang w:val="en-AU"/>
        </w:rPr>
        <w:t xml:space="preserve">. </w:t>
      </w:r>
    </w:p>
    <w:p w14:paraId="52290784" w14:textId="23A6DA21" w:rsidR="00AA5BD3" w:rsidRPr="00AA5BD3" w:rsidRDefault="00AA5BD3" w:rsidP="00AA5BD3">
      <w:pPr>
        <w:ind w:firstLine="720"/>
        <w:jc w:val="both"/>
        <w:rPr>
          <w:rFonts w:ascii="Calibri" w:hAnsi="Calibri" w:cs="Calibri"/>
          <w:b/>
          <w:color w:val="000000"/>
          <w:sz w:val="28"/>
          <w:szCs w:val="28"/>
          <w:lang w:val="en-AU"/>
        </w:rPr>
      </w:pPr>
      <w:proofErr w:type="spellStart"/>
      <w:r w:rsidRPr="00AA5BD3">
        <w:rPr>
          <w:rFonts w:ascii="Calibri" w:hAnsi="Calibri" w:cs="Calibri"/>
          <w:b/>
          <w:color w:val="000000"/>
          <w:sz w:val="28"/>
          <w:szCs w:val="28"/>
          <w:lang w:val="en-AU"/>
        </w:rPr>
        <w:t>Dengan</w:t>
      </w:r>
      <w:proofErr w:type="spellEnd"/>
      <w:r w:rsidRPr="00AA5BD3">
        <w:rPr>
          <w:rFonts w:ascii="Calibri" w:hAnsi="Calibri" w:cs="Calibri"/>
          <w:b/>
          <w:color w:val="000000"/>
          <w:sz w:val="28"/>
          <w:szCs w:val="28"/>
          <w:lang w:val="en-AU"/>
        </w:rPr>
        <w:t xml:space="preserve"> </w:t>
      </w:r>
      <w:proofErr w:type="spellStart"/>
      <w:r w:rsidRPr="00AA5BD3">
        <w:rPr>
          <w:rFonts w:ascii="Calibri" w:hAnsi="Calibri" w:cs="Calibri"/>
          <w:b/>
          <w:color w:val="000000"/>
          <w:sz w:val="28"/>
          <w:szCs w:val="28"/>
          <w:lang w:val="en-AU"/>
        </w:rPr>
        <w:t>menelaah</w:t>
      </w:r>
      <w:proofErr w:type="spellEnd"/>
      <w:r w:rsidRPr="00AA5BD3">
        <w:rPr>
          <w:rFonts w:ascii="Calibri" w:hAnsi="Calibri" w:cs="Calibri"/>
          <w:b/>
          <w:color w:val="000000"/>
          <w:sz w:val="28"/>
          <w:szCs w:val="28"/>
          <w:lang w:val="en-AU"/>
        </w:rPr>
        <w:t xml:space="preserve"> </w:t>
      </w:r>
      <w:proofErr w:type="spellStart"/>
      <w:r w:rsidR="005F513A">
        <w:rPr>
          <w:rFonts w:ascii="Calibri" w:hAnsi="Calibri" w:cs="Calibri"/>
          <w:b/>
          <w:color w:val="000000"/>
          <w:sz w:val="28"/>
          <w:szCs w:val="28"/>
          <w:lang w:val="en-AU"/>
        </w:rPr>
        <w:t>alur</w:t>
      </w:r>
      <w:proofErr w:type="spellEnd"/>
      <w:r w:rsidR="005F513A">
        <w:rPr>
          <w:rFonts w:ascii="Calibri" w:hAnsi="Calibri" w:cs="Calibri"/>
          <w:b/>
          <w:color w:val="000000"/>
          <w:sz w:val="28"/>
          <w:szCs w:val="28"/>
          <w:lang w:val="en-AU"/>
        </w:rPr>
        <w:t xml:space="preserve"> yang </w:t>
      </w:r>
      <w:proofErr w:type="spellStart"/>
      <w:r w:rsidR="005F513A">
        <w:rPr>
          <w:rFonts w:ascii="Calibri" w:hAnsi="Calibri" w:cs="Calibri"/>
          <w:b/>
          <w:color w:val="000000"/>
          <w:sz w:val="28"/>
          <w:szCs w:val="28"/>
          <w:lang w:val="en-AU"/>
        </w:rPr>
        <w:t>terjadi</w:t>
      </w:r>
      <w:proofErr w:type="spellEnd"/>
      <w:r w:rsidR="005F513A">
        <w:rPr>
          <w:rFonts w:ascii="Calibri" w:hAnsi="Calibri" w:cs="Calibri"/>
          <w:b/>
          <w:color w:val="000000"/>
          <w:sz w:val="28"/>
          <w:szCs w:val="28"/>
          <w:lang w:val="en-AU"/>
        </w:rPr>
        <w:t xml:space="preserve"> di </w:t>
      </w:r>
      <w:proofErr w:type="spellStart"/>
      <w:r w:rsidRPr="00AA5BD3">
        <w:rPr>
          <w:rFonts w:ascii="Calibri" w:hAnsi="Calibri" w:cs="Calibri"/>
          <w:b/>
          <w:color w:val="000000"/>
          <w:sz w:val="28"/>
          <w:szCs w:val="28"/>
          <w:lang w:val="en-AU"/>
        </w:rPr>
        <w:t>kasus-kasus</w:t>
      </w:r>
      <w:proofErr w:type="spellEnd"/>
      <w:r w:rsidRPr="00AA5BD3">
        <w:rPr>
          <w:rFonts w:ascii="Calibri" w:hAnsi="Calibri" w:cs="Calibri"/>
          <w:b/>
          <w:color w:val="000000"/>
          <w:sz w:val="28"/>
          <w:szCs w:val="28"/>
          <w:lang w:val="en-AU"/>
        </w:rPr>
        <w:t xml:space="preserve"> blasphemy </w:t>
      </w:r>
      <w:proofErr w:type="spellStart"/>
      <w:r w:rsidRPr="00AA5BD3">
        <w:rPr>
          <w:rFonts w:ascii="Calibri" w:hAnsi="Calibri" w:cs="Calibri"/>
          <w:b/>
          <w:color w:val="000000"/>
          <w:sz w:val="28"/>
          <w:szCs w:val="28"/>
          <w:lang w:val="en-AU"/>
        </w:rPr>
        <w:t>dalam</w:t>
      </w:r>
      <w:proofErr w:type="spellEnd"/>
      <w:r w:rsidRPr="00AA5BD3">
        <w:rPr>
          <w:rFonts w:ascii="Calibri" w:hAnsi="Calibri" w:cs="Calibri"/>
          <w:b/>
          <w:color w:val="000000"/>
          <w:sz w:val="28"/>
          <w:szCs w:val="28"/>
          <w:lang w:val="en-AU"/>
        </w:rPr>
        <w:t xml:space="preserve"> </w:t>
      </w:r>
      <w:proofErr w:type="spellStart"/>
      <w:r w:rsidRPr="00AA5BD3">
        <w:rPr>
          <w:rFonts w:ascii="Calibri" w:hAnsi="Calibri" w:cs="Calibri"/>
          <w:b/>
          <w:color w:val="000000"/>
          <w:sz w:val="28"/>
          <w:szCs w:val="28"/>
          <w:lang w:val="en-AU"/>
        </w:rPr>
        <w:t>studi</w:t>
      </w:r>
      <w:proofErr w:type="spellEnd"/>
      <w:r w:rsidRPr="00AA5BD3">
        <w:rPr>
          <w:rFonts w:ascii="Calibri" w:hAnsi="Calibri" w:cs="Calibri"/>
          <w:b/>
          <w:color w:val="000000"/>
          <w:sz w:val="28"/>
          <w:szCs w:val="28"/>
          <w:lang w:val="en-AU"/>
        </w:rPr>
        <w:t xml:space="preserve"> </w:t>
      </w:r>
      <w:proofErr w:type="spellStart"/>
      <w:r w:rsidRPr="00AA5BD3">
        <w:rPr>
          <w:rFonts w:ascii="Calibri" w:hAnsi="Calibri" w:cs="Calibri"/>
          <w:b/>
          <w:color w:val="000000"/>
          <w:sz w:val="28"/>
          <w:szCs w:val="28"/>
          <w:lang w:val="en-AU"/>
        </w:rPr>
        <w:t>ini</w:t>
      </w:r>
      <w:proofErr w:type="spellEnd"/>
      <w:r w:rsidRPr="00AA5BD3">
        <w:rPr>
          <w:rFonts w:ascii="Calibri" w:hAnsi="Calibri" w:cs="Calibri"/>
          <w:b/>
          <w:color w:val="000000"/>
          <w:sz w:val="28"/>
          <w:szCs w:val="28"/>
          <w:lang w:val="en-AU"/>
        </w:rPr>
        <w:t xml:space="preserve">, para </w:t>
      </w:r>
      <w:proofErr w:type="spellStart"/>
      <w:r w:rsidRPr="00AA5BD3">
        <w:rPr>
          <w:rFonts w:ascii="Calibri" w:hAnsi="Calibri" w:cs="Calibri"/>
          <w:b/>
          <w:color w:val="000000"/>
          <w:sz w:val="28"/>
          <w:szCs w:val="28"/>
          <w:lang w:val="en-AU"/>
        </w:rPr>
        <w:t>tertuduh</w:t>
      </w:r>
      <w:proofErr w:type="spellEnd"/>
      <w:r w:rsidRPr="00AA5BD3">
        <w:rPr>
          <w:rFonts w:ascii="Calibri" w:hAnsi="Calibri" w:cs="Calibri"/>
          <w:b/>
          <w:color w:val="000000"/>
          <w:sz w:val="28"/>
          <w:szCs w:val="28"/>
          <w:lang w:val="en-AU"/>
        </w:rPr>
        <w:t xml:space="preserve"> </w:t>
      </w:r>
      <w:proofErr w:type="spellStart"/>
      <w:r w:rsidR="005F513A">
        <w:rPr>
          <w:rFonts w:ascii="Calibri" w:hAnsi="Calibri" w:cs="Calibri"/>
          <w:b/>
          <w:color w:val="000000"/>
          <w:sz w:val="28"/>
          <w:szCs w:val="28"/>
          <w:lang w:val="en-AU"/>
        </w:rPr>
        <w:t>kasus</w:t>
      </w:r>
      <w:proofErr w:type="spellEnd"/>
      <w:r w:rsidR="005F513A">
        <w:rPr>
          <w:rFonts w:ascii="Calibri" w:hAnsi="Calibri" w:cs="Calibri"/>
          <w:b/>
          <w:color w:val="000000"/>
          <w:sz w:val="28"/>
          <w:szCs w:val="28"/>
          <w:lang w:val="en-AU"/>
        </w:rPr>
        <w:t xml:space="preserve"> </w:t>
      </w:r>
      <w:proofErr w:type="spellStart"/>
      <w:r w:rsidR="005F513A">
        <w:rPr>
          <w:rFonts w:ascii="Calibri" w:hAnsi="Calibri" w:cs="Calibri"/>
          <w:b/>
          <w:color w:val="000000"/>
          <w:sz w:val="28"/>
          <w:szCs w:val="28"/>
          <w:lang w:val="en-AU"/>
        </w:rPr>
        <w:t>ini</w:t>
      </w:r>
      <w:proofErr w:type="spellEnd"/>
      <w:r w:rsidR="005F513A">
        <w:rPr>
          <w:rFonts w:ascii="Calibri" w:hAnsi="Calibri" w:cs="Calibri"/>
          <w:b/>
          <w:color w:val="000000"/>
          <w:sz w:val="28"/>
          <w:szCs w:val="28"/>
          <w:lang w:val="en-AU"/>
        </w:rPr>
        <w:t xml:space="preserve"> </w:t>
      </w:r>
      <w:proofErr w:type="spellStart"/>
      <w:r w:rsidR="005F513A">
        <w:rPr>
          <w:rFonts w:ascii="Calibri" w:hAnsi="Calibri" w:cs="Calibri"/>
          <w:b/>
          <w:color w:val="000000"/>
          <w:sz w:val="28"/>
          <w:szCs w:val="28"/>
          <w:lang w:val="en-AU"/>
        </w:rPr>
        <w:t>bisa</w:t>
      </w:r>
      <w:proofErr w:type="spellEnd"/>
      <w:r w:rsidR="005F513A">
        <w:rPr>
          <w:rFonts w:ascii="Calibri" w:hAnsi="Calibri" w:cs="Calibri"/>
          <w:b/>
          <w:color w:val="000000"/>
          <w:sz w:val="28"/>
          <w:szCs w:val="28"/>
          <w:lang w:val="en-AU"/>
        </w:rPr>
        <w:t xml:space="preserve"> </w:t>
      </w:r>
      <w:proofErr w:type="spellStart"/>
      <w:r w:rsidR="005F513A">
        <w:rPr>
          <w:rFonts w:ascii="Calibri" w:hAnsi="Calibri" w:cs="Calibri"/>
          <w:b/>
          <w:color w:val="000000"/>
          <w:sz w:val="28"/>
          <w:szCs w:val="28"/>
          <w:lang w:val="en-AU"/>
        </w:rPr>
        <w:t>dikatakan</w:t>
      </w:r>
      <w:proofErr w:type="spellEnd"/>
      <w:r w:rsidR="005F513A">
        <w:rPr>
          <w:rFonts w:ascii="Calibri" w:hAnsi="Calibri" w:cs="Calibri"/>
          <w:b/>
          <w:color w:val="000000"/>
          <w:sz w:val="28"/>
          <w:szCs w:val="28"/>
          <w:lang w:val="en-AU"/>
        </w:rPr>
        <w:t xml:space="preserve"> </w:t>
      </w:r>
      <w:proofErr w:type="spellStart"/>
      <w:r w:rsidRPr="00AA5BD3">
        <w:rPr>
          <w:rFonts w:ascii="Calibri" w:hAnsi="Calibri" w:cs="Calibri"/>
          <w:b/>
          <w:color w:val="000000"/>
          <w:sz w:val="28"/>
          <w:szCs w:val="28"/>
          <w:lang w:val="en-AU"/>
        </w:rPr>
        <w:t>menderita</w:t>
      </w:r>
      <w:proofErr w:type="spellEnd"/>
      <w:r w:rsidRPr="00AA5BD3">
        <w:rPr>
          <w:rFonts w:ascii="Calibri" w:hAnsi="Calibri" w:cs="Calibri"/>
          <w:b/>
          <w:color w:val="000000"/>
          <w:sz w:val="28"/>
          <w:szCs w:val="28"/>
          <w:lang w:val="en-AU"/>
        </w:rPr>
        <w:t xml:space="preserve"> </w:t>
      </w:r>
      <w:proofErr w:type="spellStart"/>
      <w:r w:rsidRPr="00AA5BD3">
        <w:rPr>
          <w:rFonts w:ascii="Calibri" w:hAnsi="Calibri" w:cs="Calibri"/>
          <w:b/>
          <w:color w:val="000000"/>
          <w:sz w:val="28"/>
          <w:szCs w:val="28"/>
          <w:lang w:val="en-AU"/>
        </w:rPr>
        <w:t>dua</w:t>
      </w:r>
      <w:proofErr w:type="spellEnd"/>
      <w:r w:rsidRPr="00AA5BD3">
        <w:rPr>
          <w:rFonts w:ascii="Calibri" w:hAnsi="Calibri" w:cs="Calibri"/>
          <w:b/>
          <w:color w:val="000000"/>
          <w:sz w:val="28"/>
          <w:szCs w:val="28"/>
          <w:lang w:val="en-AU"/>
        </w:rPr>
        <w:t xml:space="preserve"> kali, </w:t>
      </w:r>
      <w:proofErr w:type="spellStart"/>
      <w:r w:rsidRPr="00AA5BD3">
        <w:rPr>
          <w:rFonts w:ascii="Calibri" w:hAnsi="Calibri" w:cs="Calibri"/>
          <w:b/>
          <w:color w:val="000000"/>
          <w:sz w:val="28"/>
          <w:szCs w:val="28"/>
          <w:lang w:val="en-AU"/>
        </w:rPr>
        <w:t>Pertama</w:t>
      </w:r>
      <w:proofErr w:type="spellEnd"/>
      <w:r w:rsidRPr="00AA5BD3">
        <w:rPr>
          <w:rFonts w:ascii="Calibri" w:hAnsi="Calibri" w:cs="Calibri"/>
          <w:b/>
          <w:color w:val="000000"/>
          <w:sz w:val="28"/>
          <w:szCs w:val="28"/>
          <w:lang w:val="en-AU"/>
        </w:rPr>
        <w:t xml:space="preserve">, </w:t>
      </w:r>
      <w:proofErr w:type="spellStart"/>
      <w:r w:rsidRPr="00AA5BD3">
        <w:rPr>
          <w:rFonts w:ascii="Calibri" w:hAnsi="Calibri" w:cs="Calibri"/>
          <w:b/>
          <w:color w:val="000000"/>
          <w:sz w:val="28"/>
          <w:szCs w:val="28"/>
          <w:lang w:val="en-AU"/>
        </w:rPr>
        <w:t>mereka</w:t>
      </w:r>
      <w:proofErr w:type="spellEnd"/>
      <w:r w:rsidRPr="00AA5BD3">
        <w:rPr>
          <w:rFonts w:ascii="Calibri" w:hAnsi="Calibri" w:cs="Calibri"/>
          <w:b/>
          <w:color w:val="000000"/>
          <w:sz w:val="28"/>
          <w:szCs w:val="28"/>
          <w:lang w:val="en-AU"/>
        </w:rPr>
        <w:t xml:space="preserve"> </w:t>
      </w:r>
      <w:proofErr w:type="spellStart"/>
      <w:r w:rsidRPr="00AA5BD3">
        <w:rPr>
          <w:rFonts w:ascii="Calibri" w:hAnsi="Calibri" w:cs="Calibri"/>
          <w:b/>
          <w:color w:val="000000"/>
          <w:sz w:val="28"/>
          <w:szCs w:val="28"/>
          <w:lang w:val="en-AU"/>
        </w:rPr>
        <w:t>tidak</w:t>
      </w:r>
      <w:proofErr w:type="spellEnd"/>
      <w:r w:rsidRPr="00AA5BD3">
        <w:rPr>
          <w:rFonts w:ascii="Calibri" w:hAnsi="Calibri" w:cs="Calibri"/>
          <w:b/>
          <w:color w:val="000000"/>
          <w:sz w:val="28"/>
          <w:szCs w:val="28"/>
          <w:lang w:val="en-AU"/>
        </w:rPr>
        <w:t xml:space="preserve"> </w:t>
      </w:r>
      <w:proofErr w:type="spellStart"/>
      <w:r w:rsidRPr="00AA5BD3">
        <w:rPr>
          <w:rFonts w:ascii="Calibri" w:hAnsi="Calibri" w:cs="Calibri"/>
          <w:b/>
          <w:color w:val="000000"/>
          <w:sz w:val="28"/>
          <w:szCs w:val="28"/>
          <w:lang w:val="en-AU"/>
        </w:rPr>
        <w:t>hanya</w:t>
      </w:r>
      <w:proofErr w:type="spellEnd"/>
      <w:r w:rsidRPr="00AA5BD3">
        <w:rPr>
          <w:rFonts w:ascii="Calibri" w:hAnsi="Calibri" w:cs="Calibri"/>
          <w:b/>
          <w:color w:val="000000"/>
          <w:sz w:val="28"/>
          <w:szCs w:val="28"/>
          <w:lang w:val="en-AU"/>
        </w:rPr>
        <w:t xml:space="preserve"> </w:t>
      </w:r>
      <w:proofErr w:type="spellStart"/>
      <w:r w:rsidRPr="00AA5BD3">
        <w:rPr>
          <w:rFonts w:ascii="Calibri" w:hAnsi="Calibri" w:cs="Calibri"/>
          <w:b/>
          <w:color w:val="000000"/>
          <w:sz w:val="28"/>
          <w:szCs w:val="28"/>
          <w:lang w:val="en-AU"/>
        </w:rPr>
        <w:t>menderita</w:t>
      </w:r>
      <w:proofErr w:type="spellEnd"/>
      <w:r w:rsidRPr="00AA5BD3">
        <w:rPr>
          <w:rFonts w:ascii="Calibri" w:hAnsi="Calibri" w:cs="Calibri"/>
          <w:b/>
          <w:color w:val="000000"/>
          <w:sz w:val="28"/>
          <w:szCs w:val="28"/>
          <w:lang w:val="en-AU"/>
        </w:rPr>
        <w:t xml:space="preserve"> </w:t>
      </w:r>
      <w:proofErr w:type="spellStart"/>
      <w:r w:rsidRPr="00AA5BD3">
        <w:rPr>
          <w:rFonts w:ascii="Calibri" w:hAnsi="Calibri" w:cs="Calibri"/>
          <w:b/>
          <w:color w:val="000000"/>
          <w:sz w:val="28"/>
          <w:szCs w:val="28"/>
          <w:lang w:val="en-AU"/>
        </w:rPr>
        <w:t>karena</w:t>
      </w:r>
      <w:proofErr w:type="spellEnd"/>
      <w:r w:rsidRPr="00AA5BD3">
        <w:rPr>
          <w:rFonts w:ascii="Calibri" w:hAnsi="Calibri" w:cs="Calibri"/>
          <w:b/>
          <w:color w:val="000000"/>
          <w:sz w:val="28"/>
          <w:szCs w:val="28"/>
          <w:lang w:val="en-AU"/>
        </w:rPr>
        <w:t xml:space="preserve"> </w:t>
      </w:r>
      <w:proofErr w:type="spellStart"/>
      <w:r w:rsidRPr="00AA5BD3">
        <w:rPr>
          <w:rFonts w:ascii="Calibri" w:hAnsi="Calibri" w:cs="Calibri"/>
          <w:b/>
          <w:color w:val="000000"/>
          <w:sz w:val="28"/>
          <w:szCs w:val="28"/>
          <w:lang w:val="en-AU"/>
        </w:rPr>
        <w:t>tindakan</w:t>
      </w:r>
      <w:proofErr w:type="spellEnd"/>
      <w:r w:rsidRPr="00AA5BD3">
        <w:rPr>
          <w:rFonts w:ascii="Calibri" w:hAnsi="Calibri" w:cs="Calibri"/>
          <w:b/>
          <w:color w:val="000000"/>
          <w:sz w:val="28"/>
          <w:szCs w:val="28"/>
          <w:lang w:val="en-AU"/>
        </w:rPr>
        <w:t xml:space="preserve"> </w:t>
      </w:r>
      <w:proofErr w:type="spellStart"/>
      <w:r w:rsidRPr="00AA5BD3">
        <w:rPr>
          <w:rFonts w:ascii="Calibri" w:hAnsi="Calibri" w:cs="Calibri"/>
          <w:b/>
          <w:color w:val="000000"/>
          <w:sz w:val="28"/>
          <w:szCs w:val="28"/>
          <w:lang w:val="en-AU"/>
        </w:rPr>
        <w:t>kekerasan</w:t>
      </w:r>
      <w:proofErr w:type="spellEnd"/>
      <w:r w:rsidRPr="00AA5BD3">
        <w:rPr>
          <w:rFonts w:ascii="Calibri" w:hAnsi="Calibri" w:cs="Calibri"/>
          <w:b/>
          <w:color w:val="000000"/>
          <w:sz w:val="28"/>
          <w:szCs w:val="28"/>
          <w:lang w:val="en-AU"/>
        </w:rPr>
        <w:t xml:space="preserve"> yang </w:t>
      </w:r>
      <w:proofErr w:type="spellStart"/>
      <w:r w:rsidRPr="00AA5BD3">
        <w:rPr>
          <w:rFonts w:ascii="Calibri" w:hAnsi="Calibri" w:cs="Calibri"/>
          <w:b/>
          <w:color w:val="000000"/>
          <w:sz w:val="28"/>
          <w:szCs w:val="28"/>
          <w:lang w:val="en-AU"/>
        </w:rPr>
        <w:t>dilakukan</w:t>
      </w:r>
      <w:proofErr w:type="spellEnd"/>
      <w:r w:rsidRPr="00AA5BD3">
        <w:rPr>
          <w:rFonts w:ascii="Calibri" w:hAnsi="Calibri" w:cs="Calibri"/>
          <w:b/>
          <w:color w:val="000000"/>
          <w:sz w:val="28"/>
          <w:szCs w:val="28"/>
          <w:lang w:val="en-AU"/>
        </w:rPr>
        <w:t xml:space="preserve"> oleh </w:t>
      </w:r>
      <w:proofErr w:type="spellStart"/>
      <w:r w:rsidRPr="00AA5BD3">
        <w:rPr>
          <w:rFonts w:ascii="Calibri" w:hAnsi="Calibri" w:cs="Calibri"/>
          <w:b/>
          <w:color w:val="000000"/>
          <w:sz w:val="28"/>
          <w:szCs w:val="28"/>
          <w:lang w:val="en-AU"/>
        </w:rPr>
        <w:t>kelompok</w:t>
      </w:r>
      <w:proofErr w:type="spellEnd"/>
      <w:r w:rsidRPr="00AA5BD3">
        <w:rPr>
          <w:rFonts w:ascii="Calibri" w:hAnsi="Calibri" w:cs="Calibri"/>
          <w:b/>
          <w:color w:val="000000"/>
          <w:sz w:val="28"/>
          <w:szCs w:val="28"/>
          <w:lang w:val="en-AU"/>
        </w:rPr>
        <w:t xml:space="preserve"> vigilante </w:t>
      </w:r>
      <w:proofErr w:type="spellStart"/>
      <w:r w:rsidRPr="00AA5BD3">
        <w:rPr>
          <w:rFonts w:ascii="Calibri" w:hAnsi="Calibri" w:cs="Calibri"/>
          <w:b/>
          <w:color w:val="000000"/>
          <w:sz w:val="28"/>
          <w:szCs w:val="28"/>
          <w:lang w:val="en-AU"/>
        </w:rPr>
        <w:t>menyakiti</w:t>
      </w:r>
      <w:proofErr w:type="spellEnd"/>
      <w:r w:rsidRPr="00AA5BD3">
        <w:rPr>
          <w:rFonts w:ascii="Calibri" w:hAnsi="Calibri" w:cs="Calibri"/>
          <w:b/>
          <w:color w:val="000000"/>
          <w:sz w:val="28"/>
          <w:szCs w:val="28"/>
          <w:lang w:val="en-AU"/>
        </w:rPr>
        <w:t xml:space="preserve"> badan, </w:t>
      </w:r>
      <w:proofErr w:type="spellStart"/>
      <w:r w:rsidRPr="00AA5BD3">
        <w:rPr>
          <w:rFonts w:ascii="Calibri" w:hAnsi="Calibri" w:cs="Calibri"/>
          <w:b/>
          <w:color w:val="000000"/>
          <w:sz w:val="28"/>
          <w:szCs w:val="28"/>
          <w:lang w:val="en-AU"/>
        </w:rPr>
        <w:t>merusak</w:t>
      </w:r>
      <w:proofErr w:type="spellEnd"/>
      <w:r w:rsidRPr="00AA5BD3">
        <w:rPr>
          <w:rFonts w:ascii="Calibri" w:hAnsi="Calibri" w:cs="Calibri"/>
          <w:b/>
          <w:color w:val="000000"/>
          <w:sz w:val="28"/>
          <w:szCs w:val="28"/>
          <w:lang w:val="en-AU"/>
        </w:rPr>
        <w:t xml:space="preserve"> property dan </w:t>
      </w:r>
      <w:proofErr w:type="spellStart"/>
      <w:r w:rsidRPr="00AA5BD3">
        <w:rPr>
          <w:rFonts w:ascii="Calibri" w:hAnsi="Calibri" w:cs="Calibri"/>
          <w:b/>
          <w:color w:val="000000"/>
          <w:sz w:val="28"/>
          <w:szCs w:val="28"/>
          <w:lang w:val="en-AU"/>
        </w:rPr>
        <w:t>mengganggu</w:t>
      </w:r>
      <w:proofErr w:type="spellEnd"/>
      <w:r w:rsidRPr="00AA5BD3">
        <w:rPr>
          <w:rFonts w:ascii="Calibri" w:hAnsi="Calibri" w:cs="Calibri"/>
          <w:b/>
          <w:color w:val="000000"/>
          <w:sz w:val="28"/>
          <w:szCs w:val="28"/>
          <w:lang w:val="en-AU"/>
        </w:rPr>
        <w:t xml:space="preserve"> </w:t>
      </w:r>
      <w:proofErr w:type="spellStart"/>
      <w:r w:rsidRPr="00AA5BD3">
        <w:rPr>
          <w:rFonts w:ascii="Calibri" w:hAnsi="Calibri" w:cs="Calibri"/>
          <w:b/>
          <w:color w:val="000000"/>
          <w:sz w:val="28"/>
          <w:szCs w:val="28"/>
          <w:lang w:val="en-AU"/>
        </w:rPr>
        <w:t>tertuduh</w:t>
      </w:r>
      <w:proofErr w:type="spellEnd"/>
      <w:r w:rsidRPr="00AA5BD3">
        <w:rPr>
          <w:rFonts w:ascii="Calibri" w:hAnsi="Calibri" w:cs="Calibri"/>
          <w:b/>
          <w:color w:val="000000"/>
          <w:sz w:val="28"/>
          <w:szCs w:val="28"/>
          <w:lang w:val="en-AU"/>
        </w:rPr>
        <w:t xml:space="preserve"> </w:t>
      </w:r>
      <w:proofErr w:type="spellStart"/>
      <w:r w:rsidRPr="00AA5BD3">
        <w:rPr>
          <w:rFonts w:ascii="Calibri" w:hAnsi="Calibri" w:cs="Calibri"/>
          <w:b/>
          <w:color w:val="000000"/>
          <w:sz w:val="28"/>
          <w:szCs w:val="28"/>
          <w:lang w:val="en-AU"/>
        </w:rPr>
        <w:t>atau</w:t>
      </w:r>
      <w:proofErr w:type="spellEnd"/>
      <w:r w:rsidRPr="00AA5BD3">
        <w:rPr>
          <w:rFonts w:ascii="Calibri" w:hAnsi="Calibri" w:cs="Calibri"/>
          <w:b/>
          <w:color w:val="000000"/>
          <w:sz w:val="28"/>
          <w:szCs w:val="28"/>
          <w:lang w:val="en-AU"/>
        </w:rPr>
        <w:t xml:space="preserve"> </w:t>
      </w:r>
      <w:proofErr w:type="spellStart"/>
      <w:r w:rsidRPr="00AA5BD3">
        <w:rPr>
          <w:rFonts w:ascii="Calibri" w:hAnsi="Calibri" w:cs="Calibri"/>
          <w:b/>
          <w:color w:val="000000"/>
          <w:sz w:val="28"/>
          <w:szCs w:val="28"/>
          <w:lang w:val="en-AU"/>
        </w:rPr>
        <w:t>kelompok</w:t>
      </w:r>
      <w:proofErr w:type="spellEnd"/>
      <w:r w:rsidRPr="00AA5BD3">
        <w:rPr>
          <w:rFonts w:ascii="Calibri" w:hAnsi="Calibri" w:cs="Calibri"/>
          <w:b/>
          <w:color w:val="000000"/>
          <w:sz w:val="28"/>
          <w:szCs w:val="28"/>
          <w:lang w:val="en-AU"/>
        </w:rPr>
        <w:t xml:space="preserve"> </w:t>
      </w:r>
      <w:proofErr w:type="spellStart"/>
      <w:r w:rsidRPr="00AA5BD3">
        <w:rPr>
          <w:rFonts w:ascii="Calibri" w:hAnsi="Calibri" w:cs="Calibri"/>
          <w:b/>
          <w:color w:val="000000"/>
          <w:sz w:val="28"/>
          <w:szCs w:val="28"/>
          <w:lang w:val="en-AU"/>
        </w:rPr>
        <w:t>minoritas</w:t>
      </w:r>
      <w:proofErr w:type="spellEnd"/>
      <w:r w:rsidRPr="00AA5BD3">
        <w:rPr>
          <w:rFonts w:ascii="Calibri" w:hAnsi="Calibri" w:cs="Calibri"/>
          <w:b/>
          <w:color w:val="000000"/>
          <w:sz w:val="28"/>
          <w:szCs w:val="28"/>
          <w:lang w:val="en-AU"/>
        </w:rPr>
        <w:t xml:space="preserve"> agama </w:t>
      </w:r>
      <w:proofErr w:type="spellStart"/>
      <w:r w:rsidRPr="00AA5BD3">
        <w:rPr>
          <w:rFonts w:ascii="Calibri" w:hAnsi="Calibri" w:cs="Calibri"/>
          <w:b/>
          <w:color w:val="000000"/>
          <w:sz w:val="28"/>
          <w:szCs w:val="28"/>
          <w:lang w:val="en-AU"/>
        </w:rPr>
        <w:t>menjalankan</w:t>
      </w:r>
      <w:proofErr w:type="spellEnd"/>
      <w:r w:rsidRPr="00AA5BD3">
        <w:rPr>
          <w:rFonts w:ascii="Calibri" w:hAnsi="Calibri" w:cs="Calibri"/>
          <w:b/>
          <w:color w:val="000000"/>
          <w:sz w:val="28"/>
          <w:szCs w:val="28"/>
          <w:lang w:val="en-AU"/>
        </w:rPr>
        <w:t xml:space="preserve"> </w:t>
      </w:r>
      <w:proofErr w:type="spellStart"/>
      <w:r w:rsidRPr="00AA5BD3">
        <w:rPr>
          <w:rFonts w:ascii="Calibri" w:hAnsi="Calibri" w:cs="Calibri"/>
          <w:b/>
          <w:color w:val="000000"/>
          <w:sz w:val="28"/>
          <w:szCs w:val="28"/>
          <w:lang w:val="en-AU"/>
        </w:rPr>
        <w:t>hak</w:t>
      </w:r>
      <w:proofErr w:type="spellEnd"/>
      <w:r w:rsidRPr="00AA5BD3">
        <w:rPr>
          <w:rFonts w:ascii="Calibri" w:hAnsi="Calibri" w:cs="Calibri"/>
          <w:b/>
          <w:color w:val="000000"/>
          <w:sz w:val="28"/>
          <w:szCs w:val="28"/>
          <w:lang w:val="en-AU"/>
        </w:rPr>
        <w:t xml:space="preserve"> </w:t>
      </w:r>
      <w:proofErr w:type="spellStart"/>
      <w:r w:rsidRPr="00AA5BD3">
        <w:rPr>
          <w:rFonts w:ascii="Calibri" w:hAnsi="Calibri" w:cs="Calibri"/>
          <w:b/>
          <w:color w:val="000000"/>
          <w:sz w:val="28"/>
          <w:szCs w:val="28"/>
          <w:lang w:val="en-AU"/>
        </w:rPr>
        <w:t>kebebasan</w:t>
      </w:r>
      <w:proofErr w:type="spellEnd"/>
      <w:r w:rsidRPr="00AA5BD3">
        <w:rPr>
          <w:rFonts w:ascii="Calibri" w:hAnsi="Calibri" w:cs="Calibri"/>
          <w:b/>
          <w:color w:val="000000"/>
          <w:sz w:val="28"/>
          <w:szCs w:val="28"/>
          <w:lang w:val="en-AU"/>
        </w:rPr>
        <w:t xml:space="preserve"> </w:t>
      </w:r>
      <w:proofErr w:type="spellStart"/>
      <w:r w:rsidRPr="00AA5BD3">
        <w:rPr>
          <w:rFonts w:ascii="Calibri" w:hAnsi="Calibri" w:cs="Calibri"/>
          <w:b/>
          <w:color w:val="000000"/>
          <w:sz w:val="28"/>
          <w:szCs w:val="28"/>
          <w:lang w:val="en-AU"/>
        </w:rPr>
        <w:t>beragamanya</w:t>
      </w:r>
      <w:proofErr w:type="spellEnd"/>
      <w:r w:rsidRPr="00AA5BD3">
        <w:rPr>
          <w:rFonts w:ascii="Calibri" w:hAnsi="Calibri" w:cs="Calibri"/>
          <w:b/>
          <w:color w:val="000000"/>
          <w:sz w:val="28"/>
          <w:szCs w:val="28"/>
          <w:lang w:val="en-AU"/>
        </w:rPr>
        <w:t xml:space="preserve">. </w:t>
      </w:r>
      <w:proofErr w:type="spellStart"/>
      <w:r w:rsidRPr="00AA5BD3">
        <w:rPr>
          <w:rFonts w:ascii="Calibri" w:hAnsi="Calibri" w:cs="Calibri"/>
          <w:b/>
          <w:color w:val="000000"/>
          <w:sz w:val="28"/>
          <w:szCs w:val="28"/>
          <w:lang w:val="en-AU"/>
        </w:rPr>
        <w:t>Kedua</w:t>
      </w:r>
      <w:proofErr w:type="spellEnd"/>
      <w:r w:rsidRPr="00AA5BD3">
        <w:rPr>
          <w:rFonts w:ascii="Calibri" w:hAnsi="Calibri" w:cs="Calibri"/>
          <w:b/>
          <w:color w:val="000000"/>
          <w:sz w:val="28"/>
          <w:szCs w:val="28"/>
          <w:lang w:val="en-AU"/>
        </w:rPr>
        <w:t xml:space="preserve">, </w:t>
      </w:r>
      <w:proofErr w:type="spellStart"/>
      <w:r w:rsidRPr="00AA5BD3">
        <w:rPr>
          <w:rFonts w:ascii="Calibri" w:hAnsi="Calibri" w:cs="Calibri"/>
          <w:b/>
          <w:color w:val="000000"/>
          <w:sz w:val="28"/>
          <w:szCs w:val="28"/>
          <w:lang w:val="en-AU"/>
        </w:rPr>
        <w:t>mereka</w:t>
      </w:r>
      <w:proofErr w:type="spellEnd"/>
      <w:r w:rsidRPr="00AA5BD3">
        <w:rPr>
          <w:rFonts w:ascii="Calibri" w:hAnsi="Calibri" w:cs="Calibri"/>
          <w:b/>
          <w:color w:val="000000"/>
          <w:sz w:val="28"/>
          <w:szCs w:val="28"/>
          <w:lang w:val="en-AU"/>
        </w:rPr>
        <w:t xml:space="preserve"> </w:t>
      </w:r>
      <w:r w:rsidR="005F513A">
        <w:rPr>
          <w:rFonts w:ascii="Calibri" w:hAnsi="Calibri" w:cs="Calibri"/>
          <w:b/>
          <w:color w:val="000000"/>
          <w:sz w:val="28"/>
          <w:szCs w:val="28"/>
          <w:lang w:val="en-AU"/>
        </w:rPr>
        <w:t xml:space="preserve">para </w:t>
      </w:r>
      <w:proofErr w:type="spellStart"/>
      <w:r w:rsidR="005F513A">
        <w:rPr>
          <w:rFonts w:ascii="Calibri" w:hAnsi="Calibri" w:cs="Calibri"/>
          <w:b/>
          <w:color w:val="000000"/>
          <w:sz w:val="28"/>
          <w:szCs w:val="28"/>
          <w:lang w:val="en-AU"/>
        </w:rPr>
        <w:t>tertuduh</w:t>
      </w:r>
      <w:proofErr w:type="spellEnd"/>
      <w:r w:rsidR="005F513A">
        <w:rPr>
          <w:rFonts w:ascii="Calibri" w:hAnsi="Calibri" w:cs="Calibri"/>
          <w:b/>
          <w:color w:val="000000"/>
          <w:sz w:val="28"/>
          <w:szCs w:val="28"/>
          <w:lang w:val="en-AU"/>
        </w:rPr>
        <w:t xml:space="preserve"> </w:t>
      </w:r>
      <w:proofErr w:type="spellStart"/>
      <w:r w:rsidR="005F513A">
        <w:rPr>
          <w:rFonts w:ascii="Calibri" w:hAnsi="Calibri" w:cs="Calibri"/>
          <w:b/>
          <w:color w:val="000000"/>
          <w:sz w:val="28"/>
          <w:szCs w:val="28"/>
          <w:lang w:val="en-AU"/>
        </w:rPr>
        <w:t>ini</w:t>
      </w:r>
      <w:proofErr w:type="spellEnd"/>
      <w:r w:rsidRPr="00AA5BD3">
        <w:rPr>
          <w:rFonts w:ascii="Calibri" w:hAnsi="Calibri" w:cs="Calibri"/>
          <w:b/>
          <w:color w:val="000000"/>
          <w:sz w:val="28"/>
          <w:szCs w:val="28"/>
          <w:lang w:val="en-AU"/>
        </w:rPr>
        <w:t xml:space="preserve"> </w:t>
      </w:r>
      <w:proofErr w:type="spellStart"/>
      <w:r w:rsidR="005F513A">
        <w:rPr>
          <w:rFonts w:ascii="Calibri" w:hAnsi="Calibri" w:cs="Calibri"/>
          <w:b/>
          <w:color w:val="000000"/>
          <w:sz w:val="28"/>
          <w:szCs w:val="28"/>
          <w:lang w:val="en-AU"/>
        </w:rPr>
        <w:t>meskipun</w:t>
      </w:r>
      <w:proofErr w:type="spellEnd"/>
      <w:r w:rsidR="005F513A">
        <w:rPr>
          <w:rFonts w:ascii="Calibri" w:hAnsi="Calibri" w:cs="Calibri"/>
          <w:b/>
          <w:color w:val="000000"/>
          <w:sz w:val="28"/>
          <w:szCs w:val="28"/>
          <w:lang w:val="en-AU"/>
        </w:rPr>
        <w:t xml:space="preserve"> </w:t>
      </w:r>
      <w:proofErr w:type="spellStart"/>
      <w:r w:rsidR="005F513A">
        <w:rPr>
          <w:rFonts w:ascii="Calibri" w:hAnsi="Calibri" w:cs="Calibri"/>
          <w:b/>
          <w:color w:val="000000"/>
          <w:sz w:val="28"/>
          <w:szCs w:val="28"/>
          <w:lang w:val="en-AU"/>
        </w:rPr>
        <w:t>sudah</w:t>
      </w:r>
      <w:proofErr w:type="spellEnd"/>
      <w:r w:rsidRPr="00AA5BD3">
        <w:rPr>
          <w:rFonts w:ascii="Calibri" w:hAnsi="Calibri" w:cs="Calibri"/>
          <w:b/>
          <w:color w:val="000000"/>
          <w:sz w:val="28"/>
          <w:szCs w:val="28"/>
          <w:lang w:val="en-AU"/>
        </w:rPr>
        <w:t xml:space="preserve"> </w:t>
      </w:r>
      <w:proofErr w:type="spellStart"/>
      <w:r w:rsidRPr="00AA5BD3">
        <w:rPr>
          <w:rFonts w:ascii="Calibri" w:hAnsi="Calibri" w:cs="Calibri"/>
          <w:b/>
          <w:color w:val="000000"/>
          <w:sz w:val="28"/>
          <w:szCs w:val="28"/>
          <w:lang w:val="en-AU"/>
        </w:rPr>
        <w:t>kehilangan</w:t>
      </w:r>
      <w:proofErr w:type="spellEnd"/>
      <w:r w:rsidRPr="00AA5BD3">
        <w:rPr>
          <w:rFonts w:ascii="Calibri" w:hAnsi="Calibri" w:cs="Calibri"/>
          <w:b/>
          <w:color w:val="000000"/>
          <w:sz w:val="28"/>
          <w:szCs w:val="28"/>
          <w:lang w:val="en-AU"/>
        </w:rPr>
        <w:t xml:space="preserve"> </w:t>
      </w:r>
      <w:proofErr w:type="spellStart"/>
      <w:r w:rsidR="005F513A">
        <w:rPr>
          <w:rFonts w:ascii="Calibri" w:hAnsi="Calibri" w:cs="Calibri"/>
          <w:b/>
          <w:color w:val="000000"/>
          <w:sz w:val="28"/>
          <w:szCs w:val="28"/>
          <w:lang w:val="en-AU"/>
        </w:rPr>
        <w:t>jaminan</w:t>
      </w:r>
      <w:proofErr w:type="spellEnd"/>
      <w:r w:rsidR="005F513A">
        <w:rPr>
          <w:rFonts w:ascii="Calibri" w:hAnsi="Calibri" w:cs="Calibri"/>
          <w:b/>
          <w:color w:val="000000"/>
          <w:sz w:val="28"/>
          <w:szCs w:val="28"/>
          <w:lang w:val="en-AU"/>
        </w:rPr>
        <w:t xml:space="preserve"> </w:t>
      </w:r>
      <w:proofErr w:type="spellStart"/>
      <w:r w:rsidR="005F513A">
        <w:rPr>
          <w:rFonts w:ascii="Calibri" w:hAnsi="Calibri" w:cs="Calibri"/>
          <w:b/>
          <w:color w:val="000000"/>
          <w:sz w:val="28"/>
          <w:szCs w:val="28"/>
          <w:lang w:val="en-AU"/>
        </w:rPr>
        <w:t>atas</w:t>
      </w:r>
      <w:proofErr w:type="spellEnd"/>
      <w:r w:rsidR="005F513A">
        <w:rPr>
          <w:rFonts w:ascii="Calibri" w:hAnsi="Calibri" w:cs="Calibri"/>
          <w:b/>
          <w:color w:val="000000"/>
          <w:sz w:val="28"/>
          <w:szCs w:val="28"/>
          <w:lang w:val="en-AU"/>
        </w:rPr>
        <w:t xml:space="preserve"> </w:t>
      </w:r>
      <w:proofErr w:type="spellStart"/>
      <w:r w:rsidR="005F513A">
        <w:rPr>
          <w:rFonts w:ascii="Calibri" w:hAnsi="Calibri" w:cs="Calibri"/>
          <w:b/>
          <w:color w:val="000000"/>
          <w:sz w:val="28"/>
          <w:szCs w:val="28"/>
          <w:lang w:val="en-AU"/>
        </w:rPr>
        <w:t>hak</w:t>
      </w:r>
      <w:proofErr w:type="spellEnd"/>
      <w:r w:rsidR="005F513A">
        <w:rPr>
          <w:rFonts w:ascii="Calibri" w:hAnsi="Calibri" w:cs="Calibri"/>
          <w:b/>
          <w:color w:val="000000"/>
          <w:sz w:val="28"/>
          <w:szCs w:val="28"/>
          <w:lang w:val="en-AU"/>
        </w:rPr>
        <w:t xml:space="preserve"> </w:t>
      </w:r>
      <w:proofErr w:type="spellStart"/>
      <w:r w:rsidR="005F513A">
        <w:rPr>
          <w:rFonts w:ascii="Calibri" w:hAnsi="Calibri" w:cs="Calibri"/>
          <w:b/>
          <w:color w:val="000000"/>
          <w:sz w:val="28"/>
          <w:szCs w:val="28"/>
          <w:lang w:val="en-AU"/>
        </w:rPr>
        <w:t>asasi</w:t>
      </w:r>
      <w:proofErr w:type="spellEnd"/>
      <w:r w:rsidR="005F513A">
        <w:rPr>
          <w:rFonts w:ascii="Calibri" w:hAnsi="Calibri" w:cs="Calibri"/>
          <w:b/>
          <w:color w:val="000000"/>
          <w:sz w:val="28"/>
          <w:szCs w:val="28"/>
          <w:lang w:val="en-AU"/>
        </w:rPr>
        <w:t xml:space="preserve"> </w:t>
      </w:r>
      <w:proofErr w:type="spellStart"/>
      <w:r w:rsidR="005F513A">
        <w:rPr>
          <w:rFonts w:ascii="Calibri" w:hAnsi="Calibri" w:cs="Calibri"/>
          <w:b/>
          <w:color w:val="000000"/>
          <w:sz w:val="28"/>
          <w:szCs w:val="28"/>
          <w:lang w:val="en-AU"/>
        </w:rPr>
        <w:t>manusianya</w:t>
      </w:r>
      <w:proofErr w:type="spellEnd"/>
      <w:r w:rsidRPr="00AA5BD3">
        <w:rPr>
          <w:rFonts w:ascii="Calibri" w:hAnsi="Calibri" w:cs="Calibri"/>
          <w:b/>
          <w:color w:val="000000"/>
          <w:sz w:val="28"/>
          <w:szCs w:val="28"/>
          <w:lang w:val="en-AU"/>
        </w:rPr>
        <w:t xml:space="preserve"> </w:t>
      </w:r>
      <w:proofErr w:type="spellStart"/>
      <w:r w:rsidR="005F513A">
        <w:rPr>
          <w:rFonts w:ascii="Calibri" w:hAnsi="Calibri" w:cs="Calibri"/>
          <w:b/>
          <w:color w:val="000000"/>
          <w:sz w:val="28"/>
          <w:szCs w:val="28"/>
          <w:lang w:val="en-AU"/>
        </w:rPr>
        <w:t>tetap</w:t>
      </w:r>
      <w:proofErr w:type="spellEnd"/>
      <w:r w:rsidR="005F513A">
        <w:rPr>
          <w:rFonts w:ascii="Calibri" w:hAnsi="Calibri" w:cs="Calibri"/>
          <w:b/>
          <w:color w:val="000000"/>
          <w:sz w:val="28"/>
          <w:szCs w:val="28"/>
          <w:lang w:val="en-AU"/>
        </w:rPr>
        <w:t xml:space="preserve"> </w:t>
      </w:r>
      <w:proofErr w:type="spellStart"/>
      <w:r w:rsidRPr="00AA5BD3">
        <w:rPr>
          <w:rFonts w:ascii="Calibri" w:hAnsi="Calibri" w:cs="Calibri"/>
          <w:b/>
          <w:color w:val="000000"/>
          <w:sz w:val="28"/>
          <w:szCs w:val="28"/>
          <w:lang w:val="en-AU"/>
        </w:rPr>
        <w:t>harus</w:t>
      </w:r>
      <w:proofErr w:type="spellEnd"/>
      <w:r w:rsidRPr="00AA5BD3">
        <w:rPr>
          <w:rFonts w:ascii="Calibri" w:hAnsi="Calibri" w:cs="Calibri"/>
          <w:b/>
          <w:color w:val="000000"/>
          <w:sz w:val="28"/>
          <w:szCs w:val="28"/>
          <w:lang w:val="en-AU"/>
        </w:rPr>
        <w:t xml:space="preserve"> </w:t>
      </w:r>
      <w:proofErr w:type="spellStart"/>
      <w:r w:rsidR="005F513A">
        <w:rPr>
          <w:rFonts w:ascii="Calibri" w:hAnsi="Calibri" w:cs="Calibri"/>
          <w:b/>
          <w:color w:val="000000"/>
          <w:sz w:val="28"/>
          <w:szCs w:val="28"/>
          <w:lang w:val="en-AU"/>
        </w:rPr>
        <w:t>menerima</w:t>
      </w:r>
      <w:proofErr w:type="spellEnd"/>
      <w:r w:rsidR="005F513A">
        <w:rPr>
          <w:rFonts w:ascii="Calibri" w:hAnsi="Calibri" w:cs="Calibri"/>
          <w:b/>
          <w:color w:val="000000"/>
          <w:sz w:val="28"/>
          <w:szCs w:val="28"/>
          <w:lang w:val="en-AU"/>
        </w:rPr>
        <w:t xml:space="preserve"> </w:t>
      </w:r>
      <w:proofErr w:type="spellStart"/>
      <w:r w:rsidR="005F513A">
        <w:rPr>
          <w:rFonts w:ascii="Calibri" w:hAnsi="Calibri" w:cs="Calibri"/>
          <w:b/>
          <w:color w:val="000000"/>
          <w:sz w:val="28"/>
          <w:szCs w:val="28"/>
          <w:lang w:val="en-AU"/>
        </w:rPr>
        <w:t>keputusan</w:t>
      </w:r>
      <w:proofErr w:type="spellEnd"/>
      <w:r w:rsidR="005F513A">
        <w:rPr>
          <w:rFonts w:ascii="Calibri" w:hAnsi="Calibri" w:cs="Calibri"/>
          <w:b/>
          <w:color w:val="000000"/>
          <w:sz w:val="28"/>
          <w:szCs w:val="28"/>
          <w:lang w:val="en-AU"/>
        </w:rPr>
        <w:t xml:space="preserve"> </w:t>
      </w:r>
      <w:r w:rsidRPr="00AA5BD3">
        <w:rPr>
          <w:rFonts w:ascii="Calibri" w:hAnsi="Calibri" w:cs="Calibri"/>
          <w:b/>
          <w:color w:val="000000"/>
          <w:sz w:val="28"/>
          <w:szCs w:val="28"/>
          <w:lang w:val="en-AU"/>
        </w:rPr>
        <w:t xml:space="preserve"> </w:t>
      </w:r>
      <w:proofErr w:type="spellStart"/>
      <w:r w:rsidRPr="00AA5BD3">
        <w:rPr>
          <w:rFonts w:ascii="Calibri" w:hAnsi="Calibri" w:cs="Calibri"/>
          <w:b/>
          <w:color w:val="000000"/>
          <w:sz w:val="28"/>
          <w:szCs w:val="28"/>
          <w:lang w:val="en-AU"/>
        </w:rPr>
        <w:t>hukuman</w:t>
      </w:r>
      <w:proofErr w:type="spellEnd"/>
      <w:r w:rsidRPr="00AA5BD3">
        <w:rPr>
          <w:rFonts w:ascii="Calibri" w:hAnsi="Calibri" w:cs="Calibri"/>
          <w:b/>
          <w:color w:val="000000"/>
          <w:sz w:val="28"/>
          <w:szCs w:val="28"/>
          <w:lang w:val="en-AU"/>
        </w:rPr>
        <w:t xml:space="preserve"> </w:t>
      </w:r>
      <w:proofErr w:type="spellStart"/>
      <w:r w:rsidRPr="00AA5BD3">
        <w:rPr>
          <w:rFonts w:ascii="Calibri" w:hAnsi="Calibri" w:cs="Calibri"/>
          <w:b/>
          <w:color w:val="000000"/>
          <w:sz w:val="28"/>
          <w:szCs w:val="28"/>
          <w:lang w:val="en-AU"/>
        </w:rPr>
        <w:t>berat</w:t>
      </w:r>
      <w:proofErr w:type="spellEnd"/>
      <w:r w:rsidRPr="00AA5BD3">
        <w:rPr>
          <w:rFonts w:ascii="Calibri" w:hAnsi="Calibri" w:cs="Calibri"/>
          <w:b/>
          <w:color w:val="000000"/>
          <w:sz w:val="28"/>
          <w:szCs w:val="28"/>
          <w:lang w:val="en-AU"/>
        </w:rPr>
        <w:t xml:space="preserve"> </w:t>
      </w:r>
      <w:proofErr w:type="spellStart"/>
      <w:r w:rsidRPr="00AA5BD3">
        <w:rPr>
          <w:rFonts w:ascii="Calibri" w:hAnsi="Calibri" w:cs="Calibri"/>
          <w:b/>
          <w:color w:val="000000"/>
          <w:sz w:val="28"/>
          <w:szCs w:val="28"/>
          <w:lang w:val="en-AU"/>
        </w:rPr>
        <w:t>akibat</w:t>
      </w:r>
      <w:proofErr w:type="spellEnd"/>
      <w:r w:rsidRPr="00AA5BD3">
        <w:rPr>
          <w:rFonts w:ascii="Calibri" w:hAnsi="Calibri" w:cs="Calibri"/>
          <w:b/>
          <w:color w:val="000000"/>
          <w:sz w:val="28"/>
          <w:szCs w:val="28"/>
          <w:lang w:val="en-AU"/>
        </w:rPr>
        <w:t xml:space="preserve"> </w:t>
      </w:r>
      <w:proofErr w:type="spellStart"/>
      <w:r w:rsidRPr="00AA5BD3">
        <w:rPr>
          <w:rFonts w:ascii="Calibri" w:hAnsi="Calibri" w:cs="Calibri"/>
          <w:b/>
          <w:color w:val="000000"/>
          <w:sz w:val="28"/>
          <w:szCs w:val="28"/>
          <w:lang w:val="en-AU"/>
        </w:rPr>
        <w:t>pengadilan</w:t>
      </w:r>
      <w:proofErr w:type="spellEnd"/>
      <w:r w:rsidRPr="00AA5BD3">
        <w:rPr>
          <w:rFonts w:ascii="Calibri" w:hAnsi="Calibri" w:cs="Calibri"/>
          <w:b/>
          <w:color w:val="000000"/>
          <w:sz w:val="28"/>
          <w:szCs w:val="28"/>
          <w:lang w:val="en-AU"/>
        </w:rPr>
        <w:t xml:space="preserve"> yang </w:t>
      </w:r>
      <w:proofErr w:type="spellStart"/>
      <w:r w:rsidRPr="00AA5BD3">
        <w:rPr>
          <w:rFonts w:ascii="Calibri" w:hAnsi="Calibri" w:cs="Calibri"/>
          <w:b/>
          <w:color w:val="000000"/>
          <w:sz w:val="28"/>
          <w:szCs w:val="28"/>
          <w:lang w:val="en-AU"/>
        </w:rPr>
        <w:t>tidak</w:t>
      </w:r>
      <w:proofErr w:type="spellEnd"/>
      <w:r w:rsidRPr="00AA5BD3">
        <w:rPr>
          <w:rFonts w:ascii="Calibri" w:hAnsi="Calibri" w:cs="Calibri"/>
          <w:b/>
          <w:color w:val="000000"/>
          <w:sz w:val="28"/>
          <w:szCs w:val="28"/>
          <w:lang w:val="en-AU"/>
        </w:rPr>
        <w:t xml:space="preserve"> </w:t>
      </w:r>
      <w:proofErr w:type="spellStart"/>
      <w:r w:rsidRPr="00AA5BD3">
        <w:rPr>
          <w:rFonts w:ascii="Calibri" w:hAnsi="Calibri" w:cs="Calibri"/>
          <w:b/>
          <w:color w:val="000000"/>
          <w:sz w:val="28"/>
          <w:szCs w:val="28"/>
          <w:lang w:val="en-AU"/>
        </w:rPr>
        <w:t>adil</w:t>
      </w:r>
      <w:proofErr w:type="spellEnd"/>
      <w:r w:rsidRPr="00AA5BD3">
        <w:rPr>
          <w:rFonts w:ascii="Calibri" w:hAnsi="Calibri" w:cs="Calibri"/>
          <w:b/>
          <w:color w:val="000000"/>
          <w:sz w:val="28"/>
          <w:szCs w:val="28"/>
          <w:lang w:val="en-AU"/>
        </w:rPr>
        <w:t xml:space="preserve"> </w:t>
      </w:r>
      <w:proofErr w:type="spellStart"/>
      <w:r w:rsidRPr="00AA5BD3">
        <w:rPr>
          <w:rFonts w:ascii="Calibri" w:hAnsi="Calibri" w:cs="Calibri"/>
          <w:b/>
          <w:color w:val="000000"/>
          <w:sz w:val="28"/>
          <w:szCs w:val="28"/>
          <w:lang w:val="en-AU"/>
        </w:rPr>
        <w:t>kepada</w:t>
      </w:r>
      <w:proofErr w:type="spellEnd"/>
      <w:r w:rsidRPr="00AA5BD3">
        <w:rPr>
          <w:rFonts w:ascii="Calibri" w:hAnsi="Calibri" w:cs="Calibri"/>
          <w:b/>
          <w:color w:val="000000"/>
          <w:sz w:val="28"/>
          <w:szCs w:val="28"/>
          <w:lang w:val="en-AU"/>
        </w:rPr>
        <w:t xml:space="preserve"> </w:t>
      </w:r>
      <w:proofErr w:type="spellStart"/>
      <w:r w:rsidRPr="00AA5BD3">
        <w:rPr>
          <w:rFonts w:ascii="Calibri" w:hAnsi="Calibri" w:cs="Calibri"/>
          <w:b/>
          <w:color w:val="000000"/>
          <w:sz w:val="28"/>
          <w:szCs w:val="28"/>
          <w:lang w:val="en-AU"/>
        </w:rPr>
        <w:t>mereka</w:t>
      </w:r>
      <w:proofErr w:type="spellEnd"/>
      <w:r w:rsidR="005F513A">
        <w:rPr>
          <w:rFonts w:ascii="Calibri" w:hAnsi="Calibri" w:cs="Calibri"/>
          <w:b/>
          <w:color w:val="000000"/>
          <w:sz w:val="28"/>
          <w:szCs w:val="28"/>
          <w:lang w:val="en-AU"/>
        </w:rPr>
        <w:t xml:space="preserve"> yang </w:t>
      </w:r>
      <w:proofErr w:type="spellStart"/>
      <w:r w:rsidR="005F513A">
        <w:rPr>
          <w:rFonts w:ascii="Calibri" w:hAnsi="Calibri" w:cs="Calibri"/>
          <w:b/>
          <w:color w:val="000000"/>
          <w:sz w:val="28"/>
          <w:szCs w:val="28"/>
          <w:lang w:val="en-AU"/>
        </w:rPr>
        <w:t>memutuskan</w:t>
      </w:r>
      <w:proofErr w:type="spellEnd"/>
      <w:r w:rsidR="005F513A">
        <w:rPr>
          <w:rFonts w:ascii="Calibri" w:hAnsi="Calibri" w:cs="Calibri"/>
          <w:b/>
          <w:color w:val="000000"/>
          <w:sz w:val="28"/>
          <w:szCs w:val="28"/>
          <w:lang w:val="en-AU"/>
        </w:rPr>
        <w:t xml:space="preserve"> </w:t>
      </w:r>
      <w:proofErr w:type="spellStart"/>
      <w:r w:rsidR="005F513A">
        <w:rPr>
          <w:rFonts w:ascii="Calibri" w:hAnsi="Calibri" w:cs="Calibri"/>
          <w:b/>
          <w:color w:val="000000"/>
          <w:sz w:val="28"/>
          <w:szCs w:val="28"/>
          <w:lang w:val="en-AU"/>
        </w:rPr>
        <w:t>dibawah</w:t>
      </w:r>
      <w:proofErr w:type="spellEnd"/>
      <w:r w:rsidR="005F513A">
        <w:rPr>
          <w:rFonts w:ascii="Calibri" w:hAnsi="Calibri" w:cs="Calibri"/>
          <w:b/>
          <w:color w:val="000000"/>
          <w:sz w:val="28"/>
          <w:szCs w:val="28"/>
          <w:lang w:val="en-AU"/>
        </w:rPr>
        <w:t xml:space="preserve"> </w:t>
      </w:r>
      <w:proofErr w:type="spellStart"/>
      <w:r w:rsidR="005F513A">
        <w:rPr>
          <w:rFonts w:ascii="Calibri" w:hAnsi="Calibri" w:cs="Calibri"/>
          <w:b/>
          <w:color w:val="000000"/>
          <w:sz w:val="28"/>
          <w:szCs w:val="28"/>
          <w:lang w:val="en-AU"/>
        </w:rPr>
        <w:t>tekanan</w:t>
      </w:r>
      <w:proofErr w:type="spellEnd"/>
      <w:r w:rsidR="005F513A">
        <w:rPr>
          <w:rFonts w:ascii="Calibri" w:hAnsi="Calibri" w:cs="Calibri"/>
          <w:b/>
          <w:color w:val="000000"/>
          <w:sz w:val="28"/>
          <w:szCs w:val="28"/>
          <w:lang w:val="en-AU"/>
        </w:rPr>
        <w:t xml:space="preserve"> </w:t>
      </w:r>
      <w:proofErr w:type="spellStart"/>
      <w:r w:rsidR="005F513A">
        <w:rPr>
          <w:rFonts w:ascii="Calibri" w:hAnsi="Calibri" w:cs="Calibri"/>
          <w:b/>
          <w:color w:val="000000"/>
          <w:sz w:val="28"/>
          <w:szCs w:val="28"/>
          <w:lang w:val="en-AU"/>
        </w:rPr>
        <w:t>kelompok</w:t>
      </w:r>
      <w:proofErr w:type="spellEnd"/>
      <w:r w:rsidR="005F513A">
        <w:rPr>
          <w:rFonts w:ascii="Calibri" w:hAnsi="Calibri" w:cs="Calibri"/>
          <w:b/>
          <w:color w:val="000000"/>
          <w:sz w:val="28"/>
          <w:szCs w:val="28"/>
          <w:lang w:val="en-AU"/>
        </w:rPr>
        <w:t xml:space="preserve"> vigilante dan juga </w:t>
      </w:r>
      <w:proofErr w:type="spellStart"/>
      <w:r w:rsidR="005F513A">
        <w:rPr>
          <w:rFonts w:ascii="Calibri" w:hAnsi="Calibri" w:cs="Calibri"/>
          <w:b/>
          <w:color w:val="000000"/>
          <w:sz w:val="28"/>
          <w:szCs w:val="28"/>
          <w:lang w:val="en-AU"/>
        </w:rPr>
        <w:t>keputusan</w:t>
      </w:r>
      <w:proofErr w:type="spellEnd"/>
      <w:r w:rsidR="005F513A">
        <w:rPr>
          <w:rFonts w:ascii="Calibri" w:hAnsi="Calibri" w:cs="Calibri"/>
          <w:b/>
          <w:color w:val="000000"/>
          <w:sz w:val="28"/>
          <w:szCs w:val="28"/>
          <w:lang w:val="en-AU"/>
        </w:rPr>
        <w:t xml:space="preserve"> para </w:t>
      </w:r>
      <w:proofErr w:type="spellStart"/>
      <w:r w:rsidR="005F513A">
        <w:rPr>
          <w:rFonts w:ascii="Calibri" w:hAnsi="Calibri" w:cs="Calibri"/>
          <w:b/>
          <w:color w:val="000000"/>
          <w:sz w:val="28"/>
          <w:szCs w:val="28"/>
          <w:lang w:val="en-AU"/>
        </w:rPr>
        <w:t>pembuat</w:t>
      </w:r>
      <w:proofErr w:type="spellEnd"/>
      <w:r w:rsidR="005F513A">
        <w:rPr>
          <w:rFonts w:ascii="Calibri" w:hAnsi="Calibri" w:cs="Calibri"/>
          <w:b/>
          <w:color w:val="000000"/>
          <w:sz w:val="28"/>
          <w:szCs w:val="28"/>
          <w:lang w:val="en-AU"/>
        </w:rPr>
        <w:t xml:space="preserve"> </w:t>
      </w:r>
      <w:proofErr w:type="spellStart"/>
      <w:r w:rsidR="005F513A">
        <w:rPr>
          <w:rFonts w:ascii="Calibri" w:hAnsi="Calibri" w:cs="Calibri"/>
          <w:b/>
          <w:color w:val="000000"/>
          <w:sz w:val="28"/>
          <w:szCs w:val="28"/>
          <w:lang w:val="en-AU"/>
        </w:rPr>
        <w:t>kebijakan</w:t>
      </w:r>
      <w:proofErr w:type="spellEnd"/>
      <w:r w:rsidR="005F513A">
        <w:rPr>
          <w:rFonts w:ascii="Calibri" w:hAnsi="Calibri" w:cs="Calibri"/>
          <w:b/>
          <w:color w:val="000000"/>
          <w:sz w:val="28"/>
          <w:szCs w:val="28"/>
          <w:lang w:val="en-AU"/>
        </w:rPr>
        <w:t xml:space="preserve"> </w:t>
      </w:r>
      <w:proofErr w:type="spellStart"/>
      <w:r w:rsidR="005F513A">
        <w:rPr>
          <w:rFonts w:ascii="Calibri" w:hAnsi="Calibri" w:cs="Calibri"/>
          <w:b/>
          <w:color w:val="000000"/>
          <w:sz w:val="28"/>
          <w:szCs w:val="28"/>
          <w:lang w:val="en-AU"/>
        </w:rPr>
        <w:t>diluar</w:t>
      </w:r>
      <w:proofErr w:type="spellEnd"/>
      <w:r w:rsidR="005F513A">
        <w:rPr>
          <w:rFonts w:ascii="Calibri" w:hAnsi="Calibri" w:cs="Calibri"/>
          <w:b/>
          <w:color w:val="000000"/>
          <w:sz w:val="28"/>
          <w:szCs w:val="28"/>
          <w:lang w:val="en-AU"/>
        </w:rPr>
        <w:t xml:space="preserve"> </w:t>
      </w:r>
      <w:proofErr w:type="spellStart"/>
      <w:r w:rsidR="005F513A">
        <w:rPr>
          <w:rFonts w:ascii="Calibri" w:hAnsi="Calibri" w:cs="Calibri"/>
          <w:b/>
          <w:color w:val="000000"/>
          <w:sz w:val="28"/>
          <w:szCs w:val="28"/>
          <w:lang w:val="en-AU"/>
        </w:rPr>
        <w:t>pengadilan</w:t>
      </w:r>
      <w:proofErr w:type="spellEnd"/>
      <w:r w:rsidR="005F513A">
        <w:rPr>
          <w:rFonts w:ascii="Calibri" w:hAnsi="Calibri" w:cs="Calibri"/>
          <w:b/>
          <w:color w:val="000000"/>
          <w:sz w:val="28"/>
          <w:szCs w:val="28"/>
          <w:lang w:val="en-AU"/>
        </w:rPr>
        <w:t xml:space="preserve"> yang </w:t>
      </w:r>
      <w:proofErr w:type="spellStart"/>
      <w:r w:rsidR="005F513A">
        <w:rPr>
          <w:rFonts w:ascii="Calibri" w:hAnsi="Calibri" w:cs="Calibri"/>
          <w:b/>
          <w:color w:val="000000"/>
          <w:sz w:val="28"/>
          <w:szCs w:val="28"/>
          <w:lang w:val="en-AU"/>
        </w:rPr>
        <w:t>sudah</w:t>
      </w:r>
      <w:proofErr w:type="spellEnd"/>
      <w:r w:rsidR="005F513A">
        <w:rPr>
          <w:rFonts w:ascii="Calibri" w:hAnsi="Calibri" w:cs="Calibri"/>
          <w:b/>
          <w:color w:val="000000"/>
          <w:sz w:val="28"/>
          <w:szCs w:val="28"/>
          <w:lang w:val="en-AU"/>
        </w:rPr>
        <w:t xml:space="preserve"> </w:t>
      </w:r>
      <w:proofErr w:type="spellStart"/>
      <w:r w:rsidR="005F513A">
        <w:rPr>
          <w:rFonts w:ascii="Calibri" w:hAnsi="Calibri" w:cs="Calibri"/>
          <w:b/>
          <w:color w:val="000000"/>
          <w:sz w:val="28"/>
          <w:szCs w:val="28"/>
          <w:lang w:val="en-AU"/>
        </w:rPr>
        <w:t>melabeli</w:t>
      </w:r>
      <w:proofErr w:type="spellEnd"/>
      <w:r w:rsidR="005F513A">
        <w:rPr>
          <w:rFonts w:ascii="Calibri" w:hAnsi="Calibri" w:cs="Calibri"/>
          <w:b/>
          <w:color w:val="000000"/>
          <w:sz w:val="28"/>
          <w:szCs w:val="28"/>
          <w:lang w:val="en-AU"/>
        </w:rPr>
        <w:t xml:space="preserve"> para </w:t>
      </w:r>
      <w:proofErr w:type="spellStart"/>
      <w:r w:rsidR="005F513A">
        <w:rPr>
          <w:rFonts w:ascii="Calibri" w:hAnsi="Calibri" w:cs="Calibri"/>
          <w:b/>
          <w:color w:val="000000"/>
          <w:sz w:val="28"/>
          <w:szCs w:val="28"/>
          <w:lang w:val="en-AU"/>
        </w:rPr>
        <w:t>tertuduh</w:t>
      </w:r>
      <w:proofErr w:type="spellEnd"/>
      <w:r w:rsidR="005F513A">
        <w:rPr>
          <w:rFonts w:ascii="Calibri" w:hAnsi="Calibri" w:cs="Calibri"/>
          <w:b/>
          <w:color w:val="000000"/>
          <w:sz w:val="28"/>
          <w:szCs w:val="28"/>
          <w:lang w:val="en-AU"/>
        </w:rPr>
        <w:t xml:space="preserve"> </w:t>
      </w:r>
      <w:proofErr w:type="spellStart"/>
      <w:r w:rsidR="005F513A">
        <w:rPr>
          <w:rFonts w:ascii="Calibri" w:hAnsi="Calibri" w:cs="Calibri"/>
          <w:b/>
          <w:color w:val="000000"/>
          <w:sz w:val="28"/>
          <w:szCs w:val="28"/>
          <w:lang w:val="en-AU"/>
        </w:rPr>
        <w:t>sebagai</w:t>
      </w:r>
      <w:proofErr w:type="spellEnd"/>
      <w:r w:rsidR="005F513A">
        <w:rPr>
          <w:rFonts w:ascii="Calibri" w:hAnsi="Calibri" w:cs="Calibri"/>
          <w:b/>
          <w:color w:val="000000"/>
          <w:sz w:val="28"/>
          <w:szCs w:val="28"/>
          <w:lang w:val="en-AU"/>
        </w:rPr>
        <w:t xml:space="preserve"> </w:t>
      </w:r>
      <w:proofErr w:type="spellStart"/>
      <w:r w:rsidR="005F513A">
        <w:rPr>
          <w:rFonts w:ascii="Calibri" w:hAnsi="Calibri" w:cs="Calibri"/>
          <w:b/>
          <w:color w:val="000000"/>
          <w:sz w:val="28"/>
          <w:szCs w:val="28"/>
          <w:lang w:val="en-AU"/>
        </w:rPr>
        <w:t>kelompok</w:t>
      </w:r>
      <w:proofErr w:type="spellEnd"/>
      <w:r w:rsidR="005F513A">
        <w:rPr>
          <w:rFonts w:ascii="Calibri" w:hAnsi="Calibri" w:cs="Calibri"/>
          <w:b/>
          <w:color w:val="000000"/>
          <w:sz w:val="28"/>
          <w:szCs w:val="28"/>
          <w:lang w:val="en-AU"/>
        </w:rPr>
        <w:t xml:space="preserve"> </w:t>
      </w:r>
      <w:proofErr w:type="spellStart"/>
      <w:r w:rsidR="005F513A">
        <w:rPr>
          <w:rFonts w:ascii="Calibri" w:hAnsi="Calibri" w:cs="Calibri"/>
          <w:b/>
          <w:color w:val="000000"/>
          <w:sz w:val="28"/>
          <w:szCs w:val="28"/>
          <w:lang w:val="en-AU"/>
        </w:rPr>
        <w:t>sesat</w:t>
      </w:r>
      <w:proofErr w:type="spellEnd"/>
      <w:r w:rsidR="005F513A">
        <w:rPr>
          <w:rFonts w:ascii="Calibri" w:hAnsi="Calibri" w:cs="Calibri"/>
          <w:b/>
          <w:color w:val="000000"/>
          <w:sz w:val="28"/>
          <w:szCs w:val="28"/>
          <w:lang w:val="en-AU"/>
        </w:rPr>
        <w:t xml:space="preserve"> dan anti islam</w:t>
      </w:r>
      <w:r w:rsidRPr="00AA5BD3">
        <w:rPr>
          <w:rFonts w:ascii="Calibri" w:hAnsi="Calibri" w:cs="Calibri"/>
          <w:b/>
          <w:color w:val="000000"/>
          <w:sz w:val="28"/>
          <w:szCs w:val="28"/>
          <w:lang w:val="en-AU"/>
        </w:rPr>
        <w:t xml:space="preserve">. </w:t>
      </w:r>
    </w:p>
    <w:p w14:paraId="71BE40F6" w14:textId="77777777" w:rsidR="00AA5BD3" w:rsidRPr="00315563" w:rsidRDefault="00AA5BD3" w:rsidP="00940329">
      <w:pPr>
        <w:ind w:firstLine="0"/>
        <w:rPr>
          <w:rFonts w:ascii="Calibri" w:hAnsi="Calibri" w:cs="Calibri"/>
          <w:b/>
          <w:lang w:val="en-US"/>
        </w:rPr>
      </w:pPr>
    </w:p>
    <w:p w14:paraId="5C84E0FF" w14:textId="294C1348" w:rsidR="004D76BB" w:rsidRDefault="00D36F9B" w:rsidP="00940329">
      <w:pPr>
        <w:ind w:firstLine="0"/>
        <w:jc w:val="both"/>
        <w:rPr>
          <w:rFonts w:ascii="Calibri" w:hAnsi="Calibri" w:cs="Calibri"/>
          <w:lang w:val="en-AU"/>
        </w:rPr>
      </w:pPr>
      <w:r w:rsidRPr="00D36F9B">
        <w:rPr>
          <w:rFonts w:ascii="Calibri" w:hAnsi="Calibri" w:cs="Calibri"/>
          <w:lang w:val="en-AU"/>
        </w:rPr>
        <w:t>In contemporary times, as many modern democratic nations repeal their anti-blasphemy laws due to allegations of infringement upon freedom of religion and expression, Indonesia stands out as one of the few countries that has retained such laws. Various scholars have stated that Indonesia's Anti-Blasphemy Law is substantially flawed for two reasons. Firstly, the language of the law provides no clear definition of what constitutes religious blasphemy, leading to interpretations that are highly dependent on the interpreter's personal background and sentiments. Secondly, the law only threatens minority religious groups since it aims to protect only the religions practiced in Indonesia, which include Islam, Christianity, Catholicism, Hinduism, Buddhism, and Kong Hu Chu. Furthermore, recent developments suggest that the legal status of anti-blasphemy laws in Indonesia has become even stronger, as the Constitutional Court has refused to overturn them. The Court believes that upholding the Anti-Blasphemy Law is crucial for maintaining religious tolerance and avoiding potential conflicts between different religious communities.</w:t>
      </w:r>
      <w:r w:rsidR="007428E8">
        <w:rPr>
          <w:rFonts w:ascii="Calibri" w:hAnsi="Calibri" w:cs="Calibri"/>
          <w:lang w:val="en-AU"/>
        </w:rPr>
        <w:t xml:space="preserve"> </w:t>
      </w:r>
    </w:p>
    <w:p w14:paraId="2B35EC99" w14:textId="2022FE6E" w:rsidR="00F945CD" w:rsidRPr="00F945CD" w:rsidRDefault="00B05721" w:rsidP="00315563">
      <w:pPr>
        <w:ind w:firstLine="720"/>
        <w:jc w:val="both"/>
        <w:rPr>
          <w:rFonts w:ascii="Calibri" w:hAnsi="Calibri" w:cs="Calibri"/>
          <w:lang w:val="en-AU"/>
        </w:rPr>
      </w:pPr>
      <w:r w:rsidRPr="00B05721">
        <w:rPr>
          <w:rFonts w:ascii="Calibri" w:hAnsi="Calibri" w:cs="Calibri"/>
          <w:lang w:val="en-AU"/>
        </w:rPr>
        <w:t>It appears that the reality is far different from what the law suggests. In many cases, the enforcement of the Anti-Blasphemy Law is followed by vigilante justice against minority religious groups, who are accused of deviancy</w:t>
      </w:r>
      <w:r w:rsidR="00E05B30">
        <w:rPr>
          <w:rFonts w:ascii="Calibri" w:hAnsi="Calibri" w:cs="Calibri"/>
          <w:lang w:val="en-AU"/>
        </w:rPr>
        <w:t xml:space="preserve"> </w:t>
      </w:r>
      <w:r w:rsidR="00E05B30">
        <w:rPr>
          <w:rFonts w:ascii="Calibri" w:hAnsi="Calibri" w:cs="Calibri"/>
          <w:lang w:val="en-AU"/>
        </w:rPr>
        <w:fldChar w:fldCharType="begin"/>
      </w:r>
      <w:r w:rsidR="00E05B30">
        <w:rPr>
          <w:rFonts w:ascii="Calibri" w:hAnsi="Calibri" w:cs="Calibri"/>
          <w:lang w:val="en-AU"/>
        </w:rPr>
        <w:instrText xml:space="preserve"> ADDIN ZOTERO_ITEM CSL_CITATION {"citationID":"QmpgeQtv","properties":{"formattedCitation":"(Hassner, 2011)","plainCitation":"(Hassner, 2011)","noteIndex":0},"citationItems":[{"id":2287,"uris":["http://zotero.org/users/6396655/items/XPNWAMKC"],"itemData":{"id":2287,"type":"article-journal","container-title":"International Studies Quarterly","DOI":"10.1111/j.1468-2478.2010.00634.x","ISSN":"00208833","issue":"1","language":"en","page":"23-45","source":"DOI.org (Crossref)","title":"Blasphemy and Violence1: Blasphemy and Violence","title-short":"Blasphemy and Violence1","volume":"55","author":[{"family":"Hassner","given":"Ron E."}],"issued":{"date-parts":[["2011",3]]}}}],"schema":"https://github.com/citation-style-language/schema/raw/master/csl-citation.json"} </w:instrText>
      </w:r>
      <w:r w:rsidR="00E05B30">
        <w:rPr>
          <w:rFonts w:ascii="Calibri" w:hAnsi="Calibri" w:cs="Calibri"/>
          <w:lang w:val="en-AU"/>
        </w:rPr>
        <w:fldChar w:fldCharType="separate"/>
      </w:r>
      <w:r w:rsidR="00E05B30">
        <w:rPr>
          <w:rFonts w:ascii="Calibri" w:hAnsi="Calibri" w:cs="Calibri"/>
          <w:noProof/>
          <w:lang w:val="en-AU"/>
        </w:rPr>
        <w:t>(Hassner, 2011)</w:t>
      </w:r>
      <w:r w:rsidR="00E05B30">
        <w:rPr>
          <w:rFonts w:ascii="Calibri" w:hAnsi="Calibri" w:cs="Calibri"/>
          <w:lang w:val="en-AU"/>
        </w:rPr>
        <w:fldChar w:fldCharType="end"/>
      </w:r>
      <w:r w:rsidRPr="00B05721">
        <w:rPr>
          <w:rFonts w:ascii="Calibri" w:hAnsi="Calibri" w:cs="Calibri"/>
          <w:lang w:val="en-AU"/>
        </w:rPr>
        <w:t xml:space="preserve">. According to </w:t>
      </w:r>
      <w:proofErr w:type="spellStart"/>
      <w:r w:rsidRPr="00B05721">
        <w:rPr>
          <w:rFonts w:ascii="Calibri" w:hAnsi="Calibri" w:cs="Calibri"/>
          <w:lang w:val="en-AU"/>
        </w:rPr>
        <w:t>Setara</w:t>
      </w:r>
      <w:proofErr w:type="spellEnd"/>
      <w:r w:rsidRPr="00B05721">
        <w:rPr>
          <w:rFonts w:ascii="Calibri" w:hAnsi="Calibri" w:cs="Calibri"/>
          <w:lang w:val="en-AU"/>
        </w:rPr>
        <w:t xml:space="preserve"> Institute's research, between 1965 and 2017, there were 97 cases of blasphemy; 42 of these cases involved vigilante groups. Of the total cases, 76 were resolved through "pro </w:t>
      </w:r>
      <w:proofErr w:type="spellStart"/>
      <w:r w:rsidRPr="00B05721">
        <w:rPr>
          <w:rFonts w:ascii="Calibri" w:hAnsi="Calibri" w:cs="Calibri"/>
          <w:lang w:val="en-AU"/>
        </w:rPr>
        <w:t>justicia</w:t>
      </w:r>
      <w:proofErr w:type="spellEnd"/>
      <w:r w:rsidRPr="00B05721">
        <w:rPr>
          <w:rFonts w:ascii="Calibri" w:hAnsi="Calibri" w:cs="Calibri"/>
          <w:lang w:val="en-AU"/>
        </w:rPr>
        <w:t>," with 47 cases receiving sentences ranging from one to 4.5 years in prison, 5 cases resulting in sentences of over 4.5 years, and 8 cases leading to less than a year in prison</w:t>
      </w:r>
      <w:r w:rsidR="00E15A5C">
        <w:rPr>
          <w:rFonts w:ascii="Calibri" w:hAnsi="Calibri" w:cs="Calibri"/>
          <w:lang w:val="en-AU"/>
        </w:rPr>
        <w:t xml:space="preserve"> </w:t>
      </w:r>
      <w:r w:rsidR="00E15A5C">
        <w:rPr>
          <w:rFonts w:ascii="Calibri" w:hAnsi="Calibri" w:cs="Calibri"/>
          <w:lang w:val="en-AU"/>
        </w:rPr>
        <w:fldChar w:fldCharType="begin"/>
      </w:r>
      <w:r w:rsidR="00E15A5C">
        <w:rPr>
          <w:rFonts w:ascii="Calibri" w:hAnsi="Calibri" w:cs="Calibri"/>
          <w:lang w:val="en-AU"/>
        </w:rPr>
        <w:instrText xml:space="preserve"> ADDIN ZOTERO_ITEM CSL_CITATION {"citationID":"acdMz8fy","properties":{"formattedCitation":"(Nalle, 2021)","plainCitation":"(Nalle, 2021)","noteIndex":0},"citationItems":[{"id":2274,"uris":["http://zotero.org/users/6396655/items/D5JITMMX"],"itemData":{"id":2274,"type":"article-journal","container-title":"Asian Journal of Law and Society","issue":"3","note":"publisher: Cambridge University Press","page":"558–576","title":"The politics of intolerant laws against adherents of indigenous beliefs or aliran kepercayaan in Indonesia","volume":"8","author":[{"family":"Nalle","given":"Victor Imanuel W"}],"issued":{"date-parts":[["2021"]]}}}],"schema":"https://github.com/citation-style-language/schema/raw/master/csl-citation.json"} </w:instrText>
      </w:r>
      <w:r w:rsidR="00E15A5C">
        <w:rPr>
          <w:rFonts w:ascii="Calibri" w:hAnsi="Calibri" w:cs="Calibri"/>
          <w:lang w:val="en-AU"/>
        </w:rPr>
        <w:fldChar w:fldCharType="separate"/>
      </w:r>
      <w:r w:rsidR="00114F7F">
        <w:rPr>
          <w:rFonts w:ascii="Calibri" w:hAnsi="Calibri" w:cs="Calibri"/>
          <w:noProof/>
          <w:lang w:val="en-AU"/>
        </w:rPr>
        <w:t>(Nalle, 2021)</w:t>
      </w:r>
      <w:r w:rsidR="00E15A5C">
        <w:rPr>
          <w:rFonts w:ascii="Calibri" w:hAnsi="Calibri" w:cs="Calibri"/>
          <w:lang w:val="en-AU"/>
        </w:rPr>
        <w:fldChar w:fldCharType="end"/>
      </w:r>
      <w:r w:rsidRPr="00B05721">
        <w:rPr>
          <w:rFonts w:ascii="Calibri" w:hAnsi="Calibri" w:cs="Calibri"/>
          <w:lang w:val="en-AU"/>
        </w:rPr>
        <w:t xml:space="preserve">. The vigilante groups are mostly comprised of Islamic hardliners who employ hate </w:t>
      </w:r>
      <w:r>
        <w:rPr>
          <w:rFonts w:ascii="Calibri" w:hAnsi="Calibri" w:cs="Calibri"/>
          <w:lang w:val="en-AU"/>
        </w:rPr>
        <w:t>spin</w:t>
      </w:r>
      <w:r w:rsidRPr="00B05721">
        <w:rPr>
          <w:rFonts w:ascii="Calibri" w:hAnsi="Calibri" w:cs="Calibri"/>
          <w:lang w:val="en-AU"/>
        </w:rPr>
        <w:t xml:space="preserve"> strategies, portraying themselves as victims of hate from minority religious groups, with the underlying claim that these groups have blasphemed against Islam. These hate </w:t>
      </w:r>
      <w:r>
        <w:rPr>
          <w:rFonts w:ascii="Calibri" w:hAnsi="Calibri" w:cs="Calibri"/>
          <w:lang w:val="en-AU"/>
        </w:rPr>
        <w:t>spin</w:t>
      </w:r>
      <w:r w:rsidRPr="00B05721">
        <w:rPr>
          <w:rFonts w:ascii="Calibri" w:hAnsi="Calibri" w:cs="Calibri"/>
          <w:lang w:val="en-AU"/>
        </w:rPr>
        <w:t xml:space="preserve"> tactics have been successful in mobilizing protesters to pressure the MUI into issuing a fatwa, and the courts into punishing the accused. Minority religious groups not only have to undergo a legal trial, but also suffer from attacks by vigilante groups that damage their places of worship and carry out various discriminatory acts.</w:t>
      </w:r>
    </w:p>
    <w:p w14:paraId="010AF151" w14:textId="68B3AAB0" w:rsidR="004C38B8" w:rsidRPr="008F6F05" w:rsidRDefault="00B05721" w:rsidP="008F6F05">
      <w:pPr>
        <w:ind w:firstLine="720"/>
        <w:jc w:val="both"/>
        <w:rPr>
          <w:rFonts w:ascii="Calibri" w:hAnsi="Calibri" w:cs="Calibri"/>
          <w:lang w:val="en-AU"/>
        </w:rPr>
      </w:pPr>
      <w:r w:rsidRPr="00B05721">
        <w:rPr>
          <w:rFonts w:ascii="Calibri" w:hAnsi="Calibri" w:cs="Calibri"/>
          <w:lang w:val="en-AU"/>
        </w:rPr>
        <w:t>It is important to note that many individuals and organizations have criticized the enforcement of anti-blasphemy laws in Indonesia, as they are prone to misuse and abuse</w:t>
      </w:r>
      <w:r w:rsidR="008F6F05">
        <w:rPr>
          <w:rFonts w:ascii="Calibri" w:hAnsi="Calibri" w:cs="Calibri"/>
          <w:lang w:val="en-AU"/>
        </w:rPr>
        <w:t xml:space="preserve">. </w:t>
      </w:r>
      <w:r w:rsidRPr="00B05721">
        <w:rPr>
          <w:rFonts w:ascii="Calibri" w:hAnsi="Calibri" w:cs="Calibri"/>
          <w:lang w:val="en-AU"/>
        </w:rPr>
        <w:t xml:space="preserve">Such laws have been used to persecute </w:t>
      </w:r>
      <w:r w:rsidRPr="00B05721">
        <w:rPr>
          <w:rFonts w:ascii="Calibri" w:hAnsi="Calibri" w:cs="Calibri"/>
          <w:lang w:val="en-AU"/>
        </w:rPr>
        <w:lastRenderedPageBreak/>
        <w:t>individuals based on their religion or beliefs, without any actual offense. They have also contributed to the suppression of free speech and expression. With a focus on post-constitutional court decisions, this study aims to gain a deeper understanding of the occurrence of vigilantism despite the enforcement of the anti-blasphemy law, investigate how far vigilantism affects judiciary independence in deciding blasphemy cases, and explore why the continued use of the anti-blasphemy law has failed to preserve justice</w:t>
      </w:r>
      <w:r w:rsidR="008F6F05">
        <w:rPr>
          <w:rFonts w:ascii="Calibri" w:hAnsi="Calibri" w:cs="Calibri"/>
          <w:lang w:val="en-AU"/>
        </w:rPr>
        <w:t xml:space="preserve">. A short conclusion and recommendation </w:t>
      </w:r>
      <w:r w:rsidRPr="00B05721">
        <w:rPr>
          <w:rFonts w:ascii="Calibri" w:hAnsi="Calibri" w:cs="Calibri"/>
          <w:lang w:val="en-AU"/>
        </w:rPr>
        <w:t>emphasizes the need to balance the preservation of religious values with the values of democracy, the rule of law, and human rights. Such an approach is critical for promoting social harmony and justice in Indonesia.</w:t>
      </w:r>
    </w:p>
    <w:p w14:paraId="1BD86BC6" w14:textId="77777777" w:rsidR="004C38B8" w:rsidRPr="0055514C" w:rsidRDefault="004C38B8" w:rsidP="004C38B8">
      <w:pPr>
        <w:rPr>
          <w:rFonts w:ascii="Calibri" w:hAnsi="Calibri" w:cs="Calibri"/>
          <w:color w:val="000000"/>
        </w:rPr>
      </w:pPr>
    </w:p>
    <w:p w14:paraId="3BB70244" w14:textId="1ADBC063" w:rsidR="00F945CD" w:rsidRPr="00315563" w:rsidRDefault="00F945CD" w:rsidP="00940329">
      <w:pPr>
        <w:ind w:firstLine="0"/>
        <w:rPr>
          <w:rFonts w:ascii="Calibri" w:hAnsi="Calibri" w:cs="Calibri"/>
          <w:b/>
          <w:lang w:val="en-US"/>
        </w:rPr>
      </w:pPr>
      <w:r w:rsidRPr="00F945CD">
        <w:rPr>
          <w:rFonts w:ascii="Calibri" w:hAnsi="Calibri" w:cs="Calibri"/>
          <w:b/>
          <w:color w:val="000000"/>
          <w:lang w:val="en-AU"/>
        </w:rPr>
        <w:t>RESEARCH METHODOLOGY</w:t>
      </w:r>
    </w:p>
    <w:p w14:paraId="44EE6233" w14:textId="3DD7CCE2" w:rsidR="00EA09FE" w:rsidRPr="00EA09FE" w:rsidRDefault="00EA09FE" w:rsidP="0061607F">
      <w:pPr>
        <w:ind w:firstLine="0"/>
        <w:jc w:val="both"/>
        <w:rPr>
          <w:rFonts w:ascii="Calibri" w:hAnsi="Calibri" w:cs="Calibri"/>
          <w:bCs/>
          <w:color w:val="000000"/>
          <w:lang w:val="en-AU"/>
        </w:rPr>
      </w:pPr>
      <w:r w:rsidRPr="00EA09FE">
        <w:rPr>
          <w:rFonts w:ascii="Calibri" w:hAnsi="Calibri" w:cs="Calibri"/>
          <w:bCs/>
          <w:color w:val="000000"/>
          <w:lang w:val="en-AU"/>
        </w:rPr>
        <w:t xml:space="preserve">Numerous studies have analysed the Anti-Blasphemy Law in Indonesia, primarily focusing on normative evaluations of the law's substance and its non-conformity with international human rights standards </w:t>
      </w:r>
      <w:r w:rsidR="00782315">
        <w:rPr>
          <w:rFonts w:ascii="Calibri" w:hAnsi="Calibri" w:cs="Calibri"/>
          <w:bCs/>
          <w:color w:val="000000"/>
          <w:lang w:val="en-AU"/>
        </w:rPr>
        <w:fldChar w:fldCharType="begin"/>
      </w:r>
      <w:r w:rsidR="00782315">
        <w:rPr>
          <w:rFonts w:ascii="Calibri" w:hAnsi="Calibri" w:cs="Calibri"/>
          <w:bCs/>
          <w:color w:val="000000"/>
          <w:lang w:val="en-AU"/>
        </w:rPr>
        <w:instrText xml:space="preserve"> ADDIN ZOTERO_ITEM CSL_CITATION {"citationID":"jmv6AMDf","properties":{"formattedCitation":"(Bielefeldt, 2012; Pratiwi, 2021)","plainCitation":"(Bielefeldt, 2012; Pratiwi, 2021)","noteIndex":0},"citationItems":[{"id":1905,"uris":["http://zotero.org/users/6396655/items/Z5NK2SFY"],"itemData":{"id":1905,"type":"article-journal","container-title":"Oxford Journal of Law and Religion","DOI":"10.1093/ojlr/rwr018","issue":"1","page":"15-35","title":"Freedom of Religion or Belief–A Human Right under Pressure","volume":"1","author":[{"family":"Bielefeldt","given":"H"}],"issued":{"date-parts":[["2012"]]}}},{"id":1434,"uris":["http://zotero.org/users/6396655/items/EMUMJPRJ"],"itemData":{"id":1434,"type":"article-journal","container-title":"Constitutional Review","DOI":"https://doi.org/10.31078/consrev724","issue":"2","page":"273-299","title":"Rethinking the Constitutionality of Indonesia’s Flawed Anti Blasphemy Law","volume":"7","author":[{"family":"Pratiwi","given":"Cekli S"}],"issued":{"date-parts":[["2021"]]}}}],"schema":"https://github.com/citation-style-language/schema/raw/master/csl-citation.json"} </w:instrText>
      </w:r>
      <w:r w:rsidR="00782315">
        <w:rPr>
          <w:rFonts w:ascii="Calibri" w:hAnsi="Calibri" w:cs="Calibri"/>
          <w:bCs/>
          <w:color w:val="000000"/>
          <w:lang w:val="en-AU"/>
        </w:rPr>
        <w:fldChar w:fldCharType="separate"/>
      </w:r>
      <w:r w:rsidR="00114F7F">
        <w:rPr>
          <w:rFonts w:ascii="Calibri" w:hAnsi="Calibri" w:cs="Calibri"/>
          <w:bCs/>
          <w:noProof/>
          <w:color w:val="000000"/>
          <w:lang w:val="en-AU"/>
        </w:rPr>
        <w:t>(Bielefeldt, 2012; Pratiwi, 2021)</w:t>
      </w:r>
      <w:r w:rsidR="00782315">
        <w:rPr>
          <w:rFonts w:ascii="Calibri" w:hAnsi="Calibri" w:cs="Calibri"/>
          <w:bCs/>
          <w:color w:val="000000"/>
          <w:lang w:val="en-AU"/>
        </w:rPr>
        <w:fldChar w:fldCharType="end"/>
      </w:r>
      <w:r w:rsidRPr="00EA09FE">
        <w:rPr>
          <w:rFonts w:ascii="Calibri" w:hAnsi="Calibri" w:cs="Calibri"/>
          <w:bCs/>
          <w:color w:val="000000"/>
          <w:lang w:val="en-AU"/>
        </w:rPr>
        <w:t xml:space="preserve">. Other studies have examined public perceptions of the law through empirical legal analysis utilizing a socio-legal approach to explore the gap between ideal legal norms and the reality of law's implementation in society </w:t>
      </w:r>
      <w:r w:rsidR="00782315">
        <w:rPr>
          <w:rFonts w:ascii="Calibri" w:hAnsi="Calibri" w:cs="Calibri"/>
          <w:bCs/>
          <w:color w:val="000000"/>
          <w:lang w:val="en-AU"/>
        </w:rPr>
        <w:fldChar w:fldCharType="begin"/>
      </w:r>
      <w:r w:rsidR="00782315">
        <w:rPr>
          <w:rFonts w:ascii="Calibri" w:hAnsi="Calibri" w:cs="Calibri"/>
          <w:bCs/>
          <w:color w:val="000000"/>
          <w:lang w:val="en-AU"/>
        </w:rPr>
        <w:instrText xml:space="preserve"> ADDIN ZOTERO_ITEM CSL_CITATION {"citationID":"A0Naqzd9","properties":{"formattedCitation":"(Banakar, 2019; Bedner &amp; Vel, 2010)","plainCitation":"(Banakar, 2019; Bedner &amp; Vel, 2010)","noteIndex":0},"citationItems":[{"id":2094,"uris":["http://zotero.org/users/6396655/items/DKQMQD88"],"itemData":{"id":2094,"type":"manuscript","title":"On Socio-Legal Design","URL":"https://papers.ssrn.com/sol3/papers.cfm?abstract_id=3463028","author":[{"family":"Banakar","given":"Reza"}],"accessed":{"date-parts":[["2022",12,6]]},"issued":{"date-parts":[["2019",10]]}}},{"id":2063,"uris":["http://zotero.org/users/6396655/items/GZMIU8XG"],"itemData":{"id":2063,"type":"article-journal","container-title":"Law, Social Justice &amp; Global Development Journal (LGD)","title":"An Analytical Framework for Empirical Research on Access to Justice","author":[{"family":"Bedner","given":"A."},{"family":"Vel","given":"J.A.C."}],"issued":{"date-parts":[["2010"]]}}}],"schema":"https://github.com/citation-style-language/schema/raw/master/csl-citation.json"} </w:instrText>
      </w:r>
      <w:r w:rsidR="00782315">
        <w:rPr>
          <w:rFonts w:ascii="Calibri" w:hAnsi="Calibri" w:cs="Calibri"/>
          <w:bCs/>
          <w:color w:val="000000"/>
          <w:lang w:val="en-AU"/>
        </w:rPr>
        <w:fldChar w:fldCharType="separate"/>
      </w:r>
      <w:r w:rsidR="00114F7F">
        <w:rPr>
          <w:rFonts w:ascii="Calibri" w:hAnsi="Calibri" w:cs="Calibri"/>
          <w:bCs/>
          <w:noProof/>
          <w:color w:val="000000"/>
          <w:lang w:val="en-AU"/>
        </w:rPr>
        <w:t>(Banakar, 2019; Bedner &amp; Vel, 2010)</w:t>
      </w:r>
      <w:r w:rsidR="00782315">
        <w:rPr>
          <w:rFonts w:ascii="Calibri" w:hAnsi="Calibri" w:cs="Calibri"/>
          <w:bCs/>
          <w:color w:val="000000"/>
          <w:lang w:val="en-AU"/>
        </w:rPr>
        <w:fldChar w:fldCharType="end"/>
      </w:r>
      <w:r w:rsidRPr="00EA09FE">
        <w:rPr>
          <w:rFonts w:ascii="Calibri" w:hAnsi="Calibri" w:cs="Calibri"/>
          <w:bCs/>
          <w:color w:val="000000"/>
          <w:lang w:val="en-AU"/>
        </w:rPr>
        <w:t xml:space="preserve">. This study has gathered a wide array of data, including case studies, statutory analysis, and in-depth interviews with experts, judges, religious followers, members of religious groups, and minority religious groups. </w:t>
      </w:r>
    </w:p>
    <w:p w14:paraId="64980C09" w14:textId="72DBDF26" w:rsidR="00D530BB" w:rsidRPr="00623356" w:rsidRDefault="00EA09FE" w:rsidP="00623356">
      <w:pPr>
        <w:ind w:firstLine="720"/>
        <w:jc w:val="both"/>
        <w:rPr>
          <w:rFonts w:ascii="Calibri" w:hAnsi="Calibri" w:cs="Calibri"/>
          <w:bCs/>
          <w:color w:val="000000"/>
          <w:lang w:val="en-AU"/>
        </w:rPr>
      </w:pPr>
      <w:r w:rsidRPr="00EA09FE">
        <w:rPr>
          <w:rFonts w:ascii="Calibri" w:hAnsi="Calibri" w:cs="Calibri"/>
          <w:bCs/>
          <w:color w:val="000000"/>
          <w:lang w:val="en-AU"/>
        </w:rPr>
        <w:t xml:space="preserve">The research has looked into at least </w:t>
      </w:r>
      <w:r w:rsidR="00623356">
        <w:rPr>
          <w:rFonts w:ascii="Calibri" w:hAnsi="Calibri" w:cs="Calibri"/>
          <w:bCs/>
          <w:color w:val="000000"/>
          <w:lang w:val="en-AU"/>
        </w:rPr>
        <w:t>four</w:t>
      </w:r>
      <w:r w:rsidRPr="00EA09FE">
        <w:rPr>
          <w:rFonts w:ascii="Calibri" w:hAnsi="Calibri" w:cs="Calibri"/>
          <w:bCs/>
          <w:color w:val="000000"/>
          <w:lang w:val="en-AU"/>
        </w:rPr>
        <w:t xml:space="preserve"> cases, with the first being the case of </w:t>
      </w:r>
      <w:r w:rsidR="00623356">
        <w:rPr>
          <w:rFonts w:ascii="Calibri" w:hAnsi="Calibri" w:cs="Calibri"/>
          <w:bCs/>
          <w:color w:val="000000"/>
          <w:lang w:val="en-AU"/>
        </w:rPr>
        <w:t>Ahok, a Cristian Chinese Governor of Jakarta who were found guilty of blasphemy after criticized the politization of QS. Al-Maida verse 5</w:t>
      </w:r>
      <w:r w:rsidR="00940329">
        <w:rPr>
          <w:rFonts w:ascii="Calibri" w:hAnsi="Calibri" w:cs="Calibri"/>
          <w:bCs/>
          <w:color w:val="000000"/>
          <w:lang w:val="en-AU"/>
        </w:rPr>
        <w:t>1</w:t>
      </w:r>
      <w:r w:rsidR="00623356">
        <w:rPr>
          <w:rFonts w:ascii="Calibri" w:hAnsi="Calibri" w:cs="Calibri"/>
          <w:bCs/>
          <w:color w:val="000000"/>
          <w:lang w:val="en-AU"/>
        </w:rPr>
        <w:t xml:space="preserve"> to gain Muslims supports on election. The second is </w:t>
      </w:r>
      <w:r w:rsidRPr="00EA09FE">
        <w:rPr>
          <w:rFonts w:ascii="Calibri" w:hAnsi="Calibri" w:cs="Calibri"/>
          <w:bCs/>
          <w:color w:val="000000"/>
          <w:lang w:val="en-AU"/>
        </w:rPr>
        <w:t>Meiliana</w:t>
      </w:r>
      <w:r w:rsidR="00623356">
        <w:rPr>
          <w:rFonts w:ascii="Calibri" w:hAnsi="Calibri" w:cs="Calibri"/>
          <w:bCs/>
          <w:color w:val="000000"/>
          <w:lang w:val="en-AU"/>
        </w:rPr>
        <w:t xml:space="preserve"> case</w:t>
      </w:r>
      <w:r w:rsidRPr="00EA09FE">
        <w:rPr>
          <w:rFonts w:ascii="Calibri" w:hAnsi="Calibri" w:cs="Calibri"/>
          <w:bCs/>
          <w:color w:val="000000"/>
          <w:lang w:val="en-AU"/>
        </w:rPr>
        <w:t xml:space="preserve">, a Buddhist woman from Medan who criticized the loudness of the adhan call to prayer, exemplifying how the enforcement of blasphemy laws has often resulted in intolerance and discrimination against religious minorities. She was subjected to hateful incitement, accused of blasphemy against Islam, leading to the burning and damaging of several Buddhist temples in her area, despite undergoing trial, which resulted in a sentence of 1 year and 8 months. The </w:t>
      </w:r>
      <w:r w:rsidR="00623356">
        <w:rPr>
          <w:rFonts w:ascii="Calibri" w:hAnsi="Calibri" w:cs="Calibri"/>
          <w:bCs/>
          <w:color w:val="000000"/>
          <w:lang w:val="en-AU"/>
        </w:rPr>
        <w:t xml:space="preserve">third </w:t>
      </w:r>
      <w:r w:rsidRPr="00EA09FE">
        <w:rPr>
          <w:rFonts w:ascii="Calibri" w:hAnsi="Calibri" w:cs="Calibri"/>
          <w:bCs/>
          <w:color w:val="000000"/>
          <w:lang w:val="en-AU"/>
        </w:rPr>
        <w:t xml:space="preserve">and </w:t>
      </w:r>
      <w:r w:rsidR="00623356">
        <w:rPr>
          <w:rFonts w:ascii="Calibri" w:hAnsi="Calibri" w:cs="Calibri"/>
          <w:bCs/>
          <w:color w:val="000000"/>
          <w:lang w:val="en-AU"/>
        </w:rPr>
        <w:t>fourth</w:t>
      </w:r>
      <w:r w:rsidRPr="00EA09FE">
        <w:rPr>
          <w:rFonts w:ascii="Calibri" w:hAnsi="Calibri" w:cs="Calibri"/>
          <w:bCs/>
          <w:color w:val="000000"/>
          <w:lang w:val="en-AU"/>
        </w:rPr>
        <w:t xml:space="preserve"> cases are the experiences of the </w:t>
      </w:r>
      <w:r w:rsidR="00783DE9" w:rsidRPr="00EA09FE">
        <w:rPr>
          <w:rFonts w:ascii="Calibri" w:hAnsi="Calibri" w:cs="Calibri"/>
          <w:bCs/>
          <w:color w:val="000000"/>
          <w:lang w:val="en-AU"/>
        </w:rPr>
        <w:t>Ahmadiyya</w:t>
      </w:r>
      <w:r w:rsidRPr="00EA09FE">
        <w:rPr>
          <w:rFonts w:ascii="Calibri" w:hAnsi="Calibri" w:cs="Calibri"/>
          <w:bCs/>
          <w:color w:val="000000"/>
          <w:lang w:val="en-AU"/>
        </w:rPr>
        <w:t xml:space="preserve"> and Gafatar groups, highlighting the dangers of vigilantism in response to blasphemy law enforcement. Thus, it is crucial to </w:t>
      </w:r>
      <w:r w:rsidR="00783DE9" w:rsidRPr="00EA09FE">
        <w:rPr>
          <w:rFonts w:ascii="Calibri" w:hAnsi="Calibri" w:cs="Calibri"/>
          <w:bCs/>
          <w:color w:val="000000"/>
          <w:lang w:val="en-AU"/>
        </w:rPr>
        <w:t>re-evaluate</w:t>
      </w:r>
      <w:r w:rsidRPr="00EA09FE">
        <w:rPr>
          <w:rFonts w:ascii="Calibri" w:hAnsi="Calibri" w:cs="Calibri"/>
          <w:bCs/>
          <w:color w:val="000000"/>
          <w:lang w:val="en-AU"/>
        </w:rPr>
        <w:t xml:space="preserve"> the role of the law, ensuring that its enforcement upholds human rights principles and promotes religious tolerance, while sternly condemning acts of vigilantism aimed at harming minorities in Indonesia.</w:t>
      </w:r>
    </w:p>
    <w:p w14:paraId="63E027EE" w14:textId="63F39772" w:rsidR="00F945CD" w:rsidRPr="00623356" w:rsidRDefault="00EA09FE" w:rsidP="00623356">
      <w:pPr>
        <w:ind w:firstLine="720"/>
        <w:rPr>
          <w:rFonts w:ascii="Calibri" w:hAnsi="Calibri" w:cs="Calibri"/>
          <w:bCs/>
          <w:color w:val="000000"/>
          <w:lang w:val="en-AU"/>
        </w:rPr>
      </w:pPr>
      <w:r w:rsidRPr="00EA09FE">
        <w:rPr>
          <w:rFonts w:ascii="Calibri" w:hAnsi="Calibri" w:cs="Calibri"/>
          <w:bCs/>
          <w:color w:val="000000"/>
          <w:lang w:val="en-AU"/>
        </w:rPr>
        <w:t xml:space="preserve">Subsequently, the collected data is assessed, selected, and inventoried to address the research questions. A critical legal study approach is utilized to derive conclusions from the analysed data. </w:t>
      </w:r>
      <w:r w:rsidR="00623356" w:rsidRPr="00EA09FE">
        <w:rPr>
          <w:rFonts w:ascii="Calibri" w:hAnsi="Calibri" w:cs="Calibri"/>
          <w:bCs/>
          <w:color w:val="000000"/>
          <w:lang w:val="en-AU"/>
        </w:rPr>
        <w:t xml:space="preserve">By evaluating the gap between the theoretical and practical implementation of the law, </w:t>
      </w:r>
      <w:r w:rsidR="00623356">
        <w:rPr>
          <w:rFonts w:ascii="Calibri" w:hAnsi="Calibri" w:cs="Calibri"/>
          <w:bCs/>
          <w:color w:val="000000"/>
          <w:lang w:val="en-AU"/>
        </w:rPr>
        <w:t>t</w:t>
      </w:r>
      <w:r w:rsidRPr="00EA09FE">
        <w:rPr>
          <w:rFonts w:ascii="Calibri" w:hAnsi="Calibri" w:cs="Calibri"/>
          <w:bCs/>
          <w:color w:val="000000"/>
          <w:lang w:val="en-AU"/>
        </w:rPr>
        <w:t xml:space="preserve">he anticipated outcomes of this research are expected to </w:t>
      </w:r>
      <w:r w:rsidR="00623356">
        <w:rPr>
          <w:rFonts w:ascii="Calibri" w:hAnsi="Calibri" w:cs="Calibri"/>
          <w:bCs/>
          <w:color w:val="000000"/>
          <w:lang w:val="en-AU"/>
        </w:rPr>
        <w:t>answer the research questions mentioned earlier and</w:t>
      </w:r>
      <w:r w:rsidRPr="00EA09FE">
        <w:rPr>
          <w:rFonts w:ascii="Calibri" w:hAnsi="Calibri" w:cs="Calibri"/>
          <w:bCs/>
          <w:color w:val="000000"/>
          <w:lang w:val="en-AU"/>
        </w:rPr>
        <w:t xml:space="preserve"> may provide recommendations that promote the preservation of human rights and social </w:t>
      </w:r>
      <w:r w:rsidR="00623356">
        <w:rPr>
          <w:rFonts w:ascii="Calibri" w:hAnsi="Calibri" w:cs="Calibri"/>
          <w:bCs/>
          <w:color w:val="000000"/>
          <w:lang w:val="en-AU"/>
        </w:rPr>
        <w:t>justice</w:t>
      </w:r>
      <w:r w:rsidRPr="00EA09FE">
        <w:rPr>
          <w:rFonts w:ascii="Calibri" w:hAnsi="Calibri" w:cs="Calibri"/>
          <w:bCs/>
          <w:color w:val="000000"/>
          <w:lang w:val="en-AU"/>
        </w:rPr>
        <w:t xml:space="preserve"> in Indonesia.</w:t>
      </w:r>
    </w:p>
    <w:p w14:paraId="2968C960" w14:textId="77777777" w:rsidR="007F7F59" w:rsidRDefault="007F7F59" w:rsidP="004C38B8">
      <w:pPr>
        <w:rPr>
          <w:rFonts w:ascii="Calibri" w:hAnsi="Calibri" w:cs="Calibri"/>
          <w:b/>
          <w:color w:val="000000"/>
          <w:lang w:val="en-AU"/>
        </w:rPr>
      </w:pPr>
    </w:p>
    <w:p w14:paraId="559CFB48" w14:textId="452C6EE8" w:rsidR="007F7F59" w:rsidRPr="00315563" w:rsidRDefault="007F7F59" w:rsidP="00940329">
      <w:pPr>
        <w:ind w:firstLine="0"/>
        <w:rPr>
          <w:rFonts w:ascii="Calibri" w:hAnsi="Calibri" w:cs="Calibri"/>
          <w:b/>
          <w:lang w:val="en-US"/>
        </w:rPr>
      </w:pPr>
      <w:r w:rsidRPr="007F7F59">
        <w:rPr>
          <w:rFonts w:ascii="Calibri" w:hAnsi="Calibri" w:cs="Calibri"/>
          <w:b/>
          <w:color w:val="000000"/>
          <w:lang w:val="en-AU"/>
        </w:rPr>
        <w:t>THEORETICAL FRAMEWORK AND LITERATURE REVIEW</w:t>
      </w:r>
    </w:p>
    <w:p w14:paraId="58182BF8" w14:textId="125E4034" w:rsidR="007F7F59" w:rsidRPr="007F7F59" w:rsidRDefault="001E53E8" w:rsidP="00B86693">
      <w:pPr>
        <w:ind w:firstLine="720"/>
        <w:jc w:val="both"/>
        <w:rPr>
          <w:rFonts w:ascii="Calibri" w:hAnsi="Calibri" w:cs="Calibri"/>
          <w:bCs/>
          <w:color w:val="000000"/>
          <w:lang w:val="en-AU"/>
        </w:rPr>
      </w:pPr>
      <w:r>
        <w:rPr>
          <w:rFonts w:ascii="Calibri" w:hAnsi="Calibri" w:cs="Calibri"/>
          <w:bCs/>
          <w:color w:val="000000"/>
          <w:lang w:val="en-AU"/>
        </w:rPr>
        <w:t>This study departs</w:t>
      </w:r>
      <w:r w:rsidR="00363D36">
        <w:rPr>
          <w:rFonts w:ascii="Calibri" w:hAnsi="Calibri" w:cs="Calibri"/>
          <w:bCs/>
          <w:color w:val="000000"/>
          <w:lang w:val="en-AU"/>
        </w:rPr>
        <w:t xml:space="preserve"> from the</w:t>
      </w:r>
      <w:r w:rsidR="007F7F59" w:rsidRPr="007F7F59">
        <w:rPr>
          <w:rFonts w:ascii="Calibri" w:hAnsi="Calibri" w:cs="Calibri"/>
          <w:bCs/>
          <w:color w:val="000000"/>
          <w:lang w:val="en-AU"/>
        </w:rPr>
        <w:t xml:space="preserve"> theories of the Rule of Law and </w:t>
      </w:r>
      <w:r w:rsidR="00CC6944">
        <w:rPr>
          <w:rFonts w:ascii="Calibri" w:hAnsi="Calibri" w:cs="Calibri"/>
          <w:bCs/>
          <w:color w:val="000000"/>
          <w:lang w:val="en-AU"/>
        </w:rPr>
        <w:t>J</w:t>
      </w:r>
      <w:r w:rsidR="007F7F59" w:rsidRPr="007F7F59">
        <w:rPr>
          <w:rFonts w:ascii="Calibri" w:hAnsi="Calibri" w:cs="Calibri"/>
          <w:bCs/>
          <w:color w:val="000000"/>
          <w:lang w:val="en-AU"/>
        </w:rPr>
        <w:t>ustice</w:t>
      </w:r>
      <w:r w:rsidR="009B0A6C">
        <w:rPr>
          <w:rFonts w:ascii="Calibri" w:hAnsi="Calibri" w:cs="Calibri"/>
          <w:bCs/>
          <w:color w:val="000000"/>
          <w:lang w:val="en-AU"/>
        </w:rPr>
        <w:t xml:space="preserve"> </w:t>
      </w:r>
      <w:r w:rsidR="00411F31">
        <w:rPr>
          <w:rFonts w:ascii="Calibri" w:hAnsi="Calibri" w:cs="Calibri"/>
          <w:bCs/>
          <w:color w:val="000000"/>
          <w:lang w:val="en-AU"/>
        </w:rPr>
        <w:t>that</w:t>
      </w:r>
      <w:r w:rsidR="009B0A6C">
        <w:rPr>
          <w:rFonts w:ascii="Calibri" w:hAnsi="Calibri" w:cs="Calibri"/>
          <w:bCs/>
          <w:color w:val="000000"/>
          <w:lang w:val="en-AU"/>
        </w:rPr>
        <w:t xml:space="preserve"> </w:t>
      </w:r>
      <w:r w:rsidR="00DD2539" w:rsidRPr="00DD2539">
        <w:rPr>
          <w:rFonts w:ascii="Calibri" w:hAnsi="Calibri" w:cs="Calibri"/>
          <w:bCs/>
          <w:color w:val="000000"/>
          <w:lang w:val="en-AU"/>
        </w:rPr>
        <w:t xml:space="preserve">are essential for creating fair and equitable societies </w:t>
      </w:r>
      <w:r w:rsidR="00E15A5C">
        <w:rPr>
          <w:rFonts w:ascii="Calibri" w:hAnsi="Calibri" w:cs="Calibri"/>
          <w:bCs/>
          <w:color w:val="000000"/>
          <w:lang w:val="en-AU"/>
        </w:rPr>
        <w:fldChar w:fldCharType="begin"/>
      </w:r>
      <w:r w:rsidR="00E15A5C">
        <w:rPr>
          <w:rFonts w:ascii="Calibri" w:hAnsi="Calibri" w:cs="Calibri"/>
          <w:bCs/>
          <w:color w:val="000000"/>
          <w:lang w:val="en-AU"/>
        </w:rPr>
        <w:instrText xml:space="preserve"> ADDIN ZOTERO_ITEM CSL_CITATION {"citationID":"mfRBRYPr","properties":{"formattedCitation":"(Bellamy, 2017; Merkel, 2012)","plainCitation":"(Bellamy, 2017; Merkel, 2012)","noteIndex":0},"citationItems":[{"id":2272,"uris":["http://zotero.org/users/6396655/items/JKIFE38U"],"itemData":{"id":2272,"type":"book","publisher":"Routledge","title":"The rule of law and the separation of powers","author":[{"family":"Bellamy","given":"Richard"}],"issued":{"date-parts":[["2017"]]}}},{"id":2273,"uris":["http://zotero.org/users/6396655/items/5C59XE9I"],"itemData":{"id":2273,"type":"article-journal","container-title":"Rule of Law Dynamics: In an Era of International and Transnational Governance","note":"publisher: Cambridge University Press Cambridge","page":"21–47","title":"Measuring the Quality of Rule of Law","author":[{"family":"Merkel","given":"Wolfgang"}],"issued":{"date-parts":[["2012"]]}}}],"schema":"https://github.com/citation-style-language/schema/raw/master/csl-citation.json"} </w:instrText>
      </w:r>
      <w:r w:rsidR="00E15A5C">
        <w:rPr>
          <w:rFonts w:ascii="Calibri" w:hAnsi="Calibri" w:cs="Calibri"/>
          <w:bCs/>
          <w:color w:val="000000"/>
          <w:lang w:val="en-AU"/>
        </w:rPr>
        <w:fldChar w:fldCharType="separate"/>
      </w:r>
      <w:r w:rsidR="00114F7F">
        <w:rPr>
          <w:rFonts w:ascii="Calibri" w:hAnsi="Calibri" w:cs="Calibri"/>
          <w:bCs/>
          <w:noProof/>
          <w:color w:val="000000"/>
          <w:lang w:val="en-AU"/>
        </w:rPr>
        <w:t>(Bellamy, 2017; Merkel, 2012)</w:t>
      </w:r>
      <w:r w:rsidR="00E15A5C">
        <w:rPr>
          <w:rFonts w:ascii="Calibri" w:hAnsi="Calibri" w:cs="Calibri"/>
          <w:bCs/>
          <w:color w:val="000000"/>
          <w:lang w:val="en-AU"/>
        </w:rPr>
        <w:fldChar w:fldCharType="end"/>
      </w:r>
      <w:r w:rsidR="00DD2539" w:rsidRPr="00DD2539">
        <w:rPr>
          <w:rFonts w:ascii="Calibri" w:hAnsi="Calibri" w:cs="Calibri"/>
          <w:bCs/>
          <w:color w:val="000000"/>
          <w:lang w:val="en-AU"/>
        </w:rPr>
        <w:t xml:space="preserve">. </w:t>
      </w:r>
      <w:r w:rsidR="007F7F59" w:rsidRPr="007F7F59">
        <w:rPr>
          <w:rFonts w:ascii="Calibri" w:hAnsi="Calibri" w:cs="Calibri"/>
          <w:bCs/>
          <w:color w:val="000000"/>
          <w:lang w:val="en-AU"/>
        </w:rPr>
        <w:t>The enforcement of the law is a manifestation of the Rule of Law, where the community is expected to use legal channels to address problems, rather than resorting to vigilantism or other illegal means to mete out justice</w:t>
      </w:r>
      <w:r w:rsidR="00E15A5C">
        <w:rPr>
          <w:rFonts w:ascii="Calibri" w:hAnsi="Calibri" w:cs="Calibri"/>
          <w:bCs/>
          <w:color w:val="000000"/>
          <w:lang w:val="en-AU"/>
        </w:rPr>
        <w:t xml:space="preserve"> </w:t>
      </w:r>
      <w:r w:rsidR="00E15A5C">
        <w:rPr>
          <w:rFonts w:ascii="Calibri" w:hAnsi="Calibri" w:cs="Calibri"/>
          <w:bCs/>
          <w:color w:val="000000"/>
          <w:lang w:val="en-AU"/>
        </w:rPr>
        <w:fldChar w:fldCharType="begin"/>
      </w:r>
      <w:r w:rsidR="00E15A5C">
        <w:rPr>
          <w:rFonts w:ascii="Calibri" w:hAnsi="Calibri" w:cs="Calibri"/>
          <w:bCs/>
          <w:color w:val="000000"/>
          <w:lang w:val="en-AU"/>
        </w:rPr>
        <w:instrText xml:space="preserve"> ADDIN ZOTERO_ITEM CSL_CITATION {"citationID":"feSxAi7A","properties":{"formattedCitation":"(Scheuerman, 2022)","plainCitation":"(Scheuerman, 2022)","noteIndex":0},"citationItems":[{"id":2271,"uris":["http://zotero.org/users/6396655/items/XIE6IVT2"],"itemData":{"id":2271,"type":"article-journal","container-title":"Critical Review of International Social and Political Philosophy","issue":"7","note":"publisher: Taylor &amp; Francis","page":"980–999","title":"Why not uncivil disobedience?","volume":"25","author":[{"family":"Scheuerman","given":"William E"}],"issued":{"date-parts":[["2022"]]}}}],"schema":"https://github.com/citation-style-language/schema/raw/master/csl-citation.json"} </w:instrText>
      </w:r>
      <w:r w:rsidR="00E15A5C">
        <w:rPr>
          <w:rFonts w:ascii="Calibri" w:hAnsi="Calibri" w:cs="Calibri"/>
          <w:bCs/>
          <w:color w:val="000000"/>
          <w:lang w:val="en-AU"/>
        </w:rPr>
        <w:fldChar w:fldCharType="separate"/>
      </w:r>
      <w:r w:rsidR="00114F7F">
        <w:rPr>
          <w:rFonts w:ascii="Calibri" w:hAnsi="Calibri" w:cs="Calibri"/>
          <w:bCs/>
          <w:noProof/>
          <w:color w:val="000000"/>
          <w:lang w:val="en-AU"/>
        </w:rPr>
        <w:t>(Scheuerman, 2022)</w:t>
      </w:r>
      <w:r w:rsidR="00E15A5C">
        <w:rPr>
          <w:rFonts w:ascii="Calibri" w:hAnsi="Calibri" w:cs="Calibri"/>
          <w:bCs/>
          <w:color w:val="000000"/>
          <w:lang w:val="en-AU"/>
        </w:rPr>
        <w:fldChar w:fldCharType="end"/>
      </w:r>
      <w:r w:rsidR="007F7F59" w:rsidRPr="007F7F59">
        <w:rPr>
          <w:rFonts w:ascii="Calibri" w:hAnsi="Calibri" w:cs="Calibri"/>
          <w:bCs/>
          <w:color w:val="000000"/>
          <w:lang w:val="en-AU"/>
        </w:rPr>
        <w:t>. The court system exists to ensure that the enforcement of the law is carried out correctly, based on clear and specific laws, convincing evidence, and respect for proper legal procedures, where every individual is treated equally. Ultimately, upholding the Rule of Law in law enforcement will guarantee the creation of a fair judicial decision for all parties and society.</w:t>
      </w:r>
    </w:p>
    <w:p w14:paraId="3BAD511A" w14:textId="16565BAC" w:rsidR="00782315" w:rsidRDefault="007F7F59" w:rsidP="00AA781A">
      <w:pPr>
        <w:ind w:firstLine="720"/>
        <w:jc w:val="both"/>
        <w:rPr>
          <w:rFonts w:ascii="Calibri" w:hAnsi="Calibri" w:cs="Calibri"/>
          <w:bCs/>
          <w:color w:val="000000"/>
          <w:lang w:val="en-AU"/>
        </w:rPr>
      </w:pPr>
      <w:r w:rsidRPr="007F7F59">
        <w:rPr>
          <w:rFonts w:ascii="Calibri" w:hAnsi="Calibri" w:cs="Calibri"/>
          <w:bCs/>
          <w:color w:val="000000"/>
          <w:lang w:val="en-AU"/>
        </w:rPr>
        <w:t xml:space="preserve">The presence of clear and unambiguous laws is essential for judges to qualify someone's </w:t>
      </w:r>
      <w:r w:rsidR="00F92891" w:rsidRPr="007F7F59">
        <w:rPr>
          <w:rFonts w:ascii="Calibri" w:hAnsi="Calibri" w:cs="Calibri"/>
          <w:bCs/>
          <w:color w:val="000000"/>
          <w:lang w:val="en-AU"/>
        </w:rPr>
        <w:t>behaviour</w:t>
      </w:r>
      <w:r w:rsidRPr="007F7F59">
        <w:rPr>
          <w:rFonts w:ascii="Calibri" w:hAnsi="Calibri" w:cs="Calibri"/>
          <w:bCs/>
          <w:color w:val="000000"/>
          <w:lang w:val="en-AU"/>
        </w:rPr>
        <w:t xml:space="preserve"> as wrong</w:t>
      </w:r>
      <w:r w:rsidR="006A42BC">
        <w:rPr>
          <w:rFonts w:ascii="Calibri" w:hAnsi="Calibri" w:cs="Calibri"/>
          <w:bCs/>
          <w:color w:val="000000"/>
          <w:lang w:val="en-AU"/>
        </w:rPr>
        <w:t xml:space="preserve"> </w:t>
      </w:r>
      <w:r w:rsidR="00E15A5C">
        <w:rPr>
          <w:rFonts w:ascii="Calibri" w:hAnsi="Calibri" w:cs="Calibri"/>
          <w:bCs/>
          <w:color w:val="000000"/>
          <w:lang w:val="en-AU"/>
        </w:rPr>
        <w:fldChar w:fldCharType="begin"/>
      </w:r>
      <w:r w:rsidR="00E15A5C">
        <w:rPr>
          <w:rFonts w:ascii="Calibri" w:hAnsi="Calibri" w:cs="Calibri"/>
          <w:bCs/>
          <w:color w:val="000000"/>
          <w:lang w:val="en-AU"/>
        </w:rPr>
        <w:instrText xml:space="preserve"> ADDIN ZOTERO_ITEM CSL_CITATION {"citationID":"q24MjPyN","properties":{"formattedCitation":"(Beckett et al., 2018)","plainCitation":"(Beckett et al., 2018)","noteIndex":0},"citationItems":[{"id":2270,"uris":["http://zotero.org/users/6396655/items/XLR6EQGD"],"itemData":{"id":2270,"type":"article-journal","container-title":"Law &amp; Policy","issue":"4","note":"publisher: Wiley Online Library","page":"321–345","title":"US criminal justice policy and practice in the twenty-first century: Toward the end of mass incarceration?","volume":"40","author":[{"family":"Beckett","given":"Katherine"},{"family":"Beach","given":"Lindsey"},{"family":"Knaphus","given":"Emily"},{"family":"Reosti","given":"Anna"}],"issued":{"date-parts":[["2018"]]}}}],"schema":"https://github.com/citation-style-language/schema/raw/master/csl-citation.json"} </w:instrText>
      </w:r>
      <w:r w:rsidR="00E15A5C">
        <w:rPr>
          <w:rFonts w:ascii="Calibri" w:hAnsi="Calibri" w:cs="Calibri"/>
          <w:bCs/>
          <w:color w:val="000000"/>
          <w:lang w:val="en-AU"/>
        </w:rPr>
        <w:fldChar w:fldCharType="separate"/>
      </w:r>
      <w:r w:rsidR="00114F7F">
        <w:rPr>
          <w:rFonts w:ascii="Calibri" w:hAnsi="Calibri" w:cs="Calibri"/>
          <w:bCs/>
          <w:noProof/>
          <w:color w:val="000000"/>
          <w:lang w:val="en-AU"/>
        </w:rPr>
        <w:t>(Beckett et al., 2018)</w:t>
      </w:r>
      <w:r w:rsidR="00E15A5C">
        <w:rPr>
          <w:rFonts w:ascii="Calibri" w:hAnsi="Calibri" w:cs="Calibri"/>
          <w:bCs/>
          <w:color w:val="000000"/>
          <w:lang w:val="en-AU"/>
        </w:rPr>
        <w:fldChar w:fldCharType="end"/>
      </w:r>
      <w:r w:rsidR="006A42BC" w:rsidRPr="006A42BC">
        <w:rPr>
          <w:rFonts w:ascii="Calibri" w:hAnsi="Calibri" w:cs="Calibri"/>
          <w:bCs/>
          <w:color w:val="000000"/>
          <w:lang w:val="en-AU"/>
        </w:rPr>
        <w:t>.</w:t>
      </w:r>
      <w:r w:rsidRPr="007F7F59">
        <w:rPr>
          <w:rFonts w:ascii="Calibri" w:hAnsi="Calibri" w:cs="Calibri"/>
          <w:bCs/>
          <w:color w:val="000000"/>
          <w:lang w:val="en-AU"/>
        </w:rPr>
        <w:t xml:space="preserve"> On the other hand, ambiguous laws can make it difficult for the court to qualify whether someone's </w:t>
      </w:r>
      <w:r w:rsidR="00F92891" w:rsidRPr="007F7F59">
        <w:rPr>
          <w:rFonts w:ascii="Calibri" w:hAnsi="Calibri" w:cs="Calibri"/>
          <w:bCs/>
          <w:color w:val="000000"/>
          <w:lang w:val="en-AU"/>
        </w:rPr>
        <w:t>behaviour</w:t>
      </w:r>
      <w:r w:rsidRPr="007F7F59">
        <w:rPr>
          <w:rFonts w:ascii="Calibri" w:hAnsi="Calibri" w:cs="Calibri"/>
          <w:bCs/>
          <w:color w:val="000000"/>
          <w:lang w:val="en-AU"/>
        </w:rPr>
        <w:t xml:space="preserve"> is prohibited. Ambiguous laws can cause the court to subjectively interpret criminal </w:t>
      </w:r>
      <w:r w:rsidR="00F92891" w:rsidRPr="007F7F59">
        <w:rPr>
          <w:rFonts w:ascii="Calibri" w:hAnsi="Calibri" w:cs="Calibri"/>
          <w:bCs/>
          <w:color w:val="000000"/>
          <w:lang w:val="en-AU"/>
        </w:rPr>
        <w:t>behaviour</w:t>
      </w:r>
      <w:r w:rsidRPr="007F7F59">
        <w:rPr>
          <w:rFonts w:ascii="Calibri" w:hAnsi="Calibri" w:cs="Calibri"/>
          <w:bCs/>
          <w:color w:val="000000"/>
          <w:lang w:val="en-AU"/>
        </w:rPr>
        <w:t>. In such a context, judges can easily be influenced by external factors.</w:t>
      </w:r>
      <w:r w:rsidR="00830E02">
        <w:rPr>
          <w:rFonts w:ascii="Calibri" w:hAnsi="Calibri" w:cs="Calibri"/>
          <w:bCs/>
          <w:color w:val="000000"/>
          <w:lang w:val="en-AU"/>
        </w:rPr>
        <w:t xml:space="preserve"> </w:t>
      </w:r>
      <w:r w:rsidR="00E15A5C">
        <w:rPr>
          <w:rFonts w:ascii="Calibri" w:hAnsi="Calibri" w:cs="Calibri"/>
          <w:bCs/>
          <w:color w:val="000000"/>
          <w:lang w:val="en-AU"/>
        </w:rPr>
        <w:fldChar w:fldCharType="begin"/>
      </w:r>
      <w:r w:rsidR="00E15A5C">
        <w:rPr>
          <w:rFonts w:ascii="Calibri" w:hAnsi="Calibri" w:cs="Calibri"/>
          <w:bCs/>
          <w:color w:val="000000"/>
          <w:lang w:val="en-AU"/>
        </w:rPr>
        <w:instrText xml:space="preserve"> ADDIN ZOTERO_ITEM CSL_CITATION {"citationID":"2zr1eFYD","properties":{"formattedCitation":"(Malle &amp; Nelson, 2003)","plainCitation":"(Malle &amp; Nelson, 2003)","noteIndex":0},"citationItems":[{"id":2269,"uris":["http://zotero.org/users/6396655/items/4G8CRUP2"],"itemData":{"id":2269,"type":"article-journal","container-title":"Behavioral sciences &amp; the law","issue":"5","note":"publisher: Wiley Online Library","page":"563–580","title":"Judging mens rea: The tension between folk concepts and legal concepts of intentionality","volume":"21","author":[{"family":"Malle","given":"Bertram F"},{"family":"Nelson","given":"Sarah E"}],"issued":{"date-parts":[["2003"]]}}}],"schema":"https://github.com/citation-style-language/schema/raw/master/csl-citation.json"} </w:instrText>
      </w:r>
      <w:r w:rsidR="00E15A5C">
        <w:rPr>
          <w:rFonts w:ascii="Calibri" w:hAnsi="Calibri" w:cs="Calibri"/>
          <w:bCs/>
          <w:color w:val="000000"/>
          <w:lang w:val="en-AU"/>
        </w:rPr>
        <w:fldChar w:fldCharType="separate"/>
      </w:r>
      <w:r w:rsidR="00114F7F">
        <w:rPr>
          <w:rFonts w:ascii="Calibri" w:hAnsi="Calibri" w:cs="Calibri"/>
          <w:bCs/>
          <w:noProof/>
          <w:color w:val="000000"/>
          <w:lang w:val="en-AU"/>
        </w:rPr>
        <w:t>(Malle &amp; Nelson, 2003)</w:t>
      </w:r>
      <w:r w:rsidR="00E15A5C">
        <w:rPr>
          <w:rFonts w:ascii="Calibri" w:hAnsi="Calibri" w:cs="Calibri"/>
          <w:bCs/>
          <w:color w:val="000000"/>
          <w:lang w:val="en-AU"/>
        </w:rPr>
        <w:fldChar w:fldCharType="end"/>
      </w:r>
      <w:r w:rsidR="00830E02" w:rsidRPr="00830E02">
        <w:rPr>
          <w:rFonts w:ascii="Calibri" w:hAnsi="Calibri" w:cs="Calibri"/>
          <w:bCs/>
          <w:color w:val="000000"/>
          <w:lang w:val="en-AU"/>
        </w:rPr>
        <w:t>.</w:t>
      </w:r>
      <w:r w:rsidR="00AA781A">
        <w:rPr>
          <w:rFonts w:ascii="Calibri" w:hAnsi="Calibri" w:cs="Calibri"/>
          <w:bCs/>
          <w:color w:val="000000"/>
          <w:lang w:val="en-AU"/>
        </w:rPr>
        <w:t xml:space="preserve"> </w:t>
      </w:r>
      <w:r w:rsidRPr="007F7F59">
        <w:rPr>
          <w:rFonts w:ascii="Calibri" w:hAnsi="Calibri" w:cs="Calibri"/>
          <w:bCs/>
          <w:color w:val="000000"/>
          <w:lang w:val="en-AU"/>
        </w:rPr>
        <w:t>Therefore, this study will provide substantial insights into the critical role that the Rule of Law plays in ensuring justice for all in the Indonesian context. In particular, the study will examine how the Rule of Law affects the enforcement of Anti-Blasphemy Law and the role of the court system in upholding justice, especially for minority religious groups.</w:t>
      </w:r>
    </w:p>
    <w:p w14:paraId="03A76B1A" w14:textId="77777777" w:rsidR="002A7B3F" w:rsidRDefault="002A7B3F" w:rsidP="002A7B3F">
      <w:pPr>
        <w:ind w:firstLine="720"/>
        <w:jc w:val="both"/>
        <w:rPr>
          <w:rFonts w:ascii="Calibri" w:hAnsi="Calibri" w:cs="Calibri"/>
          <w:bCs/>
          <w:color w:val="000000"/>
          <w:lang w:val="en-AU"/>
        </w:rPr>
      </w:pPr>
      <w:r w:rsidRPr="00782315">
        <w:rPr>
          <w:rFonts w:ascii="Calibri" w:hAnsi="Calibri" w:cs="Calibri"/>
          <w:bCs/>
          <w:color w:val="000000"/>
          <w:lang w:val="en-AU"/>
        </w:rPr>
        <w:t>The Anti-Blasphemy Law is a remnant of the old order that has been maintained until today</w:t>
      </w:r>
      <w:r>
        <w:rPr>
          <w:rFonts w:ascii="Calibri" w:hAnsi="Calibri" w:cs="Calibri"/>
          <w:bCs/>
          <w:color w:val="000000"/>
          <w:lang w:val="en-AU"/>
        </w:rPr>
        <w:t xml:space="preserve"> </w:t>
      </w:r>
      <w:r>
        <w:rPr>
          <w:rFonts w:ascii="Calibri" w:hAnsi="Calibri" w:cs="Calibri"/>
          <w:bCs/>
          <w:color w:val="000000"/>
          <w:lang w:val="en-AU"/>
        </w:rPr>
        <w:fldChar w:fldCharType="begin"/>
      </w:r>
      <w:r>
        <w:rPr>
          <w:rFonts w:ascii="Calibri" w:hAnsi="Calibri" w:cs="Calibri"/>
          <w:bCs/>
          <w:color w:val="000000"/>
          <w:lang w:val="en-AU"/>
        </w:rPr>
        <w:instrText xml:space="preserve"> ADDIN ZOTERO_ITEM CSL_CITATION {"citationID":"74sp82R0","properties":{"formattedCitation":"(Temperman &amp; Koltay, 2017)","plainCitation":"(Temperman &amp; Koltay, 2017)","noteIndex":0},"citationItems":[{"id":2282,"uris":["http://zotero.org/users/6396655/items/6EPA4Z3A"],"itemData":{"id":2282,"type":"book","publisher":"Cambridge University Press","title":"Blasphemy and Freedom of Expression: Comparative, Theoretical and Historical Reflections after the Charlie Hebdo Massacre","author":[{"family":"Temperman","given":"Jeroen"},{"family":"Koltay","given":"András"}],"issued":{"date-parts":[["2017"]]}}}],"schema":"https://github.com/citation-style-language/schema/raw/master/csl-citation.json"} </w:instrText>
      </w:r>
      <w:r>
        <w:rPr>
          <w:rFonts w:ascii="Calibri" w:hAnsi="Calibri" w:cs="Calibri"/>
          <w:bCs/>
          <w:color w:val="000000"/>
          <w:lang w:val="en-AU"/>
        </w:rPr>
        <w:fldChar w:fldCharType="separate"/>
      </w:r>
      <w:r>
        <w:rPr>
          <w:rFonts w:ascii="Calibri" w:hAnsi="Calibri" w:cs="Calibri"/>
          <w:bCs/>
          <w:noProof/>
          <w:color w:val="000000"/>
          <w:lang w:val="en-AU"/>
        </w:rPr>
        <w:t>(Temperman &amp; Koltay, 2017)</w:t>
      </w:r>
      <w:r>
        <w:rPr>
          <w:rFonts w:ascii="Calibri" w:hAnsi="Calibri" w:cs="Calibri"/>
          <w:bCs/>
          <w:color w:val="000000"/>
          <w:lang w:val="en-AU"/>
        </w:rPr>
        <w:fldChar w:fldCharType="end"/>
      </w:r>
      <w:r w:rsidRPr="00782315">
        <w:rPr>
          <w:rFonts w:ascii="Calibri" w:hAnsi="Calibri" w:cs="Calibri"/>
          <w:bCs/>
          <w:color w:val="000000"/>
          <w:lang w:val="en-AU"/>
        </w:rPr>
        <w:t>. Several studies have indicated that the law has two main weaknesses. The first weakness is that the law no longer aligns with human rights law development</w:t>
      </w:r>
      <w:r>
        <w:rPr>
          <w:rFonts w:ascii="Calibri" w:hAnsi="Calibri" w:cs="Calibri"/>
          <w:bCs/>
          <w:color w:val="000000"/>
          <w:lang w:val="en-AU"/>
        </w:rPr>
        <w:t xml:space="preserve"> </w:t>
      </w:r>
      <w:r>
        <w:rPr>
          <w:rFonts w:ascii="Calibri" w:hAnsi="Calibri" w:cs="Calibri"/>
          <w:bCs/>
          <w:color w:val="000000"/>
          <w:lang w:val="en-AU"/>
        </w:rPr>
        <w:fldChar w:fldCharType="begin"/>
      </w:r>
      <w:r>
        <w:rPr>
          <w:rFonts w:ascii="Calibri" w:hAnsi="Calibri" w:cs="Calibri"/>
          <w:bCs/>
          <w:color w:val="000000"/>
          <w:lang w:val="en-AU"/>
        </w:rPr>
        <w:instrText xml:space="preserve"> ADDIN ZOTERO_ITEM CSL_CITATION {"citationID":"XUduA8Uz","properties":{"formattedCitation":"(Bush, 2015; Fischer, 2021; Telle, 2017)","plainCitation":"(Bush, 2015; Fischer, 2021; Telle, 2017)","noteIndex":0},"citationItems":[{"id":2280,"uris":["http://zotero.org/users/6396655/items/XFT7KCEM"],"itemData":{"id":2280,"type":"article-journal","container-title":"The Yudhoyono presidency: Indonesia's decade of stability and stagnation","note":"publisher: Institute of Southeast Asian Studies","page":"239","title":"13 Religious politics and minority rights during the Yudhoyono presidency","author":[{"family":"Bush","given":"Robin"}],"issued":{"date-parts":[["2015"]]}}},{"id":2267,"uris":["http://zotero.org/users/6396655/items/YSVPU6IU"],"itemData":{"id":2267,"type":"article-journal","container-title":"Emory Int'l L. Rev.","note":"publisher: HeinOnline","page":"177","title":"Hate Speech Laws and Blasphemy Laws: Parallels Show Problems with the UN Strategy and Plan of Action on Hate Speech","volume":"35","author":[{"family":"Fischer","given":"Meghan"}],"issued":{"date-parts":[["2021"]]}}},{"id":2049,"uris":["http://zotero.org/users/6396655/items/U5SJQZEW"],"itemData":{"id":2049,"type":"article-journal","container-title":"Ethnos","DOI":"10.1080/00141844.2017.1282973","issue":"2","page":"371-391","title":"Faith on Trial: Blasphemy and ‘Lawfare’ in Indonesia","volume":"83","author":[{"family":"Telle","given":"Kari"}],"issued":{"date-parts":[["2017"]]}}}],"schema":"https://github.com/citation-style-language/schema/raw/master/csl-citation.json"} </w:instrText>
      </w:r>
      <w:r>
        <w:rPr>
          <w:rFonts w:ascii="Calibri" w:hAnsi="Calibri" w:cs="Calibri"/>
          <w:bCs/>
          <w:color w:val="000000"/>
          <w:lang w:val="en-AU"/>
        </w:rPr>
        <w:fldChar w:fldCharType="separate"/>
      </w:r>
      <w:r>
        <w:rPr>
          <w:rFonts w:ascii="Calibri" w:hAnsi="Calibri" w:cs="Calibri"/>
          <w:bCs/>
          <w:noProof/>
          <w:color w:val="000000"/>
          <w:lang w:val="en-AU"/>
        </w:rPr>
        <w:t>(Bush, 2015; Fischer, 2021; Telle, 2017)</w:t>
      </w:r>
      <w:r>
        <w:rPr>
          <w:rFonts w:ascii="Calibri" w:hAnsi="Calibri" w:cs="Calibri"/>
          <w:bCs/>
          <w:color w:val="000000"/>
          <w:lang w:val="en-AU"/>
        </w:rPr>
        <w:fldChar w:fldCharType="end"/>
      </w:r>
      <w:r w:rsidRPr="00782315">
        <w:rPr>
          <w:rFonts w:ascii="Calibri" w:hAnsi="Calibri" w:cs="Calibri"/>
          <w:bCs/>
          <w:color w:val="000000"/>
          <w:lang w:val="en-AU"/>
        </w:rPr>
        <w:t xml:space="preserve">. The law prohibits individuals who hold beliefs or teachings that differ from officially recognized religions in Indonesia. Consequently, minority religious teachings can be deemed heretical, and freedom of religion or belief can be </w:t>
      </w:r>
      <w:r w:rsidRPr="00782315">
        <w:rPr>
          <w:rFonts w:ascii="Calibri" w:hAnsi="Calibri" w:cs="Calibri"/>
          <w:bCs/>
          <w:color w:val="000000"/>
          <w:lang w:val="en-AU"/>
        </w:rPr>
        <w:lastRenderedPageBreak/>
        <w:t>violated. The second weakness is that the law contains normative provisions that are ambiguous and open to interpretation. When enforced, subjectivity in interpretation could lead to discrimination against religious minority groups. If used as the basis for court rulings, it could result in discriminatory decisions against minority religious groups.</w:t>
      </w:r>
    </w:p>
    <w:p w14:paraId="47FB0BDC" w14:textId="55693908" w:rsidR="00940329" w:rsidRDefault="00940329" w:rsidP="00940329">
      <w:pPr>
        <w:ind w:firstLine="720"/>
        <w:jc w:val="both"/>
        <w:rPr>
          <w:rFonts w:ascii="Calibri" w:hAnsi="Calibri" w:cs="Calibri"/>
          <w:bCs/>
          <w:color w:val="000000"/>
          <w:lang w:val="en-AU"/>
        </w:rPr>
      </w:pPr>
      <w:r w:rsidRPr="00782315">
        <w:rPr>
          <w:rFonts w:ascii="Calibri" w:hAnsi="Calibri" w:cs="Calibri"/>
          <w:bCs/>
          <w:color w:val="000000"/>
          <w:lang w:val="en-AU"/>
        </w:rPr>
        <w:t xml:space="preserve">Research conducted by </w:t>
      </w:r>
      <w:r>
        <w:rPr>
          <w:rFonts w:ascii="Calibri" w:hAnsi="Calibri" w:cs="Calibri"/>
          <w:bCs/>
          <w:color w:val="000000"/>
          <w:lang w:val="en-AU"/>
        </w:rPr>
        <w:t>George</w:t>
      </w:r>
      <w:r w:rsidRPr="00782315">
        <w:rPr>
          <w:rFonts w:ascii="Calibri" w:hAnsi="Calibri" w:cs="Calibri"/>
          <w:bCs/>
          <w:color w:val="000000"/>
          <w:lang w:val="en-AU"/>
        </w:rPr>
        <w:t xml:space="preserve"> Cherian</w:t>
      </w:r>
      <w:r>
        <w:rPr>
          <w:rFonts w:ascii="Calibri" w:hAnsi="Calibri" w:cs="Calibri"/>
          <w:bCs/>
          <w:color w:val="000000"/>
          <w:lang w:val="en-AU"/>
        </w:rPr>
        <w:t xml:space="preserve"> </w:t>
      </w:r>
      <w:r>
        <w:rPr>
          <w:rFonts w:ascii="Calibri" w:hAnsi="Calibri" w:cs="Calibri"/>
          <w:bCs/>
          <w:color w:val="000000"/>
          <w:lang w:val="en-AU"/>
        </w:rPr>
        <w:fldChar w:fldCharType="begin"/>
      </w:r>
      <w:r>
        <w:rPr>
          <w:rFonts w:ascii="Calibri" w:hAnsi="Calibri" w:cs="Calibri"/>
          <w:bCs/>
          <w:color w:val="000000"/>
          <w:lang w:val="en-AU"/>
        </w:rPr>
        <w:instrText xml:space="preserve"> ADDIN ZOTERO_ITEM CSL_CITATION {"citationID":"cuHv92gi","properties":{"formattedCitation":"(2017)","plainCitation":"(2017)","noteIndex":0},"citationItems":[{"id":2277,"uris":["http://zotero.org/users/6396655/items/YSQNWZ66"],"itemData":{"id":2277,"type":"article-journal","container-title":"Communication Theory","issue":"2","note":"publisher: Oxford University Press","page":"156–175","title":"Hate spin: The twin political strategies of religious incitement and offense-taking","volume":"27","author":[{"family":"George","given":"Cherian"}],"issued":{"date-parts":[["2017"]]}},"suppress-author":true}],"schema":"https://github.com/citation-style-language/schema/raw/master/csl-citation.json"} </w:instrText>
      </w:r>
      <w:r>
        <w:rPr>
          <w:rFonts w:ascii="Calibri" w:hAnsi="Calibri" w:cs="Calibri"/>
          <w:bCs/>
          <w:color w:val="000000"/>
          <w:lang w:val="en-AU"/>
        </w:rPr>
        <w:fldChar w:fldCharType="separate"/>
      </w:r>
      <w:r>
        <w:rPr>
          <w:rFonts w:ascii="Calibri" w:hAnsi="Calibri" w:cs="Calibri"/>
          <w:bCs/>
          <w:noProof/>
          <w:color w:val="000000"/>
          <w:lang w:val="en-AU"/>
        </w:rPr>
        <w:t>(2017)</w:t>
      </w:r>
      <w:r>
        <w:rPr>
          <w:rFonts w:ascii="Calibri" w:hAnsi="Calibri" w:cs="Calibri"/>
          <w:bCs/>
          <w:color w:val="000000"/>
          <w:lang w:val="en-AU"/>
        </w:rPr>
        <w:fldChar w:fldCharType="end"/>
      </w:r>
      <w:r w:rsidRPr="00782315">
        <w:rPr>
          <w:rFonts w:ascii="Calibri" w:hAnsi="Calibri" w:cs="Calibri"/>
          <w:bCs/>
          <w:color w:val="000000"/>
          <w:lang w:val="en-AU"/>
        </w:rPr>
        <w:t xml:space="preserve"> indicates that hate spin is a contributing factor that supports the enforcement of the blasphemy law. According to Cherian, hate spin has become an instrument of political campaigning, planned as a sophisticated instrument designed to paralyse political opponents through identity concerns. Cherian elaborates that hate spin tactics involve "manufactured vilification or anger employed as a political technique". This tactic of hate spin is disseminated in a way that opportunistic or hardliner groups exploit sentiments of the dominant religious group to seek extensive support, aided by online communication mediums that travel swiftly and unfiltered.</w:t>
      </w:r>
    </w:p>
    <w:p w14:paraId="7B2491F3" w14:textId="641B3AB0" w:rsidR="00782315" w:rsidRPr="0001558F" w:rsidRDefault="00782315" w:rsidP="002A7B3F">
      <w:pPr>
        <w:ind w:firstLine="720"/>
        <w:jc w:val="both"/>
        <w:rPr>
          <w:rFonts w:ascii="Calibri" w:hAnsi="Calibri" w:cs="Calibri"/>
          <w:bCs/>
          <w:color w:val="000000"/>
          <w:lang w:val="en-AU"/>
        </w:rPr>
      </w:pPr>
      <w:r w:rsidRPr="00782315">
        <w:rPr>
          <w:rFonts w:ascii="Calibri" w:hAnsi="Calibri" w:cs="Calibri"/>
          <w:bCs/>
          <w:color w:val="000000"/>
          <w:lang w:val="en-AU"/>
        </w:rPr>
        <w:t xml:space="preserve">Fischer </w:t>
      </w:r>
      <w:r>
        <w:rPr>
          <w:rFonts w:ascii="Calibri" w:hAnsi="Calibri" w:cs="Calibri"/>
          <w:bCs/>
          <w:color w:val="000000"/>
          <w:lang w:val="en-AU"/>
        </w:rPr>
        <w:fldChar w:fldCharType="begin"/>
      </w:r>
      <w:r>
        <w:rPr>
          <w:rFonts w:ascii="Calibri" w:hAnsi="Calibri" w:cs="Calibri"/>
          <w:bCs/>
          <w:color w:val="000000"/>
          <w:lang w:val="en-AU"/>
        </w:rPr>
        <w:instrText xml:space="preserve"> ADDIN ZOTERO_ITEM CSL_CITATION {"citationID":"vLHehQTe","properties":{"formattedCitation":"(2021)","plainCitation":"(2021)","noteIndex":0},"citationItems":[{"id":2267,"uris":["http://zotero.org/users/6396655/items/YSVPU6IU"],"itemData":{"id":2267,"type":"article-journal","container-title":"Emory Int'l L. Rev.","note":"publisher: HeinOnline","page":"177","title":"Hate Speech Laws and Blasphemy Laws: Parallels Show Problems with the UN Strategy and Plan of Action on Hate Speech","volume":"35","author":[{"family":"Fischer","given":"Meghan"}],"issued":{"date-parts":[["2021"]]}},"suppress-author":true}],"schema":"https://github.com/citation-style-language/schema/raw/master/csl-citation.json"} </w:instrText>
      </w:r>
      <w:r>
        <w:rPr>
          <w:rFonts w:ascii="Calibri" w:hAnsi="Calibri" w:cs="Calibri"/>
          <w:bCs/>
          <w:color w:val="000000"/>
          <w:lang w:val="en-AU"/>
        </w:rPr>
        <w:fldChar w:fldCharType="separate"/>
      </w:r>
      <w:r w:rsidR="00114F7F">
        <w:rPr>
          <w:rFonts w:ascii="Calibri" w:hAnsi="Calibri" w:cs="Calibri"/>
          <w:bCs/>
          <w:noProof/>
          <w:color w:val="000000"/>
          <w:lang w:val="en-AU"/>
        </w:rPr>
        <w:t>(2021)</w:t>
      </w:r>
      <w:r>
        <w:rPr>
          <w:rFonts w:ascii="Calibri" w:hAnsi="Calibri" w:cs="Calibri"/>
          <w:bCs/>
          <w:color w:val="000000"/>
          <w:lang w:val="en-AU"/>
        </w:rPr>
        <w:fldChar w:fldCharType="end"/>
      </w:r>
      <w:r w:rsidRPr="00782315">
        <w:rPr>
          <w:rFonts w:ascii="Calibri" w:hAnsi="Calibri" w:cs="Calibri"/>
          <w:bCs/>
          <w:color w:val="000000"/>
          <w:lang w:val="en-AU"/>
        </w:rPr>
        <w:t xml:space="preserve"> stated that out of the 164 observations of anti-blasphemy law enforcement in different countries in 2020, 76 of them were accompanied by mass mobilization activities, threats of violence, and actual violence. Vigilante justice, also known as </w:t>
      </w:r>
      <w:r w:rsidRPr="00F92891">
        <w:rPr>
          <w:rFonts w:ascii="Calibri" w:hAnsi="Calibri" w:cs="Calibri"/>
          <w:bCs/>
          <w:i/>
          <w:iCs/>
          <w:color w:val="000000"/>
          <w:lang w:val="en-AU"/>
        </w:rPr>
        <w:t xml:space="preserve">Main Hakim </w:t>
      </w:r>
      <w:proofErr w:type="spellStart"/>
      <w:r w:rsidRPr="00F92891">
        <w:rPr>
          <w:rFonts w:ascii="Calibri" w:hAnsi="Calibri" w:cs="Calibri"/>
          <w:bCs/>
          <w:i/>
          <w:iCs/>
          <w:color w:val="000000"/>
          <w:lang w:val="en-AU"/>
        </w:rPr>
        <w:t>Sendiri</w:t>
      </w:r>
      <w:proofErr w:type="spellEnd"/>
      <w:r w:rsidRPr="00782315">
        <w:rPr>
          <w:rFonts w:ascii="Calibri" w:hAnsi="Calibri" w:cs="Calibri"/>
          <w:bCs/>
          <w:color w:val="000000"/>
          <w:lang w:val="en-AU"/>
        </w:rPr>
        <w:t xml:space="preserve"> in Indonesia, is generally considered illegal and occurs spontaneously as a result of public anger over criminal offenses or immoral behaviour that is caught red-handed. </w:t>
      </w:r>
      <w:r w:rsidR="002A7B3F" w:rsidRPr="002A7B3F">
        <w:rPr>
          <w:rFonts w:ascii="Calibri" w:hAnsi="Calibri" w:cs="Calibri"/>
          <w:bCs/>
          <w:i/>
          <w:iCs/>
          <w:color w:val="000000"/>
          <w:lang w:val="en-AU"/>
        </w:rPr>
        <w:t xml:space="preserve">Main Hakim </w:t>
      </w:r>
      <w:proofErr w:type="spellStart"/>
      <w:r w:rsidR="002A7B3F" w:rsidRPr="002A7B3F">
        <w:rPr>
          <w:rFonts w:ascii="Calibri" w:hAnsi="Calibri" w:cs="Calibri"/>
          <w:bCs/>
          <w:i/>
          <w:iCs/>
          <w:color w:val="000000"/>
          <w:lang w:val="en-AU"/>
        </w:rPr>
        <w:t>Sendiri</w:t>
      </w:r>
      <w:proofErr w:type="spellEnd"/>
      <w:r w:rsidR="002A7B3F" w:rsidRPr="0001558F">
        <w:rPr>
          <w:rFonts w:ascii="Calibri" w:hAnsi="Calibri" w:cs="Calibri"/>
          <w:bCs/>
          <w:color w:val="000000"/>
          <w:lang w:val="en-AU"/>
        </w:rPr>
        <w:t xml:space="preserve"> is typically described as the act of trying to convict an accused individual without proper legal proceedings or taking justice into one's own hands. Alternatively, </w:t>
      </w:r>
      <w:r w:rsidR="002A7B3F" w:rsidRPr="002A7B3F">
        <w:rPr>
          <w:rFonts w:ascii="Calibri" w:hAnsi="Calibri" w:cs="Calibri"/>
          <w:bCs/>
          <w:i/>
          <w:iCs/>
          <w:color w:val="000000"/>
          <w:lang w:val="en-AU"/>
        </w:rPr>
        <w:t xml:space="preserve">Main Hakim </w:t>
      </w:r>
      <w:proofErr w:type="spellStart"/>
      <w:r w:rsidR="002A7B3F" w:rsidRPr="002A7B3F">
        <w:rPr>
          <w:rFonts w:ascii="Calibri" w:hAnsi="Calibri" w:cs="Calibri"/>
          <w:bCs/>
          <w:i/>
          <w:iCs/>
          <w:color w:val="000000"/>
          <w:lang w:val="en-AU"/>
        </w:rPr>
        <w:t>Sendiri</w:t>
      </w:r>
      <w:proofErr w:type="spellEnd"/>
      <w:r w:rsidR="002A7B3F" w:rsidRPr="0001558F">
        <w:rPr>
          <w:rFonts w:ascii="Calibri" w:hAnsi="Calibri" w:cs="Calibri"/>
          <w:bCs/>
          <w:color w:val="000000"/>
          <w:lang w:val="en-AU"/>
        </w:rPr>
        <w:t xml:space="preserve"> can also be seen as arbitrary acts of power or vigilante justice without the consent of the affected parties, as per Manan's interpretation</w:t>
      </w:r>
      <w:r w:rsidR="002A7B3F">
        <w:rPr>
          <w:rFonts w:ascii="Calibri" w:hAnsi="Calibri" w:cs="Calibri"/>
          <w:bCs/>
          <w:color w:val="000000"/>
          <w:lang w:val="en-AU"/>
        </w:rPr>
        <w:t xml:space="preserve"> </w:t>
      </w:r>
      <w:r w:rsidR="002A7B3F">
        <w:rPr>
          <w:rFonts w:ascii="Calibri" w:hAnsi="Calibri" w:cs="Calibri"/>
          <w:bCs/>
          <w:color w:val="000000"/>
          <w:lang w:val="en-AU"/>
        </w:rPr>
        <w:fldChar w:fldCharType="begin"/>
      </w:r>
      <w:r w:rsidR="002A7B3F">
        <w:rPr>
          <w:rFonts w:ascii="Calibri" w:hAnsi="Calibri" w:cs="Calibri"/>
          <w:bCs/>
          <w:color w:val="000000"/>
          <w:lang w:val="en-AU"/>
        </w:rPr>
        <w:instrText xml:space="preserve"> ADDIN ZOTERO_ITEM CSL_CITATION {"citationID":"T5YX3moI","properties":{"formattedCitation":"(Manan, 2013)","plainCitation":"(Manan, 2013)","noteIndex":0},"citationItems":[{"id":2268,"uris":["http://zotero.org/users/6396655/items/2ARDJ2HW"],"itemData":{"id":2268,"type":"article-journal","container-title":"Jurnal Hukum dan Peradilan","issue":"2","page":"189–202","title":"Penemuan Hukum Oleh Hakim Dalam Praktek Hukum Acara Di Peradilan Agama","volume":"2","author":[{"family":"Manan","given":"Abdul"}],"issued":{"date-parts":[["2013"]]}}}],"schema":"https://github.com/citation-style-language/schema/raw/master/csl-citation.json"} </w:instrText>
      </w:r>
      <w:r w:rsidR="002A7B3F">
        <w:rPr>
          <w:rFonts w:ascii="Calibri" w:hAnsi="Calibri" w:cs="Calibri"/>
          <w:bCs/>
          <w:color w:val="000000"/>
          <w:lang w:val="en-AU"/>
        </w:rPr>
        <w:fldChar w:fldCharType="separate"/>
      </w:r>
      <w:r w:rsidR="002A7B3F">
        <w:rPr>
          <w:rFonts w:ascii="Calibri" w:hAnsi="Calibri" w:cs="Calibri"/>
          <w:bCs/>
          <w:noProof/>
          <w:color w:val="000000"/>
          <w:lang w:val="en-AU"/>
        </w:rPr>
        <w:t>(Manan, 2013)</w:t>
      </w:r>
      <w:r w:rsidR="002A7B3F">
        <w:rPr>
          <w:rFonts w:ascii="Calibri" w:hAnsi="Calibri" w:cs="Calibri"/>
          <w:bCs/>
          <w:color w:val="000000"/>
          <w:lang w:val="en-AU"/>
        </w:rPr>
        <w:fldChar w:fldCharType="end"/>
      </w:r>
      <w:r w:rsidR="002A7B3F" w:rsidRPr="0001558F">
        <w:rPr>
          <w:rFonts w:ascii="Calibri" w:hAnsi="Calibri" w:cs="Calibri"/>
          <w:bCs/>
          <w:color w:val="000000"/>
          <w:lang w:val="en-AU"/>
        </w:rPr>
        <w:t xml:space="preserve">. In essence, </w:t>
      </w:r>
      <w:r w:rsidR="002A7B3F" w:rsidRPr="002A7B3F">
        <w:rPr>
          <w:rFonts w:ascii="Calibri" w:hAnsi="Calibri" w:cs="Calibri"/>
          <w:bCs/>
          <w:i/>
          <w:iCs/>
          <w:color w:val="000000"/>
          <w:lang w:val="en-AU"/>
        </w:rPr>
        <w:t xml:space="preserve">Main Hakim </w:t>
      </w:r>
      <w:proofErr w:type="spellStart"/>
      <w:r w:rsidR="002A7B3F" w:rsidRPr="002A7B3F">
        <w:rPr>
          <w:rFonts w:ascii="Calibri" w:hAnsi="Calibri" w:cs="Calibri"/>
          <w:bCs/>
          <w:i/>
          <w:iCs/>
          <w:color w:val="000000"/>
          <w:lang w:val="en-AU"/>
        </w:rPr>
        <w:t>Sendiri</w:t>
      </w:r>
      <w:proofErr w:type="spellEnd"/>
      <w:r w:rsidR="002A7B3F" w:rsidRPr="0001558F">
        <w:rPr>
          <w:rFonts w:ascii="Calibri" w:hAnsi="Calibri" w:cs="Calibri"/>
          <w:bCs/>
          <w:color w:val="000000"/>
          <w:lang w:val="en-AU"/>
        </w:rPr>
        <w:t xml:space="preserve"> characterizes the execution of sanctions by individuals. Additionally, Indonesia is currently experiencing an increasing trend of religious intolerance</w:t>
      </w:r>
      <w:r w:rsidR="002A7B3F">
        <w:rPr>
          <w:rFonts w:ascii="Calibri" w:hAnsi="Calibri" w:cs="Calibri"/>
          <w:bCs/>
          <w:color w:val="000000"/>
          <w:lang w:val="en-AU"/>
        </w:rPr>
        <w:t xml:space="preserve"> </w:t>
      </w:r>
      <w:r w:rsidR="002A7B3F">
        <w:rPr>
          <w:rFonts w:ascii="Calibri" w:hAnsi="Calibri" w:cs="Calibri"/>
          <w:bCs/>
          <w:color w:val="000000"/>
          <w:lang w:val="en-AU"/>
        </w:rPr>
        <w:fldChar w:fldCharType="begin"/>
      </w:r>
      <w:r w:rsidR="002A7B3F">
        <w:rPr>
          <w:rFonts w:ascii="Calibri" w:hAnsi="Calibri" w:cs="Calibri"/>
          <w:bCs/>
          <w:color w:val="000000"/>
          <w:lang w:val="en-AU"/>
        </w:rPr>
        <w:instrText xml:space="preserve"> ADDIN ZOTERO_ITEM CSL_CITATION {"citationID":"2pvE6yvM","properties":{"formattedCitation":"(Sebastian &amp; Arifianto, 2020)","plainCitation":"(Sebastian &amp; Arifianto, 2020)","noteIndex":0},"citationItems":[{"id":2278,"uris":["http://zotero.org/users/6396655/items/2V4ZH9CF"],"itemData":{"id":2278,"type":"article-journal","container-title":"TRaNS: Trans -Regional and -National Studies of Southeast Asia","DOI":"10.1017/trn.2020.1","ISSN":"2051-364X, 2051-3658","issue":"1","journalAbbreviation":"TRaNS","language":"en","page":"1-5","source":"DOI.org (Crossref)","title":"TRaNS special section on “Growing Religious Intolerance in Indonesia”","volume":"8","author":[{"family":"Sebastian","given":"Leonard C."},{"family":"Arifianto","given":"Alexander R."}],"issued":{"date-parts":[["2020",5]]}}}],"schema":"https://github.com/citation-style-language/schema/raw/master/csl-citation.json"} </w:instrText>
      </w:r>
      <w:r w:rsidR="002A7B3F">
        <w:rPr>
          <w:rFonts w:ascii="Calibri" w:hAnsi="Calibri" w:cs="Calibri"/>
          <w:bCs/>
          <w:color w:val="000000"/>
          <w:lang w:val="en-AU"/>
        </w:rPr>
        <w:fldChar w:fldCharType="separate"/>
      </w:r>
      <w:r w:rsidR="002A7B3F">
        <w:rPr>
          <w:rFonts w:ascii="Calibri" w:hAnsi="Calibri" w:cs="Calibri"/>
          <w:bCs/>
          <w:noProof/>
          <w:color w:val="000000"/>
          <w:lang w:val="en-AU"/>
        </w:rPr>
        <w:t>(Sebastian &amp; Arifianto, 2020)</w:t>
      </w:r>
      <w:r w:rsidR="002A7B3F">
        <w:rPr>
          <w:rFonts w:ascii="Calibri" w:hAnsi="Calibri" w:cs="Calibri"/>
          <w:bCs/>
          <w:color w:val="000000"/>
          <w:lang w:val="en-AU"/>
        </w:rPr>
        <w:fldChar w:fldCharType="end"/>
      </w:r>
      <w:r w:rsidR="002A7B3F" w:rsidRPr="0001558F">
        <w:rPr>
          <w:rFonts w:ascii="Calibri" w:hAnsi="Calibri" w:cs="Calibri"/>
          <w:bCs/>
          <w:color w:val="000000"/>
          <w:lang w:val="en-AU"/>
        </w:rPr>
        <w:t>.</w:t>
      </w:r>
      <w:r w:rsidR="002A7B3F">
        <w:rPr>
          <w:rFonts w:ascii="Calibri" w:hAnsi="Calibri" w:cs="Calibri"/>
          <w:bCs/>
          <w:color w:val="000000"/>
          <w:lang w:val="en-AU"/>
        </w:rPr>
        <w:t xml:space="preserve"> </w:t>
      </w:r>
      <w:r w:rsidRPr="00782315">
        <w:rPr>
          <w:rFonts w:ascii="Calibri" w:hAnsi="Calibri" w:cs="Calibri"/>
          <w:bCs/>
          <w:color w:val="000000"/>
          <w:lang w:val="en-AU"/>
        </w:rPr>
        <w:t xml:space="preserve">However, in cases of blasphemy, </w:t>
      </w:r>
      <w:r w:rsidRPr="00F92891">
        <w:rPr>
          <w:rFonts w:ascii="Calibri" w:hAnsi="Calibri" w:cs="Calibri"/>
          <w:bCs/>
          <w:i/>
          <w:iCs/>
          <w:color w:val="000000"/>
          <w:lang w:val="en-AU"/>
        </w:rPr>
        <w:t xml:space="preserve">Main Hakim </w:t>
      </w:r>
      <w:proofErr w:type="spellStart"/>
      <w:r w:rsidRPr="00F92891">
        <w:rPr>
          <w:rFonts w:ascii="Calibri" w:hAnsi="Calibri" w:cs="Calibri"/>
          <w:bCs/>
          <w:i/>
          <w:iCs/>
          <w:color w:val="000000"/>
          <w:lang w:val="en-AU"/>
        </w:rPr>
        <w:t>Sendiri</w:t>
      </w:r>
      <w:proofErr w:type="spellEnd"/>
      <w:r w:rsidRPr="00782315">
        <w:rPr>
          <w:rFonts w:ascii="Calibri" w:hAnsi="Calibri" w:cs="Calibri"/>
          <w:bCs/>
          <w:color w:val="000000"/>
          <w:lang w:val="en-AU"/>
        </w:rPr>
        <w:t xml:space="preserve"> has shifted from spontaneous action to more structured and even state-sponsored actions. </w:t>
      </w:r>
      <w:r>
        <w:rPr>
          <w:rFonts w:ascii="Calibri" w:hAnsi="Calibri" w:cs="Calibri"/>
          <w:bCs/>
          <w:color w:val="000000"/>
          <w:lang w:val="en-AU"/>
        </w:rPr>
        <w:fldChar w:fldCharType="begin"/>
      </w:r>
      <w:r w:rsidR="004C3F05">
        <w:rPr>
          <w:rFonts w:ascii="Calibri" w:hAnsi="Calibri" w:cs="Calibri"/>
          <w:bCs/>
          <w:color w:val="000000"/>
          <w:lang w:val="en-AU"/>
        </w:rPr>
        <w:instrText xml:space="preserve"> ADDIN ZOTERO_ITEM CSL_CITATION {"citationID":"aZYOOTEh","properties":{"formattedCitation":"(Pratiwi &amp; Sunaryo, 2021)","plainCitation":"(Pratiwi &amp; Sunaryo, 2021)","dontUpdate":true,"noteIndex":0},"citationItems":[{"id":1906,"uris":["http://zotero.org/users/6396655/items/LRV9W25J"],"itemData":{"id":1906,"type":"article-journal","container-title":"Muslim World Journal of Human Rights","DOI":"10.1515/mwjhr-2020-0019","issue":"1","page":"133-165","title":"Blasphemy law as a structural violence: A challenge for maintaining sustainable peace","volume":"18","author":[{"family":"Pratiwi","given":"Cekli Setya"},{"family":"Sunaryo","given":"Sidik"}],"issued":{"date-parts":[["2021"]]}}}],"schema":"https://github.com/citation-style-language/schema/raw/master/csl-citation.json"} </w:instrText>
      </w:r>
      <w:r>
        <w:rPr>
          <w:rFonts w:ascii="Calibri" w:hAnsi="Calibri" w:cs="Calibri"/>
          <w:bCs/>
          <w:color w:val="000000"/>
          <w:lang w:val="en-AU"/>
        </w:rPr>
        <w:fldChar w:fldCharType="separate"/>
      </w:r>
      <w:r>
        <w:rPr>
          <w:rFonts w:ascii="Calibri" w:hAnsi="Calibri" w:cs="Calibri"/>
          <w:bCs/>
          <w:noProof/>
          <w:color w:val="000000"/>
          <w:lang w:val="en-AU"/>
        </w:rPr>
        <w:t>Pratiwi &amp; Sunaryo, (2021)</w:t>
      </w:r>
      <w:r>
        <w:rPr>
          <w:rFonts w:ascii="Calibri" w:hAnsi="Calibri" w:cs="Calibri"/>
          <w:bCs/>
          <w:color w:val="000000"/>
          <w:lang w:val="en-AU"/>
        </w:rPr>
        <w:fldChar w:fldCharType="end"/>
      </w:r>
      <w:r w:rsidRPr="00782315">
        <w:rPr>
          <w:rFonts w:ascii="Calibri" w:hAnsi="Calibri" w:cs="Calibri"/>
          <w:bCs/>
          <w:color w:val="000000"/>
          <w:lang w:val="en-AU"/>
        </w:rPr>
        <w:t xml:space="preserve"> contend that vigilante violence surrounding accusations of blasphemy in countries like Pakistan, Malaysia, and Indonesia cannot be separated from structural violence created by the states through discriminatory laws such as anti-blasphemy laws.</w:t>
      </w:r>
      <w:r w:rsidR="002A7B3F">
        <w:rPr>
          <w:rFonts w:ascii="Calibri" w:hAnsi="Calibri" w:cs="Calibri"/>
          <w:bCs/>
          <w:color w:val="000000"/>
          <w:lang w:val="en-AU"/>
        </w:rPr>
        <w:t xml:space="preserve"> </w:t>
      </w:r>
    </w:p>
    <w:p w14:paraId="780010F3" w14:textId="4FE3ABCC" w:rsidR="00782315" w:rsidRDefault="00782315" w:rsidP="00315563">
      <w:pPr>
        <w:ind w:firstLine="720"/>
        <w:jc w:val="both"/>
        <w:rPr>
          <w:rFonts w:ascii="Calibri" w:hAnsi="Calibri" w:cs="Calibri"/>
          <w:bCs/>
          <w:color w:val="000000"/>
          <w:lang w:val="en-AU"/>
        </w:rPr>
      </w:pPr>
      <w:r w:rsidRPr="00782315">
        <w:rPr>
          <w:rFonts w:ascii="Calibri" w:hAnsi="Calibri" w:cs="Calibri"/>
          <w:bCs/>
          <w:color w:val="000000"/>
          <w:lang w:val="en-AU"/>
        </w:rPr>
        <w:t>The court serves as the final option for those seeking justice. Therefore, it is crucial that the court acts professionally in enforcing the law and treats every individual equally. A person suspected of a crime must be considered innocent until proven guilty by the judge. Therefore, every defendant has the right to defend themselves and present evidence that could prove their innocence. In cases of criminal offenses, the element of intention is vital; a person must be acquitted of any suspicion in the absence of intent. Having said that, in practice, the determination of blasphemy actions is ultimately based on various considerations by judges and factors outside of the court.</w:t>
      </w:r>
    </w:p>
    <w:p w14:paraId="709242A3" w14:textId="77777777" w:rsidR="007F7F59" w:rsidRDefault="007F7F59" w:rsidP="007F7F59">
      <w:pPr>
        <w:jc w:val="both"/>
        <w:rPr>
          <w:rFonts w:ascii="Calibri" w:hAnsi="Calibri" w:cs="Calibri"/>
          <w:bCs/>
          <w:color w:val="000000"/>
          <w:lang w:val="en-AU"/>
        </w:rPr>
      </w:pPr>
    </w:p>
    <w:p w14:paraId="35920D51" w14:textId="623FBA93" w:rsidR="008E2FF3" w:rsidRDefault="003F72EC" w:rsidP="00940329">
      <w:pPr>
        <w:ind w:firstLine="0"/>
        <w:jc w:val="both"/>
        <w:rPr>
          <w:rFonts w:ascii="Calibri" w:hAnsi="Calibri" w:cs="Calibri"/>
          <w:b/>
          <w:color w:val="000000"/>
          <w:lang w:val="en-AU"/>
        </w:rPr>
      </w:pPr>
      <w:r w:rsidRPr="003F72EC">
        <w:rPr>
          <w:rFonts w:ascii="Calibri" w:hAnsi="Calibri" w:cs="Calibri"/>
          <w:b/>
          <w:color w:val="000000"/>
          <w:lang w:val="en-AU"/>
        </w:rPr>
        <w:t>RESULT, DISCUSSION AND ANALYS</w:t>
      </w:r>
      <w:r w:rsidR="00825AE8">
        <w:rPr>
          <w:rFonts w:ascii="Calibri" w:hAnsi="Calibri" w:cs="Calibri"/>
          <w:b/>
          <w:color w:val="000000"/>
          <w:lang w:val="en-AU"/>
        </w:rPr>
        <w:t>IS</w:t>
      </w:r>
    </w:p>
    <w:p w14:paraId="61E8901A" w14:textId="01F8A4B8" w:rsidR="007F7F59" w:rsidRDefault="00FB5444" w:rsidP="00940329">
      <w:pPr>
        <w:ind w:firstLine="0"/>
        <w:jc w:val="both"/>
        <w:rPr>
          <w:rFonts w:ascii="Calibri" w:hAnsi="Calibri" w:cs="Calibri"/>
          <w:b/>
          <w:color w:val="000000"/>
          <w:lang w:val="en-AU"/>
        </w:rPr>
      </w:pPr>
      <w:r>
        <w:rPr>
          <w:rFonts w:ascii="Calibri" w:hAnsi="Calibri" w:cs="Calibri"/>
          <w:b/>
          <w:color w:val="000000"/>
          <w:lang w:val="en-AU"/>
        </w:rPr>
        <w:t xml:space="preserve">Vigilante Justice </w:t>
      </w:r>
      <w:r w:rsidR="00623356">
        <w:rPr>
          <w:rFonts w:ascii="Calibri" w:hAnsi="Calibri" w:cs="Calibri"/>
          <w:b/>
          <w:color w:val="000000"/>
          <w:lang w:val="en-AU"/>
        </w:rPr>
        <w:t>o</w:t>
      </w:r>
      <w:r>
        <w:rPr>
          <w:rFonts w:ascii="Calibri" w:hAnsi="Calibri" w:cs="Calibri"/>
          <w:b/>
          <w:color w:val="000000"/>
          <w:lang w:val="en-AU"/>
        </w:rPr>
        <w:t>n Blasphemy Cases</w:t>
      </w:r>
      <w:r w:rsidR="00940329">
        <w:rPr>
          <w:rFonts w:ascii="Calibri" w:hAnsi="Calibri" w:cs="Calibri"/>
          <w:b/>
          <w:color w:val="000000"/>
          <w:lang w:val="en-AU"/>
        </w:rPr>
        <w:t xml:space="preserve"> triggered by Islamic Populism</w:t>
      </w:r>
    </w:p>
    <w:p w14:paraId="4A00CB76" w14:textId="2942FD75" w:rsidR="00D940A0" w:rsidRDefault="00D940A0" w:rsidP="0061607F">
      <w:pPr>
        <w:ind w:firstLine="0"/>
        <w:jc w:val="both"/>
        <w:rPr>
          <w:rFonts w:ascii="Calibri" w:hAnsi="Calibri" w:cs="Calibri"/>
          <w:bCs/>
          <w:color w:val="000000"/>
          <w:lang w:val="en-AU"/>
        </w:rPr>
      </w:pPr>
      <w:r w:rsidRPr="00D940A0">
        <w:rPr>
          <w:rFonts w:ascii="Calibri" w:hAnsi="Calibri" w:cs="Calibri"/>
          <w:bCs/>
          <w:color w:val="000000"/>
          <w:lang w:val="en-AU"/>
        </w:rPr>
        <w:t xml:space="preserve">The practice of vigilante justice, or "Main Hakim </w:t>
      </w:r>
      <w:proofErr w:type="spellStart"/>
      <w:r w:rsidRPr="00D940A0">
        <w:rPr>
          <w:rFonts w:ascii="Calibri" w:hAnsi="Calibri" w:cs="Calibri"/>
          <w:bCs/>
          <w:color w:val="000000"/>
          <w:lang w:val="en-AU"/>
        </w:rPr>
        <w:t>Sendiri</w:t>
      </w:r>
      <w:proofErr w:type="spellEnd"/>
      <w:r w:rsidRPr="00D940A0">
        <w:rPr>
          <w:rFonts w:ascii="Calibri" w:hAnsi="Calibri" w:cs="Calibri"/>
          <w:bCs/>
          <w:color w:val="000000"/>
          <w:lang w:val="en-AU"/>
        </w:rPr>
        <w:t>," against religious minorities is widespread, especially during the enforcement of the Anti-Blasphemy Law. Referring to the Hate Spin Theory proposed by Josh Cherian, the increase of vigilantism is influenced by the hate spin strategy carried out by hardcore Islamic groups, where perpetrators carry out their actions after being motivated by hateful speeches from influential figures within their group, while the victims come from minority groups</w:t>
      </w:r>
      <w:r w:rsidR="004C3F05">
        <w:rPr>
          <w:rFonts w:ascii="Calibri" w:hAnsi="Calibri" w:cs="Calibri"/>
          <w:bCs/>
          <w:color w:val="000000"/>
          <w:lang w:val="en-AU"/>
        </w:rPr>
        <w:t xml:space="preserve"> </w:t>
      </w:r>
      <w:r w:rsidR="004C3F05">
        <w:rPr>
          <w:rFonts w:ascii="Calibri" w:hAnsi="Calibri" w:cs="Calibri"/>
          <w:bCs/>
          <w:color w:val="000000"/>
          <w:lang w:val="en-AU"/>
        </w:rPr>
        <w:fldChar w:fldCharType="begin"/>
      </w:r>
      <w:r w:rsidR="004C3F05">
        <w:rPr>
          <w:rFonts w:ascii="Calibri" w:hAnsi="Calibri" w:cs="Calibri"/>
          <w:bCs/>
          <w:color w:val="000000"/>
          <w:lang w:val="en-AU"/>
        </w:rPr>
        <w:instrText xml:space="preserve"> ADDIN ZOTERO_ITEM CSL_CITATION {"citationID":"ZVPSdN3p","properties":{"formattedCitation":"(George, 2017)","plainCitation":"(George, 2017)","noteIndex":0},"citationItems":[{"id":2277,"uris":["http://zotero.org/users/6396655/items/YSQNWZ66"],"itemData":{"id":2277,"type":"article-journal","container-title":"Communication Theory","issue":"2","note":"publisher: Oxford University Press","page":"156–175","title":"Hate spin: The twin political strategies of religious incitement and offense-taking","volume":"27","author":[{"family":"George","given":"Cherian"}],"issued":{"date-parts":[["2017"]]}}}],"schema":"https://github.com/citation-style-language/schema/raw/master/csl-citation.json"} </w:instrText>
      </w:r>
      <w:r w:rsidR="004C3F05">
        <w:rPr>
          <w:rFonts w:ascii="Calibri" w:hAnsi="Calibri" w:cs="Calibri"/>
          <w:bCs/>
          <w:color w:val="000000"/>
          <w:lang w:val="en-AU"/>
        </w:rPr>
        <w:fldChar w:fldCharType="separate"/>
      </w:r>
      <w:r w:rsidR="00114F7F">
        <w:rPr>
          <w:rFonts w:ascii="Calibri" w:hAnsi="Calibri" w:cs="Calibri"/>
          <w:bCs/>
          <w:noProof/>
          <w:color w:val="000000"/>
          <w:lang w:val="en-AU"/>
        </w:rPr>
        <w:t>(George, 2017)</w:t>
      </w:r>
      <w:r w:rsidR="004C3F05">
        <w:rPr>
          <w:rFonts w:ascii="Calibri" w:hAnsi="Calibri" w:cs="Calibri"/>
          <w:bCs/>
          <w:color w:val="000000"/>
          <w:lang w:val="en-AU"/>
        </w:rPr>
        <w:fldChar w:fldCharType="end"/>
      </w:r>
      <w:r w:rsidRPr="00D940A0">
        <w:rPr>
          <w:rFonts w:ascii="Calibri" w:hAnsi="Calibri" w:cs="Calibri"/>
          <w:bCs/>
          <w:color w:val="000000"/>
          <w:lang w:val="en-AU"/>
        </w:rPr>
        <w:t xml:space="preserve">. One prominent minority group that has experienced acts of vigilantism is Ahmadiyya, which is a legally recognized entity in Indonesia established by the Indonesian Islamic Community and approved by the Ministry of Law in 1953. In 2017, a new case emerged in which five members of the </w:t>
      </w:r>
      <w:proofErr w:type="spellStart"/>
      <w:r w:rsidRPr="00D940A0">
        <w:rPr>
          <w:rFonts w:ascii="Calibri" w:hAnsi="Calibri" w:cs="Calibri"/>
          <w:bCs/>
          <w:color w:val="000000"/>
          <w:lang w:val="en-AU"/>
        </w:rPr>
        <w:t>Fajar</w:t>
      </w:r>
      <w:proofErr w:type="spellEnd"/>
      <w:r w:rsidRPr="00D940A0">
        <w:rPr>
          <w:rFonts w:ascii="Calibri" w:hAnsi="Calibri" w:cs="Calibri"/>
          <w:bCs/>
          <w:color w:val="000000"/>
          <w:lang w:val="en-AU"/>
        </w:rPr>
        <w:t xml:space="preserve"> Nusantara Movement (Gafatar) were accused of using their organization to promote the heretical teachings of </w:t>
      </w:r>
      <w:proofErr w:type="spellStart"/>
      <w:r w:rsidRPr="00D940A0">
        <w:rPr>
          <w:rFonts w:ascii="Calibri" w:hAnsi="Calibri" w:cs="Calibri"/>
          <w:bCs/>
          <w:color w:val="000000"/>
          <w:lang w:val="en-AU"/>
        </w:rPr>
        <w:t>Ajaran</w:t>
      </w:r>
      <w:proofErr w:type="spellEnd"/>
      <w:r w:rsidRPr="00D940A0">
        <w:rPr>
          <w:rFonts w:ascii="Calibri" w:hAnsi="Calibri" w:cs="Calibri"/>
          <w:bCs/>
          <w:color w:val="000000"/>
          <w:lang w:val="en-AU"/>
        </w:rPr>
        <w:t xml:space="preserve"> </w:t>
      </w:r>
      <w:proofErr w:type="spellStart"/>
      <w:r w:rsidRPr="00D940A0">
        <w:rPr>
          <w:rFonts w:ascii="Calibri" w:hAnsi="Calibri" w:cs="Calibri"/>
          <w:bCs/>
          <w:color w:val="000000"/>
          <w:lang w:val="en-AU"/>
        </w:rPr>
        <w:t>Millah</w:t>
      </w:r>
      <w:proofErr w:type="spellEnd"/>
      <w:r w:rsidRPr="00D940A0">
        <w:rPr>
          <w:rFonts w:ascii="Calibri" w:hAnsi="Calibri" w:cs="Calibri"/>
          <w:bCs/>
          <w:color w:val="000000"/>
          <w:lang w:val="en-AU"/>
        </w:rPr>
        <w:t xml:space="preserve"> Abraham and were subsequently criminalized.</w:t>
      </w:r>
      <w:r w:rsidR="00CB24C5" w:rsidRPr="00B1578E">
        <w:rPr>
          <w:rFonts w:ascii="Calibri" w:hAnsi="Calibri" w:cs="Calibri"/>
          <w:bCs/>
          <w:color w:val="000000"/>
          <w:lang w:val="en-AU"/>
        </w:rPr>
        <w:t xml:space="preserve"> </w:t>
      </w:r>
    </w:p>
    <w:p w14:paraId="73BE2465" w14:textId="78183703" w:rsidR="003A0551" w:rsidRDefault="00D940A0" w:rsidP="005E0240">
      <w:pPr>
        <w:ind w:firstLine="720"/>
        <w:jc w:val="both"/>
        <w:rPr>
          <w:rFonts w:ascii="Calibri" w:hAnsi="Calibri" w:cs="Calibri"/>
          <w:bCs/>
          <w:color w:val="000000"/>
          <w:lang w:val="en-AU"/>
        </w:rPr>
      </w:pPr>
      <w:r w:rsidRPr="00D940A0">
        <w:rPr>
          <w:rFonts w:ascii="Calibri" w:hAnsi="Calibri" w:cs="Calibri"/>
          <w:bCs/>
          <w:color w:val="000000"/>
          <w:lang w:val="en-AU"/>
        </w:rPr>
        <w:t>According to SETARA Institute's records, persecution against minorities in Indonesia takes various forms. One of the most frequent occurrences is the disturbance of places of worship. Such disturbances include the rejection of building a place of worship, disruptions during the construction of a place of worship, sealing off places of worship, disruptions during worship at places of worship, destruction of places of worship, and attacks on individuals in places of worship/places of worship carried out by non-state and/or state actors</w:t>
      </w:r>
      <w:r w:rsidR="001105AF">
        <w:rPr>
          <w:rFonts w:ascii="Calibri" w:hAnsi="Calibri" w:cs="Calibri"/>
          <w:bCs/>
          <w:color w:val="000000"/>
          <w:lang w:val="en-AU"/>
        </w:rPr>
        <w:t xml:space="preserve"> </w:t>
      </w:r>
      <w:r w:rsidR="001105AF">
        <w:rPr>
          <w:rFonts w:ascii="Calibri" w:hAnsi="Calibri" w:cs="Calibri"/>
          <w:bCs/>
          <w:color w:val="000000"/>
          <w:lang w:val="en-AU"/>
        </w:rPr>
        <w:fldChar w:fldCharType="begin"/>
      </w:r>
      <w:r w:rsidR="001105AF">
        <w:rPr>
          <w:rFonts w:ascii="Calibri" w:hAnsi="Calibri" w:cs="Calibri"/>
          <w:bCs/>
          <w:color w:val="000000"/>
          <w:lang w:val="en-AU"/>
        </w:rPr>
        <w:instrText xml:space="preserve"> ADDIN ZOTERO_ITEM CSL_CITATION {"citationID":"LKBafPsX","properties":{"formattedCitation":"(SETARA Institute, 2022)","plainCitation":"(SETARA Institute, 2022)","noteIndex":0},"citationItems":[{"id":2279,"uris":["http://zotero.org/users/6396655/items/I9B38J8U"],"itemData":{"id":2279,"type":"webpage","title":"Mengatasi intoleransi dalam tata kebinekaan indonesia: update dan rekomendasi terkait peribadatan","URL":"https://setara-institute.org/mengatasi-intoleransi-dalam-tata-kebinekaan-indonesia-update-dan-rekomendasi-terkait-peribadatan/","author":[{"literal":"SETARA Institute"}],"issued":{"date-parts":[["2022",11]]}}}],"schema":"https://github.com/citation-style-language/schema/raw/master/csl-citation.json"} </w:instrText>
      </w:r>
      <w:r w:rsidR="001105AF">
        <w:rPr>
          <w:rFonts w:ascii="Calibri" w:hAnsi="Calibri" w:cs="Calibri"/>
          <w:bCs/>
          <w:color w:val="000000"/>
          <w:lang w:val="en-AU"/>
        </w:rPr>
        <w:fldChar w:fldCharType="separate"/>
      </w:r>
      <w:r w:rsidR="001105AF">
        <w:rPr>
          <w:rFonts w:ascii="Calibri" w:hAnsi="Calibri" w:cs="Calibri"/>
          <w:bCs/>
          <w:noProof/>
          <w:color w:val="000000"/>
          <w:lang w:val="en-AU"/>
        </w:rPr>
        <w:t>(SETARA Institute, 2022)</w:t>
      </w:r>
      <w:r w:rsidR="001105AF">
        <w:rPr>
          <w:rFonts w:ascii="Calibri" w:hAnsi="Calibri" w:cs="Calibri"/>
          <w:bCs/>
          <w:color w:val="000000"/>
          <w:lang w:val="en-AU"/>
        </w:rPr>
        <w:fldChar w:fldCharType="end"/>
      </w:r>
      <w:r w:rsidRPr="00D940A0">
        <w:rPr>
          <w:rFonts w:ascii="Calibri" w:hAnsi="Calibri" w:cs="Calibri"/>
          <w:bCs/>
          <w:color w:val="000000"/>
          <w:lang w:val="en-AU"/>
        </w:rPr>
        <w:t>.</w:t>
      </w:r>
      <w:r>
        <w:rPr>
          <w:rFonts w:ascii="Calibri" w:hAnsi="Calibri" w:cs="Calibri"/>
          <w:bCs/>
          <w:color w:val="000000"/>
          <w:lang w:val="en-AU"/>
        </w:rPr>
        <w:t xml:space="preserve"> </w:t>
      </w:r>
      <w:r w:rsidRPr="00D940A0">
        <w:rPr>
          <w:rFonts w:ascii="Calibri" w:hAnsi="Calibri" w:cs="Calibri"/>
          <w:bCs/>
          <w:color w:val="000000"/>
          <w:lang w:val="en-AU"/>
        </w:rPr>
        <w:t>Table 1 indicates the number of incidents of disturbances to interfaith harmony in Indonesia.</w:t>
      </w:r>
    </w:p>
    <w:p w14:paraId="38ACC9FC" w14:textId="77777777" w:rsidR="00940329" w:rsidRDefault="00940329" w:rsidP="00273B73">
      <w:pPr>
        <w:pStyle w:val="Caption"/>
        <w:keepNext/>
        <w:jc w:val="center"/>
      </w:pPr>
    </w:p>
    <w:p w14:paraId="2CA3CC39" w14:textId="4D434B4C" w:rsidR="00273B73" w:rsidRPr="00940329" w:rsidRDefault="00273B73" w:rsidP="00273B73">
      <w:pPr>
        <w:pStyle w:val="Caption"/>
        <w:keepNext/>
        <w:jc w:val="center"/>
        <w:rPr>
          <w:sz w:val="22"/>
          <w:szCs w:val="22"/>
        </w:rPr>
      </w:pPr>
      <w:r w:rsidRPr="00940329">
        <w:rPr>
          <w:sz w:val="22"/>
          <w:szCs w:val="22"/>
        </w:rPr>
        <w:t xml:space="preserve">Table </w:t>
      </w:r>
      <w:r w:rsidRPr="00940329">
        <w:rPr>
          <w:sz w:val="22"/>
          <w:szCs w:val="22"/>
        </w:rPr>
        <w:fldChar w:fldCharType="begin"/>
      </w:r>
      <w:r w:rsidRPr="00940329">
        <w:rPr>
          <w:sz w:val="22"/>
          <w:szCs w:val="22"/>
        </w:rPr>
        <w:instrText xml:space="preserve"> SEQ Table \* ARABIC </w:instrText>
      </w:r>
      <w:r w:rsidRPr="00940329">
        <w:rPr>
          <w:sz w:val="22"/>
          <w:szCs w:val="22"/>
        </w:rPr>
        <w:fldChar w:fldCharType="separate"/>
      </w:r>
      <w:r w:rsidR="00B86693">
        <w:rPr>
          <w:noProof/>
          <w:sz w:val="22"/>
          <w:szCs w:val="22"/>
        </w:rPr>
        <w:t>1</w:t>
      </w:r>
      <w:r w:rsidRPr="00940329">
        <w:rPr>
          <w:sz w:val="22"/>
          <w:szCs w:val="22"/>
        </w:rPr>
        <w:fldChar w:fldCharType="end"/>
      </w:r>
      <w:r w:rsidRPr="00940329">
        <w:rPr>
          <w:sz w:val="22"/>
          <w:szCs w:val="22"/>
        </w:rPr>
        <w:t>. Incidents Related to the Interreligious Harmony in Indonesia</w:t>
      </w:r>
      <w:r w:rsidRPr="00940329">
        <w:rPr>
          <w:rStyle w:val="FootnoteReference"/>
          <w:sz w:val="22"/>
          <w:szCs w:val="22"/>
        </w:rPr>
        <w:footnoteReference w:id="1"/>
      </w:r>
    </w:p>
    <w:tbl>
      <w:tblPr>
        <w:tblStyle w:val="GridTable2"/>
        <w:tblW w:w="0" w:type="auto"/>
        <w:tblInd w:w="1980" w:type="dxa"/>
        <w:tblLook w:val="04A0" w:firstRow="1" w:lastRow="0" w:firstColumn="1" w:lastColumn="0" w:noHBand="0" w:noVBand="1"/>
      </w:tblPr>
      <w:tblGrid>
        <w:gridCol w:w="2786"/>
        <w:gridCol w:w="3378"/>
      </w:tblGrid>
      <w:tr w:rsidR="00273B73" w14:paraId="14656485" w14:textId="77777777" w:rsidTr="00940329">
        <w:trPr>
          <w:cnfStyle w:val="100000000000" w:firstRow="1" w:lastRow="0" w:firstColumn="0" w:lastColumn="0" w:oddVBand="0" w:evenVBand="0" w:oddHBand="0"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2786" w:type="dxa"/>
          </w:tcPr>
          <w:p w14:paraId="7A45C3D2" w14:textId="53F93A52" w:rsidR="00273B73" w:rsidRDefault="00273B73" w:rsidP="00A9440F">
            <w:pPr>
              <w:jc w:val="center"/>
              <w:rPr>
                <w:rFonts w:ascii="Calibri" w:hAnsi="Calibri" w:cs="Calibri"/>
                <w:bCs w:val="0"/>
                <w:color w:val="000000"/>
                <w:lang w:val="en-AU"/>
              </w:rPr>
            </w:pPr>
            <w:r w:rsidRPr="00273B73">
              <w:rPr>
                <w:rFonts w:ascii="Calibri" w:hAnsi="Calibri" w:cs="Calibri"/>
                <w:color w:val="000000"/>
                <w:lang w:val="en-AU"/>
              </w:rPr>
              <w:t>Year</w:t>
            </w:r>
          </w:p>
        </w:tc>
        <w:tc>
          <w:tcPr>
            <w:tcW w:w="3378" w:type="dxa"/>
          </w:tcPr>
          <w:p w14:paraId="617659F1" w14:textId="3FFF7894" w:rsidR="00273B73" w:rsidRDefault="00273B73" w:rsidP="00273B73">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Cs w:val="0"/>
                <w:color w:val="000000"/>
                <w:lang w:val="en-AU"/>
              </w:rPr>
            </w:pPr>
            <w:r w:rsidRPr="00273B73">
              <w:rPr>
                <w:rFonts w:ascii="Calibri" w:hAnsi="Calibri" w:cs="Calibri"/>
                <w:color w:val="000000"/>
                <w:lang w:val="en-AU"/>
              </w:rPr>
              <w:t>Number of Incidents</w:t>
            </w:r>
          </w:p>
        </w:tc>
      </w:tr>
      <w:tr w:rsidR="00273B73" w14:paraId="2C3EBAD8" w14:textId="77777777" w:rsidTr="00940329">
        <w:trPr>
          <w:cnfStyle w:val="000000100000" w:firstRow="0" w:lastRow="0" w:firstColumn="0" w:lastColumn="0" w:oddVBand="0" w:evenVBand="0" w:oddHBand="1"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2786" w:type="dxa"/>
          </w:tcPr>
          <w:p w14:paraId="10CE005C" w14:textId="1B3F5147" w:rsidR="00273B73" w:rsidRDefault="00273B73" w:rsidP="00A9440F">
            <w:pPr>
              <w:jc w:val="center"/>
              <w:rPr>
                <w:rFonts w:ascii="Calibri" w:hAnsi="Calibri" w:cs="Calibri"/>
                <w:bCs w:val="0"/>
                <w:color w:val="000000"/>
                <w:lang w:val="en-AU"/>
              </w:rPr>
            </w:pPr>
            <w:r w:rsidRPr="00273B73">
              <w:rPr>
                <w:rFonts w:ascii="Calibri" w:hAnsi="Calibri" w:cs="Calibri"/>
                <w:color w:val="000000"/>
                <w:lang w:val="en-AU"/>
              </w:rPr>
              <w:t>2017</w:t>
            </w:r>
          </w:p>
        </w:tc>
        <w:tc>
          <w:tcPr>
            <w:tcW w:w="3378" w:type="dxa"/>
          </w:tcPr>
          <w:p w14:paraId="49F08C2F" w14:textId="2750F53E" w:rsidR="00273B73" w:rsidRDefault="00273B73" w:rsidP="00273B73">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Cs/>
                <w:color w:val="000000"/>
                <w:lang w:val="en-AU"/>
              </w:rPr>
            </w:pPr>
            <w:r w:rsidRPr="00273B73">
              <w:rPr>
                <w:rFonts w:ascii="Calibri" w:hAnsi="Calibri" w:cs="Calibri"/>
                <w:bCs/>
                <w:color w:val="000000"/>
                <w:lang w:val="en-AU"/>
              </w:rPr>
              <w:t>17</w:t>
            </w:r>
          </w:p>
        </w:tc>
      </w:tr>
      <w:tr w:rsidR="00273B73" w14:paraId="27D66FC0" w14:textId="77777777" w:rsidTr="00940329">
        <w:trPr>
          <w:trHeight w:val="332"/>
        </w:trPr>
        <w:tc>
          <w:tcPr>
            <w:cnfStyle w:val="001000000000" w:firstRow="0" w:lastRow="0" w:firstColumn="1" w:lastColumn="0" w:oddVBand="0" w:evenVBand="0" w:oddHBand="0" w:evenHBand="0" w:firstRowFirstColumn="0" w:firstRowLastColumn="0" w:lastRowFirstColumn="0" w:lastRowLastColumn="0"/>
            <w:tcW w:w="2786" w:type="dxa"/>
          </w:tcPr>
          <w:p w14:paraId="7D92CD27" w14:textId="36E32E87" w:rsidR="00273B73" w:rsidRDefault="00273B73" w:rsidP="00A9440F">
            <w:pPr>
              <w:jc w:val="center"/>
              <w:rPr>
                <w:rFonts w:ascii="Calibri" w:hAnsi="Calibri" w:cs="Calibri"/>
                <w:bCs w:val="0"/>
                <w:color w:val="000000"/>
                <w:lang w:val="en-AU"/>
              </w:rPr>
            </w:pPr>
            <w:r w:rsidRPr="00273B73">
              <w:rPr>
                <w:rFonts w:ascii="Calibri" w:hAnsi="Calibri" w:cs="Calibri"/>
                <w:color w:val="000000"/>
                <w:lang w:val="en-AU"/>
              </w:rPr>
              <w:t>2018</w:t>
            </w:r>
          </w:p>
        </w:tc>
        <w:tc>
          <w:tcPr>
            <w:tcW w:w="3378" w:type="dxa"/>
          </w:tcPr>
          <w:p w14:paraId="03D54576" w14:textId="2AFBCD56" w:rsidR="00273B73" w:rsidRDefault="00273B73" w:rsidP="00273B7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Cs/>
                <w:color w:val="000000"/>
                <w:lang w:val="en-AU"/>
              </w:rPr>
            </w:pPr>
            <w:r w:rsidRPr="00273B73">
              <w:rPr>
                <w:rFonts w:ascii="Calibri" w:hAnsi="Calibri" w:cs="Calibri"/>
                <w:bCs/>
                <w:color w:val="000000"/>
                <w:lang w:val="en-AU"/>
              </w:rPr>
              <w:t>20</w:t>
            </w:r>
          </w:p>
        </w:tc>
      </w:tr>
      <w:tr w:rsidR="00273B73" w14:paraId="3AB33296" w14:textId="77777777" w:rsidTr="00940329">
        <w:trPr>
          <w:cnfStyle w:val="000000100000" w:firstRow="0" w:lastRow="0" w:firstColumn="0" w:lastColumn="0" w:oddVBand="0" w:evenVBand="0" w:oddHBand="1"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2786" w:type="dxa"/>
          </w:tcPr>
          <w:p w14:paraId="6889CED9" w14:textId="6FCBC0F3" w:rsidR="00273B73" w:rsidRDefault="00273B73" w:rsidP="00A9440F">
            <w:pPr>
              <w:jc w:val="center"/>
              <w:rPr>
                <w:rFonts w:ascii="Calibri" w:hAnsi="Calibri" w:cs="Calibri"/>
                <w:bCs w:val="0"/>
                <w:color w:val="000000"/>
                <w:lang w:val="en-AU"/>
              </w:rPr>
            </w:pPr>
            <w:r w:rsidRPr="00273B73">
              <w:rPr>
                <w:rFonts w:ascii="Calibri" w:hAnsi="Calibri" w:cs="Calibri"/>
                <w:color w:val="000000"/>
                <w:lang w:val="en-AU"/>
              </w:rPr>
              <w:t>2019</w:t>
            </w:r>
          </w:p>
        </w:tc>
        <w:tc>
          <w:tcPr>
            <w:tcW w:w="3378" w:type="dxa"/>
          </w:tcPr>
          <w:p w14:paraId="09D13A38" w14:textId="2C40CACC" w:rsidR="00273B73" w:rsidRDefault="00273B73" w:rsidP="00273B73">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Cs/>
                <w:color w:val="000000"/>
                <w:lang w:val="en-AU"/>
              </w:rPr>
            </w:pPr>
            <w:r w:rsidRPr="00273B73">
              <w:rPr>
                <w:rFonts w:ascii="Calibri" w:hAnsi="Calibri" w:cs="Calibri"/>
                <w:bCs/>
                <w:color w:val="000000"/>
                <w:lang w:val="en-AU"/>
              </w:rPr>
              <w:t>31</w:t>
            </w:r>
          </w:p>
        </w:tc>
      </w:tr>
      <w:tr w:rsidR="00273B73" w14:paraId="464FC46D" w14:textId="77777777" w:rsidTr="00940329">
        <w:trPr>
          <w:trHeight w:val="332"/>
        </w:trPr>
        <w:tc>
          <w:tcPr>
            <w:cnfStyle w:val="001000000000" w:firstRow="0" w:lastRow="0" w:firstColumn="1" w:lastColumn="0" w:oddVBand="0" w:evenVBand="0" w:oddHBand="0" w:evenHBand="0" w:firstRowFirstColumn="0" w:firstRowLastColumn="0" w:lastRowFirstColumn="0" w:lastRowLastColumn="0"/>
            <w:tcW w:w="2786" w:type="dxa"/>
          </w:tcPr>
          <w:p w14:paraId="07A87FD5" w14:textId="628A3678" w:rsidR="00273B73" w:rsidRDefault="00273B73" w:rsidP="00A9440F">
            <w:pPr>
              <w:jc w:val="center"/>
              <w:rPr>
                <w:rFonts w:ascii="Calibri" w:hAnsi="Calibri" w:cs="Calibri"/>
                <w:bCs w:val="0"/>
                <w:color w:val="000000"/>
                <w:lang w:val="en-AU"/>
              </w:rPr>
            </w:pPr>
            <w:r w:rsidRPr="00273B73">
              <w:rPr>
                <w:rFonts w:ascii="Calibri" w:hAnsi="Calibri" w:cs="Calibri"/>
                <w:color w:val="000000"/>
                <w:lang w:val="en-AU"/>
              </w:rPr>
              <w:t>2020</w:t>
            </w:r>
          </w:p>
        </w:tc>
        <w:tc>
          <w:tcPr>
            <w:tcW w:w="3378" w:type="dxa"/>
          </w:tcPr>
          <w:p w14:paraId="663CD1F6" w14:textId="29FCA04F" w:rsidR="00273B73" w:rsidRDefault="00273B73" w:rsidP="00273B7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Cs/>
                <w:color w:val="000000"/>
                <w:lang w:val="en-AU"/>
              </w:rPr>
            </w:pPr>
            <w:r w:rsidRPr="00273B73">
              <w:rPr>
                <w:rFonts w:ascii="Calibri" w:hAnsi="Calibri" w:cs="Calibri"/>
                <w:bCs/>
                <w:color w:val="000000"/>
                <w:lang w:val="en-AU"/>
              </w:rPr>
              <w:t>24</w:t>
            </w:r>
          </w:p>
        </w:tc>
      </w:tr>
      <w:tr w:rsidR="00273B73" w14:paraId="4BE28FE6" w14:textId="77777777" w:rsidTr="00940329">
        <w:trPr>
          <w:cnfStyle w:val="000000100000" w:firstRow="0" w:lastRow="0" w:firstColumn="0" w:lastColumn="0" w:oddVBand="0" w:evenVBand="0" w:oddHBand="1"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2786" w:type="dxa"/>
          </w:tcPr>
          <w:p w14:paraId="7D2F5F50" w14:textId="585753CA" w:rsidR="00273B73" w:rsidRDefault="00273B73" w:rsidP="00A9440F">
            <w:pPr>
              <w:jc w:val="center"/>
              <w:rPr>
                <w:rFonts w:ascii="Calibri" w:hAnsi="Calibri" w:cs="Calibri"/>
                <w:bCs w:val="0"/>
                <w:color w:val="000000"/>
                <w:lang w:val="en-AU"/>
              </w:rPr>
            </w:pPr>
            <w:r w:rsidRPr="00273B73">
              <w:rPr>
                <w:rFonts w:ascii="Calibri" w:hAnsi="Calibri" w:cs="Calibri"/>
                <w:color w:val="000000"/>
                <w:lang w:val="en-AU"/>
              </w:rPr>
              <w:t>2021</w:t>
            </w:r>
          </w:p>
        </w:tc>
        <w:tc>
          <w:tcPr>
            <w:tcW w:w="3378" w:type="dxa"/>
          </w:tcPr>
          <w:p w14:paraId="1D68787A" w14:textId="3316DC3F" w:rsidR="00273B73" w:rsidRDefault="00273B73" w:rsidP="00273B73">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Cs/>
                <w:color w:val="000000"/>
                <w:lang w:val="en-AU"/>
              </w:rPr>
            </w:pPr>
            <w:r w:rsidRPr="00273B73">
              <w:rPr>
                <w:rFonts w:ascii="Calibri" w:hAnsi="Calibri" w:cs="Calibri"/>
                <w:bCs/>
                <w:color w:val="000000"/>
                <w:lang w:val="en-AU"/>
              </w:rPr>
              <w:t>44</w:t>
            </w:r>
          </w:p>
        </w:tc>
      </w:tr>
      <w:tr w:rsidR="00273B73" w14:paraId="0AB5340B" w14:textId="77777777" w:rsidTr="00940329">
        <w:trPr>
          <w:trHeight w:val="332"/>
        </w:trPr>
        <w:tc>
          <w:tcPr>
            <w:cnfStyle w:val="001000000000" w:firstRow="0" w:lastRow="0" w:firstColumn="1" w:lastColumn="0" w:oddVBand="0" w:evenVBand="0" w:oddHBand="0" w:evenHBand="0" w:firstRowFirstColumn="0" w:firstRowLastColumn="0" w:lastRowFirstColumn="0" w:lastRowLastColumn="0"/>
            <w:tcW w:w="2786" w:type="dxa"/>
          </w:tcPr>
          <w:p w14:paraId="4DB75181" w14:textId="00704679" w:rsidR="00273B73" w:rsidRDefault="00273B73" w:rsidP="00A9440F">
            <w:pPr>
              <w:jc w:val="center"/>
              <w:rPr>
                <w:rFonts w:ascii="Calibri" w:hAnsi="Calibri" w:cs="Calibri"/>
                <w:bCs w:val="0"/>
                <w:color w:val="000000"/>
                <w:lang w:val="en-AU"/>
              </w:rPr>
            </w:pPr>
            <w:r w:rsidRPr="00273B73">
              <w:rPr>
                <w:rFonts w:ascii="Calibri" w:hAnsi="Calibri" w:cs="Calibri"/>
                <w:color w:val="000000"/>
                <w:lang w:val="en-AU"/>
              </w:rPr>
              <w:t>2022 (Jan-Sep)</w:t>
            </w:r>
          </w:p>
        </w:tc>
        <w:tc>
          <w:tcPr>
            <w:tcW w:w="3378" w:type="dxa"/>
          </w:tcPr>
          <w:p w14:paraId="0CBEB1BC" w14:textId="2F32DE88" w:rsidR="00273B73" w:rsidRDefault="00273B73" w:rsidP="00273B7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Cs/>
                <w:color w:val="000000"/>
                <w:lang w:val="en-AU"/>
              </w:rPr>
            </w:pPr>
            <w:r w:rsidRPr="00273B73">
              <w:rPr>
                <w:rFonts w:ascii="Calibri" w:hAnsi="Calibri" w:cs="Calibri"/>
                <w:bCs/>
                <w:color w:val="000000"/>
                <w:lang w:val="en-AU"/>
              </w:rPr>
              <w:t>32</w:t>
            </w:r>
          </w:p>
        </w:tc>
      </w:tr>
    </w:tbl>
    <w:p w14:paraId="5A441386" w14:textId="6CE8E28E" w:rsidR="00273B73" w:rsidRPr="00273B73" w:rsidRDefault="00AA781A" w:rsidP="00AA781A">
      <w:pPr>
        <w:rPr>
          <w:rFonts w:ascii="Calibri" w:hAnsi="Calibri" w:cs="Calibri"/>
          <w:bCs/>
          <w:color w:val="000000"/>
          <w:sz w:val="20"/>
          <w:szCs w:val="20"/>
          <w:lang w:val="en-AU"/>
        </w:rPr>
      </w:pPr>
      <w:r>
        <w:rPr>
          <w:rFonts w:ascii="Calibri" w:hAnsi="Calibri" w:cs="Calibri"/>
          <w:bCs/>
          <w:color w:val="000000"/>
          <w:sz w:val="20"/>
          <w:szCs w:val="20"/>
          <w:lang w:val="en-AU"/>
        </w:rPr>
        <w:t xml:space="preserve">                                              </w:t>
      </w:r>
      <w:r w:rsidR="00273B73" w:rsidRPr="00273B73">
        <w:rPr>
          <w:rFonts w:ascii="Calibri" w:hAnsi="Calibri" w:cs="Calibri"/>
          <w:bCs/>
          <w:color w:val="000000"/>
          <w:sz w:val="20"/>
          <w:szCs w:val="20"/>
          <w:lang w:val="en-AU"/>
        </w:rPr>
        <w:t>Source:</w:t>
      </w:r>
      <w:r w:rsidR="00273B73" w:rsidRPr="00273B73">
        <w:rPr>
          <w:rFonts w:ascii="Calibri" w:hAnsi="Calibri" w:cs="Calibri"/>
          <w:bCs/>
          <w:color w:val="000000"/>
          <w:sz w:val="20"/>
          <w:szCs w:val="20"/>
          <w:lang w:val="en-AU"/>
        </w:rPr>
        <w:fldChar w:fldCharType="begin"/>
      </w:r>
      <w:r w:rsidR="004C3F05">
        <w:rPr>
          <w:rFonts w:ascii="Calibri" w:hAnsi="Calibri" w:cs="Calibri"/>
          <w:bCs/>
          <w:color w:val="000000"/>
          <w:sz w:val="20"/>
          <w:szCs w:val="20"/>
          <w:lang w:val="en-AU"/>
        </w:rPr>
        <w:instrText xml:space="preserve"> ADDIN ZOTERO_ITEM CSL_CITATION {"citationID":"ytIFs8I6","properties":{"formattedCitation":"(SETARA Institute, 2022)","plainCitation":"(SETARA Institute, 2022)","noteIndex":0},"citationItems":[{"id":2279,"uris":["http://zotero.org/users/6396655/items/I9B38J8U"],"itemData":{"id":2279,"type":"webpage","title":"Mengatasi intoleransi dalam tata kebinekaan indonesia: update dan rekomendasi terkait peribadatan","URL":"https://setara-institute.org/mengatasi-intoleransi-dalam-tata-kebinekaan-indonesia-update-dan-rekomendasi-terkait-peribadatan/","author":[{"literal":"SETARA Institute"}],"issued":{"date-parts":[["2022",11]]}}}],"schema":"https://github.com/citation-style-language/schema/raw/master/csl-citation.json"} </w:instrText>
      </w:r>
      <w:r w:rsidR="00273B73" w:rsidRPr="00273B73">
        <w:rPr>
          <w:rFonts w:ascii="Calibri" w:hAnsi="Calibri" w:cs="Calibri"/>
          <w:bCs/>
          <w:color w:val="000000"/>
          <w:sz w:val="20"/>
          <w:szCs w:val="20"/>
          <w:lang w:val="en-AU"/>
        </w:rPr>
        <w:fldChar w:fldCharType="separate"/>
      </w:r>
      <w:r w:rsidR="00114F7F">
        <w:rPr>
          <w:rFonts w:ascii="Calibri" w:hAnsi="Calibri" w:cs="Calibri"/>
          <w:bCs/>
          <w:noProof/>
          <w:color w:val="000000"/>
          <w:sz w:val="20"/>
          <w:szCs w:val="20"/>
          <w:lang w:val="en-AU"/>
        </w:rPr>
        <w:t>(SETARA Institute, 2022)</w:t>
      </w:r>
      <w:r w:rsidR="00273B73" w:rsidRPr="00273B73">
        <w:rPr>
          <w:rFonts w:ascii="Calibri" w:hAnsi="Calibri" w:cs="Calibri"/>
          <w:bCs/>
          <w:color w:val="000000"/>
          <w:sz w:val="20"/>
          <w:szCs w:val="20"/>
          <w:lang w:val="en-AU"/>
        </w:rPr>
        <w:fldChar w:fldCharType="end"/>
      </w:r>
    </w:p>
    <w:p w14:paraId="0B381FA9" w14:textId="77777777" w:rsidR="00273B73" w:rsidRDefault="00273B73" w:rsidP="00B1578E">
      <w:pPr>
        <w:jc w:val="both"/>
        <w:rPr>
          <w:rFonts w:ascii="Calibri" w:hAnsi="Calibri" w:cs="Calibri"/>
          <w:bCs/>
          <w:color w:val="000000"/>
          <w:lang w:val="en-AU"/>
        </w:rPr>
      </w:pPr>
    </w:p>
    <w:p w14:paraId="0071B57E" w14:textId="0F4C62B2" w:rsidR="00940329" w:rsidRPr="00940329" w:rsidRDefault="00940329" w:rsidP="00940329">
      <w:pPr>
        <w:jc w:val="both"/>
        <w:rPr>
          <w:rFonts w:ascii="Calibri" w:hAnsi="Calibri" w:cs="Calibri"/>
          <w:bCs/>
          <w:color w:val="000000"/>
          <w:lang w:val="en-AU"/>
        </w:rPr>
      </w:pPr>
      <w:r w:rsidRPr="00940329">
        <w:rPr>
          <w:rFonts w:ascii="Calibri" w:hAnsi="Calibri" w:cs="Calibri"/>
          <w:bCs/>
          <w:color w:val="000000"/>
          <w:lang w:val="en-AU"/>
        </w:rPr>
        <w:t xml:space="preserve">This study indicates that from the four cases study, the vigilante justice were repeatedly happened as described in Table 2. As seen by the incidents above, society might misread legal standards' ambiguity. Critics of Islam, religious activities, and non-Muslims risk being accused of "defiling Islam." Ministerial circulars, governor regulations, and local rules support this interpretation. Social media continues to fabricate blasphemy and "true" Islamic teaching accusations to attract support and indignation. </w:t>
      </w:r>
    </w:p>
    <w:p w14:paraId="254C48FD" w14:textId="77777777" w:rsidR="00940329" w:rsidRPr="00940329" w:rsidRDefault="00940329" w:rsidP="00940329">
      <w:pPr>
        <w:jc w:val="both"/>
        <w:rPr>
          <w:rFonts w:ascii="Calibri" w:hAnsi="Calibri" w:cs="Calibri"/>
          <w:bCs/>
          <w:color w:val="000000"/>
          <w:lang w:val="en-AU"/>
        </w:rPr>
      </w:pPr>
      <w:proofErr w:type="spellStart"/>
      <w:r w:rsidRPr="00940329">
        <w:rPr>
          <w:rFonts w:ascii="Calibri" w:hAnsi="Calibri" w:cs="Calibri"/>
          <w:bCs/>
          <w:color w:val="000000"/>
          <w:lang w:val="en-AU"/>
        </w:rPr>
        <w:t>Hardline</w:t>
      </w:r>
      <w:proofErr w:type="spellEnd"/>
      <w:r w:rsidRPr="00940329">
        <w:rPr>
          <w:rFonts w:ascii="Calibri" w:hAnsi="Calibri" w:cs="Calibri"/>
          <w:bCs/>
          <w:color w:val="000000"/>
          <w:lang w:val="en-AU"/>
        </w:rPr>
        <w:t xml:space="preserve"> Islamic groups organize enormous protests to demand justice, which often leads to vigilante punishment. Ahok and Meiliana were convicted for Islam-related charges because hatred was organized. The Ahmadiyya and Gafatar instances were also seen as straying from "true" Islam and violating Islamic rules. This animosity </w:t>
      </w:r>
      <w:proofErr w:type="spellStart"/>
      <w:r w:rsidRPr="00940329">
        <w:rPr>
          <w:rFonts w:ascii="Calibri" w:hAnsi="Calibri" w:cs="Calibri"/>
          <w:bCs/>
          <w:color w:val="000000"/>
          <w:lang w:val="en-AU"/>
        </w:rPr>
        <w:t>fueled</w:t>
      </w:r>
      <w:proofErr w:type="spellEnd"/>
      <w:r w:rsidRPr="00940329">
        <w:rPr>
          <w:rFonts w:ascii="Calibri" w:hAnsi="Calibri" w:cs="Calibri"/>
          <w:bCs/>
          <w:color w:val="000000"/>
          <w:lang w:val="en-AU"/>
        </w:rPr>
        <w:t xml:space="preserve"> propaganda and vigilante action against these communities.</w:t>
      </w:r>
    </w:p>
    <w:p w14:paraId="7A98DDCF" w14:textId="77777777" w:rsidR="00940329" w:rsidRDefault="00940329" w:rsidP="00940329">
      <w:pPr>
        <w:jc w:val="both"/>
        <w:rPr>
          <w:rFonts w:ascii="Calibri" w:hAnsi="Calibri" w:cs="Calibri"/>
          <w:bCs/>
          <w:color w:val="000000"/>
          <w:lang w:val="en-AU"/>
        </w:rPr>
      </w:pPr>
      <w:r w:rsidRPr="00940329">
        <w:rPr>
          <w:rFonts w:ascii="Calibri" w:hAnsi="Calibri" w:cs="Calibri"/>
          <w:bCs/>
          <w:color w:val="000000"/>
          <w:lang w:val="en-AU"/>
        </w:rPr>
        <w:t>Indonesians worry about social media disinformation and fact-bending. Thus, citizens must be taught to respect religious pluralism and the law. To avoid misinterpretation, the government must also clarify legal principles. Interfaith discourse and respect for other religions may also promote tolerance and inclusion.</w:t>
      </w:r>
    </w:p>
    <w:p w14:paraId="12274FD9" w14:textId="5F656724" w:rsidR="00940329" w:rsidRDefault="00940329" w:rsidP="00940329">
      <w:pPr>
        <w:jc w:val="both"/>
        <w:rPr>
          <w:rFonts w:ascii="Calibri" w:hAnsi="Calibri" w:cs="Calibri"/>
          <w:bCs/>
          <w:color w:val="000000"/>
          <w:lang w:val="en-AU"/>
        </w:rPr>
      </w:pPr>
      <w:r w:rsidRPr="00940329">
        <w:rPr>
          <w:rFonts w:ascii="Calibri" w:hAnsi="Calibri" w:cs="Calibri"/>
          <w:bCs/>
          <w:color w:val="000000"/>
          <w:lang w:val="en-AU"/>
        </w:rPr>
        <w:t>The twisting of facts and the spread of misinformation through social media and other channels is a serious concern in Indonesia. Therefore, it is necessary to educate citizens about the importance of respecting religious diversity and the rule of law. The government must also take measures to ensure that legal norms are clear and unambiguous to prevent them from being misinterpreted. Promoting interfaith dialogue and mutual respect for different religious beliefs can also help foster a more tolerant and inclusive society.</w:t>
      </w:r>
      <w:r>
        <w:rPr>
          <w:rFonts w:ascii="Calibri" w:hAnsi="Calibri" w:cs="Calibri"/>
          <w:bCs/>
          <w:color w:val="000000"/>
          <w:lang w:val="en-AU"/>
        </w:rPr>
        <w:t xml:space="preserve"> </w:t>
      </w:r>
    </w:p>
    <w:p w14:paraId="44E3B491" w14:textId="77777777" w:rsidR="00940329" w:rsidRPr="00940329" w:rsidRDefault="00940329" w:rsidP="00940329">
      <w:pPr>
        <w:jc w:val="both"/>
        <w:rPr>
          <w:rFonts w:ascii="Calibri" w:hAnsi="Calibri" w:cs="Calibri"/>
          <w:bCs/>
          <w:color w:val="000000"/>
          <w:lang w:val="en-AU"/>
        </w:rPr>
      </w:pPr>
    </w:p>
    <w:p w14:paraId="558259FA" w14:textId="77777777" w:rsidR="00940329" w:rsidRPr="00940329" w:rsidRDefault="00940329" w:rsidP="00940329">
      <w:pPr>
        <w:jc w:val="both"/>
        <w:rPr>
          <w:rFonts w:ascii="Calibri" w:hAnsi="Calibri" w:cs="Calibri"/>
          <w:bCs/>
          <w:i/>
          <w:iCs/>
          <w:color w:val="000000"/>
          <w:lang w:val="en-AU"/>
        </w:rPr>
      </w:pPr>
    </w:p>
    <w:p w14:paraId="6CC553F3" w14:textId="77777777" w:rsidR="00940329" w:rsidRPr="00940329" w:rsidRDefault="00940329" w:rsidP="00B1578E">
      <w:pPr>
        <w:jc w:val="both"/>
        <w:rPr>
          <w:rFonts w:ascii="Calibri" w:hAnsi="Calibri" w:cs="Calibri"/>
          <w:bCs/>
          <w:i/>
          <w:iCs/>
          <w:color w:val="000000"/>
          <w:lang w:val="en-AU"/>
        </w:rPr>
      </w:pPr>
    </w:p>
    <w:p w14:paraId="0D42742E" w14:textId="77777777" w:rsidR="00940329" w:rsidRPr="00940329" w:rsidRDefault="00940329" w:rsidP="00B1578E">
      <w:pPr>
        <w:jc w:val="both"/>
        <w:rPr>
          <w:rFonts w:ascii="Calibri" w:hAnsi="Calibri" w:cs="Calibri"/>
          <w:bCs/>
          <w:i/>
          <w:iCs/>
          <w:color w:val="000000"/>
          <w:lang w:val="en-AU"/>
        </w:rPr>
      </w:pPr>
    </w:p>
    <w:p w14:paraId="59A34251" w14:textId="44FD2583" w:rsidR="00B86693" w:rsidRPr="00B86693" w:rsidRDefault="00B86693" w:rsidP="00B86693">
      <w:pPr>
        <w:pStyle w:val="Caption"/>
        <w:keepNext/>
        <w:jc w:val="center"/>
        <w:rPr>
          <w:rFonts w:ascii="Calibri" w:hAnsi="Calibri" w:cs="Calibri"/>
          <w:b w:val="0"/>
          <w:bCs w:val="0"/>
          <w:sz w:val="22"/>
          <w:szCs w:val="22"/>
        </w:rPr>
      </w:pPr>
      <w:r w:rsidRPr="00B86693">
        <w:rPr>
          <w:rFonts w:ascii="Calibri" w:hAnsi="Calibri" w:cs="Calibri"/>
          <w:b w:val="0"/>
          <w:bCs w:val="0"/>
          <w:sz w:val="22"/>
          <w:szCs w:val="22"/>
        </w:rPr>
        <w:t xml:space="preserve">Table </w:t>
      </w:r>
      <w:r w:rsidRPr="00B86693">
        <w:rPr>
          <w:rFonts w:ascii="Calibri" w:hAnsi="Calibri" w:cs="Calibri"/>
          <w:b w:val="0"/>
          <w:bCs w:val="0"/>
          <w:sz w:val="22"/>
          <w:szCs w:val="22"/>
        </w:rPr>
        <w:fldChar w:fldCharType="begin"/>
      </w:r>
      <w:r w:rsidRPr="00B86693">
        <w:rPr>
          <w:rFonts w:ascii="Calibri" w:hAnsi="Calibri" w:cs="Calibri"/>
          <w:b w:val="0"/>
          <w:bCs w:val="0"/>
          <w:sz w:val="22"/>
          <w:szCs w:val="22"/>
        </w:rPr>
        <w:instrText xml:space="preserve"> SEQ Table \* ARABIC </w:instrText>
      </w:r>
      <w:r w:rsidRPr="00B86693">
        <w:rPr>
          <w:rFonts w:ascii="Calibri" w:hAnsi="Calibri" w:cs="Calibri"/>
          <w:b w:val="0"/>
          <w:bCs w:val="0"/>
          <w:sz w:val="22"/>
          <w:szCs w:val="22"/>
        </w:rPr>
        <w:fldChar w:fldCharType="separate"/>
      </w:r>
      <w:r w:rsidRPr="00B86693">
        <w:rPr>
          <w:rFonts w:ascii="Calibri" w:hAnsi="Calibri" w:cs="Calibri"/>
          <w:b w:val="0"/>
          <w:bCs w:val="0"/>
          <w:noProof/>
          <w:sz w:val="22"/>
          <w:szCs w:val="22"/>
        </w:rPr>
        <w:t>2</w:t>
      </w:r>
      <w:r w:rsidRPr="00B86693">
        <w:rPr>
          <w:rFonts w:ascii="Calibri" w:hAnsi="Calibri" w:cs="Calibri"/>
          <w:b w:val="0"/>
          <w:bCs w:val="0"/>
          <w:sz w:val="22"/>
          <w:szCs w:val="22"/>
        </w:rPr>
        <w:fldChar w:fldCharType="end"/>
      </w:r>
      <w:r w:rsidRPr="00B86693">
        <w:rPr>
          <w:rFonts w:ascii="Calibri" w:hAnsi="Calibri" w:cs="Calibri"/>
          <w:b w:val="0"/>
          <w:bCs w:val="0"/>
          <w:sz w:val="22"/>
          <w:szCs w:val="22"/>
        </w:rPr>
        <w:t>. Vigilante Justice and Hate Spin</w:t>
      </w:r>
    </w:p>
    <w:tbl>
      <w:tblPr>
        <w:tblStyle w:val="TableGrid"/>
        <w:tblW w:w="0" w:type="auto"/>
        <w:tblLook w:val="04A0" w:firstRow="1" w:lastRow="0" w:firstColumn="1" w:lastColumn="0" w:noHBand="0" w:noVBand="1"/>
      </w:tblPr>
      <w:tblGrid>
        <w:gridCol w:w="1413"/>
        <w:gridCol w:w="4252"/>
        <w:gridCol w:w="4253"/>
      </w:tblGrid>
      <w:tr w:rsidR="00940329" w14:paraId="6F2D369A" w14:textId="77777777" w:rsidTr="00B86693">
        <w:tc>
          <w:tcPr>
            <w:tcW w:w="1413" w:type="dxa"/>
            <w:tcBorders>
              <w:left w:val="nil"/>
              <w:bottom w:val="single" w:sz="4" w:space="0" w:color="auto"/>
            </w:tcBorders>
            <w:shd w:val="clear" w:color="auto" w:fill="AEAAAA" w:themeFill="background2" w:themeFillShade="BF"/>
          </w:tcPr>
          <w:p w14:paraId="3EF3E12D" w14:textId="6C06FD09" w:rsidR="00940329" w:rsidRDefault="00940329" w:rsidP="00B86693">
            <w:pPr>
              <w:jc w:val="center"/>
              <w:rPr>
                <w:rFonts w:ascii="Calibri" w:hAnsi="Calibri" w:cs="Calibri"/>
                <w:b/>
                <w:i/>
                <w:iCs/>
                <w:color w:val="000000"/>
                <w:lang w:val="en-AU"/>
              </w:rPr>
            </w:pPr>
            <w:r>
              <w:rPr>
                <w:rFonts w:ascii="Calibri" w:hAnsi="Calibri" w:cs="Calibri"/>
                <w:b/>
                <w:i/>
                <w:iCs/>
                <w:color w:val="000000"/>
                <w:lang w:val="en-AU"/>
              </w:rPr>
              <w:t>Cases</w:t>
            </w:r>
          </w:p>
        </w:tc>
        <w:tc>
          <w:tcPr>
            <w:tcW w:w="4252" w:type="dxa"/>
            <w:tcBorders>
              <w:bottom w:val="single" w:sz="4" w:space="0" w:color="auto"/>
            </w:tcBorders>
            <w:shd w:val="clear" w:color="auto" w:fill="AEAAAA" w:themeFill="background2" w:themeFillShade="BF"/>
          </w:tcPr>
          <w:p w14:paraId="2D124C32" w14:textId="71E4A31C" w:rsidR="00940329" w:rsidRDefault="00940329" w:rsidP="00B86693">
            <w:pPr>
              <w:jc w:val="center"/>
              <w:rPr>
                <w:rFonts w:ascii="Calibri" w:hAnsi="Calibri" w:cs="Calibri"/>
                <w:b/>
                <w:i/>
                <w:iCs/>
                <w:color w:val="000000"/>
                <w:lang w:val="en-AU"/>
              </w:rPr>
            </w:pPr>
            <w:r>
              <w:rPr>
                <w:rFonts w:ascii="Calibri" w:hAnsi="Calibri" w:cs="Calibri"/>
                <w:b/>
                <w:i/>
                <w:iCs/>
                <w:color w:val="000000"/>
                <w:lang w:val="en-AU"/>
              </w:rPr>
              <w:t>Vigilante Justice</w:t>
            </w:r>
          </w:p>
        </w:tc>
        <w:tc>
          <w:tcPr>
            <w:tcW w:w="4253" w:type="dxa"/>
            <w:tcBorders>
              <w:bottom w:val="single" w:sz="4" w:space="0" w:color="auto"/>
              <w:right w:val="nil"/>
            </w:tcBorders>
            <w:shd w:val="clear" w:color="auto" w:fill="AEAAAA" w:themeFill="background2" w:themeFillShade="BF"/>
          </w:tcPr>
          <w:p w14:paraId="3201F3A1" w14:textId="08CAAFA2" w:rsidR="00940329" w:rsidRDefault="00940329" w:rsidP="00B86693">
            <w:pPr>
              <w:jc w:val="center"/>
              <w:rPr>
                <w:rFonts w:ascii="Calibri" w:hAnsi="Calibri" w:cs="Calibri"/>
                <w:b/>
                <w:i/>
                <w:iCs/>
                <w:color w:val="000000"/>
                <w:lang w:val="en-AU"/>
              </w:rPr>
            </w:pPr>
            <w:r>
              <w:rPr>
                <w:rFonts w:ascii="Calibri" w:hAnsi="Calibri" w:cs="Calibri"/>
                <w:b/>
                <w:i/>
                <w:iCs/>
                <w:color w:val="000000"/>
                <w:lang w:val="en-AU"/>
              </w:rPr>
              <w:t xml:space="preserve">Hate Spin Strategy Against </w:t>
            </w:r>
            <w:r w:rsidR="00B86693">
              <w:rPr>
                <w:rFonts w:ascii="Calibri" w:hAnsi="Calibri" w:cs="Calibri"/>
                <w:b/>
                <w:i/>
                <w:iCs/>
                <w:color w:val="000000"/>
                <w:lang w:val="en-AU"/>
              </w:rPr>
              <w:t>Victims</w:t>
            </w:r>
          </w:p>
        </w:tc>
      </w:tr>
      <w:tr w:rsidR="00940329" w14:paraId="137A2D11" w14:textId="77777777" w:rsidTr="00B86693">
        <w:tc>
          <w:tcPr>
            <w:tcW w:w="1413" w:type="dxa"/>
            <w:tcBorders>
              <w:left w:val="nil"/>
              <w:bottom w:val="single" w:sz="4" w:space="0" w:color="auto"/>
            </w:tcBorders>
          </w:tcPr>
          <w:p w14:paraId="3494B5BF" w14:textId="00FF79A3" w:rsidR="00940329" w:rsidRPr="00940329" w:rsidRDefault="00940329" w:rsidP="00940329">
            <w:pPr>
              <w:ind w:firstLine="0"/>
              <w:jc w:val="both"/>
              <w:rPr>
                <w:rFonts w:ascii="Calibri" w:hAnsi="Calibri" w:cs="Calibri"/>
                <w:b/>
                <w:i/>
                <w:iCs/>
                <w:color w:val="000000"/>
                <w:lang w:val="en-AU"/>
              </w:rPr>
            </w:pPr>
            <w:r w:rsidRPr="00940329">
              <w:rPr>
                <w:rFonts w:ascii="Calibri" w:hAnsi="Calibri" w:cs="Calibri"/>
                <w:b/>
                <w:i/>
                <w:iCs/>
                <w:color w:val="000000"/>
                <w:lang w:val="en-AU"/>
              </w:rPr>
              <w:t>Ahok Case</w:t>
            </w:r>
          </w:p>
        </w:tc>
        <w:tc>
          <w:tcPr>
            <w:tcW w:w="4252" w:type="dxa"/>
            <w:tcBorders>
              <w:bottom w:val="single" w:sz="4" w:space="0" w:color="auto"/>
            </w:tcBorders>
          </w:tcPr>
          <w:p w14:paraId="480D2758" w14:textId="2A936203" w:rsidR="00940329" w:rsidRDefault="00940329" w:rsidP="00B1578E">
            <w:pPr>
              <w:jc w:val="both"/>
              <w:rPr>
                <w:rFonts w:ascii="Calibri" w:hAnsi="Calibri" w:cs="Calibri"/>
                <w:b/>
                <w:i/>
                <w:iCs/>
                <w:color w:val="000000"/>
                <w:lang w:val="en-AU"/>
              </w:rPr>
            </w:pPr>
            <w:proofErr w:type="spellStart"/>
            <w:r w:rsidRPr="00940329">
              <w:rPr>
                <w:rFonts w:ascii="Calibri" w:hAnsi="Calibri" w:cs="Calibri"/>
                <w:bCs/>
                <w:color w:val="000000"/>
                <w:lang w:val="en-AU"/>
              </w:rPr>
              <w:t>Ahok's</w:t>
            </w:r>
            <w:proofErr w:type="spellEnd"/>
            <w:r w:rsidRPr="00940329">
              <w:rPr>
                <w:rFonts w:ascii="Calibri" w:hAnsi="Calibri" w:cs="Calibri"/>
                <w:bCs/>
                <w:color w:val="000000"/>
                <w:lang w:val="en-AU"/>
              </w:rPr>
              <w:t xml:space="preserve"> statement that referenced QS. Al-Maida verse 51 regarding non-Muslim leaders to his constituents in the Thousand Islands triggered vigilante justice as Islamic groups staged mob protests, including the </w:t>
            </w:r>
            <w:proofErr w:type="spellStart"/>
            <w:r w:rsidRPr="00940329">
              <w:rPr>
                <w:rFonts w:ascii="Calibri" w:hAnsi="Calibri" w:cs="Calibri"/>
                <w:bCs/>
                <w:color w:val="000000"/>
                <w:lang w:val="en-AU"/>
              </w:rPr>
              <w:t>Aksi</w:t>
            </w:r>
            <w:proofErr w:type="spellEnd"/>
            <w:r w:rsidRPr="00940329">
              <w:rPr>
                <w:rFonts w:ascii="Calibri" w:hAnsi="Calibri" w:cs="Calibri"/>
                <w:bCs/>
                <w:color w:val="000000"/>
                <w:lang w:val="en-AU"/>
              </w:rPr>
              <w:t xml:space="preserve"> 212 and </w:t>
            </w:r>
            <w:proofErr w:type="spellStart"/>
            <w:r w:rsidRPr="00940329">
              <w:rPr>
                <w:rFonts w:ascii="Calibri" w:hAnsi="Calibri" w:cs="Calibri"/>
                <w:bCs/>
                <w:color w:val="000000"/>
                <w:lang w:val="en-AU"/>
              </w:rPr>
              <w:t>Aksi</w:t>
            </w:r>
            <w:proofErr w:type="spellEnd"/>
            <w:r w:rsidRPr="00940329">
              <w:rPr>
                <w:rFonts w:ascii="Calibri" w:hAnsi="Calibri" w:cs="Calibri"/>
                <w:bCs/>
                <w:color w:val="000000"/>
                <w:lang w:val="en-AU"/>
              </w:rPr>
              <w:t xml:space="preserve"> 414. </w:t>
            </w:r>
            <w:proofErr w:type="spellStart"/>
            <w:r w:rsidRPr="00940329">
              <w:rPr>
                <w:rFonts w:ascii="Calibri" w:hAnsi="Calibri" w:cs="Calibri"/>
                <w:bCs/>
                <w:color w:val="000000"/>
                <w:lang w:val="en-AU"/>
              </w:rPr>
              <w:t>Belajar</w:t>
            </w:r>
            <w:proofErr w:type="spellEnd"/>
            <w:r w:rsidRPr="00940329">
              <w:rPr>
                <w:rFonts w:ascii="Calibri" w:hAnsi="Calibri" w:cs="Calibri"/>
                <w:bCs/>
                <w:color w:val="000000"/>
                <w:lang w:val="en-AU"/>
              </w:rPr>
              <w:t xml:space="preserve"> Islam 55 also marched to persuade the Constitutional Court to reject </w:t>
            </w:r>
            <w:proofErr w:type="spellStart"/>
            <w:r w:rsidRPr="00940329">
              <w:rPr>
                <w:rFonts w:ascii="Calibri" w:hAnsi="Calibri" w:cs="Calibri"/>
                <w:bCs/>
                <w:color w:val="000000"/>
                <w:lang w:val="en-AU"/>
              </w:rPr>
              <w:t>Ahok's</w:t>
            </w:r>
            <w:proofErr w:type="spellEnd"/>
            <w:r w:rsidRPr="00940329">
              <w:rPr>
                <w:rFonts w:ascii="Calibri" w:hAnsi="Calibri" w:cs="Calibri"/>
                <w:bCs/>
                <w:color w:val="000000"/>
                <w:lang w:val="en-AU"/>
              </w:rPr>
              <w:t xml:space="preserve"> judicial review of the anti-blasphemy bill.</w:t>
            </w:r>
          </w:p>
        </w:tc>
        <w:tc>
          <w:tcPr>
            <w:tcW w:w="4253" w:type="dxa"/>
            <w:tcBorders>
              <w:bottom w:val="single" w:sz="4" w:space="0" w:color="auto"/>
              <w:right w:val="nil"/>
            </w:tcBorders>
          </w:tcPr>
          <w:p w14:paraId="3BAB3555" w14:textId="1D000E72" w:rsidR="00940329" w:rsidRDefault="00B86693" w:rsidP="00B1578E">
            <w:pPr>
              <w:jc w:val="both"/>
              <w:rPr>
                <w:rFonts w:ascii="Calibri" w:hAnsi="Calibri" w:cs="Calibri"/>
                <w:b/>
                <w:i/>
                <w:iCs/>
                <w:color w:val="000000"/>
                <w:lang w:val="en-AU"/>
              </w:rPr>
            </w:pPr>
            <w:r w:rsidRPr="00B86693">
              <w:rPr>
                <w:rFonts w:ascii="Calibri" w:hAnsi="Calibri" w:cs="Calibri"/>
                <w:bCs/>
                <w:color w:val="000000"/>
                <w:lang w:val="en-AU"/>
              </w:rPr>
              <w:t xml:space="preserve">The Hate Spin Strategy was employed to frame the Ahok protest movement as defending Islam, implying that Ahok had attacked Islam and justifying the protests as retaliation for his supposed hatred of the religion. </w:t>
            </w:r>
            <w:proofErr w:type="spellStart"/>
            <w:r w:rsidRPr="00B86693">
              <w:rPr>
                <w:rFonts w:ascii="Calibri" w:hAnsi="Calibri" w:cs="Calibri"/>
                <w:bCs/>
                <w:color w:val="000000"/>
                <w:lang w:val="en-AU"/>
              </w:rPr>
              <w:t>Ahok's</w:t>
            </w:r>
            <w:proofErr w:type="spellEnd"/>
            <w:r w:rsidRPr="00B86693">
              <w:rPr>
                <w:rFonts w:ascii="Calibri" w:hAnsi="Calibri" w:cs="Calibri"/>
                <w:bCs/>
                <w:color w:val="000000"/>
                <w:lang w:val="en-AU"/>
              </w:rPr>
              <w:t xml:space="preserve"> critique of using QS. Al-Maida verse 51 to oppose non-Muslim candidates was seen as a disgrace to Islam. Budi </w:t>
            </w:r>
            <w:proofErr w:type="spellStart"/>
            <w:r w:rsidRPr="00B86693">
              <w:rPr>
                <w:rFonts w:ascii="Calibri" w:hAnsi="Calibri" w:cs="Calibri"/>
                <w:bCs/>
                <w:color w:val="000000"/>
                <w:lang w:val="en-AU"/>
              </w:rPr>
              <w:t>Yani</w:t>
            </w:r>
            <w:proofErr w:type="spellEnd"/>
            <w:r w:rsidRPr="00B86693">
              <w:rPr>
                <w:rFonts w:ascii="Calibri" w:hAnsi="Calibri" w:cs="Calibri"/>
                <w:bCs/>
                <w:color w:val="000000"/>
                <w:lang w:val="en-AU"/>
              </w:rPr>
              <w:t xml:space="preserve"> incited hate by editing a video of Ahok and adding a narrative that falsely accused him of disrespecting Islam.</w:t>
            </w:r>
          </w:p>
        </w:tc>
      </w:tr>
      <w:tr w:rsidR="00940329" w14:paraId="6A399D13" w14:textId="77777777" w:rsidTr="00B86693">
        <w:tc>
          <w:tcPr>
            <w:tcW w:w="1413" w:type="dxa"/>
            <w:tcBorders>
              <w:left w:val="nil"/>
            </w:tcBorders>
            <w:shd w:val="clear" w:color="auto" w:fill="D0CECE" w:themeFill="background2" w:themeFillShade="E6"/>
          </w:tcPr>
          <w:p w14:paraId="511F9847" w14:textId="598BD739" w:rsidR="00940329" w:rsidRDefault="00940329" w:rsidP="00940329">
            <w:pPr>
              <w:ind w:firstLine="0"/>
              <w:jc w:val="both"/>
              <w:rPr>
                <w:rFonts w:ascii="Calibri" w:hAnsi="Calibri" w:cs="Calibri"/>
                <w:b/>
                <w:i/>
                <w:iCs/>
                <w:color w:val="000000"/>
                <w:lang w:val="en-AU"/>
              </w:rPr>
            </w:pPr>
            <w:r>
              <w:rPr>
                <w:rFonts w:ascii="Calibri" w:hAnsi="Calibri" w:cs="Calibri"/>
                <w:b/>
                <w:i/>
                <w:iCs/>
                <w:color w:val="000000"/>
                <w:lang w:val="en-AU"/>
              </w:rPr>
              <w:t>Meiliana Case</w:t>
            </w:r>
          </w:p>
        </w:tc>
        <w:tc>
          <w:tcPr>
            <w:tcW w:w="4252" w:type="dxa"/>
            <w:shd w:val="clear" w:color="auto" w:fill="D0CECE" w:themeFill="background2" w:themeFillShade="E6"/>
          </w:tcPr>
          <w:p w14:paraId="4421B0FD" w14:textId="16FB6F66" w:rsidR="00940329" w:rsidRPr="00940329" w:rsidRDefault="00940329" w:rsidP="00B1578E">
            <w:pPr>
              <w:jc w:val="both"/>
              <w:rPr>
                <w:rFonts w:ascii="Calibri" w:hAnsi="Calibri" w:cs="Calibri"/>
                <w:bCs/>
                <w:color w:val="000000"/>
                <w:lang w:val="en-AU"/>
              </w:rPr>
            </w:pPr>
            <w:r w:rsidRPr="00940329">
              <w:rPr>
                <w:rFonts w:ascii="Calibri" w:hAnsi="Calibri" w:cs="Calibri"/>
                <w:bCs/>
                <w:color w:val="000000"/>
                <w:lang w:val="en-AU"/>
              </w:rPr>
              <w:t xml:space="preserve">The Meiliana case exposes Indonesian vigilantism against religious minorities. Buddhist Meiliana was sentenced to one year </w:t>
            </w:r>
            <w:r w:rsidRPr="00940329">
              <w:rPr>
                <w:rFonts w:ascii="Calibri" w:hAnsi="Calibri" w:cs="Calibri"/>
                <w:bCs/>
                <w:color w:val="000000"/>
                <w:lang w:val="en-AU"/>
              </w:rPr>
              <w:lastRenderedPageBreak/>
              <w:t xml:space="preserve">and eight months in jail for insulting Islam after complaining to her neighbour about the excessively loud </w:t>
            </w:r>
            <w:r>
              <w:rPr>
                <w:rFonts w:ascii="Calibri" w:hAnsi="Calibri" w:cs="Calibri"/>
                <w:bCs/>
                <w:color w:val="000000"/>
                <w:lang w:val="en-AU"/>
              </w:rPr>
              <w:t>call of pray (</w:t>
            </w:r>
            <w:proofErr w:type="spellStart"/>
            <w:r w:rsidRPr="00940329">
              <w:rPr>
                <w:rFonts w:ascii="Calibri" w:hAnsi="Calibri" w:cs="Calibri"/>
                <w:bCs/>
                <w:i/>
                <w:iCs/>
                <w:color w:val="000000"/>
                <w:lang w:val="en-AU"/>
              </w:rPr>
              <w:t>adzan</w:t>
            </w:r>
            <w:proofErr w:type="spellEnd"/>
            <w:r>
              <w:rPr>
                <w:rFonts w:ascii="Calibri" w:hAnsi="Calibri" w:cs="Calibri"/>
                <w:bCs/>
                <w:i/>
                <w:iCs/>
                <w:color w:val="000000"/>
                <w:lang w:val="en-AU"/>
              </w:rPr>
              <w:t>)</w:t>
            </w:r>
            <w:r w:rsidRPr="00940329">
              <w:rPr>
                <w:rFonts w:ascii="Calibri" w:hAnsi="Calibri" w:cs="Calibri"/>
                <w:bCs/>
                <w:i/>
                <w:iCs/>
                <w:color w:val="000000"/>
                <w:lang w:val="en-AU"/>
              </w:rPr>
              <w:t>.</w:t>
            </w:r>
            <w:r w:rsidRPr="00940329">
              <w:rPr>
                <w:rFonts w:ascii="Calibri" w:hAnsi="Calibri" w:cs="Calibri"/>
                <w:bCs/>
                <w:color w:val="000000"/>
                <w:lang w:val="en-AU"/>
              </w:rPr>
              <w:t xml:space="preserve"> During the trial, vigilantes burnt many Buddhist temples, damaged </w:t>
            </w:r>
            <w:proofErr w:type="spellStart"/>
            <w:r w:rsidRPr="00940329">
              <w:rPr>
                <w:rFonts w:ascii="Calibri" w:hAnsi="Calibri" w:cs="Calibri"/>
                <w:bCs/>
                <w:color w:val="000000"/>
                <w:lang w:val="en-AU"/>
              </w:rPr>
              <w:t>Meiliana's</w:t>
            </w:r>
            <w:proofErr w:type="spellEnd"/>
            <w:r w:rsidRPr="00940329">
              <w:rPr>
                <w:rFonts w:ascii="Calibri" w:hAnsi="Calibri" w:cs="Calibri"/>
                <w:bCs/>
                <w:color w:val="000000"/>
                <w:lang w:val="en-AU"/>
              </w:rPr>
              <w:t xml:space="preserve"> home, and forced her to leave.</w:t>
            </w:r>
          </w:p>
        </w:tc>
        <w:tc>
          <w:tcPr>
            <w:tcW w:w="4253" w:type="dxa"/>
            <w:tcBorders>
              <w:right w:val="nil"/>
            </w:tcBorders>
            <w:shd w:val="clear" w:color="auto" w:fill="D0CECE" w:themeFill="background2" w:themeFillShade="E6"/>
          </w:tcPr>
          <w:p w14:paraId="5B8FA18A" w14:textId="688FEDD6" w:rsidR="00940329" w:rsidRPr="00940329" w:rsidRDefault="00B86693" w:rsidP="00B86693">
            <w:pPr>
              <w:ind w:firstLine="0"/>
              <w:jc w:val="both"/>
              <w:rPr>
                <w:rFonts w:ascii="Calibri" w:hAnsi="Calibri" w:cs="Calibri"/>
                <w:bCs/>
                <w:color w:val="000000"/>
                <w:lang w:val="en-AU"/>
              </w:rPr>
            </w:pPr>
            <w:r w:rsidRPr="00B86693">
              <w:rPr>
                <w:rFonts w:ascii="Calibri" w:hAnsi="Calibri" w:cs="Calibri"/>
                <w:bCs/>
                <w:color w:val="000000"/>
                <w:lang w:val="en-AU"/>
              </w:rPr>
              <w:lastRenderedPageBreak/>
              <w:t xml:space="preserve">The case of Meiliana began with her complaint to a </w:t>
            </w:r>
            <w:proofErr w:type="spellStart"/>
            <w:r w:rsidRPr="00B86693">
              <w:rPr>
                <w:rFonts w:ascii="Calibri" w:hAnsi="Calibri" w:cs="Calibri"/>
                <w:bCs/>
                <w:color w:val="000000"/>
                <w:lang w:val="en-AU"/>
              </w:rPr>
              <w:t>neighbor</w:t>
            </w:r>
            <w:proofErr w:type="spellEnd"/>
            <w:r w:rsidRPr="00B86693">
              <w:rPr>
                <w:rFonts w:ascii="Calibri" w:hAnsi="Calibri" w:cs="Calibri"/>
                <w:bCs/>
                <w:color w:val="000000"/>
                <w:lang w:val="en-AU"/>
              </w:rPr>
              <w:t xml:space="preserve"> about the unusually loud volume of the mosque's call to prayer </w:t>
            </w:r>
            <w:r w:rsidRPr="00B86693">
              <w:rPr>
                <w:rFonts w:ascii="Calibri" w:hAnsi="Calibri" w:cs="Calibri"/>
                <w:bCs/>
                <w:color w:val="000000"/>
                <w:lang w:val="en-AU"/>
              </w:rPr>
              <w:lastRenderedPageBreak/>
              <w:t>(</w:t>
            </w:r>
            <w:proofErr w:type="spellStart"/>
            <w:r w:rsidRPr="00B86693">
              <w:rPr>
                <w:rFonts w:ascii="Calibri" w:hAnsi="Calibri" w:cs="Calibri"/>
                <w:bCs/>
                <w:color w:val="000000"/>
                <w:lang w:val="en-AU"/>
              </w:rPr>
              <w:t>athan</w:t>
            </w:r>
            <w:proofErr w:type="spellEnd"/>
            <w:r w:rsidRPr="00B86693">
              <w:rPr>
                <w:rFonts w:ascii="Calibri" w:hAnsi="Calibri" w:cs="Calibri"/>
                <w:bCs/>
                <w:color w:val="000000"/>
                <w:lang w:val="en-AU"/>
              </w:rPr>
              <w:t xml:space="preserve">). However, as the information spread through social media, it was distorted to portray Meiliana, a Chinese-Indonesian </w:t>
            </w:r>
            <w:r>
              <w:rPr>
                <w:rFonts w:ascii="Calibri" w:hAnsi="Calibri" w:cs="Calibri"/>
                <w:bCs/>
                <w:color w:val="000000"/>
                <w:lang w:val="en-AU"/>
              </w:rPr>
              <w:t>Buddhist</w:t>
            </w:r>
            <w:r w:rsidRPr="00B86693">
              <w:rPr>
                <w:rFonts w:ascii="Calibri" w:hAnsi="Calibri" w:cs="Calibri"/>
                <w:bCs/>
                <w:color w:val="000000"/>
                <w:lang w:val="en-AU"/>
              </w:rPr>
              <w:t xml:space="preserve"> woman, as rejecting the </w:t>
            </w:r>
            <w:proofErr w:type="spellStart"/>
            <w:r w:rsidRPr="00B86693">
              <w:rPr>
                <w:rFonts w:ascii="Calibri" w:hAnsi="Calibri" w:cs="Calibri"/>
                <w:bCs/>
                <w:color w:val="000000"/>
                <w:lang w:val="en-AU"/>
              </w:rPr>
              <w:t>athan</w:t>
            </w:r>
            <w:proofErr w:type="spellEnd"/>
            <w:r w:rsidRPr="00B86693">
              <w:rPr>
                <w:rFonts w:ascii="Calibri" w:hAnsi="Calibri" w:cs="Calibri"/>
                <w:bCs/>
                <w:color w:val="000000"/>
                <w:lang w:val="en-AU"/>
              </w:rPr>
              <w:t>. This shift in information represents a form of hate spin, with unclear origins, that quickly spread due to the presence of anti-Islamic sentiment</w:t>
            </w:r>
          </w:p>
        </w:tc>
      </w:tr>
      <w:tr w:rsidR="00940329" w14:paraId="6BC6792C" w14:textId="77777777" w:rsidTr="00B86693">
        <w:tc>
          <w:tcPr>
            <w:tcW w:w="1413" w:type="dxa"/>
            <w:tcBorders>
              <w:left w:val="nil"/>
              <w:bottom w:val="single" w:sz="4" w:space="0" w:color="auto"/>
            </w:tcBorders>
          </w:tcPr>
          <w:p w14:paraId="3F4BDFC9" w14:textId="16375604" w:rsidR="00940329" w:rsidRDefault="00940329" w:rsidP="00940329">
            <w:pPr>
              <w:ind w:firstLine="0"/>
              <w:jc w:val="both"/>
              <w:rPr>
                <w:rFonts w:ascii="Calibri" w:hAnsi="Calibri" w:cs="Calibri"/>
                <w:b/>
                <w:i/>
                <w:iCs/>
                <w:color w:val="000000"/>
                <w:lang w:val="en-AU"/>
              </w:rPr>
            </w:pPr>
            <w:r>
              <w:rPr>
                <w:rFonts w:ascii="Calibri" w:hAnsi="Calibri" w:cs="Calibri"/>
                <w:b/>
                <w:i/>
                <w:iCs/>
                <w:color w:val="000000"/>
                <w:lang w:val="en-AU"/>
              </w:rPr>
              <w:lastRenderedPageBreak/>
              <w:t>Gafatar Case</w:t>
            </w:r>
          </w:p>
        </w:tc>
        <w:tc>
          <w:tcPr>
            <w:tcW w:w="4252" w:type="dxa"/>
            <w:tcBorders>
              <w:bottom w:val="single" w:sz="4" w:space="0" w:color="auto"/>
            </w:tcBorders>
          </w:tcPr>
          <w:p w14:paraId="5CD4E6F4" w14:textId="627E9972" w:rsidR="00940329" w:rsidRPr="00940329" w:rsidRDefault="00B86693" w:rsidP="00940329">
            <w:pPr>
              <w:ind w:firstLine="0"/>
              <w:jc w:val="both"/>
              <w:rPr>
                <w:rFonts w:ascii="Calibri" w:hAnsi="Calibri" w:cs="Calibri"/>
                <w:bCs/>
                <w:color w:val="000000"/>
                <w:lang w:val="en-AU"/>
              </w:rPr>
            </w:pPr>
            <w:r w:rsidRPr="00B86693">
              <w:rPr>
                <w:rFonts w:ascii="Calibri" w:hAnsi="Calibri" w:cs="Calibri"/>
                <w:bCs/>
                <w:color w:val="000000"/>
                <w:lang w:val="en-AU"/>
              </w:rPr>
              <w:t xml:space="preserve">Moton Panjang and </w:t>
            </w:r>
            <w:proofErr w:type="spellStart"/>
            <w:r w:rsidRPr="00B86693">
              <w:rPr>
                <w:rFonts w:ascii="Calibri" w:hAnsi="Calibri" w:cs="Calibri"/>
                <w:bCs/>
                <w:color w:val="000000"/>
                <w:lang w:val="en-AU"/>
              </w:rPr>
              <w:t>Tanjung</w:t>
            </w:r>
            <w:proofErr w:type="spellEnd"/>
            <w:r w:rsidRPr="00B86693">
              <w:rPr>
                <w:rFonts w:ascii="Calibri" w:hAnsi="Calibri" w:cs="Calibri"/>
                <w:bCs/>
                <w:color w:val="000000"/>
                <w:lang w:val="en-AU"/>
              </w:rPr>
              <w:t xml:space="preserve"> </w:t>
            </w:r>
            <w:proofErr w:type="spellStart"/>
            <w:r w:rsidRPr="00B86693">
              <w:rPr>
                <w:rFonts w:ascii="Calibri" w:hAnsi="Calibri" w:cs="Calibri"/>
                <w:bCs/>
                <w:color w:val="000000"/>
                <w:lang w:val="en-AU"/>
              </w:rPr>
              <w:t>Pasir</w:t>
            </w:r>
            <w:proofErr w:type="spellEnd"/>
            <w:r w:rsidRPr="00B86693">
              <w:rPr>
                <w:rFonts w:ascii="Calibri" w:hAnsi="Calibri" w:cs="Calibri"/>
                <w:bCs/>
                <w:color w:val="000000"/>
                <w:lang w:val="en-AU"/>
              </w:rPr>
              <w:t xml:space="preserve"> villages in Kalimantan opposed Gafatar, a legal body founded in 2012 with 55,000 members, leading to serious repercussions for its supporters. Despite initial clearance from the Ministry of Home Affairs, Gafatar was liquidated in 2015. Human Rights Watch reported that 2,422 families (7,916 people) were forcibly expelled from Kalimantan within two months, and over 6,000 Gafatar members were detained in illegal detention </w:t>
            </w:r>
            <w:proofErr w:type="spellStart"/>
            <w:r w:rsidRPr="00B86693">
              <w:rPr>
                <w:rFonts w:ascii="Calibri" w:hAnsi="Calibri" w:cs="Calibri"/>
                <w:bCs/>
                <w:color w:val="000000"/>
                <w:lang w:val="en-AU"/>
              </w:rPr>
              <w:t>centers</w:t>
            </w:r>
            <w:proofErr w:type="spellEnd"/>
            <w:r w:rsidRPr="00B86693">
              <w:rPr>
                <w:rFonts w:ascii="Calibri" w:hAnsi="Calibri" w:cs="Calibri"/>
                <w:bCs/>
                <w:color w:val="000000"/>
                <w:lang w:val="en-AU"/>
              </w:rPr>
              <w:t xml:space="preserve"> across Indonesia. The former Gafatar chairman, </w:t>
            </w:r>
            <w:proofErr w:type="spellStart"/>
            <w:r w:rsidRPr="00B86693">
              <w:rPr>
                <w:rFonts w:ascii="Calibri" w:hAnsi="Calibri" w:cs="Calibri"/>
                <w:bCs/>
                <w:color w:val="000000"/>
                <w:lang w:val="en-AU"/>
              </w:rPr>
              <w:t>Mahful</w:t>
            </w:r>
            <w:proofErr w:type="spellEnd"/>
            <w:r w:rsidRPr="00B86693">
              <w:rPr>
                <w:rFonts w:ascii="Calibri" w:hAnsi="Calibri" w:cs="Calibri"/>
                <w:bCs/>
                <w:color w:val="000000"/>
                <w:lang w:val="en-AU"/>
              </w:rPr>
              <w:t xml:space="preserve"> M </w:t>
            </w:r>
            <w:proofErr w:type="spellStart"/>
            <w:r w:rsidRPr="00B86693">
              <w:rPr>
                <w:rFonts w:ascii="Calibri" w:hAnsi="Calibri" w:cs="Calibri"/>
                <w:bCs/>
                <w:color w:val="000000"/>
                <w:lang w:val="en-AU"/>
              </w:rPr>
              <w:t>Tumanurung</w:t>
            </w:r>
            <w:proofErr w:type="spellEnd"/>
            <w:r w:rsidRPr="00B86693">
              <w:rPr>
                <w:rFonts w:ascii="Calibri" w:hAnsi="Calibri" w:cs="Calibri"/>
                <w:bCs/>
                <w:color w:val="000000"/>
                <w:lang w:val="en-AU"/>
              </w:rPr>
              <w:t>, expressed regret over the forced evictions, property damage, and asset looting against Gafatar members.</w:t>
            </w:r>
          </w:p>
        </w:tc>
        <w:tc>
          <w:tcPr>
            <w:tcW w:w="4253" w:type="dxa"/>
            <w:tcBorders>
              <w:bottom w:val="single" w:sz="4" w:space="0" w:color="auto"/>
              <w:right w:val="nil"/>
            </w:tcBorders>
          </w:tcPr>
          <w:p w14:paraId="365699DF" w14:textId="77777777" w:rsidR="00940329" w:rsidRDefault="00940329" w:rsidP="00940329">
            <w:pPr>
              <w:ind w:firstLine="0"/>
              <w:jc w:val="both"/>
              <w:rPr>
                <w:rFonts w:ascii="Calibri" w:hAnsi="Calibri" w:cs="Calibri"/>
                <w:bCs/>
                <w:color w:val="000000"/>
                <w:lang w:val="en-AU"/>
              </w:rPr>
            </w:pPr>
            <w:r w:rsidRPr="0022722E">
              <w:rPr>
                <w:rFonts w:ascii="Calibri" w:hAnsi="Calibri" w:cs="Calibri"/>
                <w:bCs/>
                <w:color w:val="000000"/>
                <w:lang w:val="en-AU"/>
              </w:rPr>
              <w:t>The hate spin strategy against Gafatar has had adverse effects on its followers, who have suffered from acts of vigilantism resulting in displacement, property damage, and severe injuries. The declaration of Gafatar as a heretical movement has placed undue burden and harm to its members.</w:t>
            </w:r>
          </w:p>
          <w:p w14:paraId="6EACFCAC" w14:textId="77777777" w:rsidR="00940329" w:rsidRDefault="00940329" w:rsidP="00B86693">
            <w:pPr>
              <w:ind w:firstLine="0"/>
              <w:jc w:val="both"/>
              <w:rPr>
                <w:rFonts w:ascii="Calibri" w:hAnsi="Calibri" w:cs="Calibri"/>
                <w:b/>
                <w:i/>
                <w:iCs/>
                <w:color w:val="000000"/>
                <w:lang w:val="en-AU"/>
              </w:rPr>
            </w:pPr>
          </w:p>
        </w:tc>
      </w:tr>
      <w:tr w:rsidR="00940329" w14:paraId="4F303418" w14:textId="77777777" w:rsidTr="00B86693">
        <w:tc>
          <w:tcPr>
            <w:tcW w:w="1413" w:type="dxa"/>
            <w:tcBorders>
              <w:left w:val="nil"/>
            </w:tcBorders>
            <w:shd w:val="clear" w:color="auto" w:fill="D0CECE" w:themeFill="background2" w:themeFillShade="E6"/>
          </w:tcPr>
          <w:p w14:paraId="3823786F" w14:textId="7664F85A" w:rsidR="00940329" w:rsidRDefault="00940329" w:rsidP="00940329">
            <w:pPr>
              <w:ind w:firstLine="0"/>
              <w:jc w:val="both"/>
              <w:rPr>
                <w:rFonts w:ascii="Calibri" w:hAnsi="Calibri" w:cs="Calibri"/>
                <w:b/>
                <w:i/>
                <w:iCs/>
                <w:color w:val="000000"/>
                <w:lang w:val="en-AU"/>
              </w:rPr>
            </w:pPr>
            <w:r>
              <w:rPr>
                <w:rFonts w:ascii="Calibri" w:hAnsi="Calibri" w:cs="Calibri"/>
                <w:b/>
                <w:i/>
                <w:iCs/>
                <w:color w:val="000000"/>
                <w:lang w:val="en-AU"/>
              </w:rPr>
              <w:t>Ahmadiyya Case</w:t>
            </w:r>
          </w:p>
        </w:tc>
        <w:tc>
          <w:tcPr>
            <w:tcW w:w="4252" w:type="dxa"/>
            <w:shd w:val="clear" w:color="auto" w:fill="D0CECE" w:themeFill="background2" w:themeFillShade="E6"/>
          </w:tcPr>
          <w:p w14:paraId="43D00015" w14:textId="550EFBBE" w:rsidR="00940329" w:rsidRDefault="00940329" w:rsidP="00B1578E">
            <w:pPr>
              <w:jc w:val="both"/>
              <w:rPr>
                <w:rFonts w:ascii="Calibri" w:hAnsi="Calibri" w:cs="Calibri"/>
                <w:b/>
                <w:i/>
                <w:iCs/>
                <w:color w:val="000000"/>
                <w:lang w:val="en-AU"/>
              </w:rPr>
            </w:pPr>
            <w:r w:rsidRPr="00940329">
              <w:rPr>
                <w:rFonts w:ascii="Calibri" w:hAnsi="Calibri" w:cs="Calibri"/>
                <w:bCs/>
                <w:color w:val="000000"/>
                <w:lang w:val="en-AU"/>
              </w:rPr>
              <w:t>Since 1980, Indonesia's Ahmadiyya community has faced vigilante justice. Ahmadiyya followers in Lombok, West Nusa Tenggara, Tangerang, Bogor, and East Java have been violently attacked, resulting in damage to their houses of worship and buildings, minor and severe injuries, deaths, and displacement. The Indonesian government must avoid such violence and promote religious tolerance and understanding.</w:t>
            </w:r>
          </w:p>
        </w:tc>
        <w:tc>
          <w:tcPr>
            <w:tcW w:w="4253" w:type="dxa"/>
            <w:tcBorders>
              <w:right w:val="nil"/>
            </w:tcBorders>
            <w:shd w:val="clear" w:color="auto" w:fill="D0CECE" w:themeFill="background2" w:themeFillShade="E6"/>
          </w:tcPr>
          <w:p w14:paraId="1DA00397" w14:textId="265B7C6A" w:rsidR="00940329" w:rsidRDefault="00B86693" w:rsidP="00B1578E">
            <w:pPr>
              <w:jc w:val="both"/>
              <w:rPr>
                <w:rFonts w:ascii="Calibri" w:hAnsi="Calibri" w:cs="Calibri"/>
                <w:b/>
                <w:i/>
                <w:iCs/>
                <w:color w:val="000000"/>
                <w:lang w:val="en-AU"/>
              </w:rPr>
            </w:pPr>
            <w:r w:rsidRPr="00B86693">
              <w:rPr>
                <w:rFonts w:ascii="Calibri" w:hAnsi="Calibri" w:cs="Calibri"/>
                <w:bCs/>
                <w:color w:val="000000"/>
                <w:lang w:val="en-AU"/>
              </w:rPr>
              <w:t>The hate spin strategy has been used against the Ahmadiyya community, which is considered heretical by the MUI due to their belief in Mirza Gulam Ahmad as the last prophet and having a sacred book other than the Qur'an. This fundamental difference has led to tensions and vigilante justice against Ahmadiyya followers. Despite their religious practices being similar to mainstream Islam, they are rejected by Pakistan, Malaysia, and OIC countries. The MUI's advice for Ahmadiyya adherents to renounce Islam has not resolved the issue, as they continue to follow Islamic precepts.</w:t>
            </w:r>
          </w:p>
        </w:tc>
      </w:tr>
    </w:tbl>
    <w:p w14:paraId="22B9CF63" w14:textId="77777777" w:rsidR="00940329" w:rsidRDefault="00940329" w:rsidP="00B1578E">
      <w:pPr>
        <w:jc w:val="both"/>
        <w:rPr>
          <w:rFonts w:ascii="Calibri" w:hAnsi="Calibri" w:cs="Calibri"/>
          <w:b/>
          <w:i/>
          <w:iCs/>
          <w:color w:val="000000"/>
          <w:lang w:val="en-AU"/>
        </w:rPr>
      </w:pPr>
    </w:p>
    <w:p w14:paraId="6B1696C2" w14:textId="1DE5F1E8" w:rsidR="00940329" w:rsidRDefault="00B86693" w:rsidP="00940329">
      <w:pPr>
        <w:ind w:firstLine="720"/>
        <w:jc w:val="both"/>
        <w:rPr>
          <w:rFonts w:ascii="Calibri" w:hAnsi="Calibri" w:cs="Calibri"/>
          <w:bCs/>
          <w:color w:val="000000"/>
          <w:lang w:val="en-AU"/>
        </w:rPr>
      </w:pPr>
      <w:r w:rsidRPr="00B86693">
        <w:rPr>
          <w:rFonts w:ascii="Calibri" w:hAnsi="Calibri" w:cs="Calibri"/>
          <w:bCs/>
          <w:color w:val="000000"/>
          <w:lang w:val="en-AU"/>
        </w:rPr>
        <w:t xml:space="preserve">The politicization of religion, through blasphemy laws, has led to the prosecution of political opponents in Indonesia, as seen in Ahok and </w:t>
      </w:r>
      <w:proofErr w:type="spellStart"/>
      <w:r w:rsidRPr="00B86693">
        <w:rPr>
          <w:rFonts w:ascii="Calibri" w:hAnsi="Calibri" w:cs="Calibri"/>
          <w:bCs/>
          <w:color w:val="000000"/>
          <w:lang w:val="en-AU"/>
        </w:rPr>
        <w:t>Meiliana's</w:t>
      </w:r>
      <w:proofErr w:type="spellEnd"/>
      <w:r w:rsidRPr="00B86693">
        <w:rPr>
          <w:rFonts w:ascii="Calibri" w:hAnsi="Calibri" w:cs="Calibri"/>
          <w:bCs/>
          <w:color w:val="000000"/>
          <w:lang w:val="en-AU"/>
        </w:rPr>
        <w:t xml:space="preserve"> cases</w:t>
      </w:r>
      <w:r>
        <w:rPr>
          <w:rFonts w:ascii="Calibri" w:hAnsi="Calibri" w:cs="Calibri"/>
          <w:bCs/>
          <w:color w:val="000000"/>
          <w:lang w:val="en-AU"/>
        </w:rPr>
        <w:t xml:space="preserve"> </w:t>
      </w:r>
      <w:r>
        <w:rPr>
          <w:rFonts w:ascii="Calibri" w:hAnsi="Calibri" w:cs="Calibri"/>
          <w:bCs/>
          <w:color w:val="000000"/>
          <w:lang w:val="en-AU"/>
        </w:rPr>
        <w:fldChar w:fldCharType="begin"/>
      </w:r>
      <w:r>
        <w:rPr>
          <w:rFonts w:ascii="Calibri" w:hAnsi="Calibri" w:cs="Calibri"/>
          <w:bCs/>
          <w:color w:val="000000"/>
          <w:lang w:val="en-AU"/>
        </w:rPr>
        <w:instrText xml:space="preserve"> ADDIN ZOTERO_ITEM CSL_CITATION {"citationID":"l00f3BNf","properties":{"formattedCitation":"(Mulyartono et al., 2021)","plainCitation":"(Mulyartono et al., 2021)","noteIndex":0},"citationItems":[{"id":2289,"uris":["http://zotero.org/users/6396655/items/355RDBCF"],"itemData":{"id":2289,"type":"document","publisher":"University of Melbourne","title":"How did a complaint about a mosque loudspeaker end up in a blasphemy conviction?","URL":"https://indonesiaatmelbourne.unimelb.edu.au/how-did-a-complaint-about-a-mosque-loudspeaker-end-up-in-a-blasphemy-conviction/","author":[{"family":"Mulyartono","given":"Siswo"},{"literal":"RAFSADIE, IRSYAD"},{"literal":"NUR SAHID, Ali"}],"issued":{"date-parts":[["2021",1]]}}}],"schema":"https://github.com/citation-style-language/schema/raw/master/csl-citation.json"} </w:instrText>
      </w:r>
      <w:r>
        <w:rPr>
          <w:rFonts w:ascii="Calibri" w:hAnsi="Calibri" w:cs="Calibri"/>
          <w:bCs/>
          <w:color w:val="000000"/>
          <w:lang w:val="en-AU"/>
        </w:rPr>
        <w:fldChar w:fldCharType="separate"/>
      </w:r>
      <w:r>
        <w:rPr>
          <w:rFonts w:ascii="Calibri" w:hAnsi="Calibri" w:cs="Calibri"/>
          <w:bCs/>
          <w:noProof/>
          <w:color w:val="000000"/>
          <w:lang w:val="en-AU"/>
        </w:rPr>
        <w:t>(Mulyartono et al., 2021)</w:t>
      </w:r>
      <w:r>
        <w:rPr>
          <w:rFonts w:ascii="Calibri" w:hAnsi="Calibri" w:cs="Calibri"/>
          <w:bCs/>
          <w:color w:val="000000"/>
          <w:lang w:val="en-AU"/>
        </w:rPr>
        <w:fldChar w:fldCharType="end"/>
      </w:r>
      <w:r w:rsidRPr="00B86693">
        <w:rPr>
          <w:rFonts w:ascii="Calibri" w:hAnsi="Calibri" w:cs="Calibri"/>
          <w:bCs/>
          <w:color w:val="000000"/>
          <w:lang w:val="en-AU"/>
        </w:rPr>
        <w:t xml:space="preserve">. The politicization of religion in Indonesia's political climate exacerbates this issue since the majority's voice, often the Islamic community, can determine election results. The manipulation of information and editing of </w:t>
      </w:r>
      <w:proofErr w:type="spellStart"/>
      <w:r w:rsidRPr="00B86693">
        <w:rPr>
          <w:rFonts w:ascii="Calibri" w:hAnsi="Calibri" w:cs="Calibri"/>
          <w:bCs/>
          <w:color w:val="000000"/>
          <w:lang w:val="en-AU"/>
        </w:rPr>
        <w:t>Ahok's</w:t>
      </w:r>
      <w:proofErr w:type="spellEnd"/>
      <w:r w:rsidRPr="00B86693">
        <w:rPr>
          <w:rFonts w:ascii="Calibri" w:hAnsi="Calibri" w:cs="Calibri"/>
          <w:bCs/>
          <w:color w:val="000000"/>
          <w:lang w:val="en-AU"/>
        </w:rPr>
        <w:t xml:space="preserve"> statements has successfully sparked hatred and accusations against him and disrespected Islam. Upholding legal norms and preventing the misuse of laws to assert political agendas is crucial to safeguard the rights and well-being of all citizens. Promoting transparency and accountability in governance can also help reduce the potential for political exploitation of religious differences.</w:t>
      </w:r>
    </w:p>
    <w:p w14:paraId="3708C44E" w14:textId="77777777" w:rsidR="0022722E" w:rsidRDefault="0022722E" w:rsidP="00940329">
      <w:pPr>
        <w:ind w:firstLine="0"/>
        <w:jc w:val="both"/>
        <w:rPr>
          <w:rFonts w:ascii="Calibri" w:hAnsi="Calibri" w:cs="Calibri"/>
          <w:bCs/>
          <w:color w:val="000000"/>
          <w:lang w:val="en-AU"/>
        </w:rPr>
      </w:pPr>
    </w:p>
    <w:p w14:paraId="76BA4384" w14:textId="32DC9379" w:rsidR="00B1578E" w:rsidRPr="00315563" w:rsidRDefault="00FB5444" w:rsidP="00940329">
      <w:pPr>
        <w:ind w:firstLine="0"/>
        <w:jc w:val="both"/>
        <w:rPr>
          <w:rFonts w:ascii="Calibri" w:hAnsi="Calibri" w:cs="Calibri"/>
          <w:b/>
          <w:color w:val="000000"/>
          <w:lang w:val="en-AU"/>
        </w:rPr>
      </w:pPr>
      <w:r w:rsidRPr="00B1578E">
        <w:rPr>
          <w:rFonts w:ascii="Calibri" w:hAnsi="Calibri" w:cs="Calibri"/>
          <w:b/>
          <w:color w:val="000000"/>
          <w:lang w:val="en-AU"/>
        </w:rPr>
        <w:t xml:space="preserve">Factors And Actors Influence </w:t>
      </w:r>
      <w:r w:rsidR="00623356">
        <w:rPr>
          <w:rFonts w:ascii="Calibri" w:hAnsi="Calibri" w:cs="Calibri"/>
          <w:b/>
          <w:color w:val="000000"/>
          <w:lang w:val="en-AU"/>
        </w:rPr>
        <w:t>t</w:t>
      </w:r>
      <w:r w:rsidRPr="00B1578E">
        <w:rPr>
          <w:rFonts w:ascii="Calibri" w:hAnsi="Calibri" w:cs="Calibri"/>
          <w:b/>
          <w:color w:val="000000"/>
          <w:lang w:val="en-AU"/>
        </w:rPr>
        <w:t xml:space="preserve">he Act </w:t>
      </w:r>
      <w:r w:rsidR="00623356">
        <w:rPr>
          <w:rFonts w:ascii="Calibri" w:hAnsi="Calibri" w:cs="Calibri"/>
          <w:b/>
          <w:color w:val="000000"/>
          <w:lang w:val="en-AU"/>
        </w:rPr>
        <w:t>o</w:t>
      </w:r>
      <w:r w:rsidRPr="00B1578E">
        <w:rPr>
          <w:rFonts w:ascii="Calibri" w:hAnsi="Calibri" w:cs="Calibri"/>
          <w:b/>
          <w:color w:val="000000"/>
          <w:lang w:val="en-AU"/>
        </w:rPr>
        <w:t xml:space="preserve">f </w:t>
      </w:r>
      <w:r w:rsidR="00623356">
        <w:rPr>
          <w:rFonts w:ascii="Calibri" w:hAnsi="Calibri" w:cs="Calibri"/>
          <w:b/>
          <w:i/>
          <w:iCs/>
          <w:color w:val="000000"/>
          <w:lang w:val="en-AU"/>
        </w:rPr>
        <w:t>Vigilante Justice over Blasphemy Allegations</w:t>
      </w:r>
    </w:p>
    <w:p w14:paraId="35EA2EC0" w14:textId="342654C1" w:rsidR="0022722E" w:rsidRPr="0022722E" w:rsidRDefault="0022722E" w:rsidP="0061607F">
      <w:pPr>
        <w:ind w:firstLine="0"/>
        <w:jc w:val="both"/>
        <w:rPr>
          <w:rFonts w:ascii="Calibri" w:hAnsi="Calibri" w:cs="Calibri"/>
          <w:bCs/>
          <w:color w:val="000000"/>
          <w:lang w:val="en-AU"/>
        </w:rPr>
      </w:pPr>
      <w:r w:rsidRPr="0022722E">
        <w:rPr>
          <w:rFonts w:ascii="Calibri" w:hAnsi="Calibri" w:cs="Calibri"/>
          <w:bCs/>
          <w:color w:val="000000"/>
          <w:lang w:val="en-AU"/>
        </w:rPr>
        <w:t>The issue of vigilante justice against religious minority groups in Indonesia is a concerning problem that has been influenced by various factors and actors. Some of these influential factors and actors can be explained as follows:</w:t>
      </w:r>
    </w:p>
    <w:p w14:paraId="3006E6AB" w14:textId="67FA34D0" w:rsidR="0022722E" w:rsidRPr="00315563" w:rsidRDefault="0022722E" w:rsidP="0022722E">
      <w:pPr>
        <w:pStyle w:val="ListParagraph"/>
        <w:numPr>
          <w:ilvl w:val="0"/>
          <w:numId w:val="7"/>
        </w:numPr>
        <w:jc w:val="both"/>
        <w:rPr>
          <w:rFonts w:ascii="Calibri" w:hAnsi="Calibri" w:cs="Calibri"/>
          <w:bCs/>
          <w:color w:val="000000"/>
          <w:lang w:val="en-AU"/>
        </w:rPr>
      </w:pPr>
      <w:r w:rsidRPr="00315563">
        <w:rPr>
          <w:rFonts w:ascii="Calibri" w:hAnsi="Calibri" w:cs="Calibri"/>
          <w:bCs/>
          <w:color w:val="000000"/>
          <w:lang w:val="en-AU"/>
        </w:rPr>
        <w:t xml:space="preserve">The close connections between state officials and vigilante groups have significantly influenced the Indonesian state's response to violence against </w:t>
      </w:r>
      <w:r w:rsidR="00833663" w:rsidRPr="00315563">
        <w:rPr>
          <w:rFonts w:ascii="Calibri" w:hAnsi="Calibri" w:cs="Calibri"/>
          <w:bCs/>
          <w:color w:val="000000"/>
          <w:lang w:val="en-AU"/>
        </w:rPr>
        <w:t>Ahmadiyya</w:t>
      </w:r>
      <w:r w:rsidRPr="00315563">
        <w:rPr>
          <w:rFonts w:ascii="Calibri" w:hAnsi="Calibri" w:cs="Calibri"/>
          <w:bCs/>
          <w:color w:val="000000"/>
          <w:lang w:val="en-AU"/>
        </w:rPr>
        <w:t xml:space="preserve"> and </w:t>
      </w:r>
      <w:r w:rsidR="00940329">
        <w:rPr>
          <w:rFonts w:ascii="Calibri" w:hAnsi="Calibri" w:cs="Calibri"/>
          <w:bCs/>
          <w:color w:val="000000"/>
          <w:lang w:val="en-AU"/>
        </w:rPr>
        <w:t xml:space="preserve">Shi’a </w:t>
      </w:r>
      <w:r w:rsidRPr="00315563">
        <w:rPr>
          <w:rFonts w:ascii="Calibri" w:hAnsi="Calibri" w:cs="Calibri"/>
          <w:bCs/>
          <w:color w:val="000000"/>
          <w:lang w:val="en-AU"/>
        </w:rPr>
        <w:t>minority communities. The connection has allowed vigilante groups to commit violent acts against minority congregations with a degree of impunity</w:t>
      </w:r>
      <w:r w:rsidR="00A36558" w:rsidRPr="00315563">
        <w:rPr>
          <w:rFonts w:ascii="Calibri" w:hAnsi="Calibri" w:cs="Calibri"/>
          <w:bCs/>
          <w:color w:val="000000"/>
          <w:lang w:val="en-AU"/>
        </w:rPr>
        <w:t xml:space="preserve"> </w:t>
      </w:r>
      <w:r w:rsidR="00A36558" w:rsidRPr="00315563">
        <w:rPr>
          <w:rFonts w:ascii="Calibri" w:hAnsi="Calibri" w:cs="Calibri"/>
          <w:bCs/>
          <w:color w:val="000000"/>
          <w:lang w:val="en-AU"/>
        </w:rPr>
        <w:fldChar w:fldCharType="begin"/>
      </w:r>
      <w:r w:rsidR="00A36558" w:rsidRPr="00315563">
        <w:rPr>
          <w:rFonts w:ascii="Calibri" w:hAnsi="Calibri" w:cs="Calibri"/>
          <w:bCs/>
          <w:color w:val="000000"/>
          <w:lang w:val="en-AU"/>
        </w:rPr>
        <w:instrText xml:space="preserve"> ADDIN ZOTERO_ITEM CSL_CITATION {"citationID":"vNFYI6jr","properties":{"formattedCitation":"(Hewson, 2017)","plainCitation":"(Hewson, 2017)","noteIndex":0},"citationItems":[{"id":2284,"uris":["http://zotero.org/users/6396655/items/AINPA3DQ"],"itemData":{"id":2284,"type":"article-journal","title":"Focus - Mob justice on the rise in Indonesia","URL":"https://www.france24.com/en/20170928-focus-indonesia-mob-justice-rise-vigilante-violence-ethnic-religious-minorities","author":[{"family":"Hewson","given":"Jack"}],"issued":{"date-parts":[["2017",9]]}}}],"schema":"https://github.com/citation-style-language/schema/raw/master/csl-citation.json"} </w:instrText>
      </w:r>
      <w:r w:rsidR="00A36558" w:rsidRPr="00315563">
        <w:rPr>
          <w:rFonts w:ascii="Calibri" w:hAnsi="Calibri" w:cs="Calibri"/>
          <w:bCs/>
          <w:color w:val="000000"/>
          <w:lang w:val="en-AU"/>
        </w:rPr>
        <w:fldChar w:fldCharType="separate"/>
      </w:r>
      <w:r w:rsidR="00A36558" w:rsidRPr="00315563">
        <w:rPr>
          <w:rFonts w:ascii="Calibri" w:hAnsi="Calibri" w:cs="Calibri"/>
          <w:bCs/>
          <w:noProof/>
          <w:color w:val="000000"/>
          <w:lang w:val="en-AU"/>
        </w:rPr>
        <w:t>(Hewson, 2017)</w:t>
      </w:r>
      <w:r w:rsidR="00A36558" w:rsidRPr="00315563">
        <w:rPr>
          <w:rFonts w:ascii="Calibri" w:hAnsi="Calibri" w:cs="Calibri"/>
          <w:bCs/>
          <w:color w:val="000000"/>
          <w:lang w:val="en-AU"/>
        </w:rPr>
        <w:fldChar w:fldCharType="end"/>
      </w:r>
      <w:r w:rsidRPr="00315563">
        <w:rPr>
          <w:rFonts w:ascii="Calibri" w:hAnsi="Calibri" w:cs="Calibri"/>
          <w:bCs/>
          <w:color w:val="000000"/>
          <w:lang w:val="en-AU"/>
        </w:rPr>
        <w:t>.</w:t>
      </w:r>
    </w:p>
    <w:p w14:paraId="14B94149" w14:textId="5912752E" w:rsidR="0022722E" w:rsidRPr="00315563" w:rsidRDefault="0022722E" w:rsidP="0022722E">
      <w:pPr>
        <w:pStyle w:val="ListParagraph"/>
        <w:numPr>
          <w:ilvl w:val="0"/>
          <w:numId w:val="7"/>
        </w:numPr>
        <w:jc w:val="both"/>
        <w:rPr>
          <w:rFonts w:ascii="Calibri" w:hAnsi="Calibri" w:cs="Calibri"/>
          <w:bCs/>
          <w:color w:val="000000"/>
          <w:lang w:val="en-AU"/>
        </w:rPr>
      </w:pPr>
      <w:r w:rsidRPr="00315563">
        <w:rPr>
          <w:rFonts w:ascii="Calibri" w:hAnsi="Calibri" w:cs="Calibri"/>
          <w:bCs/>
          <w:color w:val="000000"/>
          <w:lang w:val="en-AU"/>
        </w:rPr>
        <w:lastRenderedPageBreak/>
        <w:t>The Indonesian state's reluctance to assist or permit minority groups to practice their faith freely but instead strongly accommodate Majority groups' demand for religious issues has contributed to the prevalence of vigilante violence against religious minorities.</w:t>
      </w:r>
    </w:p>
    <w:p w14:paraId="1B322B10" w14:textId="57D80FD1" w:rsidR="00354557" w:rsidRPr="00315563" w:rsidRDefault="0022722E" w:rsidP="00315563">
      <w:pPr>
        <w:pStyle w:val="ListParagraph"/>
        <w:numPr>
          <w:ilvl w:val="0"/>
          <w:numId w:val="7"/>
        </w:numPr>
        <w:jc w:val="both"/>
        <w:rPr>
          <w:rFonts w:ascii="Calibri" w:hAnsi="Calibri" w:cs="Calibri"/>
          <w:bCs/>
          <w:color w:val="000000"/>
          <w:lang w:val="en-AU"/>
        </w:rPr>
      </w:pPr>
      <w:r w:rsidRPr="00315563">
        <w:rPr>
          <w:rFonts w:ascii="Calibri" w:hAnsi="Calibri" w:cs="Calibri"/>
          <w:bCs/>
          <w:color w:val="000000"/>
          <w:lang w:val="en-AU"/>
        </w:rPr>
        <w:t xml:space="preserve">Populism of Islam plays a role in this issue, considering that although the majority of disturbances that disrupt interfaith harmony involve mosque destruction, these mosques come from </w:t>
      </w:r>
      <w:r w:rsidR="00833663" w:rsidRPr="00315563">
        <w:rPr>
          <w:rFonts w:ascii="Calibri" w:hAnsi="Calibri" w:cs="Calibri"/>
          <w:bCs/>
          <w:color w:val="000000"/>
          <w:lang w:val="en-AU"/>
        </w:rPr>
        <w:t>Ahmadiyya</w:t>
      </w:r>
      <w:r w:rsidRPr="00315563">
        <w:rPr>
          <w:rFonts w:ascii="Calibri" w:hAnsi="Calibri" w:cs="Calibri"/>
          <w:bCs/>
          <w:color w:val="000000"/>
          <w:lang w:val="en-AU"/>
        </w:rPr>
        <w:t xml:space="preserve"> followers and other Muslim minority groups</w:t>
      </w:r>
      <w:r w:rsidR="007D75EE" w:rsidRPr="00315563">
        <w:rPr>
          <w:rFonts w:ascii="Calibri" w:hAnsi="Calibri" w:cs="Calibri"/>
          <w:bCs/>
          <w:color w:val="000000"/>
          <w:lang w:val="en-AU"/>
        </w:rPr>
        <w:t xml:space="preserve"> </w:t>
      </w:r>
      <w:r w:rsidR="007D75EE" w:rsidRPr="00315563">
        <w:rPr>
          <w:rFonts w:ascii="Calibri" w:hAnsi="Calibri" w:cs="Calibri"/>
          <w:bCs/>
          <w:color w:val="000000"/>
          <w:lang w:val="en-AU"/>
        </w:rPr>
        <w:fldChar w:fldCharType="begin"/>
      </w:r>
      <w:r w:rsidR="007D75EE" w:rsidRPr="00315563">
        <w:rPr>
          <w:rFonts w:ascii="Calibri" w:hAnsi="Calibri" w:cs="Calibri"/>
          <w:bCs/>
          <w:color w:val="000000"/>
          <w:lang w:val="en-AU"/>
        </w:rPr>
        <w:instrText xml:space="preserve"> ADDIN ZOTERO_ITEM CSL_CITATION {"citationID":"D6igGtWO","properties":{"formattedCitation":"(Suryana, 2019)","plainCitation":"(Suryana, 2019)","noteIndex":0},"citationItems":[{"id":2286,"uris":["http://zotero.org/users/6396655/items/3EI4ZYAX"],"itemData":{"id":2286,"type":"book","edition":"1","ISBN":"978-0-429-28472-4","language":"en","note":"DOI: 10.4324/9780429284724","publisher":"Routledge","source":"DOI.org (Crossref)","title":"The State and Religious Violence in Indonesia: Minority Faiths and Vigilantism","title-short":"The State and Religious Violence in Indonesia","URL":"https://www.taylorfrancis.com/books/9781000596793","author":[{"family":"Suryana","given":"A’an"}],"accessed":{"date-parts":[["2023",5,16]]},"issued":{"date-parts":[["2019",8,8]]}}}],"schema":"https://github.com/citation-style-language/schema/raw/master/csl-citation.json"} </w:instrText>
      </w:r>
      <w:r w:rsidR="007D75EE" w:rsidRPr="00315563">
        <w:rPr>
          <w:rFonts w:ascii="Calibri" w:hAnsi="Calibri" w:cs="Calibri"/>
          <w:bCs/>
          <w:color w:val="000000"/>
          <w:lang w:val="en-AU"/>
        </w:rPr>
        <w:fldChar w:fldCharType="separate"/>
      </w:r>
      <w:r w:rsidR="007D75EE" w:rsidRPr="00315563">
        <w:rPr>
          <w:rFonts w:ascii="Calibri" w:hAnsi="Calibri" w:cs="Calibri"/>
          <w:bCs/>
          <w:noProof/>
          <w:color w:val="000000"/>
          <w:lang w:val="en-AU"/>
        </w:rPr>
        <w:t>(Suryana, 2019)</w:t>
      </w:r>
      <w:r w:rsidR="007D75EE" w:rsidRPr="00315563">
        <w:rPr>
          <w:rFonts w:ascii="Calibri" w:hAnsi="Calibri" w:cs="Calibri"/>
          <w:bCs/>
          <w:color w:val="000000"/>
          <w:lang w:val="en-AU"/>
        </w:rPr>
        <w:fldChar w:fldCharType="end"/>
      </w:r>
      <w:r w:rsidRPr="00315563">
        <w:rPr>
          <w:rFonts w:ascii="Calibri" w:hAnsi="Calibri" w:cs="Calibri"/>
          <w:bCs/>
          <w:color w:val="000000"/>
          <w:lang w:val="en-AU"/>
        </w:rPr>
        <w:t>. Hence, in this context, populism of Islam refers to the Islam practiced by the majority of Indonesia's population.</w:t>
      </w:r>
    </w:p>
    <w:p w14:paraId="1237F002" w14:textId="77777777" w:rsidR="00940329" w:rsidRDefault="00940329" w:rsidP="00940329">
      <w:pPr>
        <w:jc w:val="both"/>
        <w:rPr>
          <w:rFonts w:ascii="Calibri" w:hAnsi="Calibri" w:cs="Calibri"/>
          <w:bCs/>
          <w:color w:val="000000"/>
          <w:lang w:val="en-AU"/>
        </w:rPr>
      </w:pPr>
      <w:r w:rsidRPr="00940329">
        <w:rPr>
          <w:rFonts w:ascii="Calibri" w:hAnsi="Calibri" w:cs="Calibri"/>
          <w:bCs/>
          <w:color w:val="000000"/>
          <w:lang w:val="en-AU"/>
        </w:rPr>
        <w:t>The Constitutional Court's decision regarding the multiple interpretations of the Anti-Blasphemy Law, which is a product of the past using terminology from the time it was created, has led to ambiguity in various judicial reviews of it. However, the judge believes that the law is still constitutional, and it is essential to urge lawmakers to modify it in line with current needs.</w:t>
      </w:r>
      <w:r>
        <w:rPr>
          <w:rFonts w:ascii="Calibri" w:hAnsi="Calibri" w:cs="Calibri"/>
          <w:bCs/>
          <w:color w:val="000000"/>
          <w:lang w:val="en-AU"/>
        </w:rPr>
        <w:t>]</w:t>
      </w:r>
    </w:p>
    <w:p w14:paraId="3C05993D" w14:textId="027D0BBC" w:rsidR="00940329" w:rsidRPr="00940329" w:rsidRDefault="00940329" w:rsidP="00940329">
      <w:pPr>
        <w:jc w:val="both"/>
        <w:rPr>
          <w:rFonts w:ascii="Calibri" w:hAnsi="Calibri" w:cs="Calibri"/>
          <w:bCs/>
          <w:color w:val="000000"/>
          <w:lang w:val="en-AU"/>
        </w:rPr>
      </w:pPr>
      <w:r w:rsidRPr="00940329">
        <w:rPr>
          <w:rFonts w:ascii="Calibri" w:hAnsi="Calibri" w:cs="Calibri"/>
          <w:bCs/>
          <w:color w:val="000000"/>
          <w:lang w:val="en-AU"/>
        </w:rPr>
        <w:t>Unfortunately, the vagueness of the Constitutional Court's decision has led the legislative body, the House of Representatives of the Republic of Indonesia, to underestimate the necessity of amending the Anti-Defamation Law. As a result, despite the Constitutional Court's decision Number 140/PUU-VII/2009 for more than a decade and a half, there have been no attempts by the DPR to make immediate changes to the Anti-Defamation Law. The consequence of this inaction is that both the Ahok case in 2016 and the Meiliana case in 2017, which occurred after the Constitutional Court's decision, resulted in criminalization, despite the lack of clarity in the Anti-Blasphemy Law.</w:t>
      </w:r>
    </w:p>
    <w:p w14:paraId="77ABABDE" w14:textId="77777777" w:rsidR="0022722E" w:rsidRDefault="0022722E" w:rsidP="00B1578E">
      <w:pPr>
        <w:jc w:val="both"/>
        <w:rPr>
          <w:rFonts w:ascii="Calibri" w:hAnsi="Calibri" w:cs="Calibri"/>
          <w:bCs/>
          <w:color w:val="000000"/>
          <w:lang w:val="en-AU"/>
        </w:rPr>
      </w:pPr>
    </w:p>
    <w:p w14:paraId="140E5A6E" w14:textId="4BD246DB" w:rsidR="005F4D43" w:rsidRDefault="005F4D43" w:rsidP="00DD2085">
      <w:pPr>
        <w:keepNext/>
        <w:jc w:val="center"/>
      </w:pPr>
      <w:r>
        <w:rPr>
          <w:rFonts w:ascii="Calibri" w:hAnsi="Calibri" w:cs="Calibri"/>
          <w:bCs/>
          <w:noProof/>
          <w:color w:val="000000"/>
          <w:lang w:val="en-AU"/>
        </w:rPr>
        <w:drawing>
          <wp:inline distT="0" distB="0" distL="0" distR="0" wp14:anchorId="0321AE94" wp14:editId="3422D0BF">
            <wp:extent cx="5448300" cy="3568700"/>
            <wp:effectExtent l="12700" t="12700" r="12700" b="12700"/>
            <wp:docPr id="19764420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6442012" name="Picture 1976442012"/>
                    <pic:cNvPicPr/>
                  </pic:nvPicPr>
                  <pic:blipFill>
                    <a:blip r:embed="rId10">
                      <a:extLst>
                        <a:ext uri="{28A0092B-C50C-407E-A947-70E740481C1C}">
                          <a14:useLocalDpi xmlns:a14="http://schemas.microsoft.com/office/drawing/2010/main" val="0"/>
                        </a:ext>
                      </a:extLst>
                    </a:blip>
                    <a:stretch>
                      <a:fillRect/>
                    </a:stretch>
                  </pic:blipFill>
                  <pic:spPr>
                    <a:xfrm>
                      <a:off x="0" y="0"/>
                      <a:ext cx="5448300" cy="3568700"/>
                    </a:xfrm>
                    <a:prstGeom prst="rect">
                      <a:avLst/>
                    </a:prstGeom>
                    <a:ln w="6350">
                      <a:solidFill>
                        <a:schemeClr val="tx1"/>
                      </a:solidFill>
                    </a:ln>
                  </pic:spPr>
                </pic:pic>
              </a:graphicData>
            </a:graphic>
          </wp:inline>
        </w:drawing>
      </w:r>
    </w:p>
    <w:p w14:paraId="1F7E8691" w14:textId="7F30F405" w:rsidR="0022722E" w:rsidRDefault="005F4D43" w:rsidP="005F4D43">
      <w:pPr>
        <w:pStyle w:val="Caption"/>
        <w:jc w:val="center"/>
        <w:rPr>
          <w:rFonts w:ascii="Calibri" w:hAnsi="Calibri" w:cs="Calibri"/>
          <w:bCs w:val="0"/>
          <w:color w:val="000000"/>
          <w:sz w:val="22"/>
          <w:szCs w:val="22"/>
          <w:lang w:val="en-AU"/>
        </w:rPr>
      </w:pPr>
      <w:r>
        <w:t xml:space="preserve">Figure </w:t>
      </w:r>
      <w:fldSimple w:instr=" SEQ Figure \* ARABIC ">
        <w:r>
          <w:rPr>
            <w:noProof/>
          </w:rPr>
          <w:t>1</w:t>
        </w:r>
      </w:fldSimple>
      <w:r>
        <w:t xml:space="preserve">. </w:t>
      </w:r>
      <w:r w:rsidRPr="007D6BC0">
        <w:t xml:space="preserve">Factors and actors influence the act of </w:t>
      </w:r>
      <w:r>
        <w:t>Vigilante Justice</w:t>
      </w:r>
    </w:p>
    <w:p w14:paraId="053481F0" w14:textId="12E48A34" w:rsidR="000259F9" w:rsidRPr="000259F9" w:rsidRDefault="00B86693" w:rsidP="00315563">
      <w:pPr>
        <w:pStyle w:val="NormalWeb"/>
        <w:spacing w:before="0" w:beforeAutospacing="0" w:after="0" w:afterAutospacing="0"/>
        <w:ind w:firstLine="720"/>
        <w:jc w:val="both"/>
        <w:divId w:val="2114595336"/>
        <w:rPr>
          <w:rFonts w:ascii="Calibri" w:hAnsi="Calibri" w:cs="Calibri"/>
          <w:bCs/>
          <w:color w:val="000000"/>
          <w:lang w:val="en-AU"/>
        </w:rPr>
      </w:pPr>
      <w:r w:rsidRPr="00B86693">
        <w:rPr>
          <w:rFonts w:ascii="Calibri" w:hAnsi="Calibri" w:cs="Calibri"/>
          <w:bCs/>
          <w:color w:val="000000"/>
          <w:lang w:val="en-AU"/>
        </w:rPr>
        <w:t>The ideology of Godly Nationalism in Indonesia contributes to prolonged enforcement of the Anti-Blasphemy Law by creating a law enforcement system that glorifies vigilante acts. Scholars suggest that Godly Nationalism results in religious intolerance and upholds religious values that are seen as contrary to blasphemy</w:t>
      </w:r>
      <w:r>
        <w:rPr>
          <w:rFonts w:ascii="Calibri" w:hAnsi="Calibri" w:cs="Calibri"/>
          <w:bCs/>
          <w:color w:val="000000"/>
          <w:lang w:val="en-AU"/>
        </w:rPr>
        <w:t xml:space="preserve"> </w:t>
      </w:r>
      <w:r>
        <w:rPr>
          <w:rFonts w:ascii="Calibri" w:hAnsi="Calibri" w:cs="Calibri"/>
          <w:bCs/>
          <w:color w:val="000000"/>
          <w:lang w:val="en-AU"/>
        </w:rPr>
        <w:fldChar w:fldCharType="begin"/>
      </w:r>
      <w:r>
        <w:rPr>
          <w:rFonts w:ascii="Calibri" w:hAnsi="Calibri" w:cs="Calibri"/>
          <w:bCs/>
          <w:color w:val="000000"/>
          <w:lang w:val="en-AU"/>
        </w:rPr>
        <w:instrText xml:space="preserve"> ADDIN ZOTERO_ITEM CSL_CITATION {"citationID":"6w0zNQ0B","properties":{"formattedCitation":"(Menchik, 2014; Telle, 2017)","plainCitation":"(Menchik, 2014; Telle, 2017)","noteIndex":0},"citationItems":[{"id":1806,"uris":["http://zotero.org/users/6396655/items/XYN34VLG"],"itemData":{"id":1806,"type":"article-journal","container-title":"Comparative Studies in Society and History","DOI":"10.1017/S0010417514000267","issue":"3","page":"591-621","title":"Productive intolerance: Godly nationalism in Indonesia","volume":"56","author":[{"family":"Menchik","given":"Jeremy"}],"issued":{"date-parts":[["2014"]]}}},{"id":2049,"uris":["http://zotero.org/users/6396655/items/U5SJQZEW"],"itemData":{"id":2049,"type":"article-journal","container-title":"Ethnos","DOI":"10.1080/00141844.2017.1282973","issue":"2","page":"371-391","title":"Faith on Trial: Blasphemy and ‘Lawfare’ in Indonesia","volume":"83","author":[{"family":"Telle","given":"Kari"}],"issued":{"date-parts":[["2017"]]}}}],"schema":"https://github.com/citation-style-language/schema/raw/master/csl-citation.json"} </w:instrText>
      </w:r>
      <w:r>
        <w:rPr>
          <w:rFonts w:ascii="Calibri" w:hAnsi="Calibri" w:cs="Calibri"/>
          <w:bCs/>
          <w:color w:val="000000"/>
          <w:lang w:val="en-AU"/>
        </w:rPr>
        <w:fldChar w:fldCharType="separate"/>
      </w:r>
      <w:r>
        <w:rPr>
          <w:rFonts w:ascii="Calibri" w:hAnsi="Calibri" w:cs="Calibri"/>
          <w:bCs/>
          <w:noProof/>
          <w:color w:val="000000"/>
          <w:lang w:val="en-AU"/>
        </w:rPr>
        <w:t>(Menchik, 2014; Telle, 2017)</w:t>
      </w:r>
      <w:r>
        <w:rPr>
          <w:rFonts w:ascii="Calibri" w:hAnsi="Calibri" w:cs="Calibri"/>
          <w:bCs/>
          <w:color w:val="000000"/>
          <w:lang w:val="en-AU"/>
        </w:rPr>
        <w:fldChar w:fldCharType="end"/>
      </w:r>
      <w:r w:rsidRPr="00B86693">
        <w:rPr>
          <w:rFonts w:ascii="Calibri" w:hAnsi="Calibri" w:cs="Calibri"/>
          <w:bCs/>
          <w:color w:val="000000"/>
          <w:lang w:val="en-AU"/>
        </w:rPr>
        <w:t>. Indonesia's political climate further reinforces the rising trend of law enforcement against blasphemy, aiming to protect orthodox religions from deviant teachings and intolerant actions. The Constitutional Court reaffirms Godly Nationalism as embodied in Article 29 of the 1945 Constitution. However, this ideology also leads to the justification of vigilante acts against those accused of deviating from orthodox teachings, causing religious intolerance and promoting mob violence.</w:t>
      </w:r>
    </w:p>
    <w:p w14:paraId="5190166B" w14:textId="77777777" w:rsidR="00B86693" w:rsidRDefault="000259F9" w:rsidP="00B86693">
      <w:pPr>
        <w:pStyle w:val="NormalWeb"/>
        <w:spacing w:before="0" w:beforeAutospacing="0" w:after="0" w:afterAutospacing="0"/>
        <w:ind w:firstLine="720"/>
        <w:jc w:val="both"/>
        <w:divId w:val="2114595336"/>
        <w:rPr>
          <w:rFonts w:ascii="Calibri" w:hAnsi="Calibri" w:cs="Calibri"/>
          <w:bCs/>
          <w:color w:val="000000"/>
          <w:lang w:val="en-AU"/>
        </w:rPr>
      </w:pPr>
      <w:r w:rsidRPr="000259F9">
        <w:rPr>
          <w:rFonts w:ascii="Calibri" w:hAnsi="Calibri" w:cs="Calibri"/>
          <w:bCs/>
          <w:color w:val="000000"/>
          <w:lang w:val="en-AU"/>
        </w:rPr>
        <w:t xml:space="preserve">A study conducted by Barton et al. </w:t>
      </w:r>
      <w:r>
        <w:rPr>
          <w:rFonts w:ascii="Calibri" w:hAnsi="Calibri" w:cs="Calibri"/>
          <w:bCs/>
          <w:color w:val="000000"/>
          <w:lang w:val="en-AU"/>
        </w:rPr>
        <w:fldChar w:fldCharType="begin"/>
      </w:r>
      <w:r>
        <w:rPr>
          <w:rFonts w:ascii="Calibri" w:hAnsi="Calibri" w:cs="Calibri"/>
          <w:bCs/>
          <w:color w:val="000000"/>
          <w:lang w:val="en-AU"/>
        </w:rPr>
        <w:instrText xml:space="preserve"> ADDIN ZOTERO_ITEM CSL_CITATION {"citationID":"3H3z6e1E","properties":{"formattedCitation":"(2021)","plainCitation":"(2021)","noteIndex":0},"citationItems":[{"id":2266,"uris":["http://zotero.org/users/6396655/items/B66SN7PR"],"itemData":{"id":2266,"type":"article-journal","container-title":"Religions","issue":"6","note":"publisher: MDPI","page":"397","title":"Religious and pro-violence populism in Indonesia: The rise and fall of a far-right Islamist civilisationist movement","volume":"12","author":[{"family":"Barton","given":"Greg"},{"family":"Yilmaz","given":"Ihsan"},{"family":"Morieson","given":"Nicholas"}],"issued":{"date-parts":[["2021"]]}},"suppress-author":true}],"schema":"https://github.com/citation-style-language/schema/raw/master/csl-citation.json"} </w:instrText>
      </w:r>
      <w:r>
        <w:rPr>
          <w:rFonts w:ascii="Calibri" w:hAnsi="Calibri" w:cs="Calibri"/>
          <w:bCs/>
          <w:color w:val="000000"/>
          <w:lang w:val="en-AU"/>
        </w:rPr>
        <w:fldChar w:fldCharType="separate"/>
      </w:r>
      <w:r w:rsidR="00114F7F">
        <w:rPr>
          <w:rFonts w:ascii="Calibri" w:hAnsi="Calibri" w:cs="Calibri"/>
          <w:bCs/>
          <w:noProof/>
          <w:color w:val="000000"/>
          <w:lang w:val="en-AU"/>
        </w:rPr>
        <w:t>(2021)</w:t>
      </w:r>
      <w:r>
        <w:rPr>
          <w:rFonts w:ascii="Calibri" w:hAnsi="Calibri" w:cs="Calibri"/>
          <w:bCs/>
          <w:color w:val="000000"/>
          <w:lang w:val="en-AU"/>
        </w:rPr>
        <w:fldChar w:fldCharType="end"/>
      </w:r>
      <w:r w:rsidRPr="000259F9">
        <w:rPr>
          <w:rFonts w:ascii="Calibri" w:hAnsi="Calibri" w:cs="Calibri"/>
          <w:bCs/>
          <w:color w:val="000000"/>
          <w:lang w:val="en-AU"/>
        </w:rPr>
        <w:t xml:space="preserve"> highlights that the Front Defender of Islam (FPI) is a hard-line Islamic organization, and its activities, led by </w:t>
      </w:r>
      <w:proofErr w:type="spellStart"/>
      <w:r w:rsidRPr="000259F9">
        <w:rPr>
          <w:rFonts w:ascii="Calibri" w:hAnsi="Calibri" w:cs="Calibri"/>
          <w:bCs/>
          <w:color w:val="000000"/>
          <w:lang w:val="en-AU"/>
        </w:rPr>
        <w:t>Rizieq</w:t>
      </w:r>
      <w:proofErr w:type="spellEnd"/>
      <w:r w:rsidRPr="000259F9">
        <w:rPr>
          <w:rFonts w:ascii="Calibri" w:hAnsi="Calibri" w:cs="Calibri"/>
          <w:bCs/>
          <w:color w:val="000000"/>
          <w:lang w:val="en-AU"/>
        </w:rPr>
        <w:t xml:space="preserve"> Shihab (RS), have been characterized by vigilantism. Hate narratives are utilized to antagonize those outside its group, including politicians and the government, and encourage its followers to take vigilant action against all forms of action that are contrary to Islamic values. RS has used his popularity to influence FPI in various anti-Ahok protests, accused of tarnishing Islam, under the pretext of </w:t>
      </w:r>
      <w:r w:rsidRPr="000259F9">
        <w:rPr>
          <w:rFonts w:ascii="Calibri" w:hAnsi="Calibri" w:cs="Calibri"/>
          <w:bCs/>
          <w:color w:val="000000"/>
          <w:lang w:val="en-AU"/>
        </w:rPr>
        <w:lastRenderedPageBreak/>
        <w:t xml:space="preserve">defending Islam, and when there are accusations of blasphemy against a person or group of people, FPI is often involved in the action of Main Hakim </w:t>
      </w:r>
      <w:proofErr w:type="spellStart"/>
      <w:r w:rsidRPr="000259F9">
        <w:rPr>
          <w:rFonts w:ascii="Calibri" w:hAnsi="Calibri" w:cs="Calibri"/>
          <w:bCs/>
          <w:color w:val="000000"/>
          <w:lang w:val="en-AU"/>
        </w:rPr>
        <w:t>Sendiri</w:t>
      </w:r>
      <w:proofErr w:type="spellEnd"/>
      <w:r w:rsidRPr="000259F9">
        <w:rPr>
          <w:rFonts w:ascii="Calibri" w:hAnsi="Calibri" w:cs="Calibri"/>
          <w:bCs/>
          <w:color w:val="000000"/>
          <w:lang w:val="en-AU"/>
        </w:rPr>
        <w:t>.</w:t>
      </w:r>
    </w:p>
    <w:p w14:paraId="37DE748E" w14:textId="30F8BDA4" w:rsidR="00B1578E" w:rsidRDefault="00B1578E" w:rsidP="00B86693">
      <w:pPr>
        <w:pStyle w:val="NormalWeb"/>
        <w:spacing w:before="0" w:beforeAutospacing="0" w:after="0" w:afterAutospacing="0"/>
        <w:ind w:firstLine="720"/>
        <w:jc w:val="both"/>
        <w:divId w:val="2114595336"/>
        <w:rPr>
          <w:rFonts w:ascii="Calibri" w:hAnsi="Calibri" w:cs="Calibri"/>
          <w:bCs/>
          <w:color w:val="000000"/>
          <w:lang w:val="en-AU"/>
        </w:rPr>
      </w:pPr>
      <w:r w:rsidRPr="00B1578E">
        <w:rPr>
          <w:rFonts w:ascii="Calibri" w:hAnsi="Calibri" w:cs="Calibri"/>
          <w:bCs/>
          <w:color w:val="000000"/>
          <w:lang w:val="en-AU"/>
        </w:rPr>
        <w:t>Ultimately, taking the law into one's own hands to deliver 'justice' undermines the rule of law and democratic principles that Indonesia upholds. Robust legal frameworks and their implementation are essential to protect individual rights while promoting a tolerant and inclusive society. Allowing hardline Islamic groups to take actions that contravene the law in the name of religion will only lead Indonesia down a dangerous path that undermines its national identity and democratic foundations.</w:t>
      </w:r>
    </w:p>
    <w:p w14:paraId="7271C8C6" w14:textId="77777777" w:rsidR="001A0747" w:rsidRDefault="001A0747" w:rsidP="00940329">
      <w:pPr>
        <w:ind w:firstLine="0"/>
        <w:jc w:val="both"/>
        <w:rPr>
          <w:rFonts w:ascii="Calibri" w:hAnsi="Calibri" w:cs="Calibri"/>
          <w:bCs/>
          <w:color w:val="000000"/>
          <w:lang w:val="en-AU"/>
        </w:rPr>
      </w:pPr>
    </w:p>
    <w:p w14:paraId="5FC23E64" w14:textId="3292DD6B" w:rsidR="00B14A95" w:rsidRPr="00443E35" w:rsidRDefault="00FB5444" w:rsidP="00940329">
      <w:pPr>
        <w:ind w:firstLine="0"/>
        <w:jc w:val="both"/>
        <w:rPr>
          <w:rFonts w:ascii="Calibri" w:hAnsi="Calibri" w:cs="Calibri"/>
          <w:b/>
          <w:color w:val="000000"/>
          <w:lang w:val="en-AU"/>
        </w:rPr>
      </w:pPr>
      <w:r>
        <w:rPr>
          <w:rFonts w:ascii="Calibri" w:hAnsi="Calibri" w:cs="Calibri"/>
          <w:b/>
          <w:color w:val="000000"/>
          <w:lang w:val="en-AU"/>
        </w:rPr>
        <w:t>Vigilante Justice</w:t>
      </w:r>
      <w:r w:rsidRPr="00B14A95">
        <w:rPr>
          <w:rFonts w:ascii="Calibri" w:hAnsi="Calibri" w:cs="Calibri"/>
          <w:b/>
          <w:color w:val="000000"/>
          <w:lang w:val="en-AU"/>
        </w:rPr>
        <w:t xml:space="preserve"> </w:t>
      </w:r>
      <w:r w:rsidR="002A7B3F" w:rsidRPr="00B14A95">
        <w:rPr>
          <w:rFonts w:ascii="Calibri" w:hAnsi="Calibri" w:cs="Calibri"/>
          <w:b/>
          <w:color w:val="000000"/>
          <w:lang w:val="en-AU"/>
        </w:rPr>
        <w:t>Upsetting</w:t>
      </w:r>
      <w:r w:rsidRPr="00B14A95">
        <w:rPr>
          <w:rFonts w:ascii="Calibri" w:hAnsi="Calibri" w:cs="Calibri"/>
          <w:b/>
          <w:color w:val="000000"/>
          <w:lang w:val="en-AU"/>
        </w:rPr>
        <w:t xml:space="preserve"> Independency </w:t>
      </w:r>
      <w:r>
        <w:rPr>
          <w:rFonts w:ascii="Calibri" w:hAnsi="Calibri" w:cs="Calibri"/>
          <w:b/>
          <w:color w:val="000000"/>
          <w:lang w:val="en-AU"/>
        </w:rPr>
        <w:t>o</w:t>
      </w:r>
      <w:r w:rsidRPr="00B14A95">
        <w:rPr>
          <w:rFonts w:ascii="Calibri" w:hAnsi="Calibri" w:cs="Calibri"/>
          <w:b/>
          <w:color w:val="000000"/>
          <w:lang w:val="en-AU"/>
        </w:rPr>
        <w:t xml:space="preserve">f </w:t>
      </w:r>
      <w:r>
        <w:rPr>
          <w:rFonts w:ascii="Calibri" w:hAnsi="Calibri" w:cs="Calibri"/>
          <w:b/>
          <w:color w:val="000000"/>
          <w:lang w:val="en-AU"/>
        </w:rPr>
        <w:t>t</w:t>
      </w:r>
      <w:r w:rsidRPr="00B14A95">
        <w:rPr>
          <w:rFonts w:ascii="Calibri" w:hAnsi="Calibri" w:cs="Calibri"/>
          <w:b/>
          <w:color w:val="000000"/>
          <w:lang w:val="en-AU"/>
        </w:rPr>
        <w:t>he Court</w:t>
      </w:r>
    </w:p>
    <w:p w14:paraId="54E76932" w14:textId="5AD72E33" w:rsidR="00B14A95" w:rsidRPr="00B14A95" w:rsidRDefault="00B14A95" w:rsidP="0061607F">
      <w:pPr>
        <w:ind w:firstLine="0"/>
        <w:jc w:val="both"/>
        <w:rPr>
          <w:rFonts w:ascii="Calibri" w:hAnsi="Calibri" w:cs="Calibri"/>
          <w:bCs/>
          <w:color w:val="000000"/>
          <w:lang w:val="en-AU"/>
        </w:rPr>
      </w:pPr>
      <w:r w:rsidRPr="00B14A95">
        <w:rPr>
          <w:rFonts w:ascii="Calibri" w:hAnsi="Calibri" w:cs="Calibri"/>
          <w:bCs/>
          <w:color w:val="000000"/>
          <w:lang w:val="en-AU"/>
        </w:rPr>
        <w:t>In 1964, the Supreme Court issued Circular Letter Number 11 of 1964, which essentially ordered courts under its jurisdiction to punish severely those who commit blasphemy. Despite criticism of the Anti-Blasphemy Law's weaknesses, judges continue to uphold the law. The Chairperson of the Gafatar Trial Panel, Mohammad Said, stated that the court is obliged to comply with the Supreme Court's Circular Letter. Additionally, the Supreme Court spokesperson confirmed that the letter has never formally been revoked.</w:t>
      </w:r>
    </w:p>
    <w:p w14:paraId="6C27C82D" w14:textId="446B03EC" w:rsidR="008C21E5" w:rsidRPr="00B1578E" w:rsidRDefault="00B86693" w:rsidP="00B86693">
      <w:pPr>
        <w:ind w:firstLine="720"/>
        <w:jc w:val="both"/>
        <w:rPr>
          <w:rFonts w:ascii="Calibri" w:hAnsi="Calibri" w:cs="Calibri"/>
          <w:bCs/>
          <w:color w:val="000000"/>
          <w:lang w:val="en-AU"/>
        </w:rPr>
      </w:pPr>
      <w:r w:rsidRPr="00B86693">
        <w:rPr>
          <w:rFonts w:ascii="Calibri" w:hAnsi="Calibri" w:cs="Calibri"/>
          <w:bCs/>
          <w:color w:val="000000"/>
          <w:lang w:val="en-AU"/>
        </w:rPr>
        <w:t xml:space="preserve">The court's independence was undermined in </w:t>
      </w:r>
      <w:proofErr w:type="spellStart"/>
      <w:r w:rsidRPr="00B86693">
        <w:rPr>
          <w:rFonts w:ascii="Calibri" w:hAnsi="Calibri" w:cs="Calibri"/>
          <w:bCs/>
          <w:color w:val="000000"/>
          <w:lang w:val="en-AU"/>
        </w:rPr>
        <w:t>Meiliana's</w:t>
      </w:r>
      <w:proofErr w:type="spellEnd"/>
      <w:r w:rsidRPr="00B86693">
        <w:rPr>
          <w:rFonts w:ascii="Calibri" w:hAnsi="Calibri" w:cs="Calibri"/>
          <w:bCs/>
          <w:color w:val="000000"/>
          <w:lang w:val="en-AU"/>
        </w:rPr>
        <w:t xml:space="preserve"> case due to the lack of thorough investigation and reliance on biased testimony. </w:t>
      </w:r>
      <w:proofErr w:type="spellStart"/>
      <w:r w:rsidRPr="00B86693">
        <w:rPr>
          <w:rFonts w:ascii="Calibri" w:hAnsi="Calibri" w:cs="Calibri"/>
          <w:bCs/>
          <w:color w:val="000000"/>
          <w:lang w:val="en-AU"/>
        </w:rPr>
        <w:t>Meiliana's</w:t>
      </w:r>
      <w:proofErr w:type="spellEnd"/>
      <w:r w:rsidRPr="00B86693">
        <w:rPr>
          <w:rFonts w:ascii="Calibri" w:hAnsi="Calibri" w:cs="Calibri"/>
          <w:bCs/>
          <w:color w:val="000000"/>
          <w:lang w:val="en-AU"/>
        </w:rPr>
        <w:t xml:space="preserve"> categorization as a suspect was a result of MUI's demands, influencing the court's decision making. The same pattern occurred in the Ahmadiyya and Gafatar cases, where vigilantism was used as a reference for the court's decision and the MUI's one-sided truth claims were supported. The court's decision in the case of </w:t>
      </w:r>
      <w:proofErr w:type="spellStart"/>
      <w:r w:rsidRPr="00B86693">
        <w:rPr>
          <w:rFonts w:ascii="Calibri" w:hAnsi="Calibri" w:cs="Calibri"/>
          <w:bCs/>
          <w:color w:val="000000"/>
          <w:lang w:val="en-AU"/>
        </w:rPr>
        <w:t>Mahful</w:t>
      </w:r>
      <w:proofErr w:type="spellEnd"/>
      <w:r w:rsidRPr="00B86693">
        <w:rPr>
          <w:rFonts w:ascii="Calibri" w:hAnsi="Calibri" w:cs="Calibri"/>
          <w:bCs/>
          <w:color w:val="000000"/>
          <w:lang w:val="en-AU"/>
        </w:rPr>
        <w:t xml:space="preserve"> </w:t>
      </w:r>
      <w:proofErr w:type="spellStart"/>
      <w:r w:rsidRPr="00B86693">
        <w:rPr>
          <w:rFonts w:ascii="Calibri" w:hAnsi="Calibri" w:cs="Calibri"/>
          <w:bCs/>
          <w:color w:val="000000"/>
          <w:lang w:val="en-AU"/>
        </w:rPr>
        <w:t>Muis</w:t>
      </w:r>
      <w:proofErr w:type="spellEnd"/>
      <w:r w:rsidRPr="00B86693">
        <w:rPr>
          <w:rFonts w:ascii="Calibri" w:hAnsi="Calibri" w:cs="Calibri"/>
          <w:bCs/>
          <w:color w:val="000000"/>
          <w:lang w:val="en-AU"/>
        </w:rPr>
        <w:t xml:space="preserve"> and Ahmad </w:t>
      </w:r>
      <w:proofErr w:type="spellStart"/>
      <w:r w:rsidRPr="00B86693">
        <w:rPr>
          <w:rFonts w:ascii="Calibri" w:hAnsi="Calibri" w:cs="Calibri"/>
          <w:bCs/>
          <w:color w:val="000000"/>
          <w:lang w:val="en-AU"/>
        </w:rPr>
        <w:t>Musaddeq</w:t>
      </w:r>
      <w:proofErr w:type="spellEnd"/>
      <w:r w:rsidRPr="00B86693">
        <w:rPr>
          <w:rFonts w:ascii="Calibri" w:hAnsi="Calibri" w:cs="Calibri"/>
          <w:bCs/>
          <w:color w:val="000000"/>
          <w:lang w:val="en-AU"/>
        </w:rPr>
        <w:t xml:space="preserve"> was also criticized, lacking evidence to support the prosecutor's charge. Upholding legal rights and the rule of law is crucial to prevent vigilantism and safeguard the safety of religious minority </w:t>
      </w:r>
      <w:proofErr w:type="spellStart"/>
      <w:r w:rsidRPr="00B86693">
        <w:rPr>
          <w:rFonts w:ascii="Calibri" w:hAnsi="Calibri" w:cs="Calibri"/>
          <w:bCs/>
          <w:color w:val="000000"/>
          <w:lang w:val="en-AU"/>
        </w:rPr>
        <w:t>groups.</w:t>
      </w:r>
      <w:r w:rsidR="00B14A95" w:rsidRPr="00B14A95">
        <w:rPr>
          <w:rFonts w:ascii="Calibri" w:hAnsi="Calibri" w:cs="Calibri"/>
          <w:bCs/>
          <w:color w:val="000000"/>
          <w:lang w:val="en-AU"/>
        </w:rPr>
        <w:t>In</w:t>
      </w:r>
      <w:proofErr w:type="spellEnd"/>
      <w:r w:rsidR="00B14A95" w:rsidRPr="00B14A95">
        <w:rPr>
          <w:rFonts w:ascii="Calibri" w:hAnsi="Calibri" w:cs="Calibri"/>
          <w:bCs/>
          <w:color w:val="000000"/>
          <w:lang w:val="en-AU"/>
        </w:rPr>
        <w:t xml:space="preserve"> the Ahmadiyya case, both the court of first instance and the high court believed that a person who has religious teachings different from the religion adhered to in Indonesia is prohibited from being the perpetrator of religious blasphemy. The court focused on Ahmadiyya adherents who "intentionally commit an act publicly that is basically blasphemy against a religion adhered to in Indonesia." This means that Ahmadiyya followers are not permitted to preach their religion in Indonesia if it contradicts mainstream Islam, which is the main</w:t>
      </w:r>
    </w:p>
    <w:p w14:paraId="4D3764A4" w14:textId="77777777" w:rsidR="008C21E5" w:rsidRDefault="008C21E5" w:rsidP="004C3F05">
      <w:pPr>
        <w:ind w:firstLine="720"/>
        <w:jc w:val="both"/>
        <w:rPr>
          <w:rFonts w:ascii="Calibri" w:hAnsi="Calibri" w:cs="Calibri"/>
          <w:bCs/>
          <w:color w:val="000000"/>
          <w:lang w:val="en-AU"/>
        </w:rPr>
      </w:pPr>
      <w:r w:rsidRPr="00B1578E">
        <w:rPr>
          <w:rFonts w:ascii="Calibri" w:hAnsi="Calibri" w:cs="Calibri"/>
          <w:bCs/>
          <w:color w:val="000000"/>
          <w:lang w:val="en-AU"/>
        </w:rPr>
        <w:t>This incident illustrates that vigilante actions against religious minority groups cannot be justified and have grave consequences for the targeted individuals and communities. Upholding the principle of the rule of law is critical in combating such vigilantism and protecting the rights and well-being of citizens of different religious affiliations.</w:t>
      </w:r>
    </w:p>
    <w:p w14:paraId="4DC1519E" w14:textId="77777777" w:rsidR="00E07B7E" w:rsidRDefault="00E07B7E" w:rsidP="00007989">
      <w:pPr>
        <w:jc w:val="both"/>
        <w:rPr>
          <w:rFonts w:ascii="Calibri" w:hAnsi="Calibri" w:cs="Calibri"/>
          <w:bCs/>
          <w:color w:val="000000"/>
          <w:lang w:val="en-AU"/>
        </w:rPr>
      </w:pPr>
    </w:p>
    <w:p w14:paraId="31AC7D71" w14:textId="2E94C645" w:rsidR="00DD2085" w:rsidRPr="00443E35" w:rsidRDefault="00FB5444" w:rsidP="00940329">
      <w:pPr>
        <w:ind w:firstLine="0"/>
        <w:jc w:val="both"/>
        <w:rPr>
          <w:rFonts w:ascii="Calibri" w:hAnsi="Calibri" w:cs="Calibri"/>
          <w:b/>
          <w:color w:val="000000"/>
          <w:lang w:val="en-AU"/>
        </w:rPr>
      </w:pPr>
      <w:r w:rsidRPr="00DD2085">
        <w:rPr>
          <w:rFonts w:ascii="Calibri" w:hAnsi="Calibri" w:cs="Calibri"/>
          <w:b/>
          <w:color w:val="000000"/>
          <w:lang w:val="en-AU"/>
        </w:rPr>
        <w:t xml:space="preserve">The Failure </w:t>
      </w:r>
      <w:r>
        <w:rPr>
          <w:rFonts w:ascii="Calibri" w:hAnsi="Calibri" w:cs="Calibri"/>
          <w:b/>
          <w:color w:val="000000"/>
          <w:lang w:val="en-AU"/>
        </w:rPr>
        <w:t>o</w:t>
      </w:r>
      <w:r w:rsidRPr="00DD2085">
        <w:rPr>
          <w:rFonts w:ascii="Calibri" w:hAnsi="Calibri" w:cs="Calibri"/>
          <w:b/>
          <w:color w:val="000000"/>
          <w:lang w:val="en-AU"/>
        </w:rPr>
        <w:t xml:space="preserve">f </w:t>
      </w:r>
      <w:r>
        <w:rPr>
          <w:rFonts w:ascii="Calibri" w:hAnsi="Calibri" w:cs="Calibri"/>
          <w:b/>
          <w:color w:val="000000"/>
          <w:lang w:val="en-AU"/>
        </w:rPr>
        <w:t>Anti-</w:t>
      </w:r>
      <w:r w:rsidRPr="00DD2085">
        <w:rPr>
          <w:rFonts w:ascii="Calibri" w:hAnsi="Calibri" w:cs="Calibri"/>
          <w:b/>
          <w:color w:val="000000"/>
          <w:lang w:val="en-AU"/>
        </w:rPr>
        <w:t xml:space="preserve">Blasphemy </w:t>
      </w:r>
      <w:r>
        <w:rPr>
          <w:rFonts w:ascii="Calibri" w:hAnsi="Calibri" w:cs="Calibri"/>
          <w:b/>
          <w:color w:val="000000"/>
          <w:lang w:val="en-AU"/>
        </w:rPr>
        <w:t xml:space="preserve">Law </w:t>
      </w:r>
      <w:r w:rsidRPr="00DD2085">
        <w:rPr>
          <w:rFonts w:ascii="Calibri" w:hAnsi="Calibri" w:cs="Calibri"/>
          <w:b/>
          <w:color w:val="000000"/>
          <w:lang w:val="en-AU"/>
        </w:rPr>
        <w:t xml:space="preserve">Enforcement </w:t>
      </w:r>
      <w:r>
        <w:rPr>
          <w:rFonts w:ascii="Calibri" w:hAnsi="Calibri" w:cs="Calibri"/>
          <w:b/>
          <w:color w:val="000000"/>
          <w:lang w:val="en-AU"/>
        </w:rPr>
        <w:t>t</w:t>
      </w:r>
      <w:r w:rsidRPr="00DD2085">
        <w:rPr>
          <w:rFonts w:ascii="Calibri" w:hAnsi="Calibri" w:cs="Calibri"/>
          <w:b/>
          <w:color w:val="000000"/>
          <w:lang w:val="en-AU"/>
        </w:rPr>
        <w:t>o Preserve Justice</w:t>
      </w:r>
    </w:p>
    <w:p w14:paraId="5A9EC9FC" w14:textId="57DC7EB6" w:rsidR="00DD2085" w:rsidRPr="00DD2085" w:rsidRDefault="00DD2085" w:rsidP="0061607F">
      <w:pPr>
        <w:ind w:firstLine="0"/>
        <w:jc w:val="both"/>
        <w:rPr>
          <w:rFonts w:ascii="Calibri" w:hAnsi="Calibri" w:cs="Calibri"/>
          <w:bCs/>
          <w:color w:val="000000"/>
          <w:lang w:val="en-AU"/>
        </w:rPr>
      </w:pPr>
      <w:r w:rsidRPr="00DD2085">
        <w:rPr>
          <w:rFonts w:ascii="Calibri" w:hAnsi="Calibri" w:cs="Calibri"/>
          <w:bCs/>
          <w:color w:val="000000"/>
          <w:lang w:val="en-AU"/>
        </w:rPr>
        <w:t xml:space="preserve">Defending the Anti-Blasphemy Law does not guarantee an increase in interfaith tolerance, but rather provides an opportunity for the majority religious groups to utilize the flawed law in order to gain more protection than other minority religious groups. Cases such as Meiliana, Ahmadiyya, and Gafatar provide evidence that the punishment of Meiliana and the leaders of Ahmadiyya and Gafatar did not prevent </w:t>
      </w:r>
      <w:proofErr w:type="spellStart"/>
      <w:r w:rsidRPr="00DD2085">
        <w:rPr>
          <w:rFonts w:ascii="Calibri" w:hAnsi="Calibri" w:cs="Calibri"/>
          <w:bCs/>
          <w:color w:val="000000"/>
          <w:lang w:val="en-AU"/>
        </w:rPr>
        <w:t>hardline</w:t>
      </w:r>
      <w:proofErr w:type="spellEnd"/>
      <w:r w:rsidRPr="00DD2085">
        <w:rPr>
          <w:rFonts w:ascii="Calibri" w:hAnsi="Calibri" w:cs="Calibri"/>
          <w:bCs/>
          <w:color w:val="000000"/>
          <w:lang w:val="en-AU"/>
        </w:rPr>
        <w:t xml:space="preserve"> Islamic groups from engaging in vigilantism. </w:t>
      </w:r>
    </w:p>
    <w:p w14:paraId="5750A7F9" w14:textId="6BF245A3" w:rsidR="00DD2085" w:rsidRPr="00DD2085" w:rsidRDefault="00DD2085" w:rsidP="00F40582">
      <w:pPr>
        <w:ind w:firstLine="720"/>
        <w:jc w:val="both"/>
        <w:rPr>
          <w:rFonts w:ascii="Calibri" w:hAnsi="Calibri" w:cs="Calibri"/>
          <w:bCs/>
          <w:color w:val="000000"/>
          <w:lang w:val="en-AU"/>
        </w:rPr>
      </w:pPr>
      <w:r w:rsidRPr="00DD2085">
        <w:rPr>
          <w:rFonts w:ascii="Calibri" w:hAnsi="Calibri" w:cs="Calibri"/>
          <w:bCs/>
          <w:color w:val="000000"/>
          <w:lang w:val="en-AU"/>
        </w:rPr>
        <w:t xml:space="preserve">The court's decision in the Meiliana, Ahmadiyya, and Gafatar cases failed to provide justice for Meiliana and the leaders of Gafatar and Ahmadiyya because they were sentenced to criminal punishment without due process. The court's failure to prove the "intention" element of the defendants in the blasphemy of Islam indicates that the court has ignored the substantial weakness of the Anti-Blasphemy Law and has forced conviction based on social justice decisions. The court's insistence on convicting the defendants with a flawed law demonstrates the court's failure to provide substantial justice. Additionally, the lack of evidence presented in court to prove the defendants' guilt shows that the court has failed to provide procedural justice. </w:t>
      </w:r>
    </w:p>
    <w:p w14:paraId="62E93C07" w14:textId="4C48DEF6" w:rsidR="00007989" w:rsidRDefault="00DD2085" w:rsidP="004C3F05">
      <w:pPr>
        <w:ind w:firstLine="720"/>
        <w:jc w:val="both"/>
        <w:rPr>
          <w:rFonts w:ascii="Calibri" w:hAnsi="Calibri" w:cs="Calibri"/>
          <w:bCs/>
          <w:color w:val="000000"/>
          <w:lang w:val="en-AU"/>
        </w:rPr>
      </w:pPr>
      <w:r w:rsidRPr="00DD2085">
        <w:rPr>
          <w:rFonts w:ascii="Calibri" w:hAnsi="Calibri" w:cs="Calibri"/>
          <w:bCs/>
          <w:color w:val="000000"/>
          <w:lang w:val="en-AU"/>
        </w:rPr>
        <w:t>This pattern of law enforcement in blasphemy cases that fails to provide procedural and substantial justice is likely to be repeated in similar cases.</w:t>
      </w:r>
    </w:p>
    <w:p w14:paraId="7C288C57" w14:textId="77777777" w:rsidR="00DD2085" w:rsidRDefault="00DD2085" w:rsidP="00FA3EE7">
      <w:pPr>
        <w:jc w:val="both"/>
        <w:rPr>
          <w:rFonts w:ascii="Calibri" w:hAnsi="Calibri" w:cs="Calibri"/>
          <w:b/>
          <w:color w:val="000000"/>
          <w:lang w:val="en-AU"/>
        </w:rPr>
      </w:pPr>
    </w:p>
    <w:p w14:paraId="094DCA87" w14:textId="3B9513FF" w:rsidR="00783DE9" w:rsidRPr="00443E35" w:rsidRDefault="00FA3EE7" w:rsidP="00940329">
      <w:pPr>
        <w:ind w:firstLine="0"/>
        <w:jc w:val="both"/>
        <w:rPr>
          <w:rFonts w:ascii="Calibri" w:hAnsi="Calibri" w:cs="Calibri"/>
          <w:b/>
          <w:i/>
          <w:iCs/>
          <w:color w:val="000000"/>
          <w:lang w:val="en-AU"/>
        </w:rPr>
      </w:pPr>
      <w:r>
        <w:rPr>
          <w:rFonts w:ascii="Calibri" w:hAnsi="Calibri" w:cs="Calibri"/>
          <w:b/>
          <w:color w:val="000000"/>
          <w:lang w:val="en-AU"/>
        </w:rPr>
        <w:t>CONCLUSION</w:t>
      </w:r>
    </w:p>
    <w:p w14:paraId="2BFCAF58" w14:textId="40F5E8F4" w:rsidR="00783DE9" w:rsidRPr="00783DE9" w:rsidRDefault="00783DE9" w:rsidP="0061607F">
      <w:pPr>
        <w:ind w:firstLine="0"/>
        <w:jc w:val="both"/>
        <w:rPr>
          <w:rFonts w:ascii="Calibri" w:hAnsi="Calibri" w:cs="Calibri"/>
          <w:bCs/>
          <w:color w:val="000000"/>
          <w:lang w:val="en-AU"/>
        </w:rPr>
      </w:pPr>
      <w:r w:rsidRPr="00783DE9">
        <w:rPr>
          <w:rFonts w:ascii="Calibri" w:hAnsi="Calibri" w:cs="Calibri"/>
          <w:bCs/>
          <w:color w:val="000000"/>
          <w:lang w:val="en-AU"/>
        </w:rPr>
        <w:t xml:space="preserve">In contrast to vigilantism in ordinary crimes, which generally aims to punish perpetrators of crimes caught red-handed or for crimes that continue to occur where law enforcement fails to apprehend the perpetrators, vigilantism in cases of blasphemy is not solely motivated by the existence of crime in society, but by the monopoly of religious truth by established religions, viewing different religious teachings as crimes. The narrow definition of "Godly Nationalism" contradicts the right to freedom of religion and belief guaranteed in the Indonesian </w:t>
      </w:r>
      <w:r w:rsidRPr="00783DE9">
        <w:rPr>
          <w:rFonts w:ascii="Calibri" w:hAnsi="Calibri" w:cs="Calibri"/>
          <w:bCs/>
          <w:color w:val="000000"/>
          <w:lang w:val="en-AU"/>
        </w:rPr>
        <w:lastRenderedPageBreak/>
        <w:t>Constitution. Articles 29 and 28E expressly respect the right of everyone to choose and embrace their own religion or belief and worship according to that religion or belief.</w:t>
      </w:r>
    </w:p>
    <w:p w14:paraId="76FFF4D8" w14:textId="34F6B481" w:rsidR="00783DE9" w:rsidRPr="00783DE9" w:rsidRDefault="00783DE9" w:rsidP="00F40582">
      <w:pPr>
        <w:ind w:firstLine="720"/>
        <w:jc w:val="both"/>
        <w:rPr>
          <w:rFonts w:ascii="Calibri" w:hAnsi="Calibri" w:cs="Calibri"/>
          <w:bCs/>
          <w:color w:val="000000"/>
          <w:lang w:val="en-AU"/>
        </w:rPr>
      </w:pPr>
      <w:r w:rsidRPr="00783DE9">
        <w:rPr>
          <w:rFonts w:ascii="Calibri" w:hAnsi="Calibri" w:cs="Calibri"/>
          <w:bCs/>
          <w:color w:val="000000"/>
          <w:lang w:val="en-AU"/>
        </w:rPr>
        <w:t xml:space="preserve">The findings of the study negate the argument put forward by the Constitutional Court that abolishing the Anti-Blasphemy Law would pose a threat to society in the event of horizontal conflicts between religions. The reality is quite the opposite; from the cases of Ahok, Meiliana, Gafatar, and Ahmadiyya, all trigger the emergence of vigilante justice. Maintaining a flawed Anti-Blasphemy Law not only provides a justification for hard-line Islamic groups to pursue hate spin strategies but also significantly hinders the courts from delivering fair and just judgement. </w:t>
      </w:r>
    </w:p>
    <w:p w14:paraId="5F40A46D" w14:textId="494B38FA" w:rsidR="00783DE9" w:rsidRPr="00783DE9" w:rsidRDefault="00783DE9" w:rsidP="00DF0EC5">
      <w:pPr>
        <w:ind w:firstLine="720"/>
        <w:jc w:val="both"/>
        <w:rPr>
          <w:rFonts w:ascii="Calibri" w:hAnsi="Calibri" w:cs="Calibri"/>
          <w:bCs/>
          <w:color w:val="000000"/>
          <w:lang w:val="en-AU"/>
        </w:rPr>
      </w:pPr>
      <w:r w:rsidRPr="00783DE9">
        <w:rPr>
          <w:rFonts w:ascii="Calibri" w:hAnsi="Calibri" w:cs="Calibri"/>
          <w:bCs/>
          <w:color w:val="000000"/>
          <w:lang w:val="en-AU"/>
        </w:rPr>
        <w:t>Through the hate spin strategy, the flawed anti-blasphemy laws can easily be manipulated and interpreted such that criticism of religious manipulation or intolerance or preaching of different religions can be construed as blasphemy against the primary religions professed in Indonesia. This strategy has succeeded in garnering significant support, legitimizing vigilante justice even before the actual trial. Secondly, structural factors, through the roles played by the MUI and the central and regional governments that support the declaration of heretical religions, provide the foundations for the legitimization of vigilante groups to continue exerting pressure. Thirdly, the monopolization of truth claimed by orthodox religions overtly denies space for other beliefs or minority religions to freely embrace and practice their religion as per Article 29 of the Indonesian Constitution. Fourth, Muslim populism via the advocacy of hardliner Islam obtains widespread support.</w:t>
      </w:r>
    </w:p>
    <w:p w14:paraId="5DD61720" w14:textId="5A2D0C30" w:rsidR="00AA781A" w:rsidRPr="0055514C" w:rsidRDefault="00AA781A" w:rsidP="00AA781A">
      <w:pPr>
        <w:jc w:val="both"/>
        <w:rPr>
          <w:rFonts w:ascii="Calibri" w:eastAsia="SimSun" w:hAnsi="Calibri" w:cs="Calibri"/>
          <w:color w:val="000000"/>
          <w:lang w:eastAsia="zh-CN"/>
        </w:rPr>
      </w:pPr>
      <w:r>
        <w:rPr>
          <w:rFonts w:ascii="Calibri" w:hAnsi="Calibri" w:cs="Calibri"/>
          <w:bCs/>
          <w:color w:val="000000"/>
          <w:lang w:val="en-AU"/>
        </w:rPr>
        <w:t xml:space="preserve"> </w:t>
      </w:r>
      <w:r w:rsidR="00DF0EC5">
        <w:rPr>
          <w:rFonts w:ascii="Calibri" w:hAnsi="Calibri" w:cs="Calibri"/>
          <w:bCs/>
          <w:color w:val="000000"/>
          <w:lang w:val="en-AU"/>
        </w:rPr>
        <w:tab/>
      </w:r>
      <w:r w:rsidR="00783DE9" w:rsidRPr="00783DE9">
        <w:rPr>
          <w:rFonts w:ascii="Calibri" w:hAnsi="Calibri" w:cs="Calibri"/>
          <w:bCs/>
          <w:color w:val="000000"/>
          <w:lang w:val="en-AU"/>
        </w:rPr>
        <w:t>It is essential for lawmakers and law enforcers to reconsider the importance of rectifying the existing flaws in the Anti-Blasphemy Law and to refrain from enforcing this law, so that violations of the rights to freedom of religion and belief for minority groups do not continue. It is vital to ensure that social justice is upheld and that a law is created that is equal to the principles of the rule of law and human rights.</w:t>
      </w:r>
      <w:r>
        <w:rPr>
          <w:rFonts w:ascii="Calibri" w:hAnsi="Calibri" w:cs="Calibri"/>
          <w:bCs/>
          <w:color w:val="000000"/>
          <w:lang w:val="en-AU"/>
        </w:rPr>
        <w:t xml:space="preserve"> </w:t>
      </w:r>
      <w:r w:rsidRPr="00B02D52">
        <w:rPr>
          <w:rFonts w:ascii="Calibri" w:eastAsia="SimSun" w:hAnsi="Calibri" w:cs="Calibri"/>
          <w:color w:val="000000"/>
          <w:lang w:eastAsia="zh-CN"/>
        </w:rPr>
        <w:t>This study stresses the need to rethink the role of the Anti-Blasphemy Law in Indonesia to ensure due protection of human rights and promote social justice. By exposing the multiple factors that perpetuate vigilante justice, the study advocates for reassessing the limitations and challenges of law enforcement in the context of religious intolerance. Ultimately, the study's findings may be valuable for policymakers and legislators seeking to promote a fair and just society in Indonesia.</w:t>
      </w:r>
    </w:p>
    <w:p w14:paraId="1EB7AC45" w14:textId="7942052E" w:rsidR="00762F91" w:rsidRDefault="00762F91" w:rsidP="004C3F05">
      <w:pPr>
        <w:jc w:val="both"/>
        <w:rPr>
          <w:rFonts w:ascii="Calibri" w:hAnsi="Calibri" w:cs="Calibri"/>
          <w:b/>
          <w:color w:val="000000"/>
          <w:lang w:val="en-AU"/>
        </w:rPr>
      </w:pPr>
    </w:p>
    <w:p w14:paraId="4A591EBB" w14:textId="77777777" w:rsidR="00783DE9" w:rsidRDefault="00783DE9" w:rsidP="00465637">
      <w:pPr>
        <w:ind w:left="360" w:hanging="360"/>
        <w:rPr>
          <w:rFonts w:ascii="Calibri" w:hAnsi="Calibri" w:cs="Calibri"/>
          <w:b/>
          <w:color w:val="E36C0A"/>
          <w:lang w:val="en-AU"/>
        </w:rPr>
      </w:pPr>
    </w:p>
    <w:p w14:paraId="7047B925" w14:textId="77777777" w:rsidR="00C141E9" w:rsidRDefault="00C141E9" w:rsidP="00007989">
      <w:pPr>
        <w:jc w:val="both"/>
        <w:rPr>
          <w:rFonts w:ascii="Calibri" w:hAnsi="Calibri" w:cs="Calibri"/>
          <w:b/>
          <w:color w:val="000000"/>
          <w:lang w:val="en-AU"/>
        </w:rPr>
      </w:pPr>
    </w:p>
    <w:p w14:paraId="6C8CD8E1" w14:textId="0C439AF5" w:rsidR="00FA3EE7" w:rsidRDefault="00FA3EE7" w:rsidP="0061607F">
      <w:pPr>
        <w:ind w:firstLine="0"/>
        <w:jc w:val="both"/>
        <w:rPr>
          <w:rFonts w:ascii="Calibri" w:hAnsi="Calibri" w:cs="Calibri"/>
          <w:b/>
          <w:color w:val="000000"/>
          <w:lang w:val="en-AU"/>
        </w:rPr>
      </w:pPr>
      <w:r>
        <w:rPr>
          <w:rFonts w:ascii="Calibri" w:hAnsi="Calibri" w:cs="Calibri"/>
          <w:b/>
          <w:color w:val="000000"/>
          <w:lang w:val="en-AU"/>
        </w:rPr>
        <w:t>BIBLIOGRAPHY</w:t>
      </w:r>
    </w:p>
    <w:p w14:paraId="56957C64" w14:textId="77777777" w:rsidR="00B86693" w:rsidRPr="00B86693" w:rsidRDefault="00B05721" w:rsidP="0061607F">
      <w:pPr>
        <w:pStyle w:val="Bibliography"/>
        <w:spacing w:line="240" w:lineRule="auto"/>
        <w:rPr>
          <w:rFonts w:ascii="Calibri" w:hAnsi="Calibri" w:cs="Calibri"/>
          <w:color w:val="000000"/>
          <w:lang w:val="en-GB"/>
        </w:rPr>
      </w:pPr>
      <w:r>
        <w:rPr>
          <w:rFonts w:ascii="Calibri" w:hAnsi="Calibri" w:cs="Calibri"/>
          <w:bCs/>
          <w:color w:val="000000"/>
          <w:lang w:val="en-AU"/>
        </w:rPr>
        <w:fldChar w:fldCharType="begin"/>
      </w:r>
      <w:r w:rsidR="00114F7F">
        <w:rPr>
          <w:rFonts w:ascii="Calibri" w:hAnsi="Calibri" w:cs="Calibri"/>
          <w:bCs/>
          <w:color w:val="000000"/>
          <w:lang w:val="en-AU"/>
        </w:rPr>
        <w:instrText xml:space="preserve"> ADDIN ZOTERO_BIBL {"uncited":[],"omitted":[],"custom":[]} CSL_BIBLIOGRAPHY </w:instrText>
      </w:r>
      <w:r>
        <w:rPr>
          <w:rFonts w:ascii="Calibri" w:hAnsi="Calibri" w:cs="Calibri"/>
          <w:bCs/>
          <w:color w:val="000000"/>
          <w:lang w:val="en-AU"/>
        </w:rPr>
        <w:fldChar w:fldCharType="separate"/>
      </w:r>
      <w:r w:rsidR="00B86693" w:rsidRPr="00B86693">
        <w:rPr>
          <w:rFonts w:ascii="Calibri" w:hAnsi="Calibri" w:cs="Calibri"/>
          <w:color w:val="000000"/>
          <w:lang w:val="en-GB"/>
        </w:rPr>
        <w:t xml:space="preserve">Banakar, R. (2019). </w:t>
      </w:r>
      <w:r w:rsidR="00B86693" w:rsidRPr="00B86693">
        <w:rPr>
          <w:rFonts w:ascii="Calibri" w:hAnsi="Calibri" w:cs="Calibri"/>
          <w:i/>
          <w:iCs/>
          <w:color w:val="000000"/>
          <w:lang w:val="en-GB"/>
        </w:rPr>
        <w:t>On Socio-Legal Design</w:t>
      </w:r>
      <w:r w:rsidR="00B86693" w:rsidRPr="00B86693">
        <w:rPr>
          <w:rFonts w:ascii="Calibri" w:hAnsi="Calibri" w:cs="Calibri"/>
          <w:color w:val="000000"/>
          <w:lang w:val="en-GB"/>
        </w:rPr>
        <w:t>. https://papers.ssrn.com/sol3/papers.cfm?abstract_id=3463028</w:t>
      </w:r>
    </w:p>
    <w:p w14:paraId="3FD1EFF4" w14:textId="77777777" w:rsidR="00B86693" w:rsidRPr="00B86693" w:rsidRDefault="00B86693" w:rsidP="0061607F">
      <w:pPr>
        <w:pStyle w:val="Bibliography"/>
        <w:spacing w:line="240" w:lineRule="auto"/>
        <w:rPr>
          <w:rFonts w:ascii="Calibri" w:hAnsi="Calibri" w:cs="Calibri"/>
          <w:color w:val="000000"/>
          <w:lang w:val="en-GB"/>
        </w:rPr>
      </w:pPr>
      <w:r w:rsidRPr="00B86693">
        <w:rPr>
          <w:rFonts w:ascii="Calibri" w:hAnsi="Calibri" w:cs="Calibri"/>
          <w:color w:val="000000"/>
          <w:lang w:val="en-GB"/>
        </w:rPr>
        <w:t xml:space="preserve">Barton, G., Yilmaz, I., &amp; Morieson, N. (2021). Religious and pro-violence populism in Indonesia: The rise and fall of a far-right Islamist civilisationist movement. </w:t>
      </w:r>
      <w:r w:rsidRPr="00B86693">
        <w:rPr>
          <w:rFonts w:ascii="Calibri" w:hAnsi="Calibri" w:cs="Calibri"/>
          <w:i/>
          <w:iCs/>
          <w:color w:val="000000"/>
          <w:lang w:val="en-GB"/>
        </w:rPr>
        <w:t>Religions</w:t>
      </w:r>
      <w:r w:rsidRPr="00B86693">
        <w:rPr>
          <w:rFonts w:ascii="Calibri" w:hAnsi="Calibri" w:cs="Calibri"/>
          <w:color w:val="000000"/>
          <w:lang w:val="en-GB"/>
        </w:rPr>
        <w:t xml:space="preserve">, </w:t>
      </w:r>
      <w:r w:rsidRPr="00B86693">
        <w:rPr>
          <w:rFonts w:ascii="Calibri" w:hAnsi="Calibri" w:cs="Calibri"/>
          <w:i/>
          <w:iCs/>
          <w:color w:val="000000"/>
          <w:lang w:val="en-GB"/>
        </w:rPr>
        <w:t>12</w:t>
      </w:r>
      <w:r w:rsidRPr="00B86693">
        <w:rPr>
          <w:rFonts w:ascii="Calibri" w:hAnsi="Calibri" w:cs="Calibri"/>
          <w:color w:val="000000"/>
          <w:lang w:val="en-GB"/>
        </w:rPr>
        <w:t>(6), 397.</w:t>
      </w:r>
    </w:p>
    <w:p w14:paraId="73EF457E" w14:textId="77777777" w:rsidR="00B86693" w:rsidRPr="00B86693" w:rsidRDefault="00B86693" w:rsidP="0061607F">
      <w:pPr>
        <w:pStyle w:val="Bibliography"/>
        <w:spacing w:line="240" w:lineRule="auto"/>
        <w:rPr>
          <w:rFonts w:ascii="Calibri" w:hAnsi="Calibri" w:cs="Calibri"/>
          <w:color w:val="000000"/>
          <w:lang w:val="en-GB"/>
        </w:rPr>
      </w:pPr>
      <w:r w:rsidRPr="00B86693">
        <w:rPr>
          <w:rFonts w:ascii="Calibri" w:hAnsi="Calibri" w:cs="Calibri"/>
          <w:color w:val="000000"/>
          <w:lang w:val="en-GB"/>
        </w:rPr>
        <w:t xml:space="preserve">Beckett, K., Beach, L., Knaphus, E., &amp; Reosti, A. (2018). US criminal justice policy and practice in the twenty-first century: Toward the end of mass incarceration? </w:t>
      </w:r>
      <w:r w:rsidRPr="00B86693">
        <w:rPr>
          <w:rFonts w:ascii="Calibri" w:hAnsi="Calibri" w:cs="Calibri"/>
          <w:i/>
          <w:iCs/>
          <w:color w:val="000000"/>
          <w:lang w:val="en-GB"/>
        </w:rPr>
        <w:t>Law &amp; Policy</w:t>
      </w:r>
      <w:r w:rsidRPr="00B86693">
        <w:rPr>
          <w:rFonts w:ascii="Calibri" w:hAnsi="Calibri" w:cs="Calibri"/>
          <w:color w:val="000000"/>
          <w:lang w:val="en-GB"/>
        </w:rPr>
        <w:t xml:space="preserve">, </w:t>
      </w:r>
      <w:r w:rsidRPr="00B86693">
        <w:rPr>
          <w:rFonts w:ascii="Calibri" w:hAnsi="Calibri" w:cs="Calibri"/>
          <w:i/>
          <w:iCs/>
          <w:color w:val="000000"/>
          <w:lang w:val="en-GB"/>
        </w:rPr>
        <w:t>40</w:t>
      </w:r>
      <w:r w:rsidRPr="00B86693">
        <w:rPr>
          <w:rFonts w:ascii="Calibri" w:hAnsi="Calibri" w:cs="Calibri"/>
          <w:color w:val="000000"/>
          <w:lang w:val="en-GB"/>
        </w:rPr>
        <w:t>(4), 321–345.</w:t>
      </w:r>
    </w:p>
    <w:p w14:paraId="3D49FB85" w14:textId="77777777" w:rsidR="00B86693" w:rsidRPr="00B86693" w:rsidRDefault="00B86693" w:rsidP="0061607F">
      <w:pPr>
        <w:pStyle w:val="Bibliography"/>
        <w:spacing w:line="240" w:lineRule="auto"/>
        <w:rPr>
          <w:rFonts w:ascii="Calibri" w:hAnsi="Calibri" w:cs="Calibri"/>
          <w:color w:val="000000"/>
          <w:lang w:val="en-GB"/>
        </w:rPr>
      </w:pPr>
      <w:r w:rsidRPr="00B86693">
        <w:rPr>
          <w:rFonts w:ascii="Calibri" w:hAnsi="Calibri" w:cs="Calibri"/>
          <w:color w:val="000000"/>
          <w:lang w:val="en-GB"/>
        </w:rPr>
        <w:t xml:space="preserve">Bedner, A., &amp; Vel, J. A. C. (2010). An Analytical Framework for Empirical Research on Access to Justice. </w:t>
      </w:r>
      <w:r w:rsidRPr="00B86693">
        <w:rPr>
          <w:rFonts w:ascii="Calibri" w:hAnsi="Calibri" w:cs="Calibri"/>
          <w:i/>
          <w:iCs/>
          <w:color w:val="000000"/>
          <w:lang w:val="en-GB"/>
        </w:rPr>
        <w:t>Law, Social Justice &amp; Global Development Journal (LGD)</w:t>
      </w:r>
      <w:r w:rsidRPr="00B86693">
        <w:rPr>
          <w:rFonts w:ascii="Calibri" w:hAnsi="Calibri" w:cs="Calibri"/>
          <w:color w:val="000000"/>
          <w:lang w:val="en-GB"/>
        </w:rPr>
        <w:t>.</w:t>
      </w:r>
    </w:p>
    <w:p w14:paraId="5A42E3D3" w14:textId="77777777" w:rsidR="00B86693" w:rsidRPr="00B86693" w:rsidRDefault="00B86693" w:rsidP="0061607F">
      <w:pPr>
        <w:pStyle w:val="Bibliography"/>
        <w:spacing w:line="240" w:lineRule="auto"/>
        <w:rPr>
          <w:rFonts w:ascii="Calibri" w:hAnsi="Calibri" w:cs="Calibri"/>
          <w:color w:val="000000"/>
          <w:lang w:val="en-GB"/>
        </w:rPr>
      </w:pPr>
      <w:r w:rsidRPr="00B86693">
        <w:rPr>
          <w:rFonts w:ascii="Calibri" w:hAnsi="Calibri" w:cs="Calibri"/>
          <w:color w:val="000000"/>
          <w:lang w:val="en-GB"/>
        </w:rPr>
        <w:t xml:space="preserve">Bellamy, R. (2017). </w:t>
      </w:r>
      <w:r w:rsidRPr="00B86693">
        <w:rPr>
          <w:rFonts w:ascii="Calibri" w:hAnsi="Calibri" w:cs="Calibri"/>
          <w:i/>
          <w:iCs/>
          <w:color w:val="000000"/>
          <w:lang w:val="en-GB"/>
        </w:rPr>
        <w:t>The rule of law and the separation of powers</w:t>
      </w:r>
      <w:r w:rsidRPr="00B86693">
        <w:rPr>
          <w:rFonts w:ascii="Calibri" w:hAnsi="Calibri" w:cs="Calibri"/>
          <w:color w:val="000000"/>
          <w:lang w:val="en-GB"/>
        </w:rPr>
        <w:t>. Routledge.</w:t>
      </w:r>
    </w:p>
    <w:p w14:paraId="532AEC91" w14:textId="77777777" w:rsidR="00B86693" w:rsidRPr="00B86693" w:rsidRDefault="00B86693" w:rsidP="0061607F">
      <w:pPr>
        <w:pStyle w:val="Bibliography"/>
        <w:spacing w:line="240" w:lineRule="auto"/>
        <w:rPr>
          <w:rFonts w:ascii="Calibri" w:hAnsi="Calibri" w:cs="Calibri"/>
          <w:color w:val="000000"/>
          <w:lang w:val="en-GB"/>
        </w:rPr>
      </w:pPr>
      <w:r w:rsidRPr="00B86693">
        <w:rPr>
          <w:rFonts w:ascii="Calibri" w:hAnsi="Calibri" w:cs="Calibri"/>
          <w:color w:val="000000"/>
          <w:lang w:val="en-GB"/>
        </w:rPr>
        <w:t xml:space="preserve">Bielefeldt, H. (2012). Freedom of Religion or Belief–A Human Right under Pressure. </w:t>
      </w:r>
      <w:r w:rsidRPr="00B86693">
        <w:rPr>
          <w:rFonts w:ascii="Calibri" w:hAnsi="Calibri" w:cs="Calibri"/>
          <w:i/>
          <w:iCs/>
          <w:color w:val="000000"/>
          <w:lang w:val="en-GB"/>
        </w:rPr>
        <w:t>Oxford Journal of Law and Religion</w:t>
      </w:r>
      <w:r w:rsidRPr="00B86693">
        <w:rPr>
          <w:rFonts w:ascii="Calibri" w:hAnsi="Calibri" w:cs="Calibri"/>
          <w:color w:val="000000"/>
          <w:lang w:val="en-GB"/>
        </w:rPr>
        <w:t xml:space="preserve">, </w:t>
      </w:r>
      <w:r w:rsidRPr="00B86693">
        <w:rPr>
          <w:rFonts w:ascii="Calibri" w:hAnsi="Calibri" w:cs="Calibri"/>
          <w:i/>
          <w:iCs/>
          <w:color w:val="000000"/>
          <w:lang w:val="en-GB"/>
        </w:rPr>
        <w:t>1</w:t>
      </w:r>
      <w:r w:rsidRPr="00B86693">
        <w:rPr>
          <w:rFonts w:ascii="Calibri" w:hAnsi="Calibri" w:cs="Calibri"/>
          <w:color w:val="000000"/>
          <w:lang w:val="en-GB"/>
        </w:rPr>
        <w:t>(1), 15–35. https://doi.org/10.1093/ojlr/rwr018</w:t>
      </w:r>
    </w:p>
    <w:p w14:paraId="30C26B7E" w14:textId="77777777" w:rsidR="00B86693" w:rsidRPr="00B86693" w:rsidRDefault="00B86693" w:rsidP="0061607F">
      <w:pPr>
        <w:pStyle w:val="Bibliography"/>
        <w:spacing w:line="240" w:lineRule="auto"/>
        <w:rPr>
          <w:rFonts w:ascii="Calibri" w:hAnsi="Calibri" w:cs="Calibri"/>
          <w:color w:val="000000"/>
          <w:lang w:val="en-GB"/>
        </w:rPr>
      </w:pPr>
      <w:r w:rsidRPr="00B86693">
        <w:rPr>
          <w:rFonts w:ascii="Calibri" w:hAnsi="Calibri" w:cs="Calibri"/>
          <w:color w:val="000000"/>
          <w:lang w:val="en-GB"/>
        </w:rPr>
        <w:t xml:space="preserve">Bush, R. (2015). 13 Religious politics and minority rights during the Yudhoyono presidency. </w:t>
      </w:r>
      <w:r w:rsidRPr="00B86693">
        <w:rPr>
          <w:rFonts w:ascii="Calibri" w:hAnsi="Calibri" w:cs="Calibri"/>
          <w:i/>
          <w:iCs/>
          <w:color w:val="000000"/>
          <w:lang w:val="en-GB"/>
        </w:rPr>
        <w:t>The Yudhoyono Presidency: Indonesia’s Decade of Stability and Stagnation</w:t>
      </w:r>
      <w:r w:rsidRPr="00B86693">
        <w:rPr>
          <w:rFonts w:ascii="Calibri" w:hAnsi="Calibri" w:cs="Calibri"/>
          <w:color w:val="000000"/>
          <w:lang w:val="en-GB"/>
        </w:rPr>
        <w:t>, 239.</w:t>
      </w:r>
    </w:p>
    <w:p w14:paraId="2DA27B12" w14:textId="77777777" w:rsidR="00B86693" w:rsidRPr="00B86693" w:rsidRDefault="00B86693" w:rsidP="0061607F">
      <w:pPr>
        <w:pStyle w:val="Bibliography"/>
        <w:spacing w:line="240" w:lineRule="auto"/>
        <w:rPr>
          <w:rFonts w:ascii="Calibri" w:hAnsi="Calibri" w:cs="Calibri"/>
          <w:color w:val="000000"/>
          <w:lang w:val="en-GB"/>
        </w:rPr>
      </w:pPr>
      <w:r w:rsidRPr="00B86693">
        <w:rPr>
          <w:rFonts w:ascii="Calibri" w:hAnsi="Calibri" w:cs="Calibri"/>
          <w:color w:val="000000"/>
          <w:lang w:val="en-GB"/>
        </w:rPr>
        <w:t xml:space="preserve">Fischer, M. (2021). Hate Speech Laws and Blasphemy Laws: Parallels Show Problems with the UN Strategy and Plan of Action on Hate Speech. </w:t>
      </w:r>
      <w:r w:rsidRPr="00B86693">
        <w:rPr>
          <w:rFonts w:ascii="Calibri" w:hAnsi="Calibri" w:cs="Calibri"/>
          <w:i/>
          <w:iCs/>
          <w:color w:val="000000"/>
          <w:lang w:val="en-GB"/>
        </w:rPr>
        <w:t>Emory Int’l L. Rev.</w:t>
      </w:r>
      <w:r w:rsidRPr="00B86693">
        <w:rPr>
          <w:rFonts w:ascii="Calibri" w:hAnsi="Calibri" w:cs="Calibri"/>
          <w:color w:val="000000"/>
          <w:lang w:val="en-GB"/>
        </w:rPr>
        <w:t xml:space="preserve">, </w:t>
      </w:r>
      <w:r w:rsidRPr="00B86693">
        <w:rPr>
          <w:rFonts w:ascii="Calibri" w:hAnsi="Calibri" w:cs="Calibri"/>
          <w:i/>
          <w:iCs/>
          <w:color w:val="000000"/>
          <w:lang w:val="en-GB"/>
        </w:rPr>
        <w:t>35</w:t>
      </w:r>
      <w:r w:rsidRPr="00B86693">
        <w:rPr>
          <w:rFonts w:ascii="Calibri" w:hAnsi="Calibri" w:cs="Calibri"/>
          <w:color w:val="000000"/>
          <w:lang w:val="en-GB"/>
        </w:rPr>
        <w:t>, 177.</w:t>
      </w:r>
    </w:p>
    <w:p w14:paraId="4D582127" w14:textId="77777777" w:rsidR="00B86693" w:rsidRPr="00B86693" w:rsidRDefault="00B86693" w:rsidP="0061607F">
      <w:pPr>
        <w:pStyle w:val="Bibliography"/>
        <w:spacing w:line="240" w:lineRule="auto"/>
        <w:rPr>
          <w:rFonts w:ascii="Calibri" w:hAnsi="Calibri" w:cs="Calibri"/>
          <w:color w:val="000000"/>
          <w:lang w:val="en-GB"/>
        </w:rPr>
      </w:pPr>
      <w:r w:rsidRPr="00B86693">
        <w:rPr>
          <w:rFonts w:ascii="Calibri" w:hAnsi="Calibri" w:cs="Calibri"/>
          <w:color w:val="000000"/>
          <w:lang w:val="en-GB"/>
        </w:rPr>
        <w:t xml:space="preserve">George, C. (2017). Hate spin: The twin political strategies of religious incitement and offense-taking. </w:t>
      </w:r>
      <w:r w:rsidRPr="00B86693">
        <w:rPr>
          <w:rFonts w:ascii="Calibri" w:hAnsi="Calibri" w:cs="Calibri"/>
          <w:i/>
          <w:iCs/>
          <w:color w:val="000000"/>
          <w:lang w:val="en-GB"/>
        </w:rPr>
        <w:t>Communication Theory</w:t>
      </w:r>
      <w:r w:rsidRPr="00B86693">
        <w:rPr>
          <w:rFonts w:ascii="Calibri" w:hAnsi="Calibri" w:cs="Calibri"/>
          <w:color w:val="000000"/>
          <w:lang w:val="en-GB"/>
        </w:rPr>
        <w:t xml:space="preserve">, </w:t>
      </w:r>
      <w:r w:rsidRPr="00B86693">
        <w:rPr>
          <w:rFonts w:ascii="Calibri" w:hAnsi="Calibri" w:cs="Calibri"/>
          <w:i/>
          <w:iCs/>
          <w:color w:val="000000"/>
          <w:lang w:val="en-GB"/>
        </w:rPr>
        <w:t>27</w:t>
      </w:r>
      <w:r w:rsidRPr="00B86693">
        <w:rPr>
          <w:rFonts w:ascii="Calibri" w:hAnsi="Calibri" w:cs="Calibri"/>
          <w:color w:val="000000"/>
          <w:lang w:val="en-GB"/>
        </w:rPr>
        <w:t>(2), 156–175.</w:t>
      </w:r>
    </w:p>
    <w:p w14:paraId="48FCB72D" w14:textId="77777777" w:rsidR="00B86693" w:rsidRPr="00B86693" w:rsidRDefault="00B86693" w:rsidP="0061607F">
      <w:pPr>
        <w:pStyle w:val="Bibliography"/>
        <w:spacing w:line="240" w:lineRule="auto"/>
        <w:rPr>
          <w:rFonts w:ascii="Calibri" w:hAnsi="Calibri" w:cs="Calibri"/>
          <w:color w:val="000000"/>
          <w:lang w:val="en-GB"/>
        </w:rPr>
      </w:pPr>
      <w:r w:rsidRPr="00B86693">
        <w:rPr>
          <w:rFonts w:ascii="Calibri" w:hAnsi="Calibri" w:cs="Calibri"/>
          <w:color w:val="000000"/>
          <w:lang w:val="en-GB"/>
        </w:rPr>
        <w:t xml:space="preserve">Hassner, R. E. (2011). Blasphemy and Violence1: Blasphemy and Violence. </w:t>
      </w:r>
      <w:r w:rsidRPr="00B86693">
        <w:rPr>
          <w:rFonts w:ascii="Calibri" w:hAnsi="Calibri" w:cs="Calibri"/>
          <w:i/>
          <w:iCs/>
          <w:color w:val="000000"/>
          <w:lang w:val="en-GB"/>
        </w:rPr>
        <w:t>International Studies Quarterly</w:t>
      </w:r>
      <w:r w:rsidRPr="00B86693">
        <w:rPr>
          <w:rFonts w:ascii="Calibri" w:hAnsi="Calibri" w:cs="Calibri"/>
          <w:color w:val="000000"/>
          <w:lang w:val="en-GB"/>
        </w:rPr>
        <w:t xml:space="preserve">, </w:t>
      </w:r>
      <w:r w:rsidRPr="00B86693">
        <w:rPr>
          <w:rFonts w:ascii="Calibri" w:hAnsi="Calibri" w:cs="Calibri"/>
          <w:i/>
          <w:iCs/>
          <w:color w:val="000000"/>
          <w:lang w:val="en-GB"/>
        </w:rPr>
        <w:t>55</w:t>
      </w:r>
      <w:r w:rsidRPr="00B86693">
        <w:rPr>
          <w:rFonts w:ascii="Calibri" w:hAnsi="Calibri" w:cs="Calibri"/>
          <w:color w:val="000000"/>
          <w:lang w:val="en-GB"/>
        </w:rPr>
        <w:t>(1), 23–45. https://doi.org/10.1111/j.1468-2478.2010.00634.x</w:t>
      </w:r>
    </w:p>
    <w:p w14:paraId="220C034E" w14:textId="77777777" w:rsidR="00B86693" w:rsidRPr="00B86693" w:rsidRDefault="00B86693" w:rsidP="0061607F">
      <w:pPr>
        <w:pStyle w:val="Bibliography"/>
        <w:spacing w:line="240" w:lineRule="auto"/>
        <w:rPr>
          <w:rFonts w:ascii="Calibri" w:hAnsi="Calibri" w:cs="Calibri"/>
          <w:color w:val="000000"/>
          <w:lang w:val="en-GB"/>
        </w:rPr>
      </w:pPr>
      <w:r w:rsidRPr="00B86693">
        <w:rPr>
          <w:rFonts w:ascii="Calibri" w:hAnsi="Calibri" w:cs="Calibri"/>
          <w:color w:val="000000"/>
          <w:lang w:val="en-GB"/>
        </w:rPr>
        <w:t xml:space="preserve">Hewson, J. (2017). </w:t>
      </w:r>
      <w:r w:rsidRPr="00B86693">
        <w:rPr>
          <w:rFonts w:ascii="Calibri" w:hAnsi="Calibri" w:cs="Calibri"/>
          <w:i/>
          <w:iCs/>
          <w:color w:val="000000"/>
          <w:lang w:val="en-GB"/>
        </w:rPr>
        <w:t>Focus—Mob justice on the rise in Indonesia</w:t>
      </w:r>
      <w:r w:rsidRPr="00B86693">
        <w:rPr>
          <w:rFonts w:ascii="Calibri" w:hAnsi="Calibri" w:cs="Calibri"/>
          <w:color w:val="000000"/>
          <w:lang w:val="en-GB"/>
        </w:rPr>
        <w:t>. https://www.france24.com/en/20170928-focus-indonesia-mob-justice-rise-vigilante-violence-ethnic-religious-minorities</w:t>
      </w:r>
    </w:p>
    <w:p w14:paraId="41E78587" w14:textId="77777777" w:rsidR="00B86693" w:rsidRPr="00B86693" w:rsidRDefault="00B86693" w:rsidP="0061607F">
      <w:pPr>
        <w:pStyle w:val="Bibliography"/>
        <w:spacing w:line="240" w:lineRule="auto"/>
        <w:rPr>
          <w:rFonts w:ascii="Calibri" w:hAnsi="Calibri" w:cs="Calibri"/>
          <w:color w:val="000000"/>
          <w:lang w:val="en-GB"/>
        </w:rPr>
      </w:pPr>
      <w:r w:rsidRPr="00B86693">
        <w:rPr>
          <w:rFonts w:ascii="Calibri" w:hAnsi="Calibri" w:cs="Calibri"/>
          <w:color w:val="000000"/>
          <w:lang w:val="en-GB"/>
        </w:rPr>
        <w:t xml:space="preserve">Malle, B. F., &amp; Nelson, S. E. (2003). Judging mens rea: The tension between folk concepts and legal concepts of intentionality. </w:t>
      </w:r>
      <w:r w:rsidRPr="00B86693">
        <w:rPr>
          <w:rFonts w:ascii="Calibri" w:hAnsi="Calibri" w:cs="Calibri"/>
          <w:i/>
          <w:iCs/>
          <w:color w:val="000000"/>
          <w:lang w:val="en-GB"/>
        </w:rPr>
        <w:t>Behavioral Sciences &amp; the Law</w:t>
      </w:r>
      <w:r w:rsidRPr="00B86693">
        <w:rPr>
          <w:rFonts w:ascii="Calibri" w:hAnsi="Calibri" w:cs="Calibri"/>
          <w:color w:val="000000"/>
          <w:lang w:val="en-GB"/>
        </w:rPr>
        <w:t xml:space="preserve">, </w:t>
      </w:r>
      <w:r w:rsidRPr="00B86693">
        <w:rPr>
          <w:rFonts w:ascii="Calibri" w:hAnsi="Calibri" w:cs="Calibri"/>
          <w:i/>
          <w:iCs/>
          <w:color w:val="000000"/>
          <w:lang w:val="en-GB"/>
        </w:rPr>
        <w:t>21</w:t>
      </w:r>
      <w:r w:rsidRPr="00B86693">
        <w:rPr>
          <w:rFonts w:ascii="Calibri" w:hAnsi="Calibri" w:cs="Calibri"/>
          <w:color w:val="000000"/>
          <w:lang w:val="en-GB"/>
        </w:rPr>
        <w:t>(5), 563–580.</w:t>
      </w:r>
    </w:p>
    <w:p w14:paraId="69FA5CBD" w14:textId="77777777" w:rsidR="00B86693" w:rsidRPr="00B86693" w:rsidRDefault="00B86693" w:rsidP="0061607F">
      <w:pPr>
        <w:pStyle w:val="Bibliography"/>
        <w:spacing w:line="240" w:lineRule="auto"/>
        <w:rPr>
          <w:rFonts w:ascii="Calibri" w:hAnsi="Calibri" w:cs="Calibri"/>
          <w:color w:val="000000"/>
          <w:lang w:val="en-GB"/>
        </w:rPr>
      </w:pPr>
      <w:r w:rsidRPr="00B86693">
        <w:rPr>
          <w:rFonts w:ascii="Calibri" w:hAnsi="Calibri" w:cs="Calibri"/>
          <w:color w:val="000000"/>
          <w:lang w:val="en-GB"/>
        </w:rPr>
        <w:t xml:space="preserve">Manan, A. (2013). Penemuan Hukum Oleh Hakim Dalam Praktek Hukum Acara Di Peradilan Agama. </w:t>
      </w:r>
      <w:r w:rsidRPr="00B86693">
        <w:rPr>
          <w:rFonts w:ascii="Calibri" w:hAnsi="Calibri" w:cs="Calibri"/>
          <w:i/>
          <w:iCs/>
          <w:color w:val="000000"/>
          <w:lang w:val="en-GB"/>
        </w:rPr>
        <w:t>Jurnal Hukum Dan Peradilan</w:t>
      </w:r>
      <w:r w:rsidRPr="00B86693">
        <w:rPr>
          <w:rFonts w:ascii="Calibri" w:hAnsi="Calibri" w:cs="Calibri"/>
          <w:color w:val="000000"/>
          <w:lang w:val="en-GB"/>
        </w:rPr>
        <w:t xml:space="preserve">, </w:t>
      </w:r>
      <w:r w:rsidRPr="00B86693">
        <w:rPr>
          <w:rFonts w:ascii="Calibri" w:hAnsi="Calibri" w:cs="Calibri"/>
          <w:i/>
          <w:iCs/>
          <w:color w:val="000000"/>
          <w:lang w:val="en-GB"/>
        </w:rPr>
        <w:t>2</w:t>
      </w:r>
      <w:r w:rsidRPr="00B86693">
        <w:rPr>
          <w:rFonts w:ascii="Calibri" w:hAnsi="Calibri" w:cs="Calibri"/>
          <w:color w:val="000000"/>
          <w:lang w:val="en-GB"/>
        </w:rPr>
        <w:t>(2), 189–202.</w:t>
      </w:r>
    </w:p>
    <w:p w14:paraId="44C4B08D" w14:textId="77777777" w:rsidR="00B86693" w:rsidRPr="00B86693" w:rsidRDefault="00B86693" w:rsidP="0061607F">
      <w:pPr>
        <w:pStyle w:val="Bibliography"/>
        <w:spacing w:line="240" w:lineRule="auto"/>
        <w:rPr>
          <w:rFonts w:ascii="Calibri" w:hAnsi="Calibri" w:cs="Calibri"/>
          <w:color w:val="000000"/>
          <w:lang w:val="en-GB"/>
        </w:rPr>
      </w:pPr>
      <w:r w:rsidRPr="00B86693">
        <w:rPr>
          <w:rFonts w:ascii="Calibri" w:hAnsi="Calibri" w:cs="Calibri"/>
          <w:color w:val="000000"/>
          <w:lang w:val="en-GB"/>
        </w:rPr>
        <w:lastRenderedPageBreak/>
        <w:t xml:space="preserve">Menchik, J. (2014). Productive intolerance: Godly nationalism in Indonesia. </w:t>
      </w:r>
      <w:r w:rsidRPr="00B86693">
        <w:rPr>
          <w:rFonts w:ascii="Calibri" w:hAnsi="Calibri" w:cs="Calibri"/>
          <w:i/>
          <w:iCs/>
          <w:color w:val="000000"/>
          <w:lang w:val="en-GB"/>
        </w:rPr>
        <w:t>Comparative Studies in Society and History</w:t>
      </w:r>
      <w:r w:rsidRPr="00B86693">
        <w:rPr>
          <w:rFonts w:ascii="Calibri" w:hAnsi="Calibri" w:cs="Calibri"/>
          <w:color w:val="000000"/>
          <w:lang w:val="en-GB"/>
        </w:rPr>
        <w:t xml:space="preserve">, </w:t>
      </w:r>
      <w:r w:rsidRPr="00B86693">
        <w:rPr>
          <w:rFonts w:ascii="Calibri" w:hAnsi="Calibri" w:cs="Calibri"/>
          <w:i/>
          <w:iCs/>
          <w:color w:val="000000"/>
          <w:lang w:val="en-GB"/>
        </w:rPr>
        <w:t>56</w:t>
      </w:r>
      <w:r w:rsidRPr="00B86693">
        <w:rPr>
          <w:rFonts w:ascii="Calibri" w:hAnsi="Calibri" w:cs="Calibri"/>
          <w:color w:val="000000"/>
          <w:lang w:val="en-GB"/>
        </w:rPr>
        <w:t>(3), 591–621. https://doi.org/10.1017/S0010417514000267</w:t>
      </w:r>
    </w:p>
    <w:p w14:paraId="48B5EEA8" w14:textId="77777777" w:rsidR="00B86693" w:rsidRPr="00B86693" w:rsidRDefault="00B86693" w:rsidP="0061607F">
      <w:pPr>
        <w:pStyle w:val="Bibliography"/>
        <w:spacing w:line="240" w:lineRule="auto"/>
        <w:rPr>
          <w:rFonts w:ascii="Calibri" w:hAnsi="Calibri" w:cs="Calibri"/>
          <w:color w:val="000000"/>
          <w:lang w:val="en-GB"/>
        </w:rPr>
      </w:pPr>
      <w:r w:rsidRPr="00B86693">
        <w:rPr>
          <w:rFonts w:ascii="Calibri" w:hAnsi="Calibri" w:cs="Calibri"/>
          <w:color w:val="000000"/>
          <w:lang w:val="en-GB"/>
        </w:rPr>
        <w:t xml:space="preserve">Merkel, W. (2012). Measuring the Quality of Rule of Law. </w:t>
      </w:r>
      <w:r w:rsidRPr="00B86693">
        <w:rPr>
          <w:rFonts w:ascii="Calibri" w:hAnsi="Calibri" w:cs="Calibri"/>
          <w:i/>
          <w:iCs/>
          <w:color w:val="000000"/>
          <w:lang w:val="en-GB"/>
        </w:rPr>
        <w:t>Rule of Law Dynamics: In an Era of International and Transnational Governance</w:t>
      </w:r>
      <w:r w:rsidRPr="00B86693">
        <w:rPr>
          <w:rFonts w:ascii="Calibri" w:hAnsi="Calibri" w:cs="Calibri"/>
          <w:color w:val="000000"/>
          <w:lang w:val="en-GB"/>
        </w:rPr>
        <w:t>, 21–47.</w:t>
      </w:r>
    </w:p>
    <w:p w14:paraId="06919048" w14:textId="77777777" w:rsidR="00B86693" w:rsidRPr="00B86693" w:rsidRDefault="00B86693" w:rsidP="0061607F">
      <w:pPr>
        <w:pStyle w:val="Bibliography"/>
        <w:spacing w:line="240" w:lineRule="auto"/>
        <w:rPr>
          <w:rFonts w:ascii="Calibri" w:hAnsi="Calibri" w:cs="Calibri"/>
          <w:color w:val="000000"/>
          <w:lang w:val="en-GB"/>
        </w:rPr>
      </w:pPr>
      <w:r w:rsidRPr="00B86693">
        <w:rPr>
          <w:rFonts w:ascii="Calibri" w:hAnsi="Calibri" w:cs="Calibri"/>
          <w:color w:val="000000"/>
          <w:lang w:val="en-GB"/>
        </w:rPr>
        <w:t xml:space="preserve">Mulyartono, S., RAFSADIE, IRSYAD, &amp; NUR SAHID, Ali. (2021). </w:t>
      </w:r>
      <w:r w:rsidRPr="00B86693">
        <w:rPr>
          <w:rFonts w:ascii="Calibri" w:hAnsi="Calibri" w:cs="Calibri"/>
          <w:i/>
          <w:iCs/>
          <w:color w:val="000000"/>
          <w:lang w:val="en-GB"/>
        </w:rPr>
        <w:t>How did a complaint about a mosque loudspeaker end up in a blasphemy conviction?</w:t>
      </w:r>
      <w:r w:rsidRPr="00B86693">
        <w:rPr>
          <w:rFonts w:ascii="Calibri" w:hAnsi="Calibri" w:cs="Calibri"/>
          <w:color w:val="000000"/>
          <w:lang w:val="en-GB"/>
        </w:rPr>
        <w:t xml:space="preserve"> University of Melbourne. https://indonesiaatmelbourne.unimelb.edu.au/how-did-a-complaint-about-a-mosque-loudspeaker-end-up-in-a-blasphemy-conviction/</w:t>
      </w:r>
    </w:p>
    <w:p w14:paraId="1958C731" w14:textId="77777777" w:rsidR="00B86693" w:rsidRPr="00B86693" w:rsidRDefault="00B86693" w:rsidP="0061607F">
      <w:pPr>
        <w:pStyle w:val="Bibliography"/>
        <w:spacing w:line="240" w:lineRule="auto"/>
        <w:rPr>
          <w:rFonts w:ascii="Calibri" w:hAnsi="Calibri" w:cs="Calibri"/>
          <w:color w:val="000000"/>
          <w:lang w:val="en-GB"/>
        </w:rPr>
      </w:pPr>
      <w:r w:rsidRPr="00B86693">
        <w:rPr>
          <w:rFonts w:ascii="Calibri" w:hAnsi="Calibri" w:cs="Calibri"/>
          <w:color w:val="000000"/>
          <w:lang w:val="en-GB"/>
        </w:rPr>
        <w:t xml:space="preserve">Nalle, V. I. W. (2021). The politics of intolerant laws against adherents of indigenous beliefs or aliran kepercayaan in Indonesia. </w:t>
      </w:r>
      <w:r w:rsidRPr="00B86693">
        <w:rPr>
          <w:rFonts w:ascii="Calibri" w:hAnsi="Calibri" w:cs="Calibri"/>
          <w:i/>
          <w:iCs/>
          <w:color w:val="000000"/>
          <w:lang w:val="en-GB"/>
        </w:rPr>
        <w:t>Asian Journal of Law and Society</w:t>
      </w:r>
      <w:r w:rsidRPr="00B86693">
        <w:rPr>
          <w:rFonts w:ascii="Calibri" w:hAnsi="Calibri" w:cs="Calibri"/>
          <w:color w:val="000000"/>
          <w:lang w:val="en-GB"/>
        </w:rPr>
        <w:t xml:space="preserve">, </w:t>
      </w:r>
      <w:r w:rsidRPr="00B86693">
        <w:rPr>
          <w:rFonts w:ascii="Calibri" w:hAnsi="Calibri" w:cs="Calibri"/>
          <w:i/>
          <w:iCs/>
          <w:color w:val="000000"/>
          <w:lang w:val="en-GB"/>
        </w:rPr>
        <w:t>8</w:t>
      </w:r>
      <w:r w:rsidRPr="00B86693">
        <w:rPr>
          <w:rFonts w:ascii="Calibri" w:hAnsi="Calibri" w:cs="Calibri"/>
          <w:color w:val="000000"/>
          <w:lang w:val="en-GB"/>
        </w:rPr>
        <w:t>(3), 558–576.</w:t>
      </w:r>
    </w:p>
    <w:p w14:paraId="7DDE5CA4" w14:textId="77777777" w:rsidR="00B86693" w:rsidRPr="00B86693" w:rsidRDefault="00B86693" w:rsidP="0061607F">
      <w:pPr>
        <w:pStyle w:val="Bibliography"/>
        <w:spacing w:line="240" w:lineRule="auto"/>
        <w:rPr>
          <w:rFonts w:ascii="Calibri" w:hAnsi="Calibri" w:cs="Calibri"/>
          <w:color w:val="000000"/>
          <w:lang w:val="en-GB"/>
        </w:rPr>
      </w:pPr>
      <w:r w:rsidRPr="00B86693">
        <w:rPr>
          <w:rFonts w:ascii="Calibri" w:hAnsi="Calibri" w:cs="Calibri"/>
          <w:color w:val="000000"/>
          <w:lang w:val="en-GB"/>
        </w:rPr>
        <w:t xml:space="preserve">Pratiwi, C. S. (2021). Rethinking the Constitutionality of Indonesia’s Flawed Anti Blasphemy Law. </w:t>
      </w:r>
      <w:r w:rsidRPr="00B86693">
        <w:rPr>
          <w:rFonts w:ascii="Calibri" w:hAnsi="Calibri" w:cs="Calibri"/>
          <w:i/>
          <w:iCs/>
          <w:color w:val="000000"/>
          <w:lang w:val="en-GB"/>
        </w:rPr>
        <w:t>Constitutional Review</w:t>
      </w:r>
      <w:r w:rsidRPr="00B86693">
        <w:rPr>
          <w:rFonts w:ascii="Calibri" w:hAnsi="Calibri" w:cs="Calibri"/>
          <w:color w:val="000000"/>
          <w:lang w:val="en-GB"/>
        </w:rPr>
        <w:t xml:space="preserve">, </w:t>
      </w:r>
      <w:r w:rsidRPr="00B86693">
        <w:rPr>
          <w:rFonts w:ascii="Calibri" w:hAnsi="Calibri" w:cs="Calibri"/>
          <w:i/>
          <w:iCs/>
          <w:color w:val="000000"/>
          <w:lang w:val="en-GB"/>
        </w:rPr>
        <w:t>7</w:t>
      </w:r>
      <w:r w:rsidRPr="00B86693">
        <w:rPr>
          <w:rFonts w:ascii="Calibri" w:hAnsi="Calibri" w:cs="Calibri"/>
          <w:color w:val="000000"/>
          <w:lang w:val="en-GB"/>
        </w:rPr>
        <w:t>(2), 273–299. https://doi.org/10.31078/consrev724</w:t>
      </w:r>
    </w:p>
    <w:p w14:paraId="56950879" w14:textId="77777777" w:rsidR="00B86693" w:rsidRPr="00B86693" w:rsidRDefault="00B86693" w:rsidP="0061607F">
      <w:pPr>
        <w:pStyle w:val="Bibliography"/>
        <w:spacing w:line="240" w:lineRule="auto"/>
        <w:rPr>
          <w:rFonts w:ascii="Calibri" w:hAnsi="Calibri" w:cs="Calibri"/>
          <w:color w:val="000000"/>
          <w:lang w:val="en-GB"/>
        </w:rPr>
      </w:pPr>
      <w:r w:rsidRPr="00B86693">
        <w:rPr>
          <w:rFonts w:ascii="Calibri" w:hAnsi="Calibri" w:cs="Calibri"/>
          <w:color w:val="000000"/>
          <w:lang w:val="en-GB"/>
        </w:rPr>
        <w:t xml:space="preserve">Pratiwi, C. S., &amp; Sunaryo, S. (2021). Blasphemy law as a structural violence: A challenge for maintaining sustainable peace. </w:t>
      </w:r>
      <w:r w:rsidRPr="00B86693">
        <w:rPr>
          <w:rFonts w:ascii="Calibri" w:hAnsi="Calibri" w:cs="Calibri"/>
          <w:i/>
          <w:iCs/>
          <w:color w:val="000000"/>
          <w:lang w:val="en-GB"/>
        </w:rPr>
        <w:t>Muslim World Journal of Human Rights</w:t>
      </w:r>
      <w:r w:rsidRPr="00B86693">
        <w:rPr>
          <w:rFonts w:ascii="Calibri" w:hAnsi="Calibri" w:cs="Calibri"/>
          <w:color w:val="000000"/>
          <w:lang w:val="en-GB"/>
        </w:rPr>
        <w:t xml:space="preserve">, </w:t>
      </w:r>
      <w:r w:rsidRPr="00B86693">
        <w:rPr>
          <w:rFonts w:ascii="Calibri" w:hAnsi="Calibri" w:cs="Calibri"/>
          <w:i/>
          <w:iCs/>
          <w:color w:val="000000"/>
          <w:lang w:val="en-GB"/>
        </w:rPr>
        <w:t>18</w:t>
      </w:r>
      <w:r w:rsidRPr="00B86693">
        <w:rPr>
          <w:rFonts w:ascii="Calibri" w:hAnsi="Calibri" w:cs="Calibri"/>
          <w:color w:val="000000"/>
          <w:lang w:val="en-GB"/>
        </w:rPr>
        <w:t>(1), 133–165. https://doi.org/10.1515/mwjhr-2020-0019</w:t>
      </w:r>
    </w:p>
    <w:p w14:paraId="2E72DE67" w14:textId="77777777" w:rsidR="00B86693" w:rsidRPr="00B86693" w:rsidRDefault="00B86693" w:rsidP="0061607F">
      <w:pPr>
        <w:pStyle w:val="Bibliography"/>
        <w:spacing w:line="240" w:lineRule="auto"/>
        <w:rPr>
          <w:rFonts w:ascii="Calibri" w:hAnsi="Calibri" w:cs="Calibri"/>
          <w:color w:val="000000"/>
          <w:lang w:val="en-GB"/>
        </w:rPr>
      </w:pPr>
      <w:r w:rsidRPr="00B86693">
        <w:rPr>
          <w:rFonts w:ascii="Calibri" w:hAnsi="Calibri" w:cs="Calibri"/>
          <w:color w:val="000000"/>
          <w:lang w:val="en-GB"/>
        </w:rPr>
        <w:t xml:space="preserve">Scheuerman, W. E. (2022). Why not uncivil disobedience? </w:t>
      </w:r>
      <w:r w:rsidRPr="00B86693">
        <w:rPr>
          <w:rFonts w:ascii="Calibri" w:hAnsi="Calibri" w:cs="Calibri"/>
          <w:i/>
          <w:iCs/>
          <w:color w:val="000000"/>
          <w:lang w:val="en-GB"/>
        </w:rPr>
        <w:t>Critical Review of International Social and Political Philosophy</w:t>
      </w:r>
      <w:r w:rsidRPr="00B86693">
        <w:rPr>
          <w:rFonts w:ascii="Calibri" w:hAnsi="Calibri" w:cs="Calibri"/>
          <w:color w:val="000000"/>
          <w:lang w:val="en-GB"/>
        </w:rPr>
        <w:t xml:space="preserve">, </w:t>
      </w:r>
      <w:r w:rsidRPr="00B86693">
        <w:rPr>
          <w:rFonts w:ascii="Calibri" w:hAnsi="Calibri" w:cs="Calibri"/>
          <w:i/>
          <w:iCs/>
          <w:color w:val="000000"/>
          <w:lang w:val="en-GB"/>
        </w:rPr>
        <w:t>25</w:t>
      </w:r>
      <w:r w:rsidRPr="00B86693">
        <w:rPr>
          <w:rFonts w:ascii="Calibri" w:hAnsi="Calibri" w:cs="Calibri"/>
          <w:color w:val="000000"/>
          <w:lang w:val="en-GB"/>
        </w:rPr>
        <w:t>(7), 980–999.</w:t>
      </w:r>
    </w:p>
    <w:p w14:paraId="07CAE419" w14:textId="77777777" w:rsidR="00B86693" w:rsidRPr="00B86693" w:rsidRDefault="00B86693" w:rsidP="0061607F">
      <w:pPr>
        <w:pStyle w:val="Bibliography"/>
        <w:spacing w:line="240" w:lineRule="auto"/>
        <w:rPr>
          <w:rFonts w:ascii="Calibri" w:hAnsi="Calibri" w:cs="Calibri"/>
          <w:color w:val="000000"/>
          <w:lang w:val="en-GB"/>
        </w:rPr>
      </w:pPr>
      <w:r w:rsidRPr="00B86693">
        <w:rPr>
          <w:rFonts w:ascii="Calibri" w:hAnsi="Calibri" w:cs="Calibri"/>
          <w:color w:val="000000"/>
          <w:lang w:val="en-GB"/>
        </w:rPr>
        <w:t xml:space="preserve">Sebastian, L. C., &amp; Arifianto, A. R. (2020). TRaNS special section on “Growing Religious Intolerance in Indonesia.” </w:t>
      </w:r>
      <w:r w:rsidRPr="00B86693">
        <w:rPr>
          <w:rFonts w:ascii="Calibri" w:hAnsi="Calibri" w:cs="Calibri"/>
          <w:i/>
          <w:iCs/>
          <w:color w:val="000000"/>
          <w:lang w:val="en-GB"/>
        </w:rPr>
        <w:t>TRaNS: Trans -Regional and -National Studies of Southeast Asia</w:t>
      </w:r>
      <w:r w:rsidRPr="00B86693">
        <w:rPr>
          <w:rFonts w:ascii="Calibri" w:hAnsi="Calibri" w:cs="Calibri"/>
          <w:color w:val="000000"/>
          <w:lang w:val="en-GB"/>
        </w:rPr>
        <w:t xml:space="preserve">, </w:t>
      </w:r>
      <w:r w:rsidRPr="00B86693">
        <w:rPr>
          <w:rFonts w:ascii="Calibri" w:hAnsi="Calibri" w:cs="Calibri"/>
          <w:i/>
          <w:iCs/>
          <w:color w:val="000000"/>
          <w:lang w:val="en-GB"/>
        </w:rPr>
        <w:t>8</w:t>
      </w:r>
      <w:r w:rsidRPr="00B86693">
        <w:rPr>
          <w:rFonts w:ascii="Calibri" w:hAnsi="Calibri" w:cs="Calibri"/>
          <w:color w:val="000000"/>
          <w:lang w:val="en-GB"/>
        </w:rPr>
        <w:t>(1), 1–5. https://doi.org/10.1017/trn.2020.1</w:t>
      </w:r>
    </w:p>
    <w:p w14:paraId="0D9D3BEC" w14:textId="77777777" w:rsidR="00B86693" w:rsidRPr="00B86693" w:rsidRDefault="00B86693" w:rsidP="0061607F">
      <w:pPr>
        <w:pStyle w:val="Bibliography"/>
        <w:spacing w:line="240" w:lineRule="auto"/>
        <w:rPr>
          <w:rFonts w:ascii="Calibri" w:hAnsi="Calibri" w:cs="Calibri"/>
          <w:color w:val="000000"/>
          <w:lang w:val="en-GB"/>
        </w:rPr>
      </w:pPr>
      <w:r w:rsidRPr="00B86693">
        <w:rPr>
          <w:rFonts w:ascii="Calibri" w:hAnsi="Calibri" w:cs="Calibri"/>
          <w:color w:val="000000"/>
          <w:lang w:val="en-GB"/>
        </w:rPr>
        <w:t xml:space="preserve">SETARA Institute. (2022, November). </w:t>
      </w:r>
      <w:r w:rsidRPr="00B86693">
        <w:rPr>
          <w:rFonts w:ascii="Calibri" w:hAnsi="Calibri" w:cs="Calibri"/>
          <w:i/>
          <w:iCs/>
          <w:color w:val="000000"/>
          <w:lang w:val="en-GB"/>
        </w:rPr>
        <w:t>Mengatasi intoleransi dalam tata kebinekaan indonesia: Update dan rekomendasi terkait peribadatan</w:t>
      </w:r>
      <w:r w:rsidRPr="00B86693">
        <w:rPr>
          <w:rFonts w:ascii="Calibri" w:hAnsi="Calibri" w:cs="Calibri"/>
          <w:color w:val="000000"/>
          <w:lang w:val="en-GB"/>
        </w:rPr>
        <w:t>. https://setara-institute.org/mengatasi-intoleransi-dalam-tata-kebinekaan-indonesia-update-dan-rekomendasi-terkait-peribadatan/</w:t>
      </w:r>
    </w:p>
    <w:p w14:paraId="64107FFC" w14:textId="77777777" w:rsidR="00B86693" w:rsidRPr="00B86693" w:rsidRDefault="00B86693" w:rsidP="0061607F">
      <w:pPr>
        <w:pStyle w:val="Bibliography"/>
        <w:spacing w:line="240" w:lineRule="auto"/>
        <w:rPr>
          <w:rFonts w:ascii="Calibri" w:hAnsi="Calibri" w:cs="Calibri"/>
          <w:color w:val="000000"/>
          <w:lang w:val="en-GB"/>
        </w:rPr>
      </w:pPr>
      <w:r w:rsidRPr="00B86693">
        <w:rPr>
          <w:rFonts w:ascii="Calibri" w:hAnsi="Calibri" w:cs="Calibri"/>
          <w:color w:val="000000"/>
          <w:lang w:val="en-GB"/>
        </w:rPr>
        <w:t xml:space="preserve">Suryana, A. (2019). </w:t>
      </w:r>
      <w:r w:rsidRPr="00B86693">
        <w:rPr>
          <w:rFonts w:ascii="Calibri" w:hAnsi="Calibri" w:cs="Calibri"/>
          <w:i/>
          <w:iCs/>
          <w:color w:val="000000"/>
          <w:lang w:val="en-GB"/>
        </w:rPr>
        <w:t>The State and Religious Violence in Indonesia: Minority Faiths and Vigilantism</w:t>
      </w:r>
      <w:r w:rsidRPr="00B86693">
        <w:rPr>
          <w:rFonts w:ascii="Calibri" w:hAnsi="Calibri" w:cs="Calibri"/>
          <w:color w:val="000000"/>
          <w:lang w:val="en-GB"/>
        </w:rPr>
        <w:t xml:space="preserve"> (1st ed.). Routledge. https://doi.org/10.4324/9780429284724</w:t>
      </w:r>
    </w:p>
    <w:p w14:paraId="680AC9AD" w14:textId="77777777" w:rsidR="00B86693" w:rsidRPr="00B86693" w:rsidRDefault="00B86693" w:rsidP="0061607F">
      <w:pPr>
        <w:pStyle w:val="Bibliography"/>
        <w:spacing w:line="240" w:lineRule="auto"/>
        <w:rPr>
          <w:rFonts w:ascii="Calibri" w:hAnsi="Calibri" w:cs="Calibri"/>
          <w:color w:val="000000"/>
          <w:lang w:val="en-GB"/>
        </w:rPr>
      </w:pPr>
      <w:r w:rsidRPr="00B86693">
        <w:rPr>
          <w:rFonts w:ascii="Calibri" w:hAnsi="Calibri" w:cs="Calibri"/>
          <w:color w:val="000000"/>
          <w:lang w:val="en-GB"/>
        </w:rPr>
        <w:t xml:space="preserve">Telle, K. (2017). Faith on Trial: Blasphemy and ‘Lawfare’ in Indonesia. </w:t>
      </w:r>
      <w:r w:rsidRPr="00B86693">
        <w:rPr>
          <w:rFonts w:ascii="Calibri" w:hAnsi="Calibri" w:cs="Calibri"/>
          <w:i/>
          <w:iCs/>
          <w:color w:val="000000"/>
          <w:lang w:val="en-GB"/>
        </w:rPr>
        <w:t>Ethnos</w:t>
      </w:r>
      <w:r w:rsidRPr="00B86693">
        <w:rPr>
          <w:rFonts w:ascii="Calibri" w:hAnsi="Calibri" w:cs="Calibri"/>
          <w:color w:val="000000"/>
          <w:lang w:val="en-GB"/>
        </w:rPr>
        <w:t xml:space="preserve">, </w:t>
      </w:r>
      <w:r w:rsidRPr="00B86693">
        <w:rPr>
          <w:rFonts w:ascii="Calibri" w:hAnsi="Calibri" w:cs="Calibri"/>
          <w:i/>
          <w:iCs/>
          <w:color w:val="000000"/>
          <w:lang w:val="en-GB"/>
        </w:rPr>
        <w:t>83</w:t>
      </w:r>
      <w:r w:rsidRPr="00B86693">
        <w:rPr>
          <w:rFonts w:ascii="Calibri" w:hAnsi="Calibri" w:cs="Calibri"/>
          <w:color w:val="000000"/>
          <w:lang w:val="en-GB"/>
        </w:rPr>
        <w:t>(2), 371–391. https://doi.org/10.1080/00141844.2017.1282973</w:t>
      </w:r>
    </w:p>
    <w:p w14:paraId="00E7D79B" w14:textId="77777777" w:rsidR="00B86693" w:rsidRPr="00B86693" w:rsidRDefault="00B86693" w:rsidP="0061607F">
      <w:pPr>
        <w:pStyle w:val="Bibliography"/>
        <w:spacing w:line="240" w:lineRule="auto"/>
        <w:rPr>
          <w:rFonts w:ascii="Calibri" w:hAnsi="Calibri" w:cs="Calibri"/>
          <w:color w:val="000000"/>
          <w:lang w:val="en-GB"/>
        </w:rPr>
      </w:pPr>
      <w:r w:rsidRPr="00B86693">
        <w:rPr>
          <w:rFonts w:ascii="Calibri" w:hAnsi="Calibri" w:cs="Calibri"/>
          <w:color w:val="000000"/>
          <w:lang w:val="en-GB"/>
        </w:rPr>
        <w:t xml:space="preserve">Temperman, J., &amp; Koltay, A. (2017). </w:t>
      </w:r>
      <w:r w:rsidRPr="00B86693">
        <w:rPr>
          <w:rFonts w:ascii="Calibri" w:hAnsi="Calibri" w:cs="Calibri"/>
          <w:i/>
          <w:iCs/>
          <w:color w:val="000000"/>
          <w:lang w:val="en-GB"/>
        </w:rPr>
        <w:t>Blasphemy and Freedom of Expression: Comparative, Theoretical and Historical Reflections after the Charlie Hebdo Massacre</w:t>
      </w:r>
      <w:r w:rsidRPr="00B86693">
        <w:rPr>
          <w:rFonts w:ascii="Calibri" w:hAnsi="Calibri" w:cs="Calibri"/>
          <w:color w:val="000000"/>
          <w:lang w:val="en-GB"/>
        </w:rPr>
        <w:t>. Cambridge University Press.</w:t>
      </w:r>
    </w:p>
    <w:p w14:paraId="34A11B68" w14:textId="0E22F946" w:rsidR="00FA3EE7" w:rsidRPr="00FA3EE7" w:rsidRDefault="00B05721" w:rsidP="00DF0EC5">
      <w:pPr>
        <w:ind w:left="851" w:hanging="851"/>
        <w:jc w:val="both"/>
        <w:rPr>
          <w:rFonts w:ascii="Calibri" w:hAnsi="Calibri" w:cs="Calibri"/>
          <w:bCs/>
          <w:color w:val="000000"/>
          <w:lang w:val="en-AU"/>
        </w:rPr>
      </w:pPr>
      <w:r>
        <w:rPr>
          <w:rFonts w:ascii="Calibri" w:hAnsi="Calibri" w:cs="Calibri"/>
          <w:bCs/>
          <w:color w:val="000000"/>
          <w:lang w:val="en-AU"/>
        </w:rPr>
        <w:fldChar w:fldCharType="end"/>
      </w:r>
    </w:p>
    <w:sectPr w:rsidR="00FA3EE7" w:rsidRPr="00FA3EE7" w:rsidSect="003C1661">
      <w:headerReference w:type="even" r:id="rId11"/>
      <w:headerReference w:type="default" r:id="rId12"/>
      <w:footerReference w:type="even" r:id="rId13"/>
      <w:footerReference w:type="default" r:id="rId14"/>
      <w:pgSz w:w="11909" w:h="16834" w:code="9"/>
      <w:pgMar w:top="720" w:right="720" w:bottom="720" w:left="1008" w:header="288"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EEFBDF" w14:textId="77777777" w:rsidR="0054265A" w:rsidRDefault="0054265A">
      <w:r>
        <w:separator/>
      </w:r>
    </w:p>
  </w:endnote>
  <w:endnote w:type="continuationSeparator" w:id="0">
    <w:p w14:paraId="3DC0168D" w14:textId="77777777" w:rsidR="0054265A" w:rsidRDefault="005426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dabar">
    <w:panose1 w:val="020B0604020202020204"/>
    <w:charset w:val="00"/>
    <w:family w:val="auto"/>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w:altName w:val="Sylfaen"/>
    <w:panose1 w:val="00000500000000020000"/>
    <w:charset w:val="00"/>
    <w:family w:val="roman"/>
    <w:pitch w:val="variable"/>
    <w:sig w:usb0="E0002EFF" w:usb1="C000785B" w:usb2="00000009" w:usb3="00000000" w:csb0="000001FF" w:csb1="00000000"/>
  </w:font>
  <w:font w:name="GOMBNE+Times-Bold">
    <w:altName w:val="Times New Roman"/>
    <w:panose1 w:val="020B0604020202020204"/>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043065" w14:textId="77777777" w:rsidR="007033AB" w:rsidRDefault="007033AB" w:rsidP="006D04A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EC16316" w14:textId="77777777" w:rsidR="007033AB" w:rsidRDefault="007033AB" w:rsidP="002C11B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A30D6F" w14:textId="77777777" w:rsidR="009718D7" w:rsidRPr="009718D7" w:rsidRDefault="009718D7" w:rsidP="009718D7">
    <w:pPr>
      <w:pStyle w:val="Footer"/>
      <w:pBdr>
        <w:bottom w:val="single" w:sz="6" w:space="1" w:color="auto"/>
      </w:pBdr>
      <w:tabs>
        <w:tab w:val="clear" w:pos="8640"/>
        <w:tab w:val="right" w:pos="9000"/>
      </w:tabs>
      <w:ind w:right="29"/>
      <w:rPr>
        <w:rFonts w:ascii="Verdana" w:hAnsi="Verdana"/>
        <w:sz w:val="18"/>
        <w:szCs w:val="18"/>
      </w:rPr>
    </w:pPr>
  </w:p>
  <w:p w14:paraId="214720B6" w14:textId="77777777" w:rsidR="009718D7" w:rsidRPr="009718D7" w:rsidRDefault="009718D7" w:rsidP="009718D7">
    <w:pPr>
      <w:pStyle w:val="Footer"/>
      <w:tabs>
        <w:tab w:val="clear" w:pos="8640"/>
        <w:tab w:val="right" w:pos="9000"/>
      </w:tabs>
      <w:ind w:right="29"/>
      <w:rPr>
        <w:rFonts w:ascii="Verdana" w:hAnsi="Verdana"/>
        <w:sz w:val="18"/>
        <w:szCs w:val="18"/>
      </w:rPr>
    </w:pPr>
  </w:p>
  <w:p w14:paraId="40BEA13C" w14:textId="77777777" w:rsidR="007033AB" w:rsidRPr="0077334F" w:rsidRDefault="009718D7" w:rsidP="009718D7">
    <w:pPr>
      <w:pStyle w:val="Footer"/>
      <w:tabs>
        <w:tab w:val="clear" w:pos="8640"/>
        <w:tab w:val="right" w:pos="9000"/>
      </w:tabs>
      <w:ind w:right="29"/>
      <w:rPr>
        <w:rFonts w:ascii="Calibri" w:hAnsi="Calibri"/>
        <w:sz w:val="21"/>
        <w:szCs w:val="21"/>
      </w:rPr>
    </w:pPr>
    <w:r w:rsidRPr="0077334F">
      <w:rPr>
        <w:rFonts w:ascii="Calibri" w:hAnsi="Calibri"/>
        <w:sz w:val="21"/>
        <w:szCs w:val="21"/>
      </w:rPr>
      <w:t>Draft Copy – Not to be Quoted Without Permission from the Author</w:t>
    </w:r>
    <w:r w:rsidRPr="0077334F">
      <w:rPr>
        <w:rFonts w:ascii="Calibri" w:hAnsi="Calibri"/>
        <w:sz w:val="21"/>
        <w:szCs w:val="21"/>
      </w:rPr>
      <w:tab/>
    </w:r>
    <w:r w:rsidR="004C613A">
      <w:rPr>
        <w:rFonts w:ascii="Calibri" w:hAnsi="Calibri"/>
        <w:sz w:val="21"/>
        <w:szCs w:val="21"/>
      </w:rPr>
      <w:tab/>
    </w:r>
    <w:r w:rsidRPr="0077334F">
      <w:rPr>
        <w:rStyle w:val="PageNumber"/>
        <w:rFonts w:ascii="Calibri" w:hAnsi="Calibri"/>
        <w:sz w:val="21"/>
        <w:szCs w:val="21"/>
      </w:rPr>
      <w:fldChar w:fldCharType="begin"/>
    </w:r>
    <w:r w:rsidRPr="0077334F">
      <w:rPr>
        <w:rStyle w:val="PageNumber"/>
        <w:rFonts w:ascii="Calibri" w:hAnsi="Calibri"/>
        <w:sz w:val="21"/>
        <w:szCs w:val="21"/>
      </w:rPr>
      <w:instrText xml:space="preserve"> PAGE </w:instrText>
    </w:r>
    <w:r w:rsidRPr="0077334F">
      <w:rPr>
        <w:rStyle w:val="PageNumber"/>
        <w:rFonts w:ascii="Calibri" w:hAnsi="Calibri"/>
        <w:sz w:val="21"/>
        <w:szCs w:val="21"/>
      </w:rPr>
      <w:fldChar w:fldCharType="separate"/>
    </w:r>
    <w:r w:rsidR="000B137F">
      <w:rPr>
        <w:rStyle w:val="PageNumber"/>
        <w:rFonts w:ascii="Calibri" w:hAnsi="Calibri"/>
        <w:noProof/>
        <w:sz w:val="21"/>
        <w:szCs w:val="21"/>
      </w:rPr>
      <w:t>1</w:t>
    </w:r>
    <w:r w:rsidRPr="0077334F">
      <w:rPr>
        <w:rStyle w:val="PageNumber"/>
        <w:rFonts w:ascii="Calibri" w:hAnsi="Calibri"/>
        <w:sz w:val="21"/>
        <w:szCs w:val="2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257765" w14:textId="77777777" w:rsidR="0054265A" w:rsidRDefault="0054265A">
      <w:r>
        <w:separator/>
      </w:r>
    </w:p>
  </w:footnote>
  <w:footnote w:type="continuationSeparator" w:id="0">
    <w:p w14:paraId="7CC43FD5" w14:textId="77777777" w:rsidR="0054265A" w:rsidRDefault="0054265A">
      <w:r>
        <w:continuationSeparator/>
      </w:r>
    </w:p>
  </w:footnote>
  <w:footnote w:id="1">
    <w:p w14:paraId="631F94CA" w14:textId="6BCBC73F" w:rsidR="00273B73" w:rsidRPr="00E0586B" w:rsidRDefault="00273B73" w:rsidP="00273B73">
      <w:pPr>
        <w:pStyle w:val="FootnoteText"/>
        <w:ind w:left="284" w:hanging="284"/>
        <w:rPr>
          <w:rFonts w:cstheme="minorHAnsi"/>
        </w:rPr>
      </w:pPr>
      <w:r w:rsidRPr="00E0586B">
        <w:rPr>
          <w:rStyle w:val="FootnoteReference"/>
          <w:rFonts w:cstheme="minorHAnsi"/>
        </w:rPr>
        <w:footnoteRef/>
      </w:r>
      <w:r w:rsidRPr="00E0586B">
        <w:rPr>
          <w:rFonts w:cstheme="minorHAnsi"/>
        </w:rPr>
        <w:t xml:space="preserve"> </w:t>
      </w:r>
      <w:r w:rsidRPr="00E0586B">
        <w:rPr>
          <w:rFonts w:cstheme="minorHAnsi"/>
        </w:rPr>
        <w:tab/>
        <w:t>However, it is important to emphasize that the majority of mosques targeted for disruption are Ahmadiyya mosques and other mosques that differ from the mainstream Muslim groups.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696464" w14:textId="77777777" w:rsidR="007033AB" w:rsidRDefault="007033AB" w:rsidP="00632276">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13D36C2" w14:textId="77777777" w:rsidR="007033AB" w:rsidRDefault="007033AB" w:rsidP="005141A8">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46E544" w14:textId="77777777" w:rsidR="0071721C" w:rsidRPr="00D57510" w:rsidRDefault="006B1D26" w:rsidP="0071721C">
    <w:pPr>
      <w:jc w:val="center"/>
      <w:rPr>
        <w:rFonts w:ascii="Century Gothic" w:hAnsi="Century Gothic" w:cs="Calibri"/>
      </w:rPr>
    </w:pPr>
    <w:r>
      <w:rPr>
        <w:rFonts w:ascii="Century Gothic" w:hAnsi="Century Gothic"/>
        <w:b/>
        <w:sz w:val="28"/>
        <w:szCs w:val="28"/>
      </w:rPr>
      <w:t>1</w:t>
    </w:r>
    <w:r w:rsidR="000B137F">
      <w:rPr>
        <w:rFonts w:ascii="Century Gothic" w:hAnsi="Century Gothic"/>
        <w:b/>
        <w:sz w:val="28"/>
        <w:szCs w:val="28"/>
      </w:rPr>
      <w:t>8</w:t>
    </w:r>
    <w:r w:rsidR="00256CF3" w:rsidRPr="00256CF3">
      <w:rPr>
        <w:rFonts w:ascii="Century Gothic" w:hAnsi="Century Gothic"/>
        <w:b/>
        <w:sz w:val="28"/>
        <w:szCs w:val="28"/>
        <w:vertAlign w:val="superscript"/>
      </w:rPr>
      <w:t>TH</w:t>
    </w:r>
    <w:r w:rsidR="00256CF3" w:rsidRPr="00256CF3">
      <w:rPr>
        <w:rFonts w:ascii="Century Gothic" w:hAnsi="Century Gothic"/>
        <w:b/>
        <w:sz w:val="28"/>
        <w:szCs w:val="28"/>
      </w:rPr>
      <w:t xml:space="preserve"> SINGAPORE GRADUATE FORUM ON SOUTHEAST ASIAN </w:t>
    </w:r>
    <w:r>
      <w:rPr>
        <w:rFonts w:ascii="Century Gothic" w:hAnsi="Century Gothic"/>
        <w:b/>
        <w:sz w:val="28"/>
        <w:szCs w:val="28"/>
      </w:rPr>
      <w:t>STUDIES</w:t>
    </w:r>
    <w:r w:rsidR="00256CF3" w:rsidRPr="00256CF3">
      <w:rPr>
        <w:rFonts w:ascii="Century Gothic" w:hAnsi="Century Gothic" w:cs="Calibri"/>
        <w:b/>
        <w:sz w:val="28"/>
        <w:szCs w:val="28"/>
      </w:rPr>
      <w:br/>
    </w:r>
    <w:r w:rsidR="0071721C" w:rsidRPr="00D57510">
      <w:rPr>
        <w:rFonts w:ascii="Century Gothic" w:hAnsi="Century Gothic" w:cs="Calibri"/>
      </w:rPr>
      <w:t>(</w:t>
    </w:r>
    <w:r w:rsidR="000B137F">
      <w:rPr>
        <w:rFonts w:ascii="Century Gothic" w:hAnsi="Century Gothic" w:cs="Calibri"/>
      </w:rPr>
      <w:t>19-23</w:t>
    </w:r>
    <w:r w:rsidR="00256CF3">
      <w:rPr>
        <w:rFonts w:ascii="Century Gothic" w:hAnsi="Century Gothic" w:cs="Calibri"/>
      </w:rPr>
      <w:t xml:space="preserve"> Ju</w:t>
    </w:r>
    <w:r w:rsidR="000B137F">
      <w:rPr>
        <w:rFonts w:ascii="Century Gothic" w:hAnsi="Century Gothic" w:cs="Calibri"/>
      </w:rPr>
      <w:t>ne</w:t>
    </w:r>
    <w:r>
      <w:rPr>
        <w:rFonts w:ascii="Century Gothic" w:hAnsi="Century Gothic" w:cs="Calibri"/>
      </w:rPr>
      <w:t xml:space="preserve"> 20</w:t>
    </w:r>
    <w:r w:rsidR="00E91A74">
      <w:rPr>
        <w:rFonts w:ascii="Century Gothic" w:hAnsi="Century Gothic" w:cs="Calibri"/>
      </w:rPr>
      <w:t>2</w:t>
    </w:r>
    <w:r w:rsidR="000B137F">
      <w:rPr>
        <w:rFonts w:ascii="Century Gothic" w:hAnsi="Century Gothic" w:cs="Calibri"/>
      </w:rPr>
      <w:t>3</w:t>
    </w:r>
    <w:r w:rsidR="00482CFA">
      <w:rPr>
        <w:rFonts w:ascii="Century Gothic" w:hAnsi="Century Gothic" w:cs="Calibri"/>
      </w:rPr>
      <w:t xml:space="preserve">, </w:t>
    </w:r>
    <w:r w:rsidR="00482CFA" w:rsidRPr="00D57510">
      <w:rPr>
        <w:rFonts w:ascii="Century Gothic" w:hAnsi="Century Gothic" w:cs="Calibri"/>
      </w:rPr>
      <w:t>Singapore</w:t>
    </w:r>
    <w:r>
      <w:rPr>
        <w:rFonts w:ascii="Century Gothic" w:hAnsi="Century Gothic" w:cs="Calibri"/>
      </w:rPr>
      <w:t>)</w:t>
    </w:r>
  </w:p>
  <w:p w14:paraId="04D64882" w14:textId="77777777" w:rsidR="0071721C" w:rsidRPr="001369C9" w:rsidRDefault="0071721C" w:rsidP="0071721C">
    <w:pPr>
      <w:pStyle w:val="Header"/>
      <w:pBdr>
        <w:bottom w:val="single" w:sz="6" w:space="0" w:color="auto"/>
      </w:pBdr>
      <w:contextualSpacing/>
      <w:jc w:val="center"/>
      <w:rPr>
        <w:rFonts w:ascii="Calibri" w:hAnsi="Calibri"/>
        <w:sz w:val="16"/>
        <w:szCs w:val="16"/>
      </w:rPr>
    </w:pPr>
  </w:p>
  <w:p w14:paraId="2BA85ECC" w14:textId="77777777" w:rsidR="0071721C" w:rsidRPr="001369C9" w:rsidRDefault="0071721C" w:rsidP="0071721C">
    <w:pPr>
      <w:pStyle w:val="Header"/>
      <w:contextualSpacing/>
      <w:jc w:val="center"/>
      <w:rPr>
        <w:rFonts w:ascii="Calibri" w:hAnsi="Calibri"/>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910027"/>
    <w:multiLevelType w:val="hybridMultilevel"/>
    <w:tmpl w:val="57A0FA2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20B5E57"/>
    <w:multiLevelType w:val="hybridMultilevel"/>
    <w:tmpl w:val="EE66788E"/>
    <w:lvl w:ilvl="0" w:tplc="C17C6456">
      <w:start w:val="9"/>
      <w:numFmt w:val="bullet"/>
      <w:lvlText w:val=""/>
      <w:lvlJc w:val="left"/>
      <w:pPr>
        <w:tabs>
          <w:tab w:val="num" w:pos="720"/>
        </w:tabs>
        <w:ind w:left="720" w:hanging="360"/>
      </w:pPr>
      <w:rPr>
        <w:rFonts w:ascii="Symbol" w:eastAsia="Codabar" w:hAnsi="Symbol" w:cs="Codabar"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E5D15CE"/>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21379A0"/>
    <w:multiLevelType w:val="hybridMultilevel"/>
    <w:tmpl w:val="616AAE84"/>
    <w:lvl w:ilvl="0" w:tplc="C17C6456">
      <w:start w:val="9"/>
      <w:numFmt w:val="bullet"/>
      <w:lvlText w:val=""/>
      <w:lvlJc w:val="left"/>
      <w:pPr>
        <w:tabs>
          <w:tab w:val="num" w:pos="720"/>
        </w:tabs>
        <w:ind w:left="720" w:hanging="360"/>
      </w:pPr>
      <w:rPr>
        <w:rFonts w:ascii="Symbol" w:eastAsia="Codabar" w:hAnsi="Symbol" w:cs="Codabar" w:hint="default"/>
        <w:color w:val="000000"/>
      </w:rPr>
    </w:lvl>
    <w:lvl w:ilvl="1" w:tplc="0409000F">
      <w:start w:val="1"/>
      <w:numFmt w:val="decimal"/>
      <w:lvlText w:val="%2."/>
      <w:lvlJc w:val="left"/>
      <w:pPr>
        <w:tabs>
          <w:tab w:val="num" w:pos="1440"/>
        </w:tabs>
        <w:ind w:left="1440" w:hanging="360"/>
      </w:pPr>
      <w:rPr>
        <w:rFonts w:hint="default"/>
        <w:color w:val="000000"/>
      </w:rPr>
    </w:lvl>
    <w:lvl w:ilvl="2" w:tplc="C17C6456">
      <w:start w:val="9"/>
      <w:numFmt w:val="bullet"/>
      <w:lvlText w:val=""/>
      <w:lvlJc w:val="left"/>
      <w:pPr>
        <w:tabs>
          <w:tab w:val="num" w:pos="2160"/>
        </w:tabs>
        <w:ind w:left="2160" w:hanging="360"/>
      </w:pPr>
      <w:rPr>
        <w:rFonts w:ascii="Symbol" w:eastAsia="Codabar" w:hAnsi="Symbol" w:cs="Codabar" w:hint="default"/>
        <w:color w:val="000000"/>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69B18D2"/>
    <w:multiLevelType w:val="hybridMultilevel"/>
    <w:tmpl w:val="39284018"/>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C9A6D86"/>
    <w:multiLevelType w:val="hybridMultilevel"/>
    <w:tmpl w:val="E3FCD50C"/>
    <w:lvl w:ilvl="0" w:tplc="C17C6456">
      <w:start w:val="9"/>
      <w:numFmt w:val="bullet"/>
      <w:lvlText w:val=""/>
      <w:lvlJc w:val="left"/>
      <w:pPr>
        <w:tabs>
          <w:tab w:val="num" w:pos="720"/>
        </w:tabs>
        <w:ind w:left="720" w:hanging="360"/>
      </w:pPr>
      <w:rPr>
        <w:rFonts w:ascii="Symbol" w:eastAsia="Codabar" w:hAnsi="Symbol" w:cs="Codabar" w:hint="default"/>
        <w:color w:val="000000"/>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76950463"/>
    <w:multiLevelType w:val="hybridMultilevel"/>
    <w:tmpl w:val="DB56FD3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D6F70E6"/>
    <w:multiLevelType w:val="hybridMultilevel"/>
    <w:tmpl w:val="6ACA618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460031941">
    <w:abstractNumId w:val="3"/>
  </w:num>
  <w:num w:numId="2" w16cid:durableId="770469935">
    <w:abstractNumId w:val="1"/>
  </w:num>
  <w:num w:numId="3" w16cid:durableId="271740954">
    <w:abstractNumId w:val="5"/>
  </w:num>
  <w:num w:numId="4" w16cid:durableId="1593470690">
    <w:abstractNumId w:val="4"/>
  </w:num>
  <w:num w:numId="5" w16cid:durableId="1702626437">
    <w:abstractNumId w:val="2"/>
  </w:num>
  <w:num w:numId="6" w16cid:durableId="288629538">
    <w:abstractNumId w:val="6"/>
  </w:num>
  <w:num w:numId="7" w16cid:durableId="1349680074">
    <w:abstractNumId w:val="8"/>
  </w:num>
  <w:num w:numId="8" w16cid:durableId="714936732">
    <w:abstractNumId w:val="7"/>
  </w:num>
  <w:num w:numId="9" w16cid:durableId="20333384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67B5"/>
    <w:rsid w:val="0000329E"/>
    <w:rsid w:val="00007989"/>
    <w:rsid w:val="0001558F"/>
    <w:rsid w:val="000177CC"/>
    <w:rsid w:val="00021907"/>
    <w:rsid w:val="000259F9"/>
    <w:rsid w:val="00025CE7"/>
    <w:rsid w:val="00040DB0"/>
    <w:rsid w:val="00042460"/>
    <w:rsid w:val="00042A47"/>
    <w:rsid w:val="00051F6B"/>
    <w:rsid w:val="00053B9D"/>
    <w:rsid w:val="00055C72"/>
    <w:rsid w:val="000640A4"/>
    <w:rsid w:val="00080F0E"/>
    <w:rsid w:val="00083646"/>
    <w:rsid w:val="00084539"/>
    <w:rsid w:val="00086E12"/>
    <w:rsid w:val="000A53E7"/>
    <w:rsid w:val="000A5B31"/>
    <w:rsid w:val="000A6455"/>
    <w:rsid w:val="000B137F"/>
    <w:rsid w:val="000B267C"/>
    <w:rsid w:val="000B6585"/>
    <w:rsid w:val="000C57E7"/>
    <w:rsid w:val="000C7862"/>
    <w:rsid w:val="000D08DE"/>
    <w:rsid w:val="000D44CE"/>
    <w:rsid w:val="000D681F"/>
    <w:rsid w:val="000D77DF"/>
    <w:rsid w:val="000E1BD4"/>
    <w:rsid w:val="000E4852"/>
    <w:rsid w:val="000E4CC4"/>
    <w:rsid w:val="000E5A56"/>
    <w:rsid w:val="000F0E1E"/>
    <w:rsid w:val="00105AAB"/>
    <w:rsid w:val="001105AF"/>
    <w:rsid w:val="00114F7F"/>
    <w:rsid w:val="00120D65"/>
    <w:rsid w:val="00121DC3"/>
    <w:rsid w:val="00133D37"/>
    <w:rsid w:val="001451C8"/>
    <w:rsid w:val="00150D67"/>
    <w:rsid w:val="001536E9"/>
    <w:rsid w:val="00156CF2"/>
    <w:rsid w:val="00160ADF"/>
    <w:rsid w:val="001702FC"/>
    <w:rsid w:val="00170426"/>
    <w:rsid w:val="0017241D"/>
    <w:rsid w:val="00176241"/>
    <w:rsid w:val="00182F96"/>
    <w:rsid w:val="00194F21"/>
    <w:rsid w:val="001A0747"/>
    <w:rsid w:val="001A30DF"/>
    <w:rsid w:val="001A502B"/>
    <w:rsid w:val="001A78D4"/>
    <w:rsid w:val="001B467B"/>
    <w:rsid w:val="001C2BED"/>
    <w:rsid w:val="001C575E"/>
    <w:rsid w:val="001D24B9"/>
    <w:rsid w:val="001D38E8"/>
    <w:rsid w:val="001D5E61"/>
    <w:rsid w:val="001D75D2"/>
    <w:rsid w:val="001E53E8"/>
    <w:rsid w:val="001F0161"/>
    <w:rsid w:val="001F0A21"/>
    <w:rsid w:val="001F6F22"/>
    <w:rsid w:val="00203521"/>
    <w:rsid w:val="00215268"/>
    <w:rsid w:val="002248D3"/>
    <w:rsid w:val="002268F1"/>
    <w:rsid w:val="0022722E"/>
    <w:rsid w:val="0023039F"/>
    <w:rsid w:val="002346D4"/>
    <w:rsid w:val="002355BA"/>
    <w:rsid w:val="002422C5"/>
    <w:rsid w:val="00245136"/>
    <w:rsid w:val="00255BC5"/>
    <w:rsid w:val="00256CF3"/>
    <w:rsid w:val="00261F45"/>
    <w:rsid w:val="0026302C"/>
    <w:rsid w:val="00264416"/>
    <w:rsid w:val="002717EF"/>
    <w:rsid w:val="00273B73"/>
    <w:rsid w:val="00275179"/>
    <w:rsid w:val="00276120"/>
    <w:rsid w:val="00276A90"/>
    <w:rsid w:val="00277E65"/>
    <w:rsid w:val="002A7B3F"/>
    <w:rsid w:val="002B1541"/>
    <w:rsid w:val="002B23F9"/>
    <w:rsid w:val="002B307A"/>
    <w:rsid w:val="002B7920"/>
    <w:rsid w:val="002C11BF"/>
    <w:rsid w:val="002D3573"/>
    <w:rsid w:val="002E2CC3"/>
    <w:rsid w:val="002E621A"/>
    <w:rsid w:val="002F12E8"/>
    <w:rsid w:val="002F23E8"/>
    <w:rsid w:val="0030179B"/>
    <w:rsid w:val="00315563"/>
    <w:rsid w:val="0031655C"/>
    <w:rsid w:val="003224B8"/>
    <w:rsid w:val="00332F73"/>
    <w:rsid w:val="00343AC8"/>
    <w:rsid w:val="00344459"/>
    <w:rsid w:val="0034640F"/>
    <w:rsid w:val="00354557"/>
    <w:rsid w:val="0036288E"/>
    <w:rsid w:val="00363D36"/>
    <w:rsid w:val="00372CAD"/>
    <w:rsid w:val="00394A10"/>
    <w:rsid w:val="00394AF2"/>
    <w:rsid w:val="003A0551"/>
    <w:rsid w:val="003B167E"/>
    <w:rsid w:val="003B2122"/>
    <w:rsid w:val="003B450C"/>
    <w:rsid w:val="003C1661"/>
    <w:rsid w:val="003C431C"/>
    <w:rsid w:val="003D11F3"/>
    <w:rsid w:val="003D25C2"/>
    <w:rsid w:val="003E277B"/>
    <w:rsid w:val="003E38C6"/>
    <w:rsid w:val="003E47D5"/>
    <w:rsid w:val="003E78ED"/>
    <w:rsid w:val="003F2EBC"/>
    <w:rsid w:val="003F72EC"/>
    <w:rsid w:val="00400DBF"/>
    <w:rsid w:val="00403453"/>
    <w:rsid w:val="00406506"/>
    <w:rsid w:val="00406EF7"/>
    <w:rsid w:val="00410AEC"/>
    <w:rsid w:val="00411F31"/>
    <w:rsid w:val="00414EB8"/>
    <w:rsid w:val="00425D37"/>
    <w:rsid w:val="00426118"/>
    <w:rsid w:val="00430AED"/>
    <w:rsid w:val="004342AD"/>
    <w:rsid w:val="00435B1E"/>
    <w:rsid w:val="00443E35"/>
    <w:rsid w:val="0045190F"/>
    <w:rsid w:val="00452903"/>
    <w:rsid w:val="00453F7B"/>
    <w:rsid w:val="00460EF5"/>
    <w:rsid w:val="00461756"/>
    <w:rsid w:val="00464045"/>
    <w:rsid w:val="004651C3"/>
    <w:rsid w:val="00465C7D"/>
    <w:rsid w:val="00472F2B"/>
    <w:rsid w:val="004737F6"/>
    <w:rsid w:val="00482CF3"/>
    <w:rsid w:val="00482CFA"/>
    <w:rsid w:val="00486DDF"/>
    <w:rsid w:val="004903AD"/>
    <w:rsid w:val="00496A76"/>
    <w:rsid w:val="0049709B"/>
    <w:rsid w:val="004A61F4"/>
    <w:rsid w:val="004C333D"/>
    <w:rsid w:val="004C38B8"/>
    <w:rsid w:val="004C3F05"/>
    <w:rsid w:val="004C538C"/>
    <w:rsid w:val="004C5C6A"/>
    <w:rsid w:val="004C613A"/>
    <w:rsid w:val="004D76BB"/>
    <w:rsid w:val="004E11BE"/>
    <w:rsid w:val="004E1FAC"/>
    <w:rsid w:val="004F7AEF"/>
    <w:rsid w:val="005034D5"/>
    <w:rsid w:val="005057B9"/>
    <w:rsid w:val="005060C9"/>
    <w:rsid w:val="00507BE2"/>
    <w:rsid w:val="005141A8"/>
    <w:rsid w:val="005215F9"/>
    <w:rsid w:val="00523AA0"/>
    <w:rsid w:val="00525C11"/>
    <w:rsid w:val="0053109F"/>
    <w:rsid w:val="005415E0"/>
    <w:rsid w:val="0054265A"/>
    <w:rsid w:val="00544233"/>
    <w:rsid w:val="0055514C"/>
    <w:rsid w:val="0056007B"/>
    <w:rsid w:val="00564121"/>
    <w:rsid w:val="005778A9"/>
    <w:rsid w:val="00577DEA"/>
    <w:rsid w:val="00583948"/>
    <w:rsid w:val="00586FFC"/>
    <w:rsid w:val="00591606"/>
    <w:rsid w:val="0059219E"/>
    <w:rsid w:val="005A0368"/>
    <w:rsid w:val="005A4823"/>
    <w:rsid w:val="005B3AD0"/>
    <w:rsid w:val="005C41BA"/>
    <w:rsid w:val="005C720B"/>
    <w:rsid w:val="005D425B"/>
    <w:rsid w:val="005E0240"/>
    <w:rsid w:val="005E1DE4"/>
    <w:rsid w:val="005E2364"/>
    <w:rsid w:val="005E680E"/>
    <w:rsid w:val="005F07CE"/>
    <w:rsid w:val="005F4D43"/>
    <w:rsid w:val="005F513A"/>
    <w:rsid w:val="00601781"/>
    <w:rsid w:val="006057F6"/>
    <w:rsid w:val="00613B71"/>
    <w:rsid w:val="0061406B"/>
    <w:rsid w:val="0061607F"/>
    <w:rsid w:val="00621BF4"/>
    <w:rsid w:val="00622CAB"/>
    <w:rsid w:val="00623356"/>
    <w:rsid w:val="00626408"/>
    <w:rsid w:val="00632276"/>
    <w:rsid w:val="006333E4"/>
    <w:rsid w:val="00635532"/>
    <w:rsid w:val="006537F9"/>
    <w:rsid w:val="006543F9"/>
    <w:rsid w:val="0065469A"/>
    <w:rsid w:val="00656A80"/>
    <w:rsid w:val="00664458"/>
    <w:rsid w:val="00666626"/>
    <w:rsid w:val="00671EBE"/>
    <w:rsid w:val="0067666A"/>
    <w:rsid w:val="00683B6A"/>
    <w:rsid w:val="006933E4"/>
    <w:rsid w:val="0069532E"/>
    <w:rsid w:val="00697B6F"/>
    <w:rsid w:val="006A42BC"/>
    <w:rsid w:val="006A64CB"/>
    <w:rsid w:val="006B1D26"/>
    <w:rsid w:val="006B6904"/>
    <w:rsid w:val="006B6DF0"/>
    <w:rsid w:val="006B6EAD"/>
    <w:rsid w:val="006C0697"/>
    <w:rsid w:val="006D04A7"/>
    <w:rsid w:val="006D22FA"/>
    <w:rsid w:val="006E1BBE"/>
    <w:rsid w:val="006E57FB"/>
    <w:rsid w:val="006E67B5"/>
    <w:rsid w:val="006F7F4E"/>
    <w:rsid w:val="00702BEA"/>
    <w:rsid w:val="007033AB"/>
    <w:rsid w:val="00703EE8"/>
    <w:rsid w:val="00704067"/>
    <w:rsid w:val="00714970"/>
    <w:rsid w:val="0071721C"/>
    <w:rsid w:val="00717A2F"/>
    <w:rsid w:val="00722BE9"/>
    <w:rsid w:val="007237DC"/>
    <w:rsid w:val="007335F1"/>
    <w:rsid w:val="00740B12"/>
    <w:rsid w:val="007414F8"/>
    <w:rsid w:val="007428E8"/>
    <w:rsid w:val="00747900"/>
    <w:rsid w:val="00761887"/>
    <w:rsid w:val="00762F91"/>
    <w:rsid w:val="00767726"/>
    <w:rsid w:val="0077334F"/>
    <w:rsid w:val="0077390E"/>
    <w:rsid w:val="00782315"/>
    <w:rsid w:val="00783DE9"/>
    <w:rsid w:val="007847ED"/>
    <w:rsid w:val="00784F39"/>
    <w:rsid w:val="00787796"/>
    <w:rsid w:val="007975D0"/>
    <w:rsid w:val="007A1AF9"/>
    <w:rsid w:val="007A7CF5"/>
    <w:rsid w:val="007B38B3"/>
    <w:rsid w:val="007B4048"/>
    <w:rsid w:val="007C307C"/>
    <w:rsid w:val="007C34FF"/>
    <w:rsid w:val="007C745B"/>
    <w:rsid w:val="007C7829"/>
    <w:rsid w:val="007D75EE"/>
    <w:rsid w:val="007D7682"/>
    <w:rsid w:val="007E079C"/>
    <w:rsid w:val="007F6DA6"/>
    <w:rsid w:val="007F7F59"/>
    <w:rsid w:val="00800BD8"/>
    <w:rsid w:val="00812105"/>
    <w:rsid w:val="008200A3"/>
    <w:rsid w:val="00821C7F"/>
    <w:rsid w:val="008230C5"/>
    <w:rsid w:val="00823F3E"/>
    <w:rsid w:val="00825AE8"/>
    <w:rsid w:val="00830E02"/>
    <w:rsid w:val="0083112A"/>
    <w:rsid w:val="00833663"/>
    <w:rsid w:val="0084366E"/>
    <w:rsid w:val="00845F44"/>
    <w:rsid w:val="00850C91"/>
    <w:rsid w:val="00852185"/>
    <w:rsid w:val="008615B0"/>
    <w:rsid w:val="00863100"/>
    <w:rsid w:val="0086614F"/>
    <w:rsid w:val="00866528"/>
    <w:rsid w:val="008722A0"/>
    <w:rsid w:val="00882514"/>
    <w:rsid w:val="00892852"/>
    <w:rsid w:val="008A060A"/>
    <w:rsid w:val="008A4030"/>
    <w:rsid w:val="008B20AE"/>
    <w:rsid w:val="008B4561"/>
    <w:rsid w:val="008C21E5"/>
    <w:rsid w:val="008C5053"/>
    <w:rsid w:val="008C5390"/>
    <w:rsid w:val="008C5C4E"/>
    <w:rsid w:val="008C602E"/>
    <w:rsid w:val="008D5CDE"/>
    <w:rsid w:val="008D728B"/>
    <w:rsid w:val="008E2FF3"/>
    <w:rsid w:val="008E4B89"/>
    <w:rsid w:val="008F360D"/>
    <w:rsid w:val="008F4BCE"/>
    <w:rsid w:val="008F6F05"/>
    <w:rsid w:val="00907A8C"/>
    <w:rsid w:val="00915324"/>
    <w:rsid w:val="00920816"/>
    <w:rsid w:val="00923871"/>
    <w:rsid w:val="00927499"/>
    <w:rsid w:val="0092756C"/>
    <w:rsid w:val="00931511"/>
    <w:rsid w:val="00933E9B"/>
    <w:rsid w:val="00940329"/>
    <w:rsid w:val="009425C2"/>
    <w:rsid w:val="00951C64"/>
    <w:rsid w:val="00955266"/>
    <w:rsid w:val="00955608"/>
    <w:rsid w:val="0097058D"/>
    <w:rsid w:val="00970F71"/>
    <w:rsid w:val="009718D7"/>
    <w:rsid w:val="00972736"/>
    <w:rsid w:val="00974488"/>
    <w:rsid w:val="009846E1"/>
    <w:rsid w:val="009949EE"/>
    <w:rsid w:val="00997337"/>
    <w:rsid w:val="009B0A6C"/>
    <w:rsid w:val="009B7B37"/>
    <w:rsid w:val="009F06E1"/>
    <w:rsid w:val="009F4B0D"/>
    <w:rsid w:val="00A01B58"/>
    <w:rsid w:val="00A13BB4"/>
    <w:rsid w:val="00A16E6F"/>
    <w:rsid w:val="00A17307"/>
    <w:rsid w:val="00A200DF"/>
    <w:rsid w:val="00A20C73"/>
    <w:rsid w:val="00A23580"/>
    <w:rsid w:val="00A2534B"/>
    <w:rsid w:val="00A320C1"/>
    <w:rsid w:val="00A36558"/>
    <w:rsid w:val="00A36E4E"/>
    <w:rsid w:val="00A50252"/>
    <w:rsid w:val="00A51D84"/>
    <w:rsid w:val="00A568EC"/>
    <w:rsid w:val="00A61518"/>
    <w:rsid w:val="00A639A0"/>
    <w:rsid w:val="00A67FA3"/>
    <w:rsid w:val="00A72407"/>
    <w:rsid w:val="00A730B8"/>
    <w:rsid w:val="00A74458"/>
    <w:rsid w:val="00A848CD"/>
    <w:rsid w:val="00A84D3F"/>
    <w:rsid w:val="00A85FA8"/>
    <w:rsid w:val="00A87CAE"/>
    <w:rsid w:val="00A93A6F"/>
    <w:rsid w:val="00A9440F"/>
    <w:rsid w:val="00A95425"/>
    <w:rsid w:val="00AA00EC"/>
    <w:rsid w:val="00AA4FD3"/>
    <w:rsid w:val="00AA5BD3"/>
    <w:rsid w:val="00AA651D"/>
    <w:rsid w:val="00AA781A"/>
    <w:rsid w:val="00AB17C8"/>
    <w:rsid w:val="00AB488B"/>
    <w:rsid w:val="00AB6138"/>
    <w:rsid w:val="00AB74CA"/>
    <w:rsid w:val="00AC0373"/>
    <w:rsid w:val="00AC2028"/>
    <w:rsid w:val="00AC2BAD"/>
    <w:rsid w:val="00AC41E6"/>
    <w:rsid w:val="00AC7379"/>
    <w:rsid w:val="00AD3B62"/>
    <w:rsid w:val="00AD724C"/>
    <w:rsid w:val="00AE5C23"/>
    <w:rsid w:val="00AF4DEC"/>
    <w:rsid w:val="00AF5081"/>
    <w:rsid w:val="00B0056E"/>
    <w:rsid w:val="00B02D52"/>
    <w:rsid w:val="00B0385F"/>
    <w:rsid w:val="00B05346"/>
    <w:rsid w:val="00B053B4"/>
    <w:rsid w:val="00B05721"/>
    <w:rsid w:val="00B11FD8"/>
    <w:rsid w:val="00B14A95"/>
    <w:rsid w:val="00B1578E"/>
    <w:rsid w:val="00B17F97"/>
    <w:rsid w:val="00B30A21"/>
    <w:rsid w:val="00B3555E"/>
    <w:rsid w:val="00B35976"/>
    <w:rsid w:val="00B57540"/>
    <w:rsid w:val="00B711FB"/>
    <w:rsid w:val="00B72CFB"/>
    <w:rsid w:val="00B80CCA"/>
    <w:rsid w:val="00B86693"/>
    <w:rsid w:val="00B91448"/>
    <w:rsid w:val="00B918A4"/>
    <w:rsid w:val="00BB4369"/>
    <w:rsid w:val="00BC745F"/>
    <w:rsid w:val="00BF2138"/>
    <w:rsid w:val="00BF55DD"/>
    <w:rsid w:val="00C015AF"/>
    <w:rsid w:val="00C0201F"/>
    <w:rsid w:val="00C04D54"/>
    <w:rsid w:val="00C141E9"/>
    <w:rsid w:val="00C17CB5"/>
    <w:rsid w:val="00C17D48"/>
    <w:rsid w:val="00C31752"/>
    <w:rsid w:val="00C40591"/>
    <w:rsid w:val="00C43D5D"/>
    <w:rsid w:val="00C4689F"/>
    <w:rsid w:val="00C4729A"/>
    <w:rsid w:val="00C52F7B"/>
    <w:rsid w:val="00C61B62"/>
    <w:rsid w:val="00C629D4"/>
    <w:rsid w:val="00C63D5C"/>
    <w:rsid w:val="00C6519C"/>
    <w:rsid w:val="00C67315"/>
    <w:rsid w:val="00C67A74"/>
    <w:rsid w:val="00C71A6E"/>
    <w:rsid w:val="00C77D72"/>
    <w:rsid w:val="00C84397"/>
    <w:rsid w:val="00C85ECB"/>
    <w:rsid w:val="00C8767D"/>
    <w:rsid w:val="00C95C8E"/>
    <w:rsid w:val="00CA1ED0"/>
    <w:rsid w:val="00CA6D3D"/>
    <w:rsid w:val="00CB24C5"/>
    <w:rsid w:val="00CB356D"/>
    <w:rsid w:val="00CB7250"/>
    <w:rsid w:val="00CB7FA0"/>
    <w:rsid w:val="00CC3CA7"/>
    <w:rsid w:val="00CC3E2D"/>
    <w:rsid w:val="00CC6944"/>
    <w:rsid w:val="00CC7733"/>
    <w:rsid w:val="00CD44B7"/>
    <w:rsid w:val="00CE107E"/>
    <w:rsid w:val="00CF700E"/>
    <w:rsid w:val="00D00AB6"/>
    <w:rsid w:val="00D07DA0"/>
    <w:rsid w:val="00D1555E"/>
    <w:rsid w:val="00D15AF4"/>
    <w:rsid w:val="00D17E2C"/>
    <w:rsid w:val="00D22581"/>
    <w:rsid w:val="00D22B0A"/>
    <w:rsid w:val="00D272A2"/>
    <w:rsid w:val="00D315CD"/>
    <w:rsid w:val="00D36F9B"/>
    <w:rsid w:val="00D43464"/>
    <w:rsid w:val="00D530BB"/>
    <w:rsid w:val="00D6524F"/>
    <w:rsid w:val="00D762D5"/>
    <w:rsid w:val="00D822C3"/>
    <w:rsid w:val="00D87E5F"/>
    <w:rsid w:val="00D940A0"/>
    <w:rsid w:val="00D95B15"/>
    <w:rsid w:val="00DA07E0"/>
    <w:rsid w:val="00DC60E0"/>
    <w:rsid w:val="00DD1D91"/>
    <w:rsid w:val="00DD2085"/>
    <w:rsid w:val="00DD2539"/>
    <w:rsid w:val="00DD60C7"/>
    <w:rsid w:val="00DE4F69"/>
    <w:rsid w:val="00DF0EC5"/>
    <w:rsid w:val="00DF7FA2"/>
    <w:rsid w:val="00E01528"/>
    <w:rsid w:val="00E033CF"/>
    <w:rsid w:val="00E0586B"/>
    <w:rsid w:val="00E05B30"/>
    <w:rsid w:val="00E07B7E"/>
    <w:rsid w:val="00E12B3E"/>
    <w:rsid w:val="00E13CD3"/>
    <w:rsid w:val="00E15A5C"/>
    <w:rsid w:val="00E17D82"/>
    <w:rsid w:val="00E23A0B"/>
    <w:rsid w:val="00E25FD6"/>
    <w:rsid w:val="00E36454"/>
    <w:rsid w:val="00E4345D"/>
    <w:rsid w:val="00E46D48"/>
    <w:rsid w:val="00E62CD3"/>
    <w:rsid w:val="00E756E0"/>
    <w:rsid w:val="00E82F4B"/>
    <w:rsid w:val="00E83E4B"/>
    <w:rsid w:val="00E84E97"/>
    <w:rsid w:val="00E855DB"/>
    <w:rsid w:val="00E91A74"/>
    <w:rsid w:val="00E95DD6"/>
    <w:rsid w:val="00EA09FE"/>
    <w:rsid w:val="00EA0BC0"/>
    <w:rsid w:val="00EB5D2D"/>
    <w:rsid w:val="00EC4106"/>
    <w:rsid w:val="00EC6D17"/>
    <w:rsid w:val="00ED1FD2"/>
    <w:rsid w:val="00ED3D7F"/>
    <w:rsid w:val="00ED5410"/>
    <w:rsid w:val="00EE3422"/>
    <w:rsid w:val="00EE4357"/>
    <w:rsid w:val="00EF2511"/>
    <w:rsid w:val="00EF5405"/>
    <w:rsid w:val="00F05C80"/>
    <w:rsid w:val="00F105C6"/>
    <w:rsid w:val="00F154E2"/>
    <w:rsid w:val="00F207A6"/>
    <w:rsid w:val="00F21E5E"/>
    <w:rsid w:val="00F356EA"/>
    <w:rsid w:val="00F378E0"/>
    <w:rsid w:val="00F40582"/>
    <w:rsid w:val="00F43544"/>
    <w:rsid w:val="00F47C33"/>
    <w:rsid w:val="00F54FDA"/>
    <w:rsid w:val="00F61163"/>
    <w:rsid w:val="00F62473"/>
    <w:rsid w:val="00F67F4C"/>
    <w:rsid w:val="00F74CE0"/>
    <w:rsid w:val="00F76759"/>
    <w:rsid w:val="00F84B25"/>
    <w:rsid w:val="00F86264"/>
    <w:rsid w:val="00F90CA8"/>
    <w:rsid w:val="00F92891"/>
    <w:rsid w:val="00F945CD"/>
    <w:rsid w:val="00F96D81"/>
    <w:rsid w:val="00FA147B"/>
    <w:rsid w:val="00FA3EE7"/>
    <w:rsid w:val="00FB1B0D"/>
    <w:rsid w:val="00FB5444"/>
    <w:rsid w:val="00FB69A8"/>
    <w:rsid w:val="00FC0327"/>
    <w:rsid w:val="00FC111E"/>
    <w:rsid w:val="00FD22F0"/>
    <w:rsid w:val="00FE07F1"/>
    <w:rsid w:val="00FE4E2B"/>
    <w:rsid w:val="00FE6490"/>
    <w:rsid w:val="00FF21BC"/>
    <w:rsid w:val="00FF722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ED48B4E"/>
  <w15:chartTrackingRefBased/>
  <w15:docId w15:val="{65F37EF1-12BC-5045-9ED2-23548E8219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en-GB" w:bidi="ar-SA"/>
      </w:rPr>
    </w:rPrDefault>
    <w:pPrDefault>
      <w:pPr>
        <w:ind w:firstLine="360"/>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header" w:uiPriority="99"/>
    <w:lsdException w:name="caption" w:semiHidden="1" w:uiPriority="35" w:unhideWhenUsed="1" w:qFormat="1"/>
    <w:lsdException w:name="Title" w:uiPriority="10" w:qFormat="1"/>
    <w:lsdException w:name="Subtitle" w:uiPriority="11" w:qFormat="1"/>
    <w:lsdException w:name="Strong" w:uiPriority="22" w:qFormat="1"/>
    <w:lsdException w:name="Emphasis" w:uiPriority="20"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40329"/>
  </w:style>
  <w:style w:type="paragraph" w:styleId="Heading1">
    <w:name w:val="heading 1"/>
    <w:basedOn w:val="Normal"/>
    <w:next w:val="Normal"/>
    <w:link w:val="Heading1Char"/>
    <w:uiPriority w:val="9"/>
    <w:qFormat/>
    <w:rsid w:val="00940329"/>
    <w:pPr>
      <w:pBdr>
        <w:bottom w:val="single" w:sz="12" w:space="1" w:color="2F5496" w:themeColor="accent1" w:themeShade="BF"/>
      </w:pBdr>
      <w:spacing w:before="600" w:after="80"/>
      <w:ind w:firstLine="0"/>
      <w:outlineLvl w:val="0"/>
    </w:pPr>
    <w:rPr>
      <w:rFonts w:asciiTheme="majorHAnsi" w:eastAsiaTheme="majorEastAsia" w:hAnsiTheme="majorHAnsi" w:cstheme="majorBidi"/>
      <w:b/>
      <w:bCs/>
      <w:color w:val="2F5496" w:themeColor="accent1" w:themeShade="BF"/>
      <w:sz w:val="24"/>
      <w:szCs w:val="24"/>
    </w:rPr>
  </w:style>
  <w:style w:type="paragraph" w:styleId="Heading2">
    <w:name w:val="heading 2"/>
    <w:basedOn w:val="Normal"/>
    <w:next w:val="Normal"/>
    <w:link w:val="Heading2Char"/>
    <w:uiPriority w:val="9"/>
    <w:unhideWhenUsed/>
    <w:qFormat/>
    <w:rsid w:val="00940329"/>
    <w:pPr>
      <w:pBdr>
        <w:bottom w:val="single" w:sz="8" w:space="1" w:color="4472C4" w:themeColor="accent1"/>
      </w:pBdr>
      <w:spacing w:before="200" w:after="80"/>
      <w:ind w:firstLine="0"/>
      <w:outlineLvl w:val="1"/>
    </w:pPr>
    <w:rPr>
      <w:rFonts w:asciiTheme="majorHAnsi" w:eastAsiaTheme="majorEastAsia" w:hAnsiTheme="majorHAnsi" w:cstheme="majorBidi"/>
      <w:color w:val="2F5496" w:themeColor="accent1" w:themeShade="BF"/>
      <w:sz w:val="24"/>
      <w:szCs w:val="24"/>
    </w:rPr>
  </w:style>
  <w:style w:type="paragraph" w:styleId="Heading3">
    <w:name w:val="heading 3"/>
    <w:basedOn w:val="Normal"/>
    <w:next w:val="Normal"/>
    <w:link w:val="Heading3Char"/>
    <w:uiPriority w:val="9"/>
    <w:semiHidden/>
    <w:unhideWhenUsed/>
    <w:qFormat/>
    <w:rsid w:val="00940329"/>
    <w:pPr>
      <w:pBdr>
        <w:bottom w:val="single" w:sz="4" w:space="1" w:color="8EAADB" w:themeColor="accent1" w:themeTint="99"/>
      </w:pBdr>
      <w:spacing w:before="200" w:after="80"/>
      <w:ind w:firstLine="0"/>
      <w:outlineLvl w:val="2"/>
    </w:pPr>
    <w:rPr>
      <w:rFonts w:asciiTheme="majorHAnsi" w:eastAsiaTheme="majorEastAsia" w:hAnsiTheme="majorHAnsi" w:cstheme="majorBidi"/>
      <w:color w:val="4472C4" w:themeColor="accent1"/>
      <w:sz w:val="24"/>
      <w:szCs w:val="24"/>
    </w:rPr>
  </w:style>
  <w:style w:type="paragraph" w:styleId="Heading4">
    <w:name w:val="heading 4"/>
    <w:basedOn w:val="Normal"/>
    <w:next w:val="Normal"/>
    <w:link w:val="Heading4Char"/>
    <w:uiPriority w:val="9"/>
    <w:semiHidden/>
    <w:unhideWhenUsed/>
    <w:qFormat/>
    <w:rsid w:val="00940329"/>
    <w:pPr>
      <w:pBdr>
        <w:bottom w:val="single" w:sz="4" w:space="2" w:color="B4C6E7" w:themeColor="accent1" w:themeTint="66"/>
      </w:pBdr>
      <w:spacing w:before="200" w:after="80"/>
      <w:ind w:firstLine="0"/>
      <w:outlineLvl w:val="3"/>
    </w:pPr>
    <w:rPr>
      <w:rFonts w:asciiTheme="majorHAnsi" w:eastAsiaTheme="majorEastAsia" w:hAnsiTheme="majorHAnsi" w:cstheme="majorBidi"/>
      <w:i/>
      <w:iCs/>
      <w:color w:val="4472C4" w:themeColor="accent1"/>
      <w:sz w:val="24"/>
      <w:szCs w:val="24"/>
    </w:rPr>
  </w:style>
  <w:style w:type="paragraph" w:styleId="Heading5">
    <w:name w:val="heading 5"/>
    <w:basedOn w:val="Normal"/>
    <w:next w:val="Normal"/>
    <w:link w:val="Heading5Char"/>
    <w:uiPriority w:val="9"/>
    <w:semiHidden/>
    <w:unhideWhenUsed/>
    <w:qFormat/>
    <w:rsid w:val="00940329"/>
    <w:pPr>
      <w:spacing w:before="200" w:after="80"/>
      <w:ind w:firstLine="0"/>
      <w:outlineLvl w:val="4"/>
    </w:pPr>
    <w:rPr>
      <w:rFonts w:asciiTheme="majorHAnsi" w:eastAsiaTheme="majorEastAsia" w:hAnsiTheme="majorHAnsi" w:cstheme="majorBidi"/>
      <w:color w:val="4472C4" w:themeColor="accent1"/>
    </w:rPr>
  </w:style>
  <w:style w:type="paragraph" w:styleId="Heading6">
    <w:name w:val="heading 6"/>
    <w:basedOn w:val="Normal"/>
    <w:next w:val="Normal"/>
    <w:link w:val="Heading6Char"/>
    <w:uiPriority w:val="9"/>
    <w:semiHidden/>
    <w:unhideWhenUsed/>
    <w:qFormat/>
    <w:rsid w:val="00940329"/>
    <w:pPr>
      <w:spacing w:before="280" w:after="100"/>
      <w:ind w:firstLine="0"/>
      <w:outlineLvl w:val="5"/>
    </w:pPr>
    <w:rPr>
      <w:rFonts w:asciiTheme="majorHAnsi" w:eastAsiaTheme="majorEastAsia" w:hAnsiTheme="majorHAnsi" w:cstheme="majorBidi"/>
      <w:i/>
      <w:iCs/>
      <w:color w:val="4472C4" w:themeColor="accent1"/>
    </w:rPr>
  </w:style>
  <w:style w:type="paragraph" w:styleId="Heading7">
    <w:name w:val="heading 7"/>
    <w:basedOn w:val="Normal"/>
    <w:next w:val="Normal"/>
    <w:link w:val="Heading7Char"/>
    <w:uiPriority w:val="9"/>
    <w:semiHidden/>
    <w:unhideWhenUsed/>
    <w:qFormat/>
    <w:rsid w:val="00940329"/>
    <w:pPr>
      <w:spacing w:before="320" w:after="100"/>
      <w:ind w:firstLine="0"/>
      <w:outlineLvl w:val="6"/>
    </w:pPr>
    <w:rPr>
      <w:rFonts w:asciiTheme="majorHAnsi" w:eastAsiaTheme="majorEastAsia" w:hAnsiTheme="majorHAnsi" w:cstheme="majorBidi"/>
      <w:b/>
      <w:bCs/>
      <w:color w:val="A5A5A5" w:themeColor="accent3"/>
      <w:sz w:val="20"/>
      <w:szCs w:val="20"/>
    </w:rPr>
  </w:style>
  <w:style w:type="paragraph" w:styleId="Heading8">
    <w:name w:val="heading 8"/>
    <w:basedOn w:val="Normal"/>
    <w:next w:val="Normal"/>
    <w:link w:val="Heading8Char"/>
    <w:uiPriority w:val="9"/>
    <w:semiHidden/>
    <w:unhideWhenUsed/>
    <w:qFormat/>
    <w:rsid w:val="00940329"/>
    <w:pPr>
      <w:spacing w:before="320" w:after="100"/>
      <w:ind w:firstLine="0"/>
      <w:outlineLvl w:val="7"/>
    </w:pPr>
    <w:rPr>
      <w:rFonts w:asciiTheme="majorHAnsi" w:eastAsiaTheme="majorEastAsia" w:hAnsiTheme="majorHAnsi" w:cstheme="majorBidi"/>
      <w:b/>
      <w:bCs/>
      <w:i/>
      <w:iCs/>
      <w:color w:val="A5A5A5" w:themeColor="accent3"/>
      <w:sz w:val="20"/>
      <w:szCs w:val="20"/>
    </w:rPr>
  </w:style>
  <w:style w:type="paragraph" w:styleId="Heading9">
    <w:name w:val="heading 9"/>
    <w:basedOn w:val="Normal"/>
    <w:next w:val="Normal"/>
    <w:link w:val="Heading9Char"/>
    <w:uiPriority w:val="9"/>
    <w:semiHidden/>
    <w:unhideWhenUsed/>
    <w:qFormat/>
    <w:rsid w:val="00940329"/>
    <w:pPr>
      <w:spacing w:before="320" w:after="100"/>
      <w:ind w:firstLine="0"/>
      <w:outlineLvl w:val="8"/>
    </w:pPr>
    <w:rPr>
      <w:rFonts w:asciiTheme="majorHAnsi" w:eastAsiaTheme="majorEastAsia" w:hAnsiTheme="majorHAnsi" w:cstheme="majorBidi"/>
      <w:i/>
      <w:iCs/>
      <w:color w:val="A5A5A5" w:themeColor="accent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6E67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6E67B5"/>
  </w:style>
  <w:style w:type="character" w:styleId="Hyperlink">
    <w:name w:val="Hyperlink"/>
    <w:unhideWhenUsed/>
    <w:rsid w:val="006E67B5"/>
    <w:rPr>
      <w:color w:val="0000FF"/>
      <w:u w:val="single"/>
    </w:rPr>
  </w:style>
  <w:style w:type="paragraph" w:styleId="BodyText">
    <w:name w:val="Body Text"/>
    <w:basedOn w:val="Normal"/>
    <w:rsid w:val="00970F71"/>
    <w:pPr>
      <w:ind w:right="1559"/>
    </w:pPr>
    <w:rPr>
      <w:rFonts w:ascii="Times" w:eastAsia="Times" w:hAnsi="Times"/>
      <w:szCs w:val="20"/>
      <w:lang w:val="en-GB" w:eastAsia="sv-SE"/>
    </w:rPr>
  </w:style>
  <w:style w:type="paragraph" w:styleId="BodyText2">
    <w:name w:val="Body Text 2"/>
    <w:basedOn w:val="Normal"/>
    <w:rsid w:val="00970F71"/>
    <w:pPr>
      <w:spacing w:line="360" w:lineRule="auto"/>
    </w:pPr>
    <w:rPr>
      <w:rFonts w:ascii="Times" w:eastAsia="Times" w:hAnsi="Times"/>
      <w:i/>
      <w:szCs w:val="20"/>
      <w:lang w:val="en-GB" w:eastAsia="sv-SE"/>
    </w:rPr>
  </w:style>
  <w:style w:type="paragraph" w:styleId="NormalWeb">
    <w:name w:val="Normal (Web)"/>
    <w:basedOn w:val="Normal"/>
    <w:uiPriority w:val="99"/>
    <w:rsid w:val="00EA0BC0"/>
    <w:pPr>
      <w:spacing w:before="100" w:beforeAutospacing="1" w:after="100" w:afterAutospacing="1"/>
    </w:pPr>
  </w:style>
  <w:style w:type="character" w:styleId="Emphasis">
    <w:name w:val="Emphasis"/>
    <w:uiPriority w:val="20"/>
    <w:qFormat/>
    <w:rsid w:val="00940329"/>
    <w:rPr>
      <w:b/>
      <w:bCs/>
      <w:i/>
      <w:iCs/>
      <w:color w:val="5A5A5A" w:themeColor="text1" w:themeTint="A5"/>
    </w:rPr>
  </w:style>
  <w:style w:type="character" w:customStyle="1" w:styleId="apple-style-span">
    <w:name w:val="apple-style-span"/>
    <w:basedOn w:val="DefaultParagraphFont"/>
    <w:rsid w:val="00656A80"/>
  </w:style>
  <w:style w:type="paragraph" w:styleId="FootnoteText">
    <w:name w:val="footnote text"/>
    <w:aliases w:val="ข้อความเชิงอรรถ,¢éÍ¤ÇÒÁàªÔ§ÍÃÃ¶"/>
    <w:basedOn w:val="Normal"/>
    <w:semiHidden/>
    <w:rsid w:val="00276A90"/>
    <w:pPr>
      <w:spacing w:before="120" w:after="120"/>
    </w:pPr>
    <w:rPr>
      <w:rFonts w:eastAsia="Times"/>
      <w:sz w:val="20"/>
      <w:szCs w:val="20"/>
    </w:rPr>
  </w:style>
  <w:style w:type="character" w:styleId="FootnoteReference">
    <w:name w:val="footnote reference"/>
    <w:aliases w:val="อ้างอิงเชิงอรรถ,ÍéÒ§ÍÔ§àªÔ§ÍÃÃ¶"/>
    <w:semiHidden/>
    <w:rsid w:val="00276A90"/>
    <w:rPr>
      <w:vertAlign w:val="superscript"/>
    </w:rPr>
  </w:style>
  <w:style w:type="paragraph" w:styleId="Footer">
    <w:name w:val="footer"/>
    <w:basedOn w:val="Normal"/>
    <w:rsid w:val="002C11BF"/>
    <w:pPr>
      <w:tabs>
        <w:tab w:val="center" w:pos="4320"/>
        <w:tab w:val="right" w:pos="8640"/>
      </w:tabs>
    </w:pPr>
  </w:style>
  <w:style w:type="paragraph" w:styleId="Header">
    <w:name w:val="header"/>
    <w:basedOn w:val="Normal"/>
    <w:link w:val="HeaderChar"/>
    <w:uiPriority w:val="99"/>
    <w:rsid w:val="005141A8"/>
    <w:pPr>
      <w:tabs>
        <w:tab w:val="center" w:pos="4320"/>
        <w:tab w:val="right" w:pos="8640"/>
      </w:tabs>
    </w:pPr>
  </w:style>
  <w:style w:type="paragraph" w:customStyle="1" w:styleId="Pa3">
    <w:name w:val="Pa3"/>
    <w:basedOn w:val="Normal"/>
    <w:next w:val="Normal"/>
    <w:rsid w:val="004C38B8"/>
    <w:pPr>
      <w:autoSpaceDE w:val="0"/>
      <w:autoSpaceDN w:val="0"/>
      <w:adjustRightInd w:val="0"/>
      <w:spacing w:after="100" w:line="221" w:lineRule="atLeast"/>
    </w:pPr>
    <w:rPr>
      <w:rFonts w:ascii="GOMBNE+Times-Bold" w:eastAsia="SimSun" w:hAnsi="GOMBNE+Times-Bold"/>
      <w:lang w:eastAsia="zh-CN"/>
    </w:rPr>
  </w:style>
  <w:style w:type="character" w:customStyle="1" w:styleId="headerfont1">
    <w:name w:val="headerfont1"/>
    <w:rsid w:val="00A639A0"/>
    <w:rPr>
      <w:rFonts w:ascii="Verdana" w:hAnsi="Verdana" w:hint="default"/>
      <w:b/>
      <w:bCs/>
      <w:color w:val="2A72BE"/>
      <w:spacing w:val="0"/>
      <w:sz w:val="21"/>
      <w:szCs w:val="21"/>
    </w:rPr>
  </w:style>
  <w:style w:type="character" w:customStyle="1" w:styleId="HeaderChar">
    <w:name w:val="Header Char"/>
    <w:link w:val="Header"/>
    <w:uiPriority w:val="99"/>
    <w:rsid w:val="0071721C"/>
    <w:rPr>
      <w:sz w:val="24"/>
      <w:szCs w:val="24"/>
    </w:rPr>
  </w:style>
  <w:style w:type="character" w:styleId="UnresolvedMention">
    <w:name w:val="Unresolved Mention"/>
    <w:uiPriority w:val="99"/>
    <w:semiHidden/>
    <w:unhideWhenUsed/>
    <w:rsid w:val="00DD2539"/>
    <w:rPr>
      <w:color w:val="605E5C"/>
      <w:shd w:val="clear" w:color="auto" w:fill="E1DFDD"/>
    </w:rPr>
  </w:style>
  <w:style w:type="paragraph" w:styleId="ListParagraph">
    <w:name w:val="List Paragraph"/>
    <w:basedOn w:val="Normal"/>
    <w:uiPriority w:val="34"/>
    <w:qFormat/>
    <w:rsid w:val="00940329"/>
    <w:pPr>
      <w:ind w:left="720"/>
      <w:contextualSpacing/>
    </w:pPr>
  </w:style>
  <w:style w:type="paragraph" w:styleId="Bibliography">
    <w:name w:val="Bibliography"/>
    <w:basedOn w:val="Normal"/>
    <w:next w:val="Normal"/>
    <w:uiPriority w:val="37"/>
    <w:unhideWhenUsed/>
    <w:rsid w:val="00B05721"/>
    <w:pPr>
      <w:spacing w:line="480" w:lineRule="auto"/>
      <w:ind w:left="720" w:hanging="720"/>
    </w:pPr>
  </w:style>
  <w:style w:type="paragraph" w:styleId="Caption">
    <w:name w:val="caption"/>
    <w:basedOn w:val="Normal"/>
    <w:next w:val="Normal"/>
    <w:uiPriority w:val="35"/>
    <w:unhideWhenUsed/>
    <w:qFormat/>
    <w:rsid w:val="00940329"/>
    <w:rPr>
      <w:b/>
      <w:bCs/>
      <w:sz w:val="18"/>
      <w:szCs w:val="18"/>
    </w:rPr>
  </w:style>
  <w:style w:type="table" w:styleId="PlainTable2">
    <w:name w:val="Plain Table 2"/>
    <w:basedOn w:val="TableNormal"/>
    <w:uiPriority w:val="42"/>
    <w:rsid w:val="00940329"/>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940329"/>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2">
    <w:name w:val="Grid Table 2"/>
    <w:basedOn w:val="TableNormal"/>
    <w:uiPriority w:val="47"/>
    <w:rsid w:val="00940329"/>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1Char">
    <w:name w:val="Heading 1 Char"/>
    <w:basedOn w:val="DefaultParagraphFont"/>
    <w:link w:val="Heading1"/>
    <w:uiPriority w:val="9"/>
    <w:rsid w:val="00940329"/>
    <w:rPr>
      <w:rFonts w:asciiTheme="majorHAnsi" w:eastAsiaTheme="majorEastAsia" w:hAnsiTheme="majorHAnsi" w:cstheme="majorBidi"/>
      <w:b/>
      <w:bCs/>
      <w:color w:val="2F5496" w:themeColor="accent1" w:themeShade="BF"/>
      <w:sz w:val="24"/>
      <w:szCs w:val="24"/>
    </w:rPr>
  </w:style>
  <w:style w:type="character" w:customStyle="1" w:styleId="Heading2Char">
    <w:name w:val="Heading 2 Char"/>
    <w:basedOn w:val="DefaultParagraphFont"/>
    <w:link w:val="Heading2"/>
    <w:uiPriority w:val="9"/>
    <w:rsid w:val="00940329"/>
    <w:rPr>
      <w:rFonts w:asciiTheme="majorHAnsi" w:eastAsiaTheme="majorEastAsia" w:hAnsiTheme="majorHAnsi" w:cstheme="majorBidi"/>
      <w:color w:val="2F5496" w:themeColor="accent1" w:themeShade="BF"/>
      <w:sz w:val="24"/>
      <w:szCs w:val="24"/>
    </w:rPr>
  </w:style>
  <w:style w:type="character" w:customStyle="1" w:styleId="Heading3Char">
    <w:name w:val="Heading 3 Char"/>
    <w:basedOn w:val="DefaultParagraphFont"/>
    <w:link w:val="Heading3"/>
    <w:uiPriority w:val="9"/>
    <w:semiHidden/>
    <w:rsid w:val="00940329"/>
    <w:rPr>
      <w:rFonts w:asciiTheme="majorHAnsi" w:eastAsiaTheme="majorEastAsia" w:hAnsiTheme="majorHAnsi" w:cstheme="majorBidi"/>
      <w:color w:val="4472C4" w:themeColor="accent1"/>
      <w:sz w:val="24"/>
      <w:szCs w:val="24"/>
    </w:rPr>
  </w:style>
  <w:style w:type="character" w:customStyle="1" w:styleId="Heading4Char">
    <w:name w:val="Heading 4 Char"/>
    <w:basedOn w:val="DefaultParagraphFont"/>
    <w:link w:val="Heading4"/>
    <w:uiPriority w:val="9"/>
    <w:semiHidden/>
    <w:rsid w:val="00940329"/>
    <w:rPr>
      <w:rFonts w:asciiTheme="majorHAnsi" w:eastAsiaTheme="majorEastAsia" w:hAnsiTheme="majorHAnsi" w:cstheme="majorBidi"/>
      <w:i/>
      <w:iCs/>
      <w:color w:val="4472C4" w:themeColor="accent1"/>
      <w:sz w:val="24"/>
      <w:szCs w:val="24"/>
    </w:rPr>
  </w:style>
  <w:style w:type="character" w:customStyle="1" w:styleId="Heading5Char">
    <w:name w:val="Heading 5 Char"/>
    <w:basedOn w:val="DefaultParagraphFont"/>
    <w:link w:val="Heading5"/>
    <w:uiPriority w:val="9"/>
    <w:semiHidden/>
    <w:rsid w:val="00940329"/>
    <w:rPr>
      <w:rFonts w:asciiTheme="majorHAnsi" w:eastAsiaTheme="majorEastAsia" w:hAnsiTheme="majorHAnsi" w:cstheme="majorBidi"/>
      <w:color w:val="4472C4" w:themeColor="accent1"/>
    </w:rPr>
  </w:style>
  <w:style w:type="character" w:customStyle="1" w:styleId="Heading6Char">
    <w:name w:val="Heading 6 Char"/>
    <w:basedOn w:val="DefaultParagraphFont"/>
    <w:link w:val="Heading6"/>
    <w:uiPriority w:val="9"/>
    <w:semiHidden/>
    <w:rsid w:val="00940329"/>
    <w:rPr>
      <w:rFonts w:asciiTheme="majorHAnsi" w:eastAsiaTheme="majorEastAsia" w:hAnsiTheme="majorHAnsi" w:cstheme="majorBidi"/>
      <w:i/>
      <w:iCs/>
      <w:color w:val="4472C4" w:themeColor="accent1"/>
    </w:rPr>
  </w:style>
  <w:style w:type="character" w:customStyle="1" w:styleId="Heading7Char">
    <w:name w:val="Heading 7 Char"/>
    <w:basedOn w:val="DefaultParagraphFont"/>
    <w:link w:val="Heading7"/>
    <w:uiPriority w:val="9"/>
    <w:semiHidden/>
    <w:rsid w:val="00940329"/>
    <w:rPr>
      <w:rFonts w:asciiTheme="majorHAnsi" w:eastAsiaTheme="majorEastAsia" w:hAnsiTheme="majorHAnsi" w:cstheme="majorBidi"/>
      <w:b/>
      <w:bCs/>
      <w:color w:val="A5A5A5" w:themeColor="accent3"/>
      <w:sz w:val="20"/>
      <w:szCs w:val="20"/>
    </w:rPr>
  </w:style>
  <w:style w:type="character" w:customStyle="1" w:styleId="Heading8Char">
    <w:name w:val="Heading 8 Char"/>
    <w:basedOn w:val="DefaultParagraphFont"/>
    <w:link w:val="Heading8"/>
    <w:uiPriority w:val="9"/>
    <w:semiHidden/>
    <w:rsid w:val="00940329"/>
    <w:rPr>
      <w:rFonts w:asciiTheme="majorHAnsi" w:eastAsiaTheme="majorEastAsia" w:hAnsiTheme="majorHAnsi" w:cstheme="majorBidi"/>
      <w:b/>
      <w:bCs/>
      <w:i/>
      <w:iCs/>
      <w:color w:val="A5A5A5" w:themeColor="accent3"/>
      <w:sz w:val="20"/>
      <w:szCs w:val="20"/>
    </w:rPr>
  </w:style>
  <w:style w:type="character" w:customStyle="1" w:styleId="Heading9Char">
    <w:name w:val="Heading 9 Char"/>
    <w:basedOn w:val="DefaultParagraphFont"/>
    <w:link w:val="Heading9"/>
    <w:uiPriority w:val="9"/>
    <w:semiHidden/>
    <w:rsid w:val="00940329"/>
    <w:rPr>
      <w:rFonts w:asciiTheme="majorHAnsi" w:eastAsiaTheme="majorEastAsia" w:hAnsiTheme="majorHAnsi" w:cstheme="majorBidi"/>
      <w:i/>
      <w:iCs/>
      <w:color w:val="A5A5A5" w:themeColor="accent3"/>
      <w:sz w:val="20"/>
      <w:szCs w:val="20"/>
    </w:rPr>
  </w:style>
  <w:style w:type="paragraph" w:styleId="Title">
    <w:name w:val="Title"/>
    <w:basedOn w:val="Normal"/>
    <w:next w:val="Normal"/>
    <w:link w:val="TitleChar"/>
    <w:uiPriority w:val="10"/>
    <w:qFormat/>
    <w:rsid w:val="00940329"/>
    <w:pPr>
      <w:pBdr>
        <w:top w:val="single" w:sz="8" w:space="10" w:color="A1B8E1" w:themeColor="accent1" w:themeTint="7F"/>
        <w:bottom w:val="single" w:sz="24" w:space="15" w:color="A5A5A5" w:themeColor="accent3"/>
      </w:pBdr>
      <w:ind w:firstLine="0"/>
      <w:jc w:val="center"/>
    </w:pPr>
    <w:rPr>
      <w:rFonts w:asciiTheme="majorHAnsi" w:eastAsiaTheme="majorEastAsia" w:hAnsiTheme="majorHAnsi" w:cstheme="majorBidi"/>
      <w:i/>
      <w:iCs/>
      <w:color w:val="1F3763" w:themeColor="accent1" w:themeShade="7F"/>
      <w:sz w:val="60"/>
      <w:szCs w:val="60"/>
    </w:rPr>
  </w:style>
  <w:style w:type="character" w:customStyle="1" w:styleId="TitleChar">
    <w:name w:val="Title Char"/>
    <w:basedOn w:val="DefaultParagraphFont"/>
    <w:link w:val="Title"/>
    <w:uiPriority w:val="10"/>
    <w:rsid w:val="00940329"/>
    <w:rPr>
      <w:rFonts w:asciiTheme="majorHAnsi" w:eastAsiaTheme="majorEastAsia" w:hAnsiTheme="majorHAnsi" w:cstheme="majorBidi"/>
      <w:i/>
      <w:iCs/>
      <w:color w:val="1F3763" w:themeColor="accent1" w:themeShade="7F"/>
      <w:sz w:val="60"/>
      <w:szCs w:val="60"/>
    </w:rPr>
  </w:style>
  <w:style w:type="paragraph" w:styleId="Subtitle">
    <w:name w:val="Subtitle"/>
    <w:basedOn w:val="Normal"/>
    <w:next w:val="Normal"/>
    <w:link w:val="SubtitleChar"/>
    <w:uiPriority w:val="11"/>
    <w:qFormat/>
    <w:rsid w:val="00940329"/>
    <w:pPr>
      <w:spacing w:before="200" w:after="900"/>
      <w:ind w:firstLine="0"/>
      <w:jc w:val="right"/>
    </w:pPr>
    <w:rPr>
      <w:i/>
      <w:iCs/>
      <w:sz w:val="24"/>
      <w:szCs w:val="24"/>
    </w:rPr>
  </w:style>
  <w:style w:type="character" w:customStyle="1" w:styleId="SubtitleChar">
    <w:name w:val="Subtitle Char"/>
    <w:basedOn w:val="DefaultParagraphFont"/>
    <w:link w:val="Subtitle"/>
    <w:uiPriority w:val="11"/>
    <w:rsid w:val="00940329"/>
    <w:rPr>
      <w:i/>
      <w:iCs/>
      <w:sz w:val="24"/>
      <w:szCs w:val="24"/>
    </w:rPr>
  </w:style>
  <w:style w:type="character" w:styleId="Strong">
    <w:name w:val="Strong"/>
    <w:basedOn w:val="DefaultParagraphFont"/>
    <w:uiPriority w:val="22"/>
    <w:qFormat/>
    <w:rsid w:val="00940329"/>
    <w:rPr>
      <w:b/>
      <w:bCs/>
      <w:spacing w:val="0"/>
    </w:rPr>
  </w:style>
  <w:style w:type="paragraph" w:styleId="NoSpacing">
    <w:name w:val="No Spacing"/>
    <w:basedOn w:val="Normal"/>
    <w:link w:val="NoSpacingChar"/>
    <w:uiPriority w:val="1"/>
    <w:qFormat/>
    <w:rsid w:val="00940329"/>
    <w:pPr>
      <w:ind w:firstLine="0"/>
    </w:pPr>
  </w:style>
  <w:style w:type="paragraph" w:styleId="Quote">
    <w:name w:val="Quote"/>
    <w:basedOn w:val="Normal"/>
    <w:next w:val="Normal"/>
    <w:link w:val="QuoteChar"/>
    <w:uiPriority w:val="29"/>
    <w:qFormat/>
    <w:rsid w:val="00940329"/>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940329"/>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940329"/>
    <w:pPr>
      <w:pBdr>
        <w:top w:val="single" w:sz="12" w:space="10" w:color="B4C6E7" w:themeColor="accent1" w:themeTint="66"/>
        <w:left w:val="single" w:sz="36" w:space="4" w:color="4472C4" w:themeColor="accent1"/>
        <w:bottom w:val="single" w:sz="24" w:space="10" w:color="A5A5A5" w:themeColor="accent3"/>
        <w:right w:val="single" w:sz="36" w:space="4" w:color="4472C4" w:themeColor="accent1"/>
      </w:pBdr>
      <w:shd w:val="clear" w:color="auto" w:fill="4472C4"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940329"/>
    <w:rPr>
      <w:rFonts w:asciiTheme="majorHAnsi" w:eastAsiaTheme="majorEastAsia" w:hAnsiTheme="majorHAnsi" w:cstheme="majorBidi"/>
      <w:i/>
      <w:iCs/>
      <w:color w:val="FFFFFF" w:themeColor="background1"/>
      <w:sz w:val="24"/>
      <w:szCs w:val="24"/>
      <w:shd w:val="clear" w:color="auto" w:fill="4472C4" w:themeFill="accent1"/>
    </w:rPr>
  </w:style>
  <w:style w:type="character" w:styleId="SubtleEmphasis">
    <w:name w:val="Subtle Emphasis"/>
    <w:uiPriority w:val="19"/>
    <w:qFormat/>
    <w:rsid w:val="00940329"/>
    <w:rPr>
      <w:i/>
      <w:iCs/>
      <w:color w:val="5A5A5A" w:themeColor="text1" w:themeTint="A5"/>
    </w:rPr>
  </w:style>
  <w:style w:type="character" w:styleId="IntenseEmphasis">
    <w:name w:val="Intense Emphasis"/>
    <w:uiPriority w:val="21"/>
    <w:qFormat/>
    <w:rsid w:val="00940329"/>
    <w:rPr>
      <w:b/>
      <w:bCs/>
      <w:i/>
      <w:iCs/>
      <w:color w:val="4472C4" w:themeColor="accent1"/>
      <w:sz w:val="22"/>
      <w:szCs w:val="22"/>
    </w:rPr>
  </w:style>
  <w:style w:type="character" w:styleId="SubtleReference">
    <w:name w:val="Subtle Reference"/>
    <w:uiPriority w:val="31"/>
    <w:qFormat/>
    <w:rsid w:val="00940329"/>
    <w:rPr>
      <w:color w:val="auto"/>
      <w:u w:val="single" w:color="A5A5A5" w:themeColor="accent3"/>
    </w:rPr>
  </w:style>
  <w:style w:type="character" w:styleId="IntenseReference">
    <w:name w:val="Intense Reference"/>
    <w:basedOn w:val="DefaultParagraphFont"/>
    <w:uiPriority w:val="32"/>
    <w:qFormat/>
    <w:rsid w:val="00940329"/>
    <w:rPr>
      <w:b/>
      <w:bCs/>
      <w:color w:val="7B7B7B" w:themeColor="accent3" w:themeShade="BF"/>
      <w:u w:val="single" w:color="A5A5A5" w:themeColor="accent3"/>
    </w:rPr>
  </w:style>
  <w:style w:type="character" w:styleId="BookTitle">
    <w:name w:val="Book Title"/>
    <w:basedOn w:val="DefaultParagraphFont"/>
    <w:uiPriority w:val="33"/>
    <w:qFormat/>
    <w:rsid w:val="00940329"/>
    <w:rPr>
      <w:rFonts w:asciiTheme="majorHAnsi" w:eastAsiaTheme="majorEastAsia" w:hAnsiTheme="majorHAnsi" w:cstheme="majorBidi"/>
      <w:b/>
      <w:bCs/>
      <w:i/>
      <w:iCs/>
      <w:color w:val="auto"/>
    </w:rPr>
  </w:style>
  <w:style w:type="paragraph" w:styleId="TOCHeading">
    <w:name w:val="TOC Heading"/>
    <w:basedOn w:val="Heading1"/>
    <w:next w:val="Normal"/>
    <w:uiPriority w:val="39"/>
    <w:semiHidden/>
    <w:unhideWhenUsed/>
    <w:qFormat/>
    <w:rsid w:val="00940329"/>
    <w:pPr>
      <w:outlineLvl w:val="9"/>
    </w:pPr>
  </w:style>
  <w:style w:type="character" w:customStyle="1" w:styleId="NoSpacingChar">
    <w:name w:val="No Spacing Char"/>
    <w:basedOn w:val="DefaultParagraphFont"/>
    <w:link w:val="NoSpacing"/>
    <w:uiPriority w:val="1"/>
    <w:rsid w:val="009403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420239">
      <w:bodyDiv w:val="1"/>
      <w:marLeft w:val="0"/>
      <w:marRight w:val="0"/>
      <w:marTop w:val="0"/>
      <w:marBottom w:val="0"/>
      <w:divBdr>
        <w:top w:val="none" w:sz="0" w:space="0" w:color="auto"/>
        <w:left w:val="none" w:sz="0" w:space="0" w:color="auto"/>
        <w:bottom w:val="none" w:sz="0" w:space="0" w:color="auto"/>
        <w:right w:val="none" w:sz="0" w:space="0" w:color="auto"/>
      </w:divBdr>
    </w:div>
    <w:div w:id="133766962">
      <w:bodyDiv w:val="1"/>
      <w:marLeft w:val="0"/>
      <w:marRight w:val="0"/>
      <w:marTop w:val="0"/>
      <w:marBottom w:val="0"/>
      <w:divBdr>
        <w:top w:val="none" w:sz="0" w:space="0" w:color="auto"/>
        <w:left w:val="none" w:sz="0" w:space="0" w:color="auto"/>
        <w:bottom w:val="none" w:sz="0" w:space="0" w:color="auto"/>
        <w:right w:val="none" w:sz="0" w:space="0" w:color="auto"/>
      </w:divBdr>
    </w:div>
    <w:div w:id="243808860">
      <w:bodyDiv w:val="1"/>
      <w:marLeft w:val="0"/>
      <w:marRight w:val="0"/>
      <w:marTop w:val="0"/>
      <w:marBottom w:val="0"/>
      <w:divBdr>
        <w:top w:val="none" w:sz="0" w:space="0" w:color="auto"/>
        <w:left w:val="none" w:sz="0" w:space="0" w:color="auto"/>
        <w:bottom w:val="none" w:sz="0" w:space="0" w:color="auto"/>
        <w:right w:val="none" w:sz="0" w:space="0" w:color="auto"/>
      </w:divBdr>
      <w:divsChild>
        <w:div w:id="1370688072">
          <w:marLeft w:val="0"/>
          <w:marRight w:val="0"/>
          <w:marTop w:val="0"/>
          <w:marBottom w:val="0"/>
          <w:divBdr>
            <w:top w:val="none" w:sz="0" w:space="0" w:color="auto"/>
            <w:left w:val="none" w:sz="0" w:space="0" w:color="auto"/>
            <w:bottom w:val="none" w:sz="0" w:space="0" w:color="auto"/>
            <w:right w:val="none" w:sz="0" w:space="0" w:color="auto"/>
          </w:divBdr>
        </w:div>
      </w:divsChild>
    </w:div>
    <w:div w:id="316569046">
      <w:bodyDiv w:val="1"/>
      <w:marLeft w:val="0"/>
      <w:marRight w:val="0"/>
      <w:marTop w:val="0"/>
      <w:marBottom w:val="0"/>
      <w:divBdr>
        <w:top w:val="none" w:sz="0" w:space="0" w:color="auto"/>
        <w:left w:val="none" w:sz="0" w:space="0" w:color="auto"/>
        <w:bottom w:val="none" w:sz="0" w:space="0" w:color="auto"/>
        <w:right w:val="none" w:sz="0" w:space="0" w:color="auto"/>
      </w:divBdr>
    </w:div>
    <w:div w:id="423261787">
      <w:bodyDiv w:val="1"/>
      <w:marLeft w:val="0"/>
      <w:marRight w:val="0"/>
      <w:marTop w:val="0"/>
      <w:marBottom w:val="0"/>
      <w:divBdr>
        <w:top w:val="none" w:sz="0" w:space="0" w:color="auto"/>
        <w:left w:val="none" w:sz="0" w:space="0" w:color="auto"/>
        <w:bottom w:val="none" w:sz="0" w:space="0" w:color="auto"/>
        <w:right w:val="none" w:sz="0" w:space="0" w:color="auto"/>
      </w:divBdr>
    </w:div>
    <w:div w:id="745107187">
      <w:bodyDiv w:val="1"/>
      <w:marLeft w:val="0"/>
      <w:marRight w:val="0"/>
      <w:marTop w:val="0"/>
      <w:marBottom w:val="0"/>
      <w:divBdr>
        <w:top w:val="none" w:sz="0" w:space="0" w:color="auto"/>
        <w:left w:val="none" w:sz="0" w:space="0" w:color="auto"/>
        <w:bottom w:val="none" w:sz="0" w:space="0" w:color="auto"/>
        <w:right w:val="none" w:sz="0" w:space="0" w:color="auto"/>
      </w:divBdr>
    </w:div>
    <w:div w:id="910582857">
      <w:bodyDiv w:val="1"/>
      <w:marLeft w:val="0"/>
      <w:marRight w:val="0"/>
      <w:marTop w:val="0"/>
      <w:marBottom w:val="0"/>
      <w:divBdr>
        <w:top w:val="none" w:sz="0" w:space="0" w:color="auto"/>
        <w:left w:val="none" w:sz="0" w:space="0" w:color="auto"/>
        <w:bottom w:val="none" w:sz="0" w:space="0" w:color="auto"/>
        <w:right w:val="none" w:sz="0" w:space="0" w:color="auto"/>
      </w:divBdr>
    </w:div>
    <w:div w:id="966355994">
      <w:bodyDiv w:val="1"/>
      <w:marLeft w:val="0"/>
      <w:marRight w:val="0"/>
      <w:marTop w:val="0"/>
      <w:marBottom w:val="0"/>
      <w:divBdr>
        <w:top w:val="none" w:sz="0" w:space="0" w:color="auto"/>
        <w:left w:val="none" w:sz="0" w:space="0" w:color="auto"/>
        <w:bottom w:val="none" w:sz="0" w:space="0" w:color="auto"/>
        <w:right w:val="none" w:sz="0" w:space="0" w:color="auto"/>
      </w:divBdr>
    </w:div>
    <w:div w:id="970981541">
      <w:bodyDiv w:val="1"/>
      <w:marLeft w:val="0"/>
      <w:marRight w:val="0"/>
      <w:marTop w:val="0"/>
      <w:marBottom w:val="0"/>
      <w:divBdr>
        <w:top w:val="none" w:sz="0" w:space="0" w:color="auto"/>
        <w:left w:val="none" w:sz="0" w:space="0" w:color="auto"/>
        <w:bottom w:val="none" w:sz="0" w:space="0" w:color="auto"/>
        <w:right w:val="none" w:sz="0" w:space="0" w:color="auto"/>
      </w:divBdr>
    </w:div>
    <w:div w:id="1116749170">
      <w:bodyDiv w:val="1"/>
      <w:marLeft w:val="0"/>
      <w:marRight w:val="0"/>
      <w:marTop w:val="0"/>
      <w:marBottom w:val="0"/>
      <w:divBdr>
        <w:top w:val="none" w:sz="0" w:space="0" w:color="auto"/>
        <w:left w:val="none" w:sz="0" w:space="0" w:color="auto"/>
        <w:bottom w:val="none" w:sz="0" w:space="0" w:color="auto"/>
        <w:right w:val="none" w:sz="0" w:space="0" w:color="auto"/>
      </w:divBdr>
    </w:div>
    <w:div w:id="1304432653">
      <w:bodyDiv w:val="1"/>
      <w:marLeft w:val="0"/>
      <w:marRight w:val="0"/>
      <w:marTop w:val="0"/>
      <w:marBottom w:val="0"/>
      <w:divBdr>
        <w:top w:val="none" w:sz="0" w:space="0" w:color="auto"/>
        <w:left w:val="none" w:sz="0" w:space="0" w:color="auto"/>
        <w:bottom w:val="none" w:sz="0" w:space="0" w:color="auto"/>
        <w:right w:val="none" w:sz="0" w:space="0" w:color="auto"/>
      </w:divBdr>
      <w:divsChild>
        <w:div w:id="1602643687">
          <w:marLeft w:val="0"/>
          <w:marRight w:val="0"/>
          <w:marTop w:val="0"/>
          <w:marBottom w:val="0"/>
          <w:divBdr>
            <w:top w:val="none" w:sz="0" w:space="0" w:color="auto"/>
            <w:left w:val="none" w:sz="0" w:space="0" w:color="auto"/>
            <w:bottom w:val="none" w:sz="0" w:space="0" w:color="auto"/>
            <w:right w:val="none" w:sz="0" w:space="0" w:color="auto"/>
          </w:divBdr>
          <w:divsChild>
            <w:div w:id="1584022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836777">
      <w:bodyDiv w:val="1"/>
      <w:marLeft w:val="0"/>
      <w:marRight w:val="0"/>
      <w:marTop w:val="0"/>
      <w:marBottom w:val="0"/>
      <w:divBdr>
        <w:top w:val="none" w:sz="0" w:space="0" w:color="auto"/>
        <w:left w:val="none" w:sz="0" w:space="0" w:color="auto"/>
        <w:bottom w:val="none" w:sz="0" w:space="0" w:color="auto"/>
        <w:right w:val="none" w:sz="0" w:space="0" w:color="auto"/>
      </w:divBdr>
    </w:div>
    <w:div w:id="1338540031">
      <w:bodyDiv w:val="1"/>
      <w:marLeft w:val="0"/>
      <w:marRight w:val="0"/>
      <w:marTop w:val="0"/>
      <w:marBottom w:val="0"/>
      <w:divBdr>
        <w:top w:val="none" w:sz="0" w:space="0" w:color="auto"/>
        <w:left w:val="none" w:sz="0" w:space="0" w:color="auto"/>
        <w:bottom w:val="none" w:sz="0" w:space="0" w:color="auto"/>
        <w:right w:val="none" w:sz="0" w:space="0" w:color="auto"/>
      </w:divBdr>
      <w:divsChild>
        <w:div w:id="1485970426">
          <w:marLeft w:val="0"/>
          <w:marRight w:val="0"/>
          <w:marTop w:val="0"/>
          <w:marBottom w:val="0"/>
          <w:divBdr>
            <w:top w:val="none" w:sz="0" w:space="0" w:color="auto"/>
            <w:left w:val="none" w:sz="0" w:space="0" w:color="auto"/>
            <w:bottom w:val="none" w:sz="0" w:space="0" w:color="auto"/>
            <w:right w:val="none" w:sz="0" w:space="0" w:color="auto"/>
          </w:divBdr>
        </w:div>
      </w:divsChild>
    </w:div>
    <w:div w:id="1522403174">
      <w:bodyDiv w:val="1"/>
      <w:marLeft w:val="0"/>
      <w:marRight w:val="0"/>
      <w:marTop w:val="0"/>
      <w:marBottom w:val="0"/>
      <w:divBdr>
        <w:top w:val="none" w:sz="0" w:space="0" w:color="auto"/>
        <w:left w:val="none" w:sz="0" w:space="0" w:color="auto"/>
        <w:bottom w:val="none" w:sz="0" w:space="0" w:color="auto"/>
        <w:right w:val="none" w:sz="0" w:space="0" w:color="auto"/>
      </w:divBdr>
    </w:div>
    <w:div w:id="1542866301">
      <w:bodyDiv w:val="1"/>
      <w:marLeft w:val="0"/>
      <w:marRight w:val="0"/>
      <w:marTop w:val="0"/>
      <w:marBottom w:val="0"/>
      <w:divBdr>
        <w:top w:val="none" w:sz="0" w:space="0" w:color="auto"/>
        <w:left w:val="none" w:sz="0" w:space="0" w:color="auto"/>
        <w:bottom w:val="none" w:sz="0" w:space="0" w:color="auto"/>
        <w:right w:val="none" w:sz="0" w:space="0" w:color="auto"/>
      </w:divBdr>
    </w:div>
    <w:div w:id="1648435123">
      <w:bodyDiv w:val="1"/>
      <w:marLeft w:val="0"/>
      <w:marRight w:val="0"/>
      <w:marTop w:val="0"/>
      <w:marBottom w:val="0"/>
      <w:divBdr>
        <w:top w:val="none" w:sz="0" w:space="0" w:color="auto"/>
        <w:left w:val="none" w:sz="0" w:space="0" w:color="auto"/>
        <w:bottom w:val="none" w:sz="0" w:space="0" w:color="auto"/>
        <w:right w:val="none" w:sz="0" w:space="0" w:color="auto"/>
      </w:divBdr>
    </w:div>
    <w:div w:id="1708674355">
      <w:bodyDiv w:val="1"/>
      <w:marLeft w:val="0"/>
      <w:marRight w:val="0"/>
      <w:marTop w:val="0"/>
      <w:marBottom w:val="0"/>
      <w:divBdr>
        <w:top w:val="none" w:sz="0" w:space="0" w:color="auto"/>
        <w:left w:val="none" w:sz="0" w:space="0" w:color="auto"/>
        <w:bottom w:val="none" w:sz="0" w:space="0" w:color="auto"/>
        <w:right w:val="none" w:sz="0" w:space="0" w:color="auto"/>
      </w:divBdr>
    </w:div>
    <w:div w:id="1794866446">
      <w:bodyDiv w:val="1"/>
      <w:marLeft w:val="0"/>
      <w:marRight w:val="0"/>
      <w:marTop w:val="0"/>
      <w:marBottom w:val="0"/>
      <w:divBdr>
        <w:top w:val="none" w:sz="0" w:space="0" w:color="auto"/>
        <w:left w:val="none" w:sz="0" w:space="0" w:color="auto"/>
        <w:bottom w:val="none" w:sz="0" w:space="0" w:color="auto"/>
        <w:right w:val="none" w:sz="0" w:space="0" w:color="auto"/>
      </w:divBdr>
    </w:div>
    <w:div w:id="1823153106">
      <w:bodyDiv w:val="1"/>
      <w:marLeft w:val="0"/>
      <w:marRight w:val="0"/>
      <w:marTop w:val="0"/>
      <w:marBottom w:val="0"/>
      <w:divBdr>
        <w:top w:val="none" w:sz="0" w:space="0" w:color="auto"/>
        <w:left w:val="none" w:sz="0" w:space="0" w:color="auto"/>
        <w:bottom w:val="none" w:sz="0" w:space="0" w:color="auto"/>
        <w:right w:val="none" w:sz="0" w:space="0" w:color="auto"/>
      </w:divBdr>
    </w:div>
    <w:div w:id="1869760031">
      <w:bodyDiv w:val="1"/>
      <w:marLeft w:val="0"/>
      <w:marRight w:val="0"/>
      <w:marTop w:val="0"/>
      <w:marBottom w:val="0"/>
      <w:divBdr>
        <w:top w:val="none" w:sz="0" w:space="0" w:color="auto"/>
        <w:left w:val="none" w:sz="0" w:space="0" w:color="auto"/>
        <w:bottom w:val="none" w:sz="0" w:space="0" w:color="auto"/>
        <w:right w:val="none" w:sz="0" w:space="0" w:color="auto"/>
      </w:divBdr>
    </w:div>
    <w:div w:id="1909343937">
      <w:bodyDiv w:val="1"/>
      <w:marLeft w:val="0"/>
      <w:marRight w:val="0"/>
      <w:marTop w:val="0"/>
      <w:marBottom w:val="0"/>
      <w:divBdr>
        <w:top w:val="none" w:sz="0" w:space="0" w:color="auto"/>
        <w:left w:val="none" w:sz="0" w:space="0" w:color="auto"/>
        <w:bottom w:val="none" w:sz="0" w:space="0" w:color="auto"/>
        <w:right w:val="none" w:sz="0" w:space="0" w:color="auto"/>
      </w:divBdr>
    </w:div>
    <w:div w:id="2091728865">
      <w:bodyDiv w:val="1"/>
      <w:marLeft w:val="0"/>
      <w:marRight w:val="0"/>
      <w:marTop w:val="0"/>
      <w:marBottom w:val="0"/>
      <w:divBdr>
        <w:top w:val="none" w:sz="0" w:space="0" w:color="auto"/>
        <w:left w:val="none" w:sz="0" w:space="0" w:color="auto"/>
        <w:bottom w:val="none" w:sz="0" w:space="0" w:color="auto"/>
        <w:right w:val="none" w:sz="0" w:space="0" w:color="auto"/>
      </w:divBdr>
    </w:div>
    <w:div w:id="2114595336">
      <w:bodyDiv w:val="1"/>
      <w:marLeft w:val="0"/>
      <w:marRight w:val="0"/>
      <w:marTop w:val="0"/>
      <w:marBottom w:val="0"/>
      <w:divBdr>
        <w:top w:val="none" w:sz="0" w:space="0" w:color="auto"/>
        <w:left w:val="none" w:sz="0" w:space="0" w:color="auto"/>
        <w:bottom w:val="none" w:sz="0" w:space="0" w:color="auto"/>
        <w:right w:val="none" w:sz="0" w:space="0" w:color="auto"/>
      </w:divBdr>
      <w:divsChild>
        <w:div w:id="7743315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ceklisetya.pra@student.mahidol.edu"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mailto:cekli@umm.ac.id"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09FFE9-1314-4B03-BEE9-4F919CDF2E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357</TotalTime>
  <Pages>10</Pages>
  <Words>8949</Words>
  <Characters>51014</Characters>
  <Application>Microsoft Office Word</Application>
  <DocSecurity>0</DocSecurity>
  <Lines>425</Lines>
  <Paragraphs>119</Paragraphs>
  <ScaleCrop>false</ScaleCrop>
  <HeadingPairs>
    <vt:vector size="2" baseType="variant">
      <vt:variant>
        <vt:lpstr>Title</vt:lpstr>
      </vt:variant>
      <vt:variant>
        <vt:i4>1</vt:i4>
      </vt:variant>
    </vt:vector>
  </HeadingPairs>
  <TitlesOfParts>
    <vt:vector size="1" baseType="lpstr">
      <vt:lpstr>S/NO</vt:lpstr>
    </vt:vector>
  </TitlesOfParts>
  <Company>National University of Singapore</Company>
  <LinksUpToDate>false</LinksUpToDate>
  <CharactersWithSpaces>59844</CharactersWithSpaces>
  <SharedDoc>false</SharedDoc>
  <HLinks>
    <vt:vector size="18" baseType="variant">
      <vt:variant>
        <vt:i4>1769519</vt:i4>
      </vt:variant>
      <vt:variant>
        <vt:i4>6</vt:i4>
      </vt:variant>
      <vt:variant>
        <vt:i4>0</vt:i4>
      </vt:variant>
      <vt:variant>
        <vt:i4>5</vt:i4>
      </vt:variant>
      <vt:variant>
        <vt:lpwstr>mailto:minghua.tay@nus.edu.sg</vt:lpwstr>
      </vt:variant>
      <vt:variant>
        <vt:lpwstr/>
      </vt:variant>
      <vt:variant>
        <vt:i4>3145802</vt:i4>
      </vt:variant>
      <vt:variant>
        <vt:i4>3</vt:i4>
      </vt:variant>
      <vt:variant>
        <vt:i4>0</vt:i4>
      </vt:variant>
      <vt:variant>
        <vt:i4>5</vt:i4>
      </vt:variant>
      <vt:variant>
        <vt:lpwstr>mailto:cekli@umm.ac.id</vt:lpwstr>
      </vt:variant>
      <vt:variant>
        <vt:lpwstr/>
      </vt:variant>
      <vt:variant>
        <vt:i4>8257611</vt:i4>
      </vt:variant>
      <vt:variant>
        <vt:i4>0</vt:i4>
      </vt:variant>
      <vt:variant>
        <vt:i4>0</vt:i4>
      </vt:variant>
      <vt:variant>
        <vt:i4>5</vt:i4>
      </vt:variant>
      <vt:variant>
        <vt:lpwstr>mailto:ceklisetya.pra@student.mahidol.edu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S/NO</dc:title>
  <dc:subject/>
  <dc:creator>ariyeov</dc:creator>
  <cp:keywords/>
  <cp:lastModifiedBy>User1</cp:lastModifiedBy>
  <cp:revision>57</cp:revision>
  <cp:lastPrinted>2009-11-11T10:08:00Z</cp:lastPrinted>
  <dcterms:created xsi:type="dcterms:W3CDTF">2023-05-15T02:47:00Z</dcterms:created>
  <dcterms:modified xsi:type="dcterms:W3CDTF">2023-05-18T09:18:00Z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id="l2HyFwRS"/&gt;&lt;style id="http://www.zotero.org/styles/apa" locale="en-US" hasBibliography="1" bibliographyStyleHasBeenSet="1"/&gt;&lt;prefs&gt;&lt;pref name="fieldType" value="Field"/&gt;&lt;/prefs&gt;&lt;/data&gt;</vt:lpwstr>
  </property>
</Properties>
</file>