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50993832" w:rsidR="00DC0047" w:rsidRPr="00672A6A" w:rsidRDefault="00927779" w:rsidP="00DC0047">
      <w:pPr>
        <w:spacing w:line="360" w:lineRule="auto"/>
        <w:jc w:val="both"/>
        <w:rPr>
          <w:rFonts w:cs="Linux Libertine"/>
        </w:rPr>
      </w:pPr>
      <w:r w:rsidRPr="00672A6A">
        <w:rPr>
          <w:rFonts w:cs="Linux Libertine"/>
        </w:rPr>
        <w:t xml:space="preserve">The rule of law is a fundamental aspect of democracy that relies on the presence of clear and certain legal norms to ensure substantive justice and safeguard human rights </w:t>
      </w:r>
      <w:r w:rsidR="00A16CBB">
        <w:rPr>
          <w:rFonts w:cs="Linux Libertine"/>
        </w:rPr>
        <w:fldChar w:fldCharType="begin"/>
      </w:r>
      <w:r w:rsidR="00A16CBB">
        <w:rPr>
          <w:rFonts w:cs="Linux Libertine"/>
        </w:rPr>
        <w:instrText xml:space="preserve"> ADDIN ZOTERO_ITEM CSL_CITATION {"citationID":"W1QsaDjS","properties":{"formattedCitation":"(Tamanaha 2007)","plainCitation":"(Tamanaha 2007)","noteIndex":0},"citationItems":[{"id":2234,"uris":["http://zotero.org/users/6396655/items/G56C8774"],"itemData":{"id":2234,"type":"article-journal","note":"publisher: Hart Publishing Company","title":"A concise guide to the rule of law","author":[{"family":"Tamanaha","given":"Brian Z"}],"issued":{"date-parts":[["2007"]]}}}],"schema":"https://github.com/citation-style-language/schema/raw/master/csl-citation.json"} </w:instrText>
      </w:r>
      <w:r w:rsidR="00A16CBB">
        <w:rPr>
          <w:rFonts w:cs="Linux Libertine"/>
        </w:rPr>
        <w:fldChar w:fldCharType="separate"/>
      </w:r>
      <w:r w:rsidR="009F6E03">
        <w:rPr>
          <w:rFonts w:cs="Linux Libertine"/>
          <w:noProof/>
        </w:rPr>
        <w:t>(Tamanaha 2007)</w:t>
      </w:r>
      <w:r w:rsidR="00A16CBB">
        <w:rPr>
          <w:rFonts w:cs="Linux Libertine"/>
        </w:rPr>
        <w:fldChar w:fldCharType="end"/>
      </w:r>
      <w:r w:rsidRPr="00672A6A">
        <w:rPr>
          <w:rFonts w:cs="Linux Libertine"/>
        </w:rPr>
        <w:t xml:space="preserve">. Upholding the rule of law is critical, as it </w:t>
      </w:r>
      <w:r w:rsidR="00B95E28">
        <w:rPr>
          <w:rFonts w:cs="Linux Libertine"/>
        </w:rPr>
        <w:t xml:space="preserve">holding up </w:t>
      </w:r>
      <w:r w:rsidRPr="00672A6A">
        <w:rPr>
          <w:rFonts w:cs="Linux Libertine"/>
        </w:rPr>
        <w:t xml:space="preserve">justice and prevents laws from being manipulated for political purposes or used to discriminate against marginalized communities </w:t>
      </w:r>
      <w:r w:rsidR="00537C3F">
        <w:rPr>
          <w:rFonts w:cs="Linux Libertine"/>
        </w:rPr>
        <w:fldChar w:fldCharType="begin"/>
      </w:r>
      <w:r w:rsidR="000757C9">
        <w:rPr>
          <w:rFonts w:cs="Linux Libertine"/>
        </w:rPr>
        <w:instrText xml:space="preserve"> ADDIN ZOTERO_ITEM CSL_CITATION {"citationID":"g3DP78Fo","properties":{"formattedCitation":"(Creutzfeldt, Mason, and McConnachie 2020; Shaikh and Malik 2020)","plainCitation":"(Creutzfeldt, Mason, and McConnachie 2020; Shaikh and Malik 2020)","noteIndex":0},"citationItems":[{"id":2235,"uris":["http://zotero.org/users/6396655/items/J56PIMAP"],"itemData":{"id":2235,"type":"book","call-number":"K376 .R68 2020","event-place":"London ; New York","ISBN":"978-1-138-59290-2","number-of-pages":"408","publisher":"Routledge","publisher-place":"London ; New York","source":"Library of Congress ISBN","title":"Routledge handbook of socio-legal theory and methods","editor":[{"family":"Creutzfeldt","given":"Naomi"},{"family":"Mason","given":"Marc"},{"family":"McConnachie","given":"Kirsten"}],"issued":{"date-parts":[["2020"]]}}},{"id":2246,"uris":["http://zotero.org/users/6396655/items/ZGJYKW9Q"],"itemData":{"id":2246,"type":"article-journal","container-title":"Jus Corpus LJ","note":"publisher: HeinOnline","page":"31","title":"Rule of Law: A Literature Review on Theoretical Concepts, Challenges from Mass Media to Innovation","volume":"1","author":[{"family":"Shaikh","given":"Osama"},{"family":"Malik","given":"Zeeshan"}],"issued":{"date-parts":[["2020"]]}}}],"schema":"https://github.com/citation-style-language/schema/raw/master/csl-citation.json"} </w:instrText>
      </w:r>
      <w:r w:rsidR="00537C3F">
        <w:rPr>
          <w:rFonts w:cs="Linux Libertine"/>
        </w:rPr>
        <w:fldChar w:fldCharType="separate"/>
      </w:r>
      <w:r w:rsidR="000757C9">
        <w:rPr>
          <w:rFonts w:cs="Linux Libertine"/>
          <w:noProof/>
        </w:rPr>
        <w:t>(Creutzfeldt, Mason, and McConnachie 2020; Shaikh and Malik 2020)</w:t>
      </w:r>
      <w:r w:rsidR="00537C3F">
        <w:rPr>
          <w:rFonts w:cs="Linux Libertine"/>
        </w:rPr>
        <w:fldChar w:fldCharType="end"/>
      </w:r>
      <w:r w:rsidRPr="00672A6A">
        <w:rPr>
          <w:rFonts w:cs="Linux Libertine"/>
        </w:rPr>
        <w:t xml:space="preserve">. However, when laws are vague and ambiguous, they can create significant challenges in balancing legal clarity and human rights protection since they are often subject to manipulation and selective enforcement </w:t>
      </w:r>
      <w:r w:rsidR="00537C3F">
        <w:rPr>
          <w:rFonts w:cs="Linux Libertine"/>
        </w:rPr>
        <w:fldChar w:fldCharType="begin"/>
      </w:r>
      <w:r w:rsidR="00537C3F">
        <w:rPr>
          <w:rFonts w:cs="Linux Libertine"/>
        </w:rPr>
        <w:instrText xml:space="preserve"> ADDIN ZOTERO_ITEM CSL_CITATION {"citationID":"EsXS8x1E","properties":{"formattedCitation":"(Golder and Williams 2006)","plainCitation":"(Golder and Williams 2006)","noteIndex":0},"citationItems":[{"id":2238,"uris":["http://zotero.org/users/6396655/items/L6LY9YA8"],"itemData":{"id":2238,"type":"article-journal","container-title":"Journal of Comparative Policy Analysis","issue":"01","note":"publisher: Taylor &amp; Francis","page":"43–62","title":"Balancing national security and human rights: assessing the legal response of common law nations to the threat of terrorism","volume":"8","author":[{"family":"Golder","given":"Ben"},{"family":"Williams","given":"George"}],"issued":{"date-parts":[["2006"]]}}}],"schema":"https://github.com/citation-style-language/schema/raw/master/csl-citation.json"} </w:instrText>
      </w:r>
      <w:r w:rsidR="00537C3F">
        <w:rPr>
          <w:rFonts w:cs="Linux Libertine"/>
        </w:rPr>
        <w:fldChar w:fldCharType="separate"/>
      </w:r>
      <w:r w:rsidR="009F6E03">
        <w:rPr>
          <w:rFonts w:cs="Linux Libertine"/>
          <w:noProof/>
        </w:rPr>
        <w:t>(Golder and Williams 2006)</w:t>
      </w:r>
      <w:r w:rsidR="00537C3F">
        <w:rPr>
          <w:rFonts w:cs="Linux Libertine"/>
        </w:rPr>
        <w:fldChar w:fldCharType="end"/>
      </w:r>
      <w:r w:rsidRPr="00672A6A">
        <w:rPr>
          <w:rFonts w:cs="Linux Libertine"/>
        </w:rPr>
        <w:t xml:space="preserve">. Legal reform is essential to overcome this challenge and uphold the rule of law effectively </w:t>
      </w:r>
      <w:r w:rsidR="00537C3F">
        <w:rPr>
          <w:rFonts w:cs="Linux Libertine"/>
        </w:rPr>
        <w:fldChar w:fldCharType="begin"/>
      </w:r>
      <w:r w:rsidR="00537C3F">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Pr>
          <w:rFonts w:cs="Linux Libertine"/>
        </w:rPr>
        <w:fldChar w:fldCharType="separate"/>
      </w:r>
      <w:r w:rsidR="009F6E03">
        <w:rPr>
          <w:rFonts w:cs="Linux Libertine"/>
          <w:noProof/>
        </w:rPr>
        <w:t>(Carothers 2010; Colbran 2015)</w:t>
      </w:r>
      <w:r w:rsidR="00537C3F">
        <w:rPr>
          <w:rFonts w:cs="Linux Libertine"/>
        </w:rPr>
        <w:fldChar w:fldCharType="end"/>
      </w:r>
      <w:r w:rsidRPr="00672A6A">
        <w:rPr>
          <w:rFonts w:cs="Linux Libertine"/>
        </w:rPr>
        <w:t>.</w:t>
      </w:r>
    </w:p>
    <w:p w14:paraId="588E7C9B" w14:textId="6A1D37D5" w:rsidR="00DC0047" w:rsidRPr="00672A6A" w:rsidRDefault="00927779" w:rsidP="00DC0047">
      <w:pPr>
        <w:spacing w:line="360" w:lineRule="auto"/>
        <w:ind w:firstLine="720"/>
        <w:jc w:val="both"/>
        <w:rPr>
          <w:rFonts w:cs="Linux Libertine"/>
        </w:rPr>
      </w:pPr>
      <w:r w:rsidRPr="00672A6A">
        <w:rPr>
          <w:rFonts w:cs="Linux Libertine"/>
        </w:rPr>
        <w:t xml:space="preserve">The Indonesian Anti-Blasphemy Law is an area where legal reform is necessary, and debates have arisen over whether to amend or repeal the law due to the disparity between the law on paper and the law in practice </w:t>
      </w:r>
      <w:r w:rsidR="009F6E03">
        <w:rPr>
          <w:rFonts w:cs="Linux Libertine"/>
        </w:rPr>
        <w:fldChar w:fldCharType="begin"/>
      </w:r>
      <w:r w:rsidR="009F6E03">
        <w:rPr>
          <w:rFonts w:cs="Linux Libertine"/>
        </w:rPr>
        <w:instrText xml:space="preserve"> ADDIN ZOTERO_ITEM CSL_CITATION {"citationID":"CHIrjVQL","properties":{"formattedCitation":"(Tim Lindsey 2019)","plainCitation":"(Tim Lindsey 2019)","noteIndex":0},"citationItems":[{"id":2241,"uris":["http://zotero.org/users/6396655/items/PF9J76L8"],"itemData":{"id":2241,"type":"article-journal","container-title":"Contentious Belonging: The Place of Minorities in Indonesia","note":"publisher: ISEAS Publishing Singapore","page":"36–54","title":"Minorities and discrimination in Indonesia: the legal framework","author":[{"family":"Lindsey","given":"Tim"}],"issued":{"date-parts":[["2019"]]}}}],"schema":"https://github.com/citation-style-language/schema/raw/master/csl-citation.json"} </w:instrText>
      </w:r>
      <w:r w:rsidR="009F6E03">
        <w:rPr>
          <w:rFonts w:cs="Linux Libertine"/>
        </w:rPr>
        <w:fldChar w:fldCharType="separate"/>
      </w:r>
      <w:r w:rsidR="009F6E03">
        <w:rPr>
          <w:rFonts w:cs="Linux Libertine"/>
          <w:noProof/>
        </w:rPr>
        <w:t>(Tim Lindsey 2019)</w:t>
      </w:r>
      <w:r w:rsidR="009F6E03">
        <w:rPr>
          <w:rFonts w:cs="Linux Libertine"/>
        </w:rPr>
        <w:fldChar w:fldCharType="end"/>
      </w:r>
      <w:r w:rsidRPr="00672A6A">
        <w:rPr>
          <w:rFonts w:cs="Linux Libertine"/>
        </w:rPr>
        <w:t xml:space="preserve">. To determine the direction of legal reform, a comprehensive study of the law's history and development, its impact on society, and the factors that influence its enforcement is critical, particularly for a country committed to upholding the rule of law </w:t>
      </w:r>
      <w:r w:rsidR="009F6E03">
        <w:rPr>
          <w:rFonts w:cs="Linux Libertine"/>
        </w:rPr>
        <w:fldChar w:fldCharType="begin"/>
      </w:r>
      <w:r w:rsidR="009F6E03">
        <w:rPr>
          <w:rFonts w:cs="Linux Libertine"/>
        </w:rPr>
        <w:instrText xml:space="preserve"> ADDIN ZOTERO_ITEM CSL_CITATION {"citationID":"7Ur1o3pJ","properties":{"formattedCitation":"(Daniels and Trebilcock 2004)","plainCitation":"(Daniels and Trebilcock 2004)","noteIndex":0},"citationItems":[{"id":2242,"uris":["http://zotero.org/users/6396655/items/6EHMQSMU"],"itemData":{"id":2242,"type":"article-journal","container-title":"Mich. J. Int'l L.","note":"publisher: HeinOnline","page":"99","title":"The political economy of rule of law reform in developing countries","volume":"26","author":[{"family":"Daniels","given":"Ronald J"},{"family":"Trebilcock","given":"Michael"}],"issued":{"date-parts":[["2004"]]}}}],"schema":"https://github.com/citation-style-language/schema/raw/master/csl-citation.json"} </w:instrText>
      </w:r>
      <w:r w:rsidR="009F6E03">
        <w:rPr>
          <w:rFonts w:cs="Linux Libertine"/>
        </w:rPr>
        <w:fldChar w:fldCharType="separate"/>
      </w:r>
      <w:r w:rsidR="009F6E03">
        <w:rPr>
          <w:rFonts w:cs="Linux Libertine"/>
          <w:noProof/>
        </w:rPr>
        <w:t>(Daniels and Trebilcock 2004)</w:t>
      </w:r>
      <w:r w:rsidR="009F6E03">
        <w:rPr>
          <w:rFonts w:cs="Linux Libertine"/>
        </w:rPr>
        <w:fldChar w:fldCharType="end"/>
      </w:r>
      <w:r w:rsidRPr="00672A6A">
        <w:rPr>
          <w:rFonts w:cs="Linux Libertine"/>
        </w:rPr>
        <w:t>.</w:t>
      </w:r>
    </w:p>
    <w:p w14:paraId="62F6A58F" w14:textId="389E532D"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w:t>
      </w:r>
      <w:r w:rsidR="009F6E03">
        <w:rPr>
          <w:rFonts w:cs="Linux Libertine"/>
        </w:rPr>
        <w:fldChar w:fldCharType="begin"/>
      </w:r>
      <w:r w:rsidR="009F6E03">
        <w:rPr>
          <w:rFonts w:cs="Linux Libertine"/>
        </w:rPr>
        <w:instrText xml:space="preserve"> ADDIN ZOTERO_ITEM CSL_CITATION {"citationID":"ejY1t4OH","properties":{"formattedCitation":"(Abdulla 2018; Lintang, Martufi, and Ouwerker 2020)","plainCitation":"(Abdulla 2018; Lintang, Martufi, and Ouwerker 2020)","noteIndex":0},"citationItems":[{"id":2243,"uris":["http://zotero.org/users/6396655/items/PBRPBRDB"],"itemData":{"id":2243,"type":"article-journal","container-title":"The Review of Faith &amp; International Affairs","issue":"4","note":"publisher: Taylor &amp; Francis","page":"102–115","title":"Culture, religion, and freedom of religion or belief","volume":"16","author":[{"family":"Abdulla","given":"Mariam Rawan"}],"issued":{"date-parts":[["2018"]]}}},{"id":2244,"uris":["http://zotero.org/users/6396655/items/IHVUCLCE"],"itemData":{"id":2244,"type":"article-journal","container-title":"Bestuur","issue":"1","page":"13–25","title":"The Alternative Concepts of Blasphemy Law in Indonesia: Legal Comparison with Ireland and Canada","volume":"9","author":[{"family":"Lintang","given":"Loresta Cahyaning"},{"family":"Martufi","given":"Adriano"},{"family":"Ouwerker","given":"JW"}],"issued":{"date-parts":[["2020"]]}}}],"schema":"https://github.com/citation-style-language/schema/raw/master/csl-citation.json"} </w:instrText>
      </w:r>
      <w:r w:rsidR="009F6E03">
        <w:rPr>
          <w:rFonts w:cs="Linux Libertine"/>
        </w:rPr>
        <w:fldChar w:fldCharType="separate"/>
      </w:r>
      <w:r w:rsidR="009F6E03">
        <w:rPr>
          <w:rFonts w:cs="Linux Libertine"/>
          <w:noProof/>
        </w:rPr>
        <w:t>(Abdulla 2018; Lintang, Martufi, and Ouwerker 2020)</w:t>
      </w:r>
      <w:r w:rsidR="009F6E03">
        <w:rPr>
          <w:rFonts w:cs="Linux Libertine"/>
        </w:rPr>
        <w:fldChar w:fldCharType="end"/>
      </w:r>
      <w:r w:rsidRPr="00672A6A">
        <w:rPr>
          <w:rFonts w:cs="Linux Libertine"/>
        </w:rPr>
        <w:t xml:space="preserve">.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a </w:t>
      </w:r>
      <w:r w:rsidRPr="00672A6A">
        <w:rPr>
          <w:rFonts w:cs="Linux Libertine"/>
        </w:rPr>
        <w:lastRenderedPageBreak/>
        <w:t>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w:t>
      </w:r>
      <w:r w:rsidRPr="00672A6A">
        <w:rPr>
          <w:rFonts w:cs="Linux Libertine"/>
        </w:rPr>
        <w:lastRenderedPageBreak/>
        <w:t>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w:t>
      </w:r>
      <w:r w:rsidRPr="00672A6A">
        <w:rPr>
          <w:rFonts w:cs="Linux Libertine"/>
        </w:rPr>
        <w:lastRenderedPageBreak/>
        <w:t>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w:t>
      </w:r>
      <w:proofErr w:type="spellStart"/>
      <w:r w:rsidRPr="00672A6A">
        <w:rPr>
          <w:rFonts w:cs="Linux Libertine"/>
        </w:rPr>
        <w:t>Harsono</w:t>
      </w:r>
      <w:proofErr w:type="spellEnd"/>
      <w:r w:rsidRPr="00672A6A">
        <w:rPr>
          <w:rFonts w:cs="Linux Libertine"/>
        </w:rPr>
        <w:t xml:space="preserve">, 2019). Therefore, this research aims to explore the factors and actors that have shaped the enforcement of the IABL in each period in-depth, updating previous research and considering the current socio-political context during the second term of Joko </w:t>
      </w:r>
      <w:r w:rsidRPr="00672A6A">
        <w:rPr>
          <w:rFonts w:cs="Linux Libertine"/>
        </w:rPr>
        <w:lastRenderedPageBreak/>
        <w:t>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w:t>
      </w:r>
      <w:r w:rsidRPr="00672A6A">
        <w:rPr>
          <w:rFonts w:cs="Linux Libertine"/>
        </w:rPr>
        <w:lastRenderedPageBreak/>
        <w:t xml:space="preserve">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lastRenderedPageBreak/>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w:t>
      </w:r>
      <w:r w:rsidRPr="00422F55">
        <w:rPr>
          <w:rFonts w:cs="Linux Libertine"/>
          <w:color w:val="00B050"/>
        </w:rPr>
        <w:lastRenderedPageBreak/>
        <w:t>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2A157AF3" w:rsidR="00C74AC3" w:rsidRDefault="008907A4" w:rsidP="00C74AC3">
      <w:pPr>
        <w:spacing w:line="360" w:lineRule="auto"/>
        <w:ind w:firstLine="720"/>
        <w:jc w:val="both"/>
        <w:rPr>
          <w:rFonts w:cs="Linux Libertine"/>
        </w:rPr>
      </w:pPr>
      <w:r w:rsidRPr="00672A6A">
        <w:rPr>
          <w:rFonts w:cs="Linux Libertine"/>
        </w:rPr>
        <w:t xml:space="preserve">Chapter V: </w:t>
      </w:r>
      <w:r w:rsidR="00B95E28">
        <w:rPr>
          <w:rFonts w:cs="Linux Libertine"/>
        </w:rPr>
        <w:t>L</w:t>
      </w:r>
      <w:r w:rsidR="00B95E28" w:rsidRPr="00B95E28">
        <w:rPr>
          <w:rFonts w:cs="Linux Libertine"/>
        </w:rPr>
        <w:t xml:space="preserve">aw enforcement of the Indonesia’s </w:t>
      </w:r>
      <w:r w:rsidR="00B95E28">
        <w:rPr>
          <w:rFonts w:cs="Linux Libertine"/>
        </w:rPr>
        <w:t>ABL</w:t>
      </w:r>
      <w:r w:rsidR="00B95E28" w:rsidRPr="00B95E28">
        <w:rPr>
          <w:rFonts w:cs="Linux Libertine"/>
        </w:rPr>
        <w:t xml:space="preserve"> and  political manipulation</w:t>
      </w:r>
      <w:r w:rsidR="00B95E28">
        <w:rPr>
          <w:rFonts w:cs="Linux Libertine"/>
        </w:rPr>
        <w:t>.</w:t>
      </w:r>
    </w:p>
    <w:p w14:paraId="34B0B498" w14:textId="77777777" w:rsidR="00B95E28" w:rsidRPr="00672A6A" w:rsidRDefault="00B95E28" w:rsidP="00C74AC3">
      <w:pPr>
        <w:spacing w:line="360" w:lineRule="auto"/>
        <w:ind w:firstLine="720"/>
        <w:jc w:val="both"/>
        <w:rPr>
          <w:rFonts w:cs="Linux Libertine"/>
        </w:rPr>
      </w:pP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 xml:space="preserve">Chapter VI: Examination of State-Religion Relations as Consequence of the Enforcement of the Anti-Blasphemy Law. This chapter examines the relationship </w:t>
      </w:r>
      <w:r w:rsidRPr="00672A6A">
        <w:rPr>
          <w:rFonts w:cs="Linux Libertine"/>
        </w:rPr>
        <w:lastRenderedPageBreak/>
        <w:t>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D2B6AF6" w:rsidR="00441CCC" w:rsidRPr="00672A6A" w:rsidRDefault="008907A4" w:rsidP="00D45448">
      <w:pPr>
        <w:spacing w:line="360" w:lineRule="auto"/>
        <w:ind w:firstLine="720"/>
        <w:jc w:val="both"/>
        <w:rPr>
          <w:rFonts w:cs="Linux Libertine"/>
        </w:rPr>
      </w:pPr>
      <w:r w:rsidRPr="00672A6A">
        <w:rPr>
          <w:rFonts w:cs="Linux Libertine"/>
        </w:rPr>
        <w:t xml:space="preserve">Chapter VII: </w:t>
      </w:r>
      <w:r w:rsidR="00B95E28" w:rsidRPr="00B95E28">
        <w:rPr>
          <w:rFonts w:cs="Linux Libertine"/>
        </w:rPr>
        <w:t xml:space="preserve">Concluding Remarks: Reform Or Repeal Indonesia's </w:t>
      </w:r>
      <w:r w:rsidR="00B95E28">
        <w:rPr>
          <w:rFonts w:cs="Linux Libertine"/>
        </w:rPr>
        <w:t>ABL</w:t>
      </w:r>
      <w:r w:rsidR="00B95E28" w:rsidRPr="00B95E28">
        <w:rPr>
          <w:rFonts w:cs="Linux Libertine"/>
        </w:rPr>
        <w:t>?</w:t>
      </w:r>
      <w:r w:rsidR="00B95E28" w:rsidRPr="00672A6A">
        <w:rPr>
          <w:rFonts w:cs="Linux Libertine"/>
        </w:rPr>
        <w:t xml:space="preserve"> </w:t>
      </w:r>
      <w:r w:rsidRPr="00672A6A">
        <w:rPr>
          <w:rFonts w:cs="Linux Libertine"/>
        </w:rPr>
        <w:t xml:space="preserve">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154EAFDA"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 xml:space="preserve">justice. The rule of law supports justice by ensuring that everyone is subject to fair and equal laws and legal institutions. </w:t>
      </w:r>
      <w:r w:rsidR="00B95E28">
        <w:rPr>
          <w:rFonts w:cs="Linux Libertine"/>
          <w:lang w:val="en-US"/>
        </w:rPr>
        <w:t>J</w:t>
      </w:r>
      <w:r w:rsidRPr="00672A6A">
        <w:rPr>
          <w:rFonts w:cs="Linux Libertine"/>
          <w:lang w:val="en-US"/>
        </w:rPr>
        <w:t>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BF9B74D"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9F6E03">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3184D183"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69C18762"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17D04F8A"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00B95E28">
        <w:rPr>
          <w:rFonts w:cs="Linux Libertine"/>
        </w:rPr>
        <w:t>J</w:t>
      </w:r>
      <w:r w:rsidRPr="00672A6A">
        <w:rPr>
          <w:rFonts w:cs="Linux Libertine"/>
        </w:rPr>
        <w:t>ustice</w:t>
      </w:r>
      <w:r w:rsidR="00116002">
        <w:rPr>
          <w:rFonts w:cs="Linux Libertine"/>
        </w:rPr>
        <w:t xml:space="preserve"> and </w:t>
      </w:r>
      <w:r w:rsidR="00B95E28">
        <w:rPr>
          <w:rFonts w:cs="Linux Libertine"/>
        </w:rPr>
        <w:t>H</w:t>
      </w:r>
      <w:r w:rsidR="00116002">
        <w:rPr>
          <w:rFonts w:cs="Linux Libertine"/>
        </w:rPr>
        <w:t xml:space="preserve">uman </w:t>
      </w:r>
      <w:r w:rsidR="00B95E28">
        <w:rPr>
          <w:rFonts w:cs="Linux Libertine"/>
        </w:rPr>
        <w:t>R</w:t>
      </w:r>
      <w:r w:rsidR="00116002">
        <w:rPr>
          <w:rFonts w:cs="Linux Libertine"/>
        </w:rPr>
        <w:t>ights</w:t>
      </w:r>
    </w:p>
    <w:p w14:paraId="79A5F13E" w14:textId="2695FAA0"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xml:space="preserve">, 2013). </w:t>
      </w:r>
      <w:r w:rsidR="0073238B">
        <w:rPr>
          <w:rFonts w:cs="Linux Libertine"/>
        </w:rPr>
        <w:t>J</w:t>
      </w:r>
      <w:r w:rsidRPr="00672A6A">
        <w:rPr>
          <w:rFonts w:cs="Linux Libertine"/>
        </w:rPr>
        <w:t>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30957D63" w:rsidR="007B5411" w:rsidRPr="00672A6A" w:rsidRDefault="00464116" w:rsidP="007B5411">
      <w:pPr>
        <w:spacing w:line="360" w:lineRule="auto"/>
        <w:ind w:firstLine="720"/>
        <w:jc w:val="both"/>
        <w:rPr>
          <w:rFonts w:cs="Linux Libertine"/>
        </w:rPr>
      </w:pPr>
      <w:r w:rsidRPr="00672A6A">
        <w:rPr>
          <w:rFonts w:cs="Linux Libertine"/>
        </w:rPr>
        <w:t xml:space="preserve">The rule of law is a critical component of </w:t>
      </w:r>
      <w:r w:rsidR="0073238B">
        <w:rPr>
          <w:rFonts w:cs="Linux Libertine"/>
        </w:rPr>
        <w:t>j</w:t>
      </w:r>
      <w:r w:rsidRPr="00672A6A">
        <w:rPr>
          <w:rFonts w:cs="Linux Libertine"/>
        </w:rPr>
        <w:t>ustice because it provides the legal framework within which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justice cannot be achieved because individuals would not have a fair and impartial legal system within which to seek justice (Boer, 2020).</w:t>
      </w:r>
    </w:p>
    <w:p w14:paraId="0AF7FAEB" w14:textId="4F90CCAF" w:rsidR="00464116" w:rsidRPr="00672A6A" w:rsidRDefault="00540FED" w:rsidP="007B5411">
      <w:pPr>
        <w:spacing w:line="360" w:lineRule="auto"/>
        <w:ind w:firstLine="720"/>
        <w:jc w:val="both"/>
        <w:rPr>
          <w:rFonts w:cs="Linux Libertine"/>
        </w:rPr>
      </w:pPr>
      <w:r>
        <w:rPr>
          <w:rFonts w:cs="Linux Libertine"/>
        </w:rPr>
        <w:t>J</w:t>
      </w:r>
      <w:r w:rsidR="00464116" w:rsidRPr="00672A6A">
        <w:rPr>
          <w:rFonts w:cs="Linux Libertine"/>
        </w:rPr>
        <w:t xml:space="preserve">ustice, in turn, provides a broader framework within which the rule of law can operate. </w:t>
      </w:r>
      <w:r>
        <w:rPr>
          <w:rFonts w:cs="Linux Libertine"/>
        </w:rPr>
        <w:t>J</w:t>
      </w:r>
      <w:r w:rsidR="00464116"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464116" w:rsidRPr="00672A6A">
        <w:rPr>
          <w:rFonts w:cs="Linux Libertine"/>
        </w:rPr>
        <w:t>Baxi</w:t>
      </w:r>
      <w:proofErr w:type="spellEnd"/>
      <w:r w:rsidR="00464116"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010945AC"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D29CF7B"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ustice ensures that everyone is treated fairly and has the same opportunities. Law enforcement is essential to both of these principles because it is responsible for enforcing the law and protecting people from harm (Fukuyama, 2013).</w:t>
      </w:r>
    </w:p>
    <w:p w14:paraId="4A938B61" w14:textId="48099ED0" w:rsidR="007B5411" w:rsidRPr="00672A6A" w:rsidRDefault="00EC7DF9" w:rsidP="007B5411">
      <w:pPr>
        <w:spacing w:line="360" w:lineRule="auto"/>
        <w:ind w:firstLine="720"/>
        <w:jc w:val="both"/>
        <w:rPr>
          <w:rFonts w:cs="Linux Libertine"/>
        </w:rPr>
      </w:pPr>
      <w:r w:rsidRPr="00672A6A">
        <w:rPr>
          <w:rFonts w:cs="Linux Libertine"/>
        </w:rPr>
        <w:lastRenderedPageBreak/>
        <w:t>Without law enforcement, people would be free to break the law without fear of punishment, which would result in chaos and anarchy. Additionally, law enforcement is responsible for protecting people from harm, which is necessary for maintaining justice. In the absence of law enforcement, people would be at the mercy of criminals and wrongdoers, and society would become a place where the strong prey on the weak and the rich exploit the poor (Tyler, 2017).</w:t>
      </w:r>
    </w:p>
    <w:p w14:paraId="58F61BD9" w14:textId="61B506E4" w:rsidR="007B5411" w:rsidRPr="00672A6A" w:rsidRDefault="000B71B6" w:rsidP="007B5411">
      <w:pPr>
        <w:spacing w:line="360" w:lineRule="auto"/>
        <w:ind w:firstLine="720"/>
        <w:jc w:val="both"/>
        <w:rPr>
          <w:rFonts w:cs="Linux Libertine"/>
        </w:rPr>
      </w:pPr>
      <w:r>
        <w:rPr>
          <w:rFonts w:cs="Linux Libertine"/>
        </w:rPr>
        <w:t>J</w:t>
      </w:r>
      <w:r w:rsidR="00EC7DF9" w:rsidRPr="00672A6A">
        <w:rPr>
          <w:rFonts w:cs="Linux Libertine"/>
        </w:rPr>
        <w:t xml:space="preserve">ustice, in turn, provides a broader framework within which the rule of law can operate. </w:t>
      </w:r>
      <w:r>
        <w:rPr>
          <w:rFonts w:cs="Linux Libertine"/>
        </w:rPr>
        <w:t>J</w:t>
      </w:r>
      <w:r w:rsidR="00EC7DF9" w:rsidRPr="00672A6A">
        <w:rPr>
          <w:rFonts w:cs="Linux Libertine"/>
        </w:rPr>
        <w:t>ustice aims to create a more just and equitable society that ensures equal access to basic human rights and opportunities for all individuals. This means that the rule of law must be applied in a way that promotes justice and ensures that everyone has equal access to justice (</w:t>
      </w:r>
      <w:proofErr w:type="spellStart"/>
      <w:r w:rsidR="00EC7DF9" w:rsidRPr="00672A6A">
        <w:rPr>
          <w:rFonts w:cs="Linux Libertine"/>
        </w:rPr>
        <w:t>Baxi</w:t>
      </w:r>
      <w:proofErr w:type="spellEnd"/>
      <w:r w:rsidR="00EC7DF9" w:rsidRPr="00672A6A">
        <w:rPr>
          <w:rFonts w:cs="Linux Libertine"/>
        </w:rPr>
        <w:t>, 2013; Zaidi, 2021). For example, in a society where income inequality is high, the rule of law must be applied in a way that promotes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6823DA74"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justice and the rule of law are essential for creating fair and equitable societies. </w:t>
      </w:r>
      <w:r w:rsidR="00377B7A">
        <w:rPr>
          <w:rFonts w:cs="Linux Libertine"/>
        </w:rPr>
        <w:t>J</w:t>
      </w:r>
      <w:r w:rsidRPr="00672A6A">
        <w:rPr>
          <w:rFonts w:cs="Linux Libertine"/>
        </w:rPr>
        <w:t>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w:t>
      </w:r>
      <w:r w:rsidR="00E40EDE" w:rsidRPr="00205413">
        <w:rPr>
          <w:rFonts w:ascii="Times New Roman" w:hAnsi="Times New Roman" w:cs="Times New Roman"/>
        </w:rPr>
        <w:lastRenderedPageBreak/>
        <w:t xml:space="preserve">(2009),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w:t>
      </w:r>
      <w:r w:rsidRPr="00205413">
        <w:rPr>
          <w:rFonts w:ascii="Times New Roman" w:hAnsi="Times New Roman" w:cs="Times New Roman"/>
        </w:rPr>
        <w:lastRenderedPageBreak/>
        <w:t xml:space="preserve">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w:t>
      </w:r>
      <w:r w:rsidRPr="00205413">
        <w:rPr>
          <w:rFonts w:ascii="Times New Roman" w:hAnsi="Times New Roman" w:cs="Times New Roman"/>
        </w:rPr>
        <w:lastRenderedPageBreak/>
        <w:t xml:space="preserve">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 xml:space="preserve">to which the </w:t>
      </w:r>
      <w:r w:rsidR="00710226">
        <w:rPr>
          <w:rFonts w:ascii="Times New Roman" w:hAnsi="Times New Roman" w:cs="Times New Roman"/>
        </w:rPr>
        <w:lastRenderedPageBreak/>
        <w:t>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w:t>
      </w:r>
      <w:r w:rsidRPr="00E0754A">
        <w:lastRenderedPageBreak/>
        <w:t>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5F6BB8EE"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9F6E03">
        <w:rPr>
          <w:rFonts w:ascii="Times New Roman" w:hAnsi="Times New Roman" w:cs="Times New Roman"/>
        </w:rPr>
        <w:t>(</w:t>
      </w:r>
      <w:proofErr w:type="spellStart"/>
      <w:r w:rsidR="009F6E03">
        <w:rPr>
          <w:rFonts w:ascii="Times New Roman" w:hAnsi="Times New Roman" w:cs="Times New Roman"/>
        </w:rPr>
        <w:t>Debeljak</w:t>
      </w:r>
      <w:proofErr w:type="spellEnd"/>
      <w:r w:rsidR="009F6E03">
        <w:rPr>
          <w:rFonts w:ascii="Times New Roman" w:hAnsi="Times New Roman" w:cs="Times New Roman"/>
        </w:rPr>
        <w:t xml:space="preserve">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13EC6BC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2A59035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t>
      </w:r>
      <w:proofErr w:type="spellStart"/>
      <w:r w:rsidR="009F6E03">
        <w:rPr>
          <w:rFonts w:ascii="Times New Roman" w:hAnsi="Times New Roman" w:cs="Times New Roman"/>
        </w:rPr>
        <w:t>Schmitter</w:t>
      </w:r>
      <w:proofErr w:type="spellEnd"/>
      <w:r w:rsidR="009F6E03">
        <w:rPr>
          <w:rFonts w:ascii="Times New Roman" w:hAnsi="Times New Roman" w:cs="Times New Roman"/>
        </w:rPr>
        <w:t xml:space="preserve">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6D99B3AD"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 xml:space="preserve">(C. Durham and </w:t>
      </w:r>
      <w:proofErr w:type="spellStart"/>
      <w:r w:rsidR="009F6E03">
        <w:rPr>
          <w:rFonts w:ascii="Times New Roman" w:hAnsi="Times New Roman" w:cs="Times New Roman"/>
        </w:rPr>
        <w:t>Scharffs</w:t>
      </w:r>
      <w:proofErr w:type="spellEnd"/>
      <w:r w:rsidR="009F6E03">
        <w:rPr>
          <w:rFonts w:ascii="Times New Roman" w:hAnsi="Times New Roman" w:cs="Times New Roman"/>
        </w:rPr>
        <w:t xml:space="preserve">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6328C0F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w:t>
      </w:r>
      <w:r w:rsidRPr="00410DA6">
        <w:rPr>
          <w:rFonts w:ascii="Times New Roman" w:hAnsi="Times New Roman" w:cs="Times New Roman"/>
        </w:rPr>
        <w:lastRenderedPageBreak/>
        <w:t>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0215EF6C"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9F6E03">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 xml:space="preserve">To assess the impacts of enforcing the Anti-Blasphemy Law in Indonesia in accordance with the objectives of the rule of law, it is necessary to examine how the law impacts the right to freedom of religion and expression. This must be done by </w:t>
      </w:r>
      <w:r w:rsidRPr="00E67F55">
        <w:rPr>
          <w:rFonts w:ascii="Times New Roman" w:eastAsia="Times New Roman" w:hAnsi="Times New Roman" w:cs="Times New Roman"/>
          <w:color w:val="FF0000"/>
          <w:szCs w:val="32"/>
          <w:lang w:val="en-GB" w:bidi="th-TH"/>
          <w14:numSpacing w14:val="proportional"/>
        </w:rPr>
        <w:lastRenderedPageBreak/>
        <w:t>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w:t>
      </w:r>
      <w:r w:rsidRPr="00410DA6">
        <w:rPr>
          <w:rFonts w:ascii="Times New Roman" w:hAnsi="Times New Roman" w:cs="Times New Roman"/>
        </w:rPr>
        <w:lastRenderedPageBreak/>
        <w:t>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 historical example of anti-blasphemy laws is the case of England and Wales, where blasphemy against Christianity was a common law offence until 2008. These </w:t>
      </w:r>
      <w:r w:rsidRPr="00410DA6">
        <w:rPr>
          <w:rFonts w:ascii="Times New Roman" w:hAnsi="Times New Roman" w:cs="Times New Roman"/>
        </w:rPr>
        <w:lastRenderedPageBreak/>
        <w:t>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lastRenderedPageBreak/>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 xml:space="preserve">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w:t>
      </w:r>
      <w:r>
        <w:rPr>
          <w:rFonts w:ascii="TimesNewRomanPSMT" w:hAnsi="TimesNewRomanPSMT" w:cs="TimesNewRomanPSMT"/>
        </w:rPr>
        <w:lastRenderedPageBreak/>
        <w:t>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 xml:space="preserve">During this time, Indonesia was in a period of guided democracy, following President Soekarno's Decree of July 5, 1959. Later, Presidential Decree No. 150 of 1959 further strengthened this period by ordering the return to the 1945 Constitution and </w:t>
      </w:r>
      <w:r w:rsidRPr="00672A6A">
        <w:rPr>
          <w:rFonts w:cs="Linux Libertine"/>
          <w:lang w:val="en-US"/>
        </w:rPr>
        <w:lastRenderedPageBreak/>
        <w:t>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w:t>
      </w:r>
      <w:r w:rsidRPr="00672A6A">
        <w:rPr>
          <w:rFonts w:cs="Linux Libertine"/>
          <w:lang w:val="en-US"/>
        </w:rPr>
        <w:lastRenderedPageBreak/>
        <w:t xml:space="preserve">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xml:space="preserve">, NU, and PKI. However, it </w:t>
      </w:r>
      <w:r w:rsidRPr="00672A6A">
        <w:rPr>
          <w:rFonts w:cs="Linux Libertine"/>
          <w:lang w:val="en-US"/>
        </w:rPr>
        <w:lastRenderedPageBreak/>
        <w:t>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29249EB8"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2.2.7</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w:t>
      </w:r>
      <w:r w:rsidRPr="00672A6A">
        <w:rPr>
          <w:rFonts w:cs="Linux Libertine"/>
          <w:lang w:val="en-US"/>
        </w:rPr>
        <w:lastRenderedPageBreak/>
        <w:t>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lastRenderedPageBreak/>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xml:space="preserve">, 2012). This event led to the issuance of the Provisional People's Consultative Assembly of the Republic of Indonesia No. XXV/MPRS/1966, </w:t>
      </w:r>
      <w:r w:rsidRPr="00672A6A">
        <w:rPr>
          <w:rFonts w:cs="Linux Libertine"/>
          <w:lang w:val="en-US"/>
        </w:rPr>
        <w:lastRenderedPageBreak/>
        <w:t>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 xml:space="preserve">o what extent the </w:t>
      </w:r>
      <w:r w:rsidR="008C1605" w:rsidRPr="008C1605">
        <w:rPr>
          <w:rFonts w:cs="Linux Libertine"/>
        </w:rPr>
        <w:lastRenderedPageBreak/>
        <w:t>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428079AB"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8525B"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 xml:space="preserve">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lastRenderedPageBreak/>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w:t>
      </w:r>
      <w:r w:rsidRPr="00672A6A">
        <w:rPr>
          <w:rFonts w:cs="Linux Libertine"/>
          <w:lang w:val="en-US"/>
        </w:rPr>
        <w:lastRenderedPageBreak/>
        <w:t xml:space="preserve">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55C873AE"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060ABCE5"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A48E32"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9F6E03">
        <w:rPr>
          <w:rFonts w:cs="Linux Libertine"/>
        </w:rPr>
        <w:t>(</w:t>
      </w:r>
      <w:proofErr w:type="spellStart"/>
      <w:r w:rsidR="009F6E03">
        <w:rPr>
          <w:rFonts w:cs="Linux Libertine"/>
        </w:rPr>
        <w:t>Tehusijarana</w:t>
      </w:r>
      <w:proofErr w:type="spellEnd"/>
      <w:r w:rsidR="009F6E03">
        <w:rPr>
          <w:rFonts w:cs="Linux Libertine"/>
        </w:rPr>
        <w:t xml:space="preserve">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494FC590"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9F6E03">
        <w:rPr>
          <w:rFonts w:cs="Linux Libertine"/>
          <w:lang w:val="en-US"/>
        </w:rPr>
        <w:t>(</w:t>
      </w:r>
      <w:proofErr w:type="spellStart"/>
      <w:r w:rsidR="009F6E03">
        <w:rPr>
          <w:rFonts w:cs="Linux Libertine"/>
          <w:lang w:val="en-US"/>
        </w:rPr>
        <w:t>Arato</w:t>
      </w:r>
      <w:proofErr w:type="spellEnd"/>
      <w:r w:rsidR="009F6E03">
        <w:rPr>
          <w:rFonts w:cs="Linux Libertine"/>
          <w:lang w:val="en-US"/>
        </w:rPr>
        <w:t xml:space="preserve">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9F6E03">
        <w:rPr>
          <w:rFonts w:cs="Linux Libertine"/>
          <w:lang w:val="en-US"/>
        </w:rPr>
        <w:t>(</w:t>
      </w:r>
      <w:proofErr w:type="spellStart"/>
      <w:r w:rsidR="009F6E03">
        <w:rPr>
          <w:rFonts w:cs="Linux Libertine"/>
          <w:lang w:val="en-US"/>
        </w:rPr>
        <w:t>Asshiddiqie</w:t>
      </w:r>
      <w:proofErr w:type="spellEnd"/>
      <w:r w:rsidR="009F6E03">
        <w:rPr>
          <w:rFonts w:cs="Linux Libertine"/>
          <w:lang w:val="en-US"/>
        </w:rPr>
        <w:t xml:space="preserv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w:t>
      </w:r>
      <w:proofErr w:type="spellStart"/>
      <w:r>
        <w:rPr>
          <w:b/>
          <w:bCs/>
        </w:rPr>
        <w:t>i</w:t>
      </w:r>
      <w:proofErr w:type="spellEnd"/>
      <w:r>
        <w:rPr>
          <w:b/>
          <w:bCs/>
        </w:rPr>
        <w:t xml:space="preserve">)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062A6939"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07891A4A"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6C250D0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7CE9FC0A"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9F6E03">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9F6E03">
        <w:rPr>
          <w:rFonts w:cs="Linux Libertine"/>
        </w:rPr>
        <w:t>(</w:t>
      </w:r>
      <w:proofErr w:type="spellStart"/>
      <w:r w:rsidR="009F6E03">
        <w:rPr>
          <w:rFonts w:cs="Linux Libertine"/>
        </w:rPr>
        <w:t>Bielefeldt</w:t>
      </w:r>
      <w:proofErr w:type="spellEnd"/>
      <w:r w:rsidR="009F6E03">
        <w:rPr>
          <w:rFonts w:cs="Linux Libertine"/>
        </w:rPr>
        <w:t xml:space="preserve"> 2012)</w:t>
      </w:r>
      <w:r w:rsidRPr="00E0754A">
        <w:fldChar w:fldCharType="end"/>
      </w:r>
      <w:r w:rsidRPr="00E0754A">
        <w:t>.</w:t>
      </w:r>
      <w:r w:rsidRPr="00E0754A">
        <w:rPr>
          <w:rStyle w:val="FootnoteReference"/>
        </w:rPr>
        <w:t xml:space="preserve"> </w:t>
      </w:r>
    </w:p>
    <w:p w14:paraId="3C2D9F4A" w14:textId="08BBB257"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9F6E03">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4653A4EF"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9F6E03">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0A53FB73"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9F6E03">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4036A4B6"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9F6E03">
        <w:rPr>
          <w:rFonts w:cs="Linux Libertine"/>
          <w:lang w:val="en-US"/>
        </w:rPr>
        <w:t>(</w:t>
      </w:r>
      <w:proofErr w:type="spellStart"/>
      <w:r w:rsidR="009F6E03">
        <w:rPr>
          <w:rFonts w:cs="Linux Libertine"/>
          <w:lang w:val="en-US"/>
        </w:rPr>
        <w:t>Tehusijarana</w:t>
      </w:r>
      <w:proofErr w:type="spellEnd"/>
      <w:r w:rsidR="009F6E03">
        <w:rPr>
          <w:rFonts w:cs="Linux Libertine"/>
          <w:lang w:val="en-US"/>
        </w:rPr>
        <w:t xml:space="preserve">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14F5E9B6"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9F6E03">
        <w:rPr>
          <w:rFonts w:cs="Linux Libertine"/>
        </w:rPr>
        <w:t>(</w:t>
      </w:r>
      <w:proofErr w:type="spellStart"/>
      <w:r w:rsidR="009F6E03">
        <w:rPr>
          <w:rFonts w:cs="Linux Libertine"/>
        </w:rPr>
        <w:t>Henkin</w:t>
      </w:r>
      <w:proofErr w:type="spellEnd"/>
      <w:r w:rsidR="009F6E03">
        <w:rPr>
          <w:rFonts w:cs="Linux Libertine"/>
        </w:rPr>
        <w:t xml:space="preserve">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9F6E03">
        <w:rPr>
          <w:rFonts w:cs="Linux Libertine"/>
        </w:rPr>
        <w:t>(</w:t>
      </w:r>
      <w:proofErr w:type="spellStart"/>
      <w:r w:rsidR="009F6E03">
        <w:rPr>
          <w:rFonts w:cs="Linux Libertine"/>
        </w:rPr>
        <w:t>Eddyono</w:t>
      </w:r>
      <w:proofErr w:type="spellEnd"/>
      <w:r w:rsidR="009F6E03">
        <w:rPr>
          <w:rFonts w:cs="Linux Libertine"/>
        </w:rPr>
        <w:t xml:space="preserve">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07F5873E"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9F6E03" w:rsidRPr="009F6E03">
        <w:rPr>
          <w:rFonts w:cs="Linux Libertine"/>
        </w:rPr>
        <w:t xml:space="preserve">(Cohen 2018; Crouch 2011; </w:t>
      </w:r>
      <w:proofErr w:type="spellStart"/>
      <w:r w:rsidR="009F6E03" w:rsidRPr="009F6E03">
        <w:rPr>
          <w:rFonts w:cs="Linux Libertine"/>
        </w:rPr>
        <w:t>Fiss</w:t>
      </w:r>
      <w:proofErr w:type="spellEnd"/>
      <w:r w:rsidR="009F6E03" w:rsidRPr="009F6E03">
        <w:rPr>
          <w:rFonts w:cs="Linux Libertine"/>
        </w:rPr>
        <w:t xml:space="preserve"> and Kestenbaum 2017; </w:t>
      </w:r>
      <w:proofErr w:type="spellStart"/>
      <w:r w:rsidR="009F6E03" w:rsidRPr="009F6E03">
        <w:rPr>
          <w:rFonts w:cs="Linux Libertine"/>
        </w:rPr>
        <w:t>Prud’homme</w:t>
      </w:r>
      <w:proofErr w:type="spellEnd"/>
      <w:r w:rsidR="009F6E03" w:rsidRPr="009F6E03">
        <w:rPr>
          <w:rFonts w:cs="Linux Libertine"/>
        </w:rPr>
        <w:t xml:space="preserv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1B3E3A9A" w14:textId="3049F81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9F6E03">
        <w:rPr>
          <w:rFonts w:cs="Linux Libertine"/>
        </w:rPr>
        <w:t>(</w:t>
      </w:r>
      <w:proofErr w:type="spellStart"/>
      <w:r w:rsidR="009F6E03">
        <w:rPr>
          <w:rFonts w:cs="Linux Libertine"/>
        </w:rPr>
        <w:t>Marzuki</w:t>
      </w:r>
      <w:proofErr w:type="spellEnd"/>
      <w:r w:rsidR="009F6E03">
        <w:rPr>
          <w:rFonts w:cs="Linux Libertine"/>
        </w:rPr>
        <w:t xml:space="preserve">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9F6E03">
        <w:rPr>
          <w:rFonts w:cs="Linux Libertine"/>
        </w:rPr>
        <w:t>(</w:t>
      </w:r>
      <w:proofErr w:type="spellStart"/>
      <w:r w:rsidR="009F6E03">
        <w:rPr>
          <w:rFonts w:cs="Linux Libertine"/>
        </w:rPr>
        <w:t>Panjaitan</w:t>
      </w:r>
      <w:proofErr w:type="spellEnd"/>
      <w:r w:rsidR="009F6E03">
        <w:rPr>
          <w:rFonts w:cs="Linux Libertine"/>
        </w:rPr>
        <w:t xml:space="preserve"> and Wijaya 2018; </w:t>
      </w:r>
      <w:proofErr w:type="spellStart"/>
      <w:r w:rsidR="009F6E03">
        <w:rPr>
          <w:rFonts w:cs="Linux Libertine"/>
        </w:rPr>
        <w:t>Rambe</w:t>
      </w:r>
      <w:proofErr w:type="spellEnd"/>
      <w:r w:rsidR="009F6E03">
        <w:rPr>
          <w:rFonts w:cs="Linux Libertine"/>
        </w:rPr>
        <w:t xml:space="preserv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9F6E03">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 xml:space="preserve">HB. </w:t>
            </w:r>
            <w:proofErr w:type="spellStart"/>
            <w:r w:rsidRPr="00F56661">
              <w:rPr>
                <w:rFonts w:cs="Linux Libertine"/>
                <w:sz w:val="22"/>
                <w:szCs w:val="22"/>
              </w:rPr>
              <w:t>Jassin</w:t>
            </w:r>
            <w:proofErr w:type="spellEnd"/>
            <w:r w:rsidRPr="00F56661">
              <w:rPr>
                <w:rFonts w:cs="Linux Libertine"/>
                <w:sz w:val="22"/>
                <w:szCs w:val="22"/>
              </w:rPr>
              <w:t xml:space="preserve">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 xml:space="preserve">As the head publisher of Sastra magazine that published the short story "The Sky is Getting Cloudy" by Ki </w:t>
            </w:r>
            <w:proofErr w:type="spellStart"/>
            <w:r w:rsidRPr="00F56661">
              <w:rPr>
                <w:rFonts w:cs="Linux Libertine"/>
                <w:sz w:val="22"/>
                <w:szCs w:val="22"/>
              </w:rPr>
              <w:t>Pandji</w:t>
            </w:r>
            <w:proofErr w:type="spellEnd"/>
            <w:r w:rsidRPr="00F56661">
              <w:rPr>
                <w:rFonts w:cs="Linux Libertine"/>
                <w:sz w:val="22"/>
                <w:szCs w:val="22"/>
              </w:rPr>
              <w:t xml:space="preserve"> </w:t>
            </w:r>
            <w:proofErr w:type="spellStart"/>
            <w:r w:rsidRPr="00F56661">
              <w:rPr>
                <w:rFonts w:cs="Linux Libertine"/>
                <w:sz w:val="22"/>
                <w:szCs w:val="22"/>
              </w:rPr>
              <w:t>Kusmin</w:t>
            </w:r>
            <w:proofErr w:type="spellEnd"/>
            <w:r w:rsidRPr="00F56661">
              <w:rPr>
                <w:rFonts w:cs="Linux Libertine"/>
                <w:sz w:val="22"/>
                <w:szCs w:val="22"/>
              </w:rPr>
              <w:t>,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proofErr w:type="spellStart"/>
            <w:r w:rsidRPr="00F56661">
              <w:rPr>
                <w:rFonts w:cs="Linux Libertine"/>
                <w:sz w:val="22"/>
                <w:szCs w:val="22"/>
              </w:rPr>
              <w:t>Polewali</w:t>
            </w:r>
            <w:proofErr w:type="spellEnd"/>
            <w:r w:rsidRPr="00F56661">
              <w:rPr>
                <w:rFonts w:cs="Linux Libertine"/>
                <w:sz w:val="22"/>
                <w:szCs w:val="22"/>
              </w:rPr>
              <w:t xml:space="preserve"> Mandar District Court</w:t>
            </w:r>
          </w:p>
        </w:tc>
        <w:tc>
          <w:tcPr>
            <w:tcW w:w="1557" w:type="dxa"/>
          </w:tcPr>
          <w:p w14:paraId="0C57CA9C" w14:textId="77777777" w:rsidR="00C8473A" w:rsidRPr="00F56661" w:rsidRDefault="00C8473A" w:rsidP="00ED0FE2">
            <w:pPr>
              <w:rPr>
                <w:rFonts w:cs="Linux Libertine"/>
                <w:sz w:val="22"/>
                <w:szCs w:val="22"/>
              </w:rPr>
            </w:pPr>
            <w:proofErr w:type="spellStart"/>
            <w:r w:rsidRPr="00F56661">
              <w:rPr>
                <w:rFonts w:cs="Linux Libertine"/>
                <w:sz w:val="22"/>
                <w:szCs w:val="22"/>
              </w:rPr>
              <w:t>Sumardin</w:t>
            </w:r>
            <w:proofErr w:type="spellEnd"/>
            <w:r w:rsidRPr="00F56661">
              <w:rPr>
                <w:rFonts w:cs="Linux Libertine"/>
                <w:sz w:val="22"/>
                <w:szCs w:val="22"/>
              </w:rPr>
              <w:t xml:space="preserve"> </w:t>
            </w:r>
            <w:proofErr w:type="spellStart"/>
            <w:r w:rsidRPr="00F56661">
              <w:rPr>
                <w:rFonts w:cs="Linux Libertine"/>
                <w:sz w:val="22"/>
                <w:szCs w:val="22"/>
              </w:rPr>
              <w:t>Tappayya</w:t>
            </w:r>
            <w:proofErr w:type="spellEnd"/>
            <w:r w:rsidRPr="00F56661">
              <w:rPr>
                <w:rFonts w:cs="Linux Libertine"/>
                <w:sz w:val="22"/>
                <w:szCs w:val="22"/>
              </w:rPr>
              <w:t xml:space="preserve">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proofErr w:type="spellStart"/>
            <w:r w:rsidRPr="00F56661">
              <w:rPr>
                <w:rFonts w:cs="Linux Libertine"/>
                <w:sz w:val="22"/>
                <w:szCs w:val="22"/>
              </w:rPr>
              <w:t>Hikmat</w:t>
            </w:r>
            <w:proofErr w:type="spellEnd"/>
            <w:r w:rsidRPr="00F56661">
              <w:rPr>
                <w:rFonts w:cs="Linux Libertine"/>
                <w:sz w:val="22"/>
                <w:szCs w:val="22"/>
              </w:rPr>
              <w:t xml:space="preserve"> </w:t>
            </w:r>
            <w:proofErr w:type="spellStart"/>
            <w:r w:rsidRPr="00F56661">
              <w:rPr>
                <w:rFonts w:cs="Linux Libertine"/>
                <w:sz w:val="22"/>
                <w:szCs w:val="22"/>
              </w:rPr>
              <w:t>Faturiddin</w:t>
            </w:r>
            <w:proofErr w:type="spellEnd"/>
            <w:r w:rsidRPr="00F56661">
              <w:rPr>
                <w:rFonts w:cs="Linux Libertine"/>
                <w:sz w:val="22"/>
                <w:szCs w:val="22"/>
              </w:rPr>
              <w:t xml:space="preserve">, Abdul Qadri, </w:t>
            </w:r>
            <w:proofErr w:type="spellStart"/>
            <w:r w:rsidRPr="00F56661">
              <w:rPr>
                <w:rFonts w:cs="Linux Libertine"/>
                <w:sz w:val="22"/>
                <w:szCs w:val="22"/>
              </w:rPr>
              <w:t>Fadli</w:t>
            </w:r>
            <w:proofErr w:type="spellEnd"/>
            <w:r w:rsidRPr="00F56661">
              <w:rPr>
                <w:rFonts w:cs="Linux Libertine"/>
                <w:sz w:val="22"/>
                <w:szCs w:val="22"/>
              </w:rPr>
              <w:t xml:space="preserve">, </w:t>
            </w:r>
            <w:proofErr w:type="spellStart"/>
            <w:r w:rsidRPr="00F56661">
              <w:rPr>
                <w:rFonts w:cs="Linux Libertine"/>
                <w:sz w:val="22"/>
                <w:szCs w:val="22"/>
              </w:rPr>
              <w:t>Maulid</w:t>
            </w:r>
            <w:proofErr w:type="spellEnd"/>
            <w:r w:rsidRPr="00F56661">
              <w:rPr>
                <w:rFonts w:cs="Linux Libertine"/>
                <w:sz w:val="22"/>
                <w:szCs w:val="22"/>
              </w:rPr>
              <w:t xml:space="preserve"> </w:t>
            </w:r>
            <w:proofErr w:type="spellStart"/>
            <w:r w:rsidRPr="00F56661">
              <w:rPr>
                <w:rFonts w:cs="Linux Libertine"/>
                <w:sz w:val="22"/>
                <w:szCs w:val="22"/>
              </w:rPr>
              <w:t>Syawal</w:t>
            </w:r>
            <w:proofErr w:type="spellEnd"/>
            <w:r w:rsidRPr="00F56661">
              <w:rPr>
                <w:rFonts w:cs="Linux Libertine"/>
                <w:sz w:val="22"/>
                <w:szCs w:val="22"/>
              </w:rPr>
              <w:t xml:space="preserve"> and </w:t>
            </w:r>
            <w:proofErr w:type="spellStart"/>
            <w:r w:rsidRPr="00F56661">
              <w:rPr>
                <w:rFonts w:cs="Linux Libertine"/>
                <w:sz w:val="22"/>
                <w:szCs w:val="22"/>
              </w:rPr>
              <w:t>Asrul</w:t>
            </w:r>
            <w:proofErr w:type="spellEnd"/>
            <w:r w:rsidRPr="00F56661">
              <w:rPr>
                <w:rFonts w:cs="Linux Libertine"/>
                <w:sz w:val="22"/>
                <w:szCs w:val="22"/>
              </w:rPr>
              <w:t xml:space="preserve">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w:t>
            </w:r>
            <w:proofErr w:type="spellStart"/>
            <w:r w:rsidRPr="00F56661">
              <w:rPr>
                <w:rFonts w:cs="Linux Libertine"/>
                <w:sz w:val="22"/>
                <w:szCs w:val="22"/>
              </w:rPr>
              <w:t>Qiyadah</w:t>
            </w:r>
            <w:proofErr w:type="spellEnd"/>
            <w:r w:rsidRPr="00F56661">
              <w:rPr>
                <w:rFonts w:cs="Linux Libertine"/>
                <w:sz w:val="22"/>
                <w:szCs w:val="22"/>
              </w:rPr>
              <w:t xml:space="preserve">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proofErr w:type="spellStart"/>
            <w:r w:rsidRPr="00F56661">
              <w:rPr>
                <w:rFonts w:cs="Linux Libertine"/>
                <w:sz w:val="22"/>
                <w:szCs w:val="22"/>
              </w:rPr>
              <w:t>Kupang</w:t>
            </w:r>
            <w:proofErr w:type="spellEnd"/>
            <w:r w:rsidRPr="00F56661">
              <w:rPr>
                <w:rFonts w:cs="Linux Libertine"/>
                <w:sz w:val="22"/>
                <w:szCs w:val="22"/>
              </w:rPr>
              <w:t xml:space="preserve"> District Court</w:t>
            </w:r>
          </w:p>
        </w:tc>
        <w:tc>
          <w:tcPr>
            <w:tcW w:w="1557" w:type="dxa"/>
          </w:tcPr>
          <w:p w14:paraId="534B654A" w14:textId="77777777" w:rsidR="00C8473A" w:rsidRPr="00F56661" w:rsidRDefault="00C8473A" w:rsidP="00ED0FE2">
            <w:pPr>
              <w:rPr>
                <w:rFonts w:cs="Linux Libertine"/>
                <w:sz w:val="22"/>
                <w:szCs w:val="22"/>
              </w:rPr>
            </w:pPr>
            <w:proofErr w:type="spellStart"/>
            <w:r w:rsidRPr="00F56661">
              <w:rPr>
                <w:rFonts w:cs="Linux Libertine"/>
                <w:sz w:val="22"/>
                <w:szCs w:val="22"/>
              </w:rPr>
              <w:t>Nimrot</w:t>
            </w:r>
            <w:proofErr w:type="spellEnd"/>
            <w:r w:rsidRPr="00F56661">
              <w:rPr>
                <w:rFonts w:cs="Linux Libertine"/>
                <w:sz w:val="22"/>
                <w:szCs w:val="22"/>
              </w:rPr>
              <w:t xml:space="preserve"> </w:t>
            </w:r>
            <w:proofErr w:type="spellStart"/>
            <w:r w:rsidRPr="00F56661">
              <w:rPr>
                <w:rFonts w:cs="Linux Libertine"/>
                <w:sz w:val="22"/>
                <w:szCs w:val="22"/>
              </w:rPr>
              <w:t>Lasbaun</w:t>
            </w:r>
            <w:proofErr w:type="spellEnd"/>
            <w:r w:rsidRPr="00F56661">
              <w:rPr>
                <w:rFonts w:cs="Linux Libertine"/>
                <w:sz w:val="22"/>
                <w:szCs w:val="22"/>
              </w:rPr>
              <w:t xml:space="preserve">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 xml:space="preserve">Wilhelmina </w:t>
            </w:r>
            <w:proofErr w:type="spellStart"/>
            <w:r w:rsidRPr="00F56661">
              <w:rPr>
                <w:rFonts w:cs="Linux Libertine"/>
                <w:sz w:val="22"/>
                <w:szCs w:val="22"/>
              </w:rPr>
              <w:t>Holle</w:t>
            </w:r>
            <w:proofErr w:type="spellEnd"/>
            <w:r w:rsidRPr="00F56661">
              <w:rPr>
                <w:rFonts w:cs="Linux Libertine"/>
                <w:sz w:val="22"/>
                <w:szCs w:val="22"/>
              </w:rPr>
              <w:t xml:space="preserve"> / Christian</w:t>
            </w:r>
          </w:p>
        </w:tc>
        <w:tc>
          <w:tcPr>
            <w:tcW w:w="2825" w:type="dxa"/>
          </w:tcPr>
          <w:p w14:paraId="6C41D9CC" w14:textId="77777777" w:rsidR="00C8473A" w:rsidRPr="00F56661" w:rsidRDefault="00C8473A" w:rsidP="00ED0FE2">
            <w:pPr>
              <w:rPr>
                <w:rFonts w:cs="Linux Libertine"/>
                <w:sz w:val="22"/>
                <w:szCs w:val="22"/>
              </w:rPr>
            </w:pPr>
            <w:proofErr w:type="spellStart"/>
            <w:r w:rsidRPr="00F56661">
              <w:rPr>
                <w:rFonts w:cs="Linux Libertine"/>
                <w:sz w:val="22"/>
                <w:szCs w:val="22"/>
              </w:rPr>
              <w:t>Musohi</w:t>
            </w:r>
            <w:proofErr w:type="spellEnd"/>
            <w:r w:rsidRPr="00F56661">
              <w:rPr>
                <w:rFonts w:cs="Linux Libertine"/>
                <w:sz w:val="22"/>
                <w:szCs w:val="22"/>
              </w:rPr>
              <w:t xml:space="preserve">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proofErr w:type="spellStart"/>
            <w:r w:rsidRPr="00F56661">
              <w:rPr>
                <w:rFonts w:cs="Linux Libertine"/>
                <w:sz w:val="22"/>
                <w:szCs w:val="22"/>
              </w:rPr>
              <w:t>Blitar</w:t>
            </w:r>
            <w:proofErr w:type="spellEnd"/>
            <w:r w:rsidRPr="00F56661">
              <w:rPr>
                <w:rFonts w:cs="Linux Libertine"/>
                <w:sz w:val="22"/>
                <w:szCs w:val="22"/>
              </w:rPr>
              <w:t xml:space="preserve"> District Court</w:t>
            </w:r>
          </w:p>
        </w:tc>
        <w:tc>
          <w:tcPr>
            <w:tcW w:w="1557" w:type="dxa"/>
          </w:tcPr>
          <w:p w14:paraId="0FDABD7E" w14:textId="77777777" w:rsidR="00C8473A" w:rsidRPr="00F56661" w:rsidRDefault="00C8473A" w:rsidP="00ED0FE2">
            <w:pPr>
              <w:rPr>
                <w:rFonts w:cs="Linux Libertine"/>
                <w:sz w:val="22"/>
                <w:szCs w:val="22"/>
              </w:rPr>
            </w:pPr>
            <w:proofErr w:type="spellStart"/>
            <w:r w:rsidRPr="00F56661">
              <w:rPr>
                <w:rFonts w:cs="Linux Libertine"/>
                <w:sz w:val="22"/>
                <w:szCs w:val="22"/>
              </w:rPr>
              <w:t>Miftakhur</w:t>
            </w:r>
            <w:proofErr w:type="spellEnd"/>
            <w:r w:rsidRPr="00F56661">
              <w:rPr>
                <w:rFonts w:cs="Linux Libertine"/>
                <w:sz w:val="22"/>
                <w:szCs w:val="22"/>
              </w:rPr>
              <w:t xml:space="preserve"> </w:t>
            </w:r>
            <w:proofErr w:type="spellStart"/>
            <w:r w:rsidRPr="00F56661">
              <w:rPr>
                <w:rFonts w:cs="Linux Libertine"/>
                <w:sz w:val="22"/>
                <w:szCs w:val="22"/>
              </w:rPr>
              <w:t>Rosyidin</w:t>
            </w:r>
            <w:proofErr w:type="spellEnd"/>
            <w:r w:rsidRPr="00F56661">
              <w:rPr>
                <w:rFonts w:cs="Linux Libertine"/>
                <w:sz w:val="22"/>
                <w:szCs w:val="22"/>
              </w:rPr>
              <w:t xml:space="preserve"> bin </w:t>
            </w:r>
            <w:proofErr w:type="spellStart"/>
            <w:r w:rsidRPr="00F56661">
              <w:rPr>
                <w:rFonts w:cs="Linux Libertine"/>
                <w:sz w:val="22"/>
                <w:szCs w:val="22"/>
              </w:rPr>
              <w:t>Winarko</w:t>
            </w:r>
            <w:proofErr w:type="spellEnd"/>
            <w:r w:rsidRPr="00F56661">
              <w:rPr>
                <w:rFonts w:cs="Linux Libertine"/>
                <w:sz w:val="22"/>
                <w:szCs w:val="22"/>
              </w:rPr>
              <w:t xml:space="preserve">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proofErr w:type="spellStart"/>
            <w:r w:rsidRPr="00F56661">
              <w:rPr>
                <w:rFonts w:cs="Linux Libertine"/>
                <w:sz w:val="22"/>
                <w:szCs w:val="22"/>
              </w:rPr>
              <w:t>Garut</w:t>
            </w:r>
            <w:proofErr w:type="spellEnd"/>
            <w:r w:rsidRPr="00F56661">
              <w:rPr>
                <w:rFonts w:cs="Linux Libertine"/>
                <w:sz w:val="22"/>
                <w:szCs w:val="22"/>
              </w:rPr>
              <w:t xml:space="preserve"> District Court</w:t>
            </w:r>
          </w:p>
        </w:tc>
        <w:tc>
          <w:tcPr>
            <w:tcW w:w="1557" w:type="dxa"/>
          </w:tcPr>
          <w:p w14:paraId="1D8D0257" w14:textId="77777777" w:rsidR="00C8473A" w:rsidRPr="00F56661" w:rsidRDefault="00C8473A" w:rsidP="00ED0FE2">
            <w:pPr>
              <w:rPr>
                <w:rFonts w:cs="Linux Libertine"/>
                <w:sz w:val="22"/>
                <w:szCs w:val="22"/>
              </w:rPr>
            </w:pPr>
            <w:proofErr w:type="spellStart"/>
            <w:r w:rsidRPr="00F56661">
              <w:rPr>
                <w:rFonts w:cs="Linux Libertine"/>
                <w:sz w:val="22"/>
                <w:szCs w:val="22"/>
              </w:rPr>
              <w:t>Sensen</w:t>
            </w:r>
            <w:proofErr w:type="spellEnd"/>
            <w:r w:rsidRPr="00F56661">
              <w:rPr>
                <w:rFonts w:cs="Linux Libertine"/>
                <w:sz w:val="22"/>
                <w:szCs w:val="22"/>
              </w:rPr>
              <w:t xml:space="preserve"> </w:t>
            </w:r>
            <w:proofErr w:type="spellStart"/>
            <w:r w:rsidRPr="00F56661">
              <w:rPr>
                <w:rFonts w:cs="Linux Libertine"/>
                <w:sz w:val="22"/>
                <w:szCs w:val="22"/>
              </w:rPr>
              <w:t>Komara</w:t>
            </w:r>
            <w:proofErr w:type="spellEnd"/>
            <w:r w:rsidRPr="00F56661">
              <w:rPr>
                <w:rFonts w:cs="Linux Libertine"/>
                <w:sz w:val="22"/>
                <w:szCs w:val="22"/>
              </w:rPr>
              <w:t xml:space="preserve">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proofErr w:type="spellStart"/>
            <w:r w:rsidRPr="00F56661">
              <w:rPr>
                <w:rFonts w:cs="Linux Libertine"/>
                <w:sz w:val="22"/>
                <w:szCs w:val="22"/>
              </w:rPr>
              <w:t>Sampang</w:t>
            </w:r>
            <w:proofErr w:type="spellEnd"/>
            <w:r w:rsidRPr="00F56661">
              <w:rPr>
                <w:rFonts w:cs="Linux Libertine"/>
                <w:sz w:val="22"/>
                <w:szCs w:val="22"/>
              </w:rPr>
              <w:t xml:space="preserve"> District Court</w:t>
            </w:r>
          </w:p>
        </w:tc>
        <w:tc>
          <w:tcPr>
            <w:tcW w:w="1557" w:type="dxa"/>
          </w:tcPr>
          <w:p w14:paraId="76A22DA9" w14:textId="77777777" w:rsidR="00C8473A" w:rsidRPr="00F56661" w:rsidRDefault="00C8473A" w:rsidP="00ED0FE2">
            <w:pPr>
              <w:rPr>
                <w:rFonts w:cs="Linux Libertine"/>
                <w:sz w:val="22"/>
                <w:szCs w:val="22"/>
              </w:rPr>
            </w:pPr>
            <w:proofErr w:type="spellStart"/>
            <w:r w:rsidRPr="00F56661">
              <w:rPr>
                <w:rFonts w:cs="Linux Libertine"/>
                <w:sz w:val="22"/>
                <w:szCs w:val="22"/>
              </w:rPr>
              <w:t>Tajul</w:t>
            </w:r>
            <w:proofErr w:type="spellEnd"/>
            <w:r w:rsidRPr="00F56661">
              <w:rPr>
                <w:rFonts w:cs="Linux Libertine"/>
                <w:sz w:val="22"/>
                <w:szCs w:val="22"/>
              </w:rPr>
              <w:t xml:space="preserve"> </w:t>
            </w:r>
            <w:proofErr w:type="spellStart"/>
            <w:r w:rsidRPr="00F56661">
              <w:rPr>
                <w:rFonts w:cs="Linux Libertine"/>
                <w:sz w:val="22"/>
                <w:szCs w:val="22"/>
              </w:rPr>
              <w:t>Muluk</w:t>
            </w:r>
            <w:proofErr w:type="spellEnd"/>
            <w:r w:rsidRPr="00F56661">
              <w:rPr>
                <w:rFonts w:cs="Linux Libertine"/>
                <w:sz w:val="22"/>
                <w:szCs w:val="22"/>
              </w:rPr>
              <w:t xml:space="preserve">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proofErr w:type="spellStart"/>
            <w:r w:rsidRPr="00F56661">
              <w:rPr>
                <w:rFonts w:cs="Linux Libertine"/>
                <w:sz w:val="22"/>
                <w:szCs w:val="22"/>
              </w:rPr>
              <w:t>Dompu</w:t>
            </w:r>
            <w:proofErr w:type="spellEnd"/>
            <w:r w:rsidRPr="00F56661">
              <w:rPr>
                <w:rFonts w:cs="Linux Libertine"/>
                <w:sz w:val="22"/>
                <w:szCs w:val="22"/>
              </w:rPr>
              <w:t xml:space="preserve">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 xml:space="preserve">Charles </w:t>
            </w:r>
            <w:proofErr w:type="spellStart"/>
            <w:r w:rsidRPr="00F56661">
              <w:rPr>
                <w:rFonts w:cs="Linux Libertine"/>
                <w:sz w:val="22"/>
                <w:szCs w:val="22"/>
              </w:rPr>
              <w:t>Sitorus</w:t>
            </w:r>
            <w:proofErr w:type="spellEnd"/>
            <w:r w:rsidRPr="00F56661">
              <w:rPr>
                <w:rFonts w:cs="Linux Libertine"/>
                <w:sz w:val="22"/>
                <w:szCs w:val="22"/>
              </w:rPr>
              <w:t xml:space="preserve">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proofErr w:type="spellStart"/>
            <w:r w:rsidRPr="00F56661">
              <w:rPr>
                <w:rFonts w:cs="Linux Libertine"/>
                <w:sz w:val="22"/>
                <w:szCs w:val="22"/>
              </w:rPr>
              <w:t>Kalabahi</w:t>
            </w:r>
            <w:proofErr w:type="spellEnd"/>
            <w:r w:rsidRPr="00F56661">
              <w:rPr>
                <w:rFonts w:cs="Linux Libertine"/>
                <w:sz w:val="22"/>
                <w:szCs w:val="22"/>
              </w:rPr>
              <w:t xml:space="preserve">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 xml:space="preserve">Alfred </w:t>
            </w:r>
            <w:proofErr w:type="spellStart"/>
            <w:r w:rsidRPr="00F56661">
              <w:rPr>
                <w:rFonts w:cs="Linux Libertine"/>
                <w:sz w:val="22"/>
                <w:szCs w:val="22"/>
              </w:rPr>
              <w:t>Waang</w:t>
            </w:r>
            <w:proofErr w:type="spellEnd"/>
            <w:r w:rsidRPr="00F56661">
              <w:rPr>
                <w:rFonts w:cs="Linux Libertine"/>
                <w:sz w:val="22"/>
                <w:szCs w:val="22"/>
              </w:rPr>
              <w:t xml:space="preserve">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 xml:space="preserve">Forced a </w:t>
            </w:r>
            <w:proofErr w:type="spellStart"/>
            <w:r w:rsidRPr="00F56661">
              <w:rPr>
                <w:rFonts w:cs="Linux Libertine"/>
                <w:sz w:val="22"/>
                <w:szCs w:val="22"/>
              </w:rPr>
              <w:t>moslem</w:t>
            </w:r>
            <w:proofErr w:type="spellEnd"/>
            <w:r w:rsidRPr="00F56661">
              <w:rPr>
                <w:rFonts w:cs="Linux Libertine"/>
                <w:sz w:val="22"/>
                <w:szCs w:val="22"/>
              </w:rPr>
              <w:t xml:space="preserve">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proofErr w:type="spellStart"/>
            <w:r w:rsidRPr="00F56661">
              <w:rPr>
                <w:rFonts w:cs="Linux Libertine"/>
                <w:sz w:val="22"/>
                <w:szCs w:val="22"/>
              </w:rPr>
              <w:t>Rusgiani</w:t>
            </w:r>
            <w:proofErr w:type="spellEnd"/>
            <w:r w:rsidRPr="00F56661">
              <w:rPr>
                <w:rFonts w:cs="Linux Libertine"/>
                <w:sz w:val="22"/>
                <w:szCs w:val="22"/>
              </w:rPr>
              <w:t xml:space="preserve">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 xml:space="preserve">for </w:t>
            </w:r>
            <w:proofErr w:type="spellStart"/>
            <w:r w:rsidRPr="00F56661">
              <w:rPr>
                <w:rFonts w:cs="Linux Libertine"/>
                <w:sz w:val="22"/>
                <w:szCs w:val="22"/>
              </w:rPr>
              <w:t>Athan</w:t>
            </w:r>
            <w:proofErr w:type="spellEnd"/>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w:t>
      </w:r>
      <w:proofErr w:type="spellStart"/>
      <w:r w:rsidRPr="00C8473A">
        <w:rPr>
          <w:rFonts w:cs="Linux Libertine"/>
          <w:b/>
          <w:bCs/>
          <w:i w:val="0"/>
          <w:iCs w:val="0"/>
        </w:rPr>
        <w:t>i</w:t>
      </w:r>
      <w:proofErr w:type="spellEnd"/>
      <w:r w:rsidRPr="00C8473A">
        <w:rPr>
          <w:rFonts w:cs="Linux Libertine"/>
          <w:b/>
          <w:bCs/>
          <w:i w:val="0"/>
          <w:iCs w:val="0"/>
        </w:rPr>
        <w:t>)</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5BCCC750"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w:t>
      </w:r>
      <w:proofErr w:type="spellStart"/>
      <w:r w:rsidRPr="00D20AED">
        <w:rPr>
          <w:color w:val="FF0000"/>
        </w:rPr>
        <w:t>Menchik</w:t>
      </w:r>
      <w:proofErr w:type="spellEnd"/>
      <w:r w:rsidRPr="00D20AED">
        <w:rPr>
          <w:color w:val="FF0000"/>
        </w:rPr>
        <w:t>,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9F6E03">
        <w:rPr>
          <w:rFonts w:cs="Linux Libertine"/>
        </w:rPr>
        <w:t>(2014)</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9F6E03">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 xml:space="preserve">Under </w:t>
      </w:r>
      <w:proofErr w:type="spellStart"/>
      <w:r>
        <w:t>Soeharto’s</w:t>
      </w:r>
      <w:proofErr w:type="spellEnd"/>
      <w:r>
        <w:t xml:space="preserve">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 xml:space="preserve">odly nationalism is reflected in Pancasila </w:t>
      </w:r>
      <w:proofErr w:type="spellStart"/>
      <w:r w:rsidRPr="00E0754A">
        <w:t>Sila</w:t>
      </w:r>
      <w:proofErr w:type="spellEnd"/>
      <w:r w:rsidRPr="00E0754A">
        <w:t xml:space="preserve">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E0754A">
        <w:rPr>
          <w:rFonts w:ascii="Times New Roman" w:hAnsi="Times New Roman" w:cs="Times New Roman"/>
          <w:color w:val="252525"/>
          <w:szCs w:val="24"/>
          <w:lang w:eastAsia="en-GB" w:bidi="ar-SA"/>
          <w14:ligatures w14:val="none"/>
          <w14:numSpacing w14:val="default"/>
        </w:rPr>
        <w:t>Rizieq</w:t>
      </w:r>
      <w:proofErr w:type="spellEnd"/>
      <w:r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5E94872B"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9F6E03">
        <w:rPr>
          <w:rFonts w:cs="Linux Libertine"/>
          <w:lang w:val="en-US"/>
        </w:rPr>
        <w:t>(</w:t>
      </w:r>
      <w:proofErr w:type="spellStart"/>
      <w:r w:rsidR="009F6E03">
        <w:rPr>
          <w:rFonts w:cs="Linux Libertine"/>
          <w:lang w:val="en-US"/>
        </w:rPr>
        <w:t>Kamali</w:t>
      </w:r>
      <w:proofErr w:type="spellEnd"/>
      <w:r w:rsidR="009F6E03">
        <w:rPr>
          <w:rFonts w:cs="Linux Libertine"/>
          <w:lang w:val="en-US"/>
        </w:rPr>
        <w:t xml:space="preserve">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 xml:space="preserve">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w:t>
      </w:r>
      <w:r w:rsidRPr="00E0754A">
        <w:lastRenderedPageBreak/>
        <w:t xml:space="preserve">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 xml:space="preserve">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Ahok’s</w:t>
      </w:r>
      <w:proofErr w:type="spellEnd"/>
      <w:r>
        <w:rPr>
          <w:rFonts w:cs="Linux Libertine"/>
          <w:b/>
          <w:bCs/>
        </w:rPr>
        <w:t xml:space="preserve">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w:t>
      </w:r>
      <w:r w:rsidRPr="00E0754A">
        <w:lastRenderedPageBreak/>
        <w:t xml:space="preserve">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Meiliana’s</w:t>
      </w:r>
      <w:proofErr w:type="spellEnd"/>
      <w:r>
        <w:rPr>
          <w:rFonts w:cs="Linux Libertine"/>
          <w:b/>
          <w:bCs/>
        </w:rPr>
        <w:t xml:space="preserve">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 xml:space="preserve">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xml:space="preserve">.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t>
      </w:r>
      <w:r w:rsidRPr="00E0754A">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w:t>
      </w:r>
      <w:r w:rsidRPr="00E0754A">
        <w:lastRenderedPageBreak/>
        <w:t xml:space="preserve">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6651532D" w:rsidR="00C8473A" w:rsidRDefault="00C120A6" w:rsidP="00C8473A">
      <w:pPr>
        <w:spacing w:line="360" w:lineRule="auto"/>
        <w:jc w:val="both"/>
        <w:rPr>
          <w:color w:val="FF0000"/>
        </w:rPr>
      </w:pPr>
      <w:r w:rsidRPr="00C120A6">
        <w:rPr>
          <w:color w:val="FF0000"/>
        </w:rPr>
        <w:t xml:space="preserve">The increasing actions of Muhammad Habib </w:t>
      </w:r>
      <w:proofErr w:type="spellStart"/>
      <w:r w:rsidRPr="00C120A6">
        <w:rPr>
          <w:color w:val="FF0000"/>
        </w:rPr>
        <w:t>Riziq</w:t>
      </w:r>
      <w:proofErr w:type="spellEnd"/>
      <w:r w:rsidRPr="00C120A6">
        <w:rPr>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4E35E23D" w14:textId="0177A813" w:rsidR="00441CCC" w:rsidRPr="00672A6A" w:rsidRDefault="00601A07" w:rsidP="00A16CBB">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t>
      </w:r>
      <w:r w:rsidRPr="00E0754A">
        <w:rPr>
          <w:lang w:eastAsia="en-GB" w:bidi="ar-SA"/>
        </w:rPr>
        <w:lastRenderedPageBreak/>
        <w:t>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w:t>
      </w:r>
      <w:r w:rsidRPr="00E0754A">
        <w:rPr>
          <w:lang w:eastAsia="en-GB" w:bidi="ar-SA"/>
        </w:rPr>
        <w:lastRenderedPageBreak/>
        <w:t>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356C50AF"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Nieuwenhuis</w:t>
      </w:r>
      <w:proofErr w:type="spellEnd"/>
      <w:r w:rsidR="009F6E03">
        <w:rPr>
          <w:rFonts w:cs="Linux Libertine"/>
        </w:rPr>
        <w:t xml:space="preserve">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9F6E03">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9F6E03">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0B663D5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9F6E03">
        <w:rPr>
          <w:rFonts w:cs="Linux Libertine"/>
        </w:rPr>
        <w:t>(An-</w:t>
      </w:r>
      <w:proofErr w:type="spellStart"/>
      <w:r w:rsidR="009F6E03">
        <w:rPr>
          <w:rFonts w:cs="Linux Libertine"/>
        </w:rPr>
        <w:t>Naim</w:t>
      </w:r>
      <w:proofErr w:type="spellEnd"/>
      <w:r w:rsidR="009F6E03">
        <w:rPr>
          <w:rFonts w:cs="Linux Libertine"/>
        </w:rPr>
        <w:t xml:space="preserve"> 2008; C. Durham and </w:t>
      </w:r>
      <w:proofErr w:type="spellStart"/>
      <w:r w:rsidR="009F6E03">
        <w:rPr>
          <w:rFonts w:cs="Linux Libertine"/>
        </w:rPr>
        <w:t>Scharffs</w:t>
      </w:r>
      <w:proofErr w:type="spellEnd"/>
      <w:r w:rsidR="009F6E03">
        <w:rPr>
          <w:rFonts w:cs="Linux Libertine"/>
        </w:rPr>
        <w:t xml:space="preserve"> 2019; Salim, </w:t>
      </w:r>
      <w:proofErr w:type="spellStart"/>
      <w:r w:rsidR="009F6E03">
        <w:rPr>
          <w:rFonts w:cs="Linux Libertine"/>
        </w:rPr>
        <w:t>Arskal</w:t>
      </w:r>
      <w:proofErr w:type="spellEnd"/>
      <w:r w:rsidR="009F6E03">
        <w:rPr>
          <w:rFonts w:cs="Linux Libertine"/>
        </w:rPr>
        <w:t>, and Azra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9F6E03">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 xml:space="preserve">(C. Durham and </w:t>
      </w:r>
      <w:proofErr w:type="spellStart"/>
      <w:r w:rsidR="009F6E03">
        <w:rPr>
          <w:rFonts w:cs="Linux Libertine"/>
        </w:rPr>
        <w:t>Scharffs</w:t>
      </w:r>
      <w:proofErr w:type="spellEnd"/>
      <w:r w:rsidR="009F6E03">
        <w:rPr>
          <w:rFonts w:cs="Linux Libertine"/>
        </w:rPr>
        <w:t xml:space="preserve">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3F3FEA8"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9F6E03">
        <w:rPr>
          <w:rFonts w:cs="Linux Libertine"/>
        </w:rPr>
        <w:t>(</w:t>
      </w:r>
      <w:proofErr w:type="spellStart"/>
      <w:r w:rsidR="009F6E03">
        <w:rPr>
          <w:rFonts w:cs="Linux Libertine"/>
        </w:rPr>
        <w:t>Scharffs</w:t>
      </w:r>
      <w:proofErr w:type="spellEnd"/>
      <w:r w:rsidR="009F6E03">
        <w:rPr>
          <w:rFonts w:cs="Linux Libertine"/>
        </w:rPr>
        <w:t xml:space="preserve">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Sihombing</w:t>
      </w:r>
      <w:proofErr w:type="spellEnd"/>
      <w:r w:rsidR="009F6E03">
        <w:rPr>
          <w:rFonts w:cs="Linux Libertine"/>
        </w:rPr>
        <w:t xml:space="preserve">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Arief</w:t>
      </w:r>
      <w:proofErr w:type="spellEnd"/>
      <w:r w:rsidR="009F6E03">
        <w:rPr>
          <w:rFonts w:cs="Linux Libertine"/>
        </w:rPr>
        <w:t xml:space="preserve">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28FEA4F0"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9F6E03">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Nalle</w:t>
      </w:r>
      <w:proofErr w:type="spellEnd"/>
      <w:r w:rsidR="009F6E03">
        <w:rPr>
          <w:rFonts w:cs="Linux Libertine"/>
        </w:rPr>
        <w:t xml:space="preserv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9F6E03" w:rsidRPr="009F6E03">
        <w:rPr>
          <w:rFonts w:cs="Linux Libertine"/>
        </w:rPr>
        <w:t>(</w:t>
      </w:r>
      <w:proofErr w:type="spellStart"/>
      <w:r w:rsidR="009F6E03" w:rsidRPr="009F6E03">
        <w:rPr>
          <w:rFonts w:cs="Linux Libertine"/>
        </w:rPr>
        <w:t>Sezgin</w:t>
      </w:r>
      <w:proofErr w:type="spellEnd"/>
      <w:r w:rsidR="009F6E03" w:rsidRPr="009F6E03">
        <w:rPr>
          <w:rFonts w:cs="Linux Libertine"/>
        </w:rPr>
        <w:t xml:space="preserve"> and </w:t>
      </w:r>
      <w:proofErr w:type="spellStart"/>
      <w:r w:rsidR="009F6E03" w:rsidRPr="009F6E03">
        <w:rPr>
          <w:rFonts w:cs="Linux Libertine"/>
        </w:rPr>
        <w:t>Künkler</w:t>
      </w:r>
      <w:proofErr w:type="spellEnd"/>
      <w:r w:rsidR="009F6E03" w:rsidRPr="009F6E03">
        <w:rPr>
          <w:rFonts w:cs="Linux Libertine"/>
        </w:rPr>
        <w:t xml:space="preserve">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Joppke</w:t>
      </w:r>
      <w:proofErr w:type="spellEnd"/>
      <w:r w:rsidR="009F6E03">
        <w:rPr>
          <w:rFonts w:cs="Linux Libertine"/>
        </w:rPr>
        <w:t xml:space="preserve"> 2018; Keck and Winkley 2015; </w:t>
      </w:r>
      <w:proofErr w:type="spellStart"/>
      <w:r w:rsidR="009F6E03">
        <w:rPr>
          <w:rFonts w:cs="Linux Libertine"/>
        </w:rPr>
        <w:t>Kunelius</w:t>
      </w:r>
      <w:proofErr w:type="spellEnd"/>
      <w:r w:rsidR="009F6E03">
        <w:rPr>
          <w:rFonts w:cs="Linux Libertine"/>
        </w:rPr>
        <w:t xml:space="preserve">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Vrielink</w:t>
      </w:r>
      <w:proofErr w:type="spellEnd"/>
      <w:r w:rsidR="009F6E03">
        <w:rPr>
          <w:rFonts w:cs="Linux Libertine"/>
        </w:rPr>
        <w:t xml:space="preserve"> 2016)</w:t>
      </w:r>
      <w:r w:rsidRPr="00672A6A">
        <w:rPr>
          <w:rFonts w:cs="Linux Libertine"/>
        </w:rPr>
        <w:fldChar w:fldCharType="end"/>
      </w:r>
      <w:r w:rsidRPr="00672A6A">
        <w:rPr>
          <w:rFonts w:cs="Linux Libertine"/>
        </w:rPr>
        <w:t xml:space="preserve">. </w:t>
      </w:r>
    </w:p>
    <w:p w14:paraId="2918ED49" w14:textId="4D7753AE"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Modood</w:t>
      </w:r>
      <w:proofErr w:type="spellEnd"/>
      <w:r w:rsidR="009F6E03">
        <w:rPr>
          <w:rFonts w:cs="Linux Libertine"/>
        </w:rPr>
        <w:t xml:space="preserve">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Joppke</w:t>
      </w:r>
      <w:proofErr w:type="spellEnd"/>
      <w:r w:rsidR="009F6E03">
        <w:rPr>
          <w:rFonts w:cs="Linux Libertine"/>
        </w:rPr>
        <w:t xml:space="preserve"> 2018; Keck and Winkley 2015; </w:t>
      </w:r>
      <w:proofErr w:type="spellStart"/>
      <w:r w:rsidR="009F6E03">
        <w:rPr>
          <w:rFonts w:cs="Linux Libertine"/>
        </w:rPr>
        <w:t>Kunelius</w:t>
      </w:r>
      <w:proofErr w:type="spellEnd"/>
      <w:r w:rsidR="009F6E03">
        <w:rPr>
          <w:rFonts w:cs="Linux Libertine"/>
        </w:rPr>
        <w:t xml:space="preserve">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9F6E03">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9F6E03" w:rsidRPr="009F6E03">
        <w:rPr>
          <w:rFonts w:cs="Linux Libertine"/>
        </w:rPr>
        <w:t>(</w:t>
      </w:r>
      <w:proofErr w:type="spellStart"/>
      <w:r w:rsidR="009F6E03" w:rsidRPr="009F6E03">
        <w:rPr>
          <w:rFonts w:cs="Linux Libertine"/>
        </w:rPr>
        <w:t>As’ad</w:t>
      </w:r>
      <w:proofErr w:type="spellEnd"/>
      <w:r w:rsidR="009F6E03" w:rsidRPr="009F6E03">
        <w:rPr>
          <w:rFonts w:cs="Linux Libertine"/>
        </w:rPr>
        <w:t xml:space="preserve">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9F6E03" w:rsidRPr="009F6E03">
        <w:rPr>
          <w:rFonts w:cs="Linux Libertine"/>
          <w:color w:val="808080"/>
        </w:rPr>
        <w:t>(</w:t>
      </w:r>
      <w:proofErr w:type="spellStart"/>
      <w:r w:rsidR="009F6E03" w:rsidRPr="009F6E03">
        <w:rPr>
          <w:rFonts w:cs="Linux Libertine"/>
          <w:color w:val="808080"/>
        </w:rPr>
        <w:t>Safa’at</w:t>
      </w:r>
      <w:proofErr w:type="spellEnd"/>
      <w:r w:rsidR="009F6E03" w:rsidRPr="009F6E03">
        <w:rPr>
          <w:rFonts w:cs="Linux Libertine"/>
          <w:color w:val="808080"/>
        </w:rPr>
        <w:t xml:space="preserve">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E5EB53"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9F6E03">
        <w:rPr>
          <w:rFonts w:cs="Linux Libertine"/>
        </w:rPr>
        <w:t xml:space="preserve">(C. Durham and </w:t>
      </w:r>
      <w:proofErr w:type="spellStart"/>
      <w:r w:rsidR="009F6E03">
        <w:rPr>
          <w:rFonts w:cs="Linux Libertine"/>
        </w:rPr>
        <w:t>Scharffs</w:t>
      </w:r>
      <w:proofErr w:type="spellEnd"/>
      <w:r w:rsidR="009F6E03">
        <w:rPr>
          <w:rFonts w:cs="Linux Libertine"/>
        </w:rPr>
        <w:t xml:space="preserve">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58F0DFC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599E788E"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9F6E03">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9F6E03">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9F6E03">
        <w:rPr>
          <w:rFonts w:cs="Linux Libertine"/>
        </w:rPr>
        <w:t xml:space="preserve">(van der </w:t>
      </w:r>
      <w:proofErr w:type="spellStart"/>
      <w:r w:rsidR="009F6E03">
        <w:rPr>
          <w:rFonts w:cs="Linux Libertine"/>
        </w:rPr>
        <w:t>Kroef</w:t>
      </w:r>
      <w:proofErr w:type="spellEnd"/>
      <w:r w:rsidR="009F6E03">
        <w:rPr>
          <w:rFonts w:cs="Linux Libertine"/>
        </w:rPr>
        <w:t xml:space="preserve"> 1953)</w:t>
      </w:r>
      <w:r w:rsidRPr="00672A6A">
        <w:rPr>
          <w:rFonts w:cs="Linux Libertine"/>
        </w:rPr>
        <w:fldChar w:fldCharType="end"/>
      </w:r>
      <w:r w:rsidRPr="00672A6A">
        <w:rPr>
          <w:rFonts w:cs="Linux Libertine"/>
        </w:rPr>
        <w:t xml:space="preserve">. </w:t>
      </w:r>
    </w:p>
    <w:p w14:paraId="1EA5D78D" w14:textId="6DFEDBF2"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9F6E03">
        <w:rPr>
          <w:rFonts w:cs="Linux Libertine"/>
        </w:rPr>
        <w:instrText xml:space="preserve"> ADDIN ZOTERO_ITEM CSL_CITATION {"citationID":"EuZPLGse","properties":{"formattedCitation":"(Timothy Lindsey and Butt 2016; Mietzner and Muhtadi 2020)","plainCitation":"(Timothy 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9F6E03">
        <w:rPr>
          <w:rFonts w:cs="Linux Libertine"/>
        </w:rPr>
        <w:t xml:space="preserve">(Timothy Lindsey and Butt 2016; </w:t>
      </w:r>
      <w:proofErr w:type="spellStart"/>
      <w:r w:rsidR="009F6E03">
        <w:rPr>
          <w:rFonts w:cs="Linux Libertine"/>
        </w:rPr>
        <w:t>Mietzner</w:t>
      </w:r>
      <w:proofErr w:type="spellEnd"/>
      <w:r w:rsidR="009F6E03">
        <w:rPr>
          <w:rFonts w:cs="Linux Libertine"/>
        </w:rPr>
        <w:t xml:space="preserve"> and </w:t>
      </w:r>
      <w:proofErr w:type="spellStart"/>
      <w:r w:rsidR="009F6E03">
        <w:rPr>
          <w:rFonts w:cs="Linux Libertine"/>
        </w:rPr>
        <w:t>Muhtadi</w:t>
      </w:r>
      <w:proofErr w:type="spellEnd"/>
      <w:r w:rsidR="009F6E03">
        <w:rPr>
          <w:rFonts w:cs="Linux Libertine"/>
        </w:rPr>
        <w:t xml:space="preserve">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9F6E03">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176A5C93"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Temperman</w:t>
      </w:r>
      <w:proofErr w:type="spellEnd"/>
      <w:r w:rsidR="009F6E03">
        <w:rPr>
          <w:rFonts w:cs="Linux Libertine"/>
        </w:rPr>
        <w:t xml:space="preserve">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9F6E03">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9F6E03">
        <w:rPr>
          <w:rFonts w:cs="Linux Libertine"/>
        </w:rPr>
        <w:t>(</w:t>
      </w:r>
      <w:proofErr w:type="spellStart"/>
      <w:r w:rsidR="009F6E03">
        <w:rPr>
          <w:rFonts w:cs="Linux Libertine"/>
        </w:rPr>
        <w:t>Kuznetsov</w:t>
      </w:r>
      <w:proofErr w:type="spellEnd"/>
      <w:r w:rsidR="009F6E03">
        <w:rPr>
          <w:rFonts w:cs="Linux Libertine"/>
        </w:rPr>
        <w:t xml:space="preserve"> 2015; </w:t>
      </w:r>
      <w:proofErr w:type="spellStart"/>
      <w:r w:rsidR="009F6E03">
        <w:rPr>
          <w:rFonts w:cs="Linux Libertine"/>
        </w:rPr>
        <w:t>Temperman</w:t>
      </w:r>
      <w:proofErr w:type="spellEnd"/>
      <w:r w:rsidR="009F6E03">
        <w:rPr>
          <w:rFonts w:cs="Linux Libertine"/>
        </w:rPr>
        <w:t xml:space="preserve"> 2015)</w:t>
      </w:r>
      <w:r w:rsidRPr="00672A6A">
        <w:rPr>
          <w:rFonts w:cs="Linux Libertine"/>
          <w:color w:val="333333"/>
        </w:rPr>
        <w:fldChar w:fldCharType="end"/>
      </w:r>
      <w:r w:rsidRPr="00672A6A">
        <w:rPr>
          <w:rFonts w:cs="Linux Libertine"/>
          <w:color w:val="333333"/>
        </w:rPr>
        <w:t>.</w:t>
      </w:r>
    </w:p>
    <w:p w14:paraId="5DC26B0B" w14:textId="6047972C"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9F6E03">
        <w:rPr>
          <w:rFonts w:cs="Linux Libertine"/>
        </w:rPr>
        <w:t>(</w:t>
      </w:r>
      <w:proofErr w:type="spellStart"/>
      <w:r w:rsidR="009F6E03">
        <w:rPr>
          <w:rFonts w:cs="Linux Libertine"/>
        </w:rPr>
        <w:t>Djamin</w:t>
      </w:r>
      <w:proofErr w:type="spellEnd"/>
      <w:r w:rsidR="009F6E03">
        <w:rPr>
          <w:rFonts w:cs="Linux Libertine"/>
        </w:rPr>
        <w:t xml:space="preserve">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9F6E03">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9F6E03">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9F6E03">
        <w:rPr>
          <w:rFonts w:cs="Linux Libertine"/>
        </w:rPr>
        <w:t>(</w:t>
      </w:r>
      <w:proofErr w:type="spellStart"/>
      <w:r w:rsidR="009F6E03">
        <w:rPr>
          <w:rFonts w:cs="Linux Libertine"/>
        </w:rPr>
        <w:t>Gerards</w:t>
      </w:r>
      <w:proofErr w:type="spellEnd"/>
      <w:r w:rsidR="009F6E03">
        <w:rPr>
          <w:rFonts w:cs="Linux Libertine"/>
        </w:rPr>
        <w:t xml:space="preserve">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9F6E03" w:rsidRPr="009F6E03">
        <w:rPr>
          <w:rFonts w:cs="Linux Libertine"/>
        </w:rPr>
        <w:t>(</w:t>
      </w:r>
      <w:proofErr w:type="spellStart"/>
      <w:r w:rsidR="009F6E03" w:rsidRPr="009F6E03">
        <w:rPr>
          <w:rFonts w:cs="Linux Libertine"/>
        </w:rPr>
        <w:t>Anđelković</w:t>
      </w:r>
      <w:proofErr w:type="spellEnd"/>
      <w:r w:rsidR="009F6E03" w:rsidRPr="009F6E03">
        <w:rPr>
          <w:rFonts w:cs="Linux Libertine"/>
        </w:rPr>
        <w:t xml:space="preserve">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2497E046" w:rsidR="006A6489" w:rsidRDefault="00DC0047" w:rsidP="00322058">
      <w:pPr>
        <w:spacing w:line="360" w:lineRule="auto"/>
        <w:jc w:val="both"/>
        <w:rPr>
          <w:rFonts w:cs="Linux Libertine"/>
          <w:color w:val="70AD47" w:themeColor="accent6"/>
        </w:rPr>
      </w:pPr>
      <w:r w:rsidRPr="00672A6A">
        <w:rPr>
          <w:rFonts w:cs="Linux Libertine"/>
        </w:rPr>
        <w:tab/>
      </w:r>
      <w:r w:rsidR="00DB1BE9" w:rsidRPr="00DB1BE9">
        <w:rPr>
          <w:rFonts w:cs="Linux Libertine"/>
        </w:rPr>
        <w:t xml:space="preserve">According to the </w:t>
      </w:r>
      <w:r w:rsidR="00DB1BE9">
        <w:rPr>
          <w:rFonts w:cs="Linux Libertine"/>
        </w:rPr>
        <w:t>Report from</w:t>
      </w:r>
      <w:r w:rsidR="00421A28">
        <w:rPr>
          <w:rFonts w:cs="Linux Libertine"/>
        </w:rPr>
        <w:t xml:space="preserve"> </w:t>
      </w:r>
      <w:r w:rsidR="00421A28">
        <w:rPr>
          <w:rFonts w:cs="Linux Libertine"/>
        </w:rPr>
        <w:fldChar w:fldCharType="begin"/>
      </w:r>
      <w:r w:rsidR="00421A28">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Pr>
          <w:rFonts w:cs="Linux Libertine"/>
        </w:rPr>
        <w:fldChar w:fldCharType="separate"/>
      </w:r>
      <w:r w:rsidR="009F6E03">
        <w:rPr>
          <w:rFonts w:cs="Linux Libertine"/>
          <w:noProof/>
        </w:rPr>
        <w:t>(Theodorou 2016)</w:t>
      </w:r>
      <w:r w:rsidR="00421A28">
        <w:rPr>
          <w:rFonts w:cs="Linux Libertine"/>
        </w:rPr>
        <w:fldChar w:fldCharType="end"/>
      </w:r>
      <w:r w:rsidR="00DB1BE9">
        <w:rPr>
          <w:rFonts w:cs="Linux Libertine"/>
        </w:rPr>
        <w:t xml:space="preserve">, </w:t>
      </w:r>
      <w:r w:rsidR="00DB1BE9" w:rsidRPr="00DB1BE9">
        <w:rPr>
          <w:rFonts w:cs="Linux Libertine"/>
        </w:rPr>
        <w:t>some have successfully repealed the ABL law, but Indonesia has yet to transform into a country that is willing to abolish blasphemy laws.</w:t>
      </w:r>
      <w:r w:rsidRPr="00672A6A">
        <w:rPr>
          <w:rFonts w:cs="Linux Libertine"/>
          <w:color w:val="70AD47" w:themeColor="accent6"/>
        </w:rPr>
        <w:t xml:space="preserve">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5D7A02">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5D7A02">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30FEE37D" w14:textId="77777777" w:rsidR="000757C9" w:rsidRPr="000757C9" w:rsidRDefault="00496D7D" w:rsidP="000757C9">
      <w:pPr>
        <w:pStyle w:val="Bibliography"/>
        <w:rPr>
          <w:color w:val="auto"/>
          <w:lang w:val="en-GB"/>
        </w:rPr>
      </w:pPr>
      <w:r>
        <w:rPr>
          <w:rFonts w:cs="Linux Libertine"/>
        </w:rPr>
        <w:fldChar w:fldCharType="begin"/>
      </w:r>
      <w:r w:rsidR="009F6E03">
        <w:rPr>
          <w:rFonts w:cs="Linux Libertine"/>
        </w:rPr>
        <w:instrText xml:space="preserve"> ADDIN ZOTERO_BIBL {"uncited":[],"omitted":[],"custom":[]} CSL_BIBLIOGRAPHY </w:instrText>
      </w:r>
      <w:r>
        <w:rPr>
          <w:rFonts w:cs="Linux Libertine"/>
        </w:rPr>
        <w:fldChar w:fldCharType="separate"/>
      </w:r>
      <w:r w:rsidR="000757C9" w:rsidRPr="000757C9">
        <w:rPr>
          <w:color w:val="auto"/>
          <w:lang w:val="en-GB"/>
        </w:rPr>
        <w:t xml:space="preserve">Abdulla, Mariam Rawan. 2018. “Culture, Religion, and Freedom of Religion or Belief.” </w:t>
      </w:r>
      <w:r w:rsidR="000757C9" w:rsidRPr="000757C9">
        <w:rPr>
          <w:i/>
          <w:iCs/>
          <w:color w:val="auto"/>
          <w:lang w:val="en-GB"/>
        </w:rPr>
        <w:t>The Review of Faith &amp; International Affairs</w:t>
      </w:r>
      <w:r w:rsidR="000757C9" w:rsidRPr="000757C9">
        <w:rPr>
          <w:color w:val="auto"/>
          <w:lang w:val="en-GB"/>
        </w:rPr>
        <w:t xml:space="preserve"> 16 (4): 102–15.</w:t>
      </w:r>
    </w:p>
    <w:p w14:paraId="3D6A0AAD" w14:textId="77777777" w:rsidR="000757C9" w:rsidRPr="000757C9" w:rsidRDefault="000757C9" w:rsidP="000757C9">
      <w:pPr>
        <w:pStyle w:val="Bibliography"/>
        <w:rPr>
          <w:color w:val="auto"/>
          <w:lang w:val="en-GB"/>
        </w:rPr>
      </w:pPr>
      <w:proofErr w:type="spellStart"/>
      <w:r w:rsidRPr="000757C9">
        <w:rPr>
          <w:color w:val="auto"/>
          <w:lang w:val="en-GB"/>
        </w:rPr>
        <w:t>Anđelković</w:t>
      </w:r>
      <w:proofErr w:type="spellEnd"/>
      <w:r w:rsidRPr="000757C9">
        <w:rPr>
          <w:color w:val="auto"/>
          <w:lang w:val="en-GB"/>
        </w:rPr>
        <w:t xml:space="preserve">, Luka. 2017. “The Elements of Proportionality  As A Principle of Human Rights Limitations.” </w:t>
      </w:r>
      <w:proofErr w:type="spellStart"/>
      <w:r w:rsidRPr="000757C9">
        <w:rPr>
          <w:i/>
          <w:iCs/>
          <w:color w:val="auto"/>
          <w:lang w:val="en-GB"/>
        </w:rPr>
        <w:t>Facta</w:t>
      </w:r>
      <w:proofErr w:type="spellEnd"/>
      <w:r w:rsidRPr="000757C9">
        <w:rPr>
          <w:i/>
          <w:iCs/>
          <w:color w:val="auto"/>
          <w:lang w:val="en-GB"/>
        </w:rPr>
        <w:t xml:space="preserve"> Universitatis, Series: Law and Politics</w:t>
      </w:r>
      <w:r w:rsidRPr="000757C9">
        <w:rPr>
          <w:color w:val="auto"/>
          <w:lang w:val="en-GB"/>
        </w:rPr>
        <w:t>, 235. https://doi.org/10.22190/fulp1703235a.</w:t>
      </w:r>
    </w:p>
    <w:p w14:paraId="282867A4" w14:textId="77777777" w:rsidR="000757C9" w:rsidRPr="000757C9" w:rsidRDefault="000757C9" w:rsidP="000757C9">
      <w:pPr>
        <w:pStyle w:val="Bibliography"/>
        <w:rPr>
          <w:color w:val="auto"/>
          <w:lang w:val="en-GB"/>
        </w:rPr>
      </w:pPr>
      <w:r w:rsidRPr="000757C9">
        <w:rPr>
          <w:color w:val="auto"/>
          <w:lang w:val="en-GB"/>
        </w:rPr>
        <w:t>An-</w:t>
      </w:r>
      <w:proofErr w:type="spellStart"/>
      <w:r w:rsidRPr="000757C9">
        <w:rPr>
          <w:color w:val="auto"/>
          <w:lang w:val="en-GB"/>
        </w:rPr>
        <w:t>Naim</w:t>
      </w:r>
      <w:proofErr w:type="spellEnd"/>
      <w:r w:rsidRPr="000757C9">
        <w:rPr>
          <w:color w:val="auto"/>
          <w:lang w:val="en-GB"/>
        </w:rPr>
        <w:t xml:space="preserve">, Abdullahi Ahmed. 2008. </w:t>
      </w:r>
      <w:r w:rsidRPr="000757C9">
        <w:rPr>
          <w:i/>
          <w:iCs/>
          <w:color w:val="auto"/>
          <w:lang w:val="en-GB"/>
        </w:rPr>
        <w:t xml:space="preserve">Islam and the Secular State: Negotiating the Future of </w:t>
      </w:r>
      <w:proofErr w:type="spellStart"/>
      <w:r w:rsidRPr="000757C9">
        <w:rPr>
          <w:i/>
          <w:iCs/>
          <w:color w:val="auto"/>
          <w:lang w:val="en-GB"/>
        </w:rPr>
        <w:t>Shari’a</w:t>
      </w:r>
      <w:proofErr w:type="spellEnd"/>
      <w:r w:rsidRPr="000757C9">
        <w:rPr>
          <w:color w:val="auto"/>
          <w:lang w:val="en-GB"/>
        </w:rPr>
        <w:t>. Harvard University Press.</w:t>
      </w:r>
    </w:p>
    <w:p w14:paraId="311CBB6C" w14:textId="77777777" w:rsidR="000757C9" w:rsidRPr="000757C9" w:rsidRDefault="000757C9" w:rsidP="000757C9">
      <w:pPr>
        <w:pStyle w:val="Bibliography"/>
        <w:rPr>
          <w:color w:val="auto"/>
          <w:lang w:val="en-GB"/>
        </w:rPr>
      </w:pPr>
      <w:proofErr w:type="spellStart"/>
      <w:r w:rsidRPr="000757C9">
        <w:rPr>
          <w:color w:val="auto"/>
          <w:lang w:val="en-GB"/>
        </w:rPr>
        <w:t>Arato</w:t>
      </w:r>
      <w:proofErr w:type="spellEnd"/>
      <w:r w:rsidRPr="000757C9">
        <w:rPr>
          <w:color w:val="auto"/>
          <w:lang w:val="en-GB"/>
        </w:rPr>
        <w:t xml:space="preserve">, J. 2012. “Constitutionality and Constitutionalism beyond the State: Two Perspectives on the Material Constitution of the United Nations.” </w:t>
      </w:r>
      <w:r w:rsidRPr="000757C9">
        <w:rPr>
          <w:i/>
          <w:iCs/>
          <w:color w:val="auto"/>
          <w:lang w:val="en-GB"/>
        </w:rPr>
        <w:t>International Journal of Constitutional Law</w:t>
      </w:r>
      <w:r w:rsidRPr="000757C9">
        <w:rPr>
          <w:color w:val="auto"/>
          <w:lang w:val="en-GB"/>
        </w:rPr>
        <w:t xml:space="preserve"> 10 (3): 627–59. https://doi.org/10.1093/icon/mor079.</w:t>
      </w:r>
    </w:p>
    <w:p w14:paraId="364EE498" w14:textId="77777777" w:rsidR="000757C9" w:rsidRPr="000757C9" w:rsidRDefault="000757C9" w:rsidP="000757C9">
      <w:pPr>
        <w:pStyle w:val="Bibliography"/>
        <w:rPr>
          <w:color w:val="auto"/>
          <w:lang w:val="en-GB"/>
        </w:rPr>
      </w:pPr>
      <w:proofErr w:type="spellStart"/>
      <w:r w:rsidRPr="000757C9">
        <w:rPr>
          <w:color w:val="auto"/>
          <w:lang w:val="en-GB"/>
        </w:rPr>
        <w:t>Arief</w:t>
      </w:r>
      <w:proofErr w:type="spellEnd"/>
      <w:r w:rsidRPr="000757C9">
        <w:rPr>
          <w:color w:val="auto"/>
          <w:lang w:val="en-GB"/>
        </w:rPr>
        <w:t xml:space="preserve">, B.N. 2012. </w:t>
      </w:r>
      <w:proofErr w:type="spellStart"/>
      <w:r w:rsidRPr="000757C9">
        <w:rPr>
          <w:i/>
          <w:iCs/>
          <w:color w:val="auto"/>
          <w:lang w:val="en-GB"/>
        </w:rPr>
        <w:t>Delik</w:t>
      </w:r>
      <w:proofErr w:type="spellEnd"/>
      <w:r w:rsidRPr="000757C9">
        <w:rPr>
          <w:i/>
          <w:iCs/>
          <w:color w:val="auto"/>
          <w:lang w:val="en-GB"/>
        </w:rPr>
        <w:t xml:space="preserve"> Agama Dan </w:t>
      </w:r>
      <w:proofErr w:type="spellStart"/>
      <w:r w:rsidRPr="000757C9">
        <w:rPr>
          <w:i/>
          <w:iCs/>
          <w:color w:val="auto"/>
          <w:lang w:val="en-GB"/>
        </w:rPr>
        <w:t>Penghinaan</w:t>
      </w:r>
      <w:proofErr w:type="spellEnd"/>
      <w:r w:rsidRPr="000757C9">
        <w:rPr>
          <w:i/>
          <w:iCs/>
          <w:color w:val="auto"/>
          <w:lang w:val="en-GB"/>
        </w:rPr>
        <w:t xml:space="preserve"> </w:t>
      </w:r>
      <w:proofErr w:type="spellStart"/>
      <w:r w:rsidRPr="000757C9">
        <w:rPr>
          <w:i/>
          <w:iCs/>
          <w:color w:val="auto"/>
          <w:lang w:val="en-GB"/>
        </w:rPr>
        <w:t>Tuhan</w:t>
      </w:r>
      <w:proofErr w:type="spellEnd"/>
      <w:r w:rsidRPr="000757C9">
        <w:rPr>
          <w:i/>
          <w:iCs/>
          <w:color w:val="auto"/>
          <w:lang w:val="en-GB"/>
        </w:rPr>
        <w:t xml:space="preserve"> (Blasphemy) Di Indonesia Dan </w:t>
      </w:r>
      <w:proofErr w:type="spellStart"/>
      <w:r w:rsidRPr="000757C9">
        <w:rPr>
          <w:i/>
          <w:iCs/>
          <w:color w:val="auto"/>
          <w:lang w:val="en-GB"/>
        </w:rPr>
        <w:t>Perbandingan</w:t>
      </w:r>
      <w:proofErr w:type="spellEnd"/>
      <w:r w:rsidRPr="000757C9">
        <w:rPr>
          <w:i/>
          <w:iCs/>
          <w:color w:val="auto"/>
          <w:lang w:val="en-GB"/>
        </w:rPr>
        <w:t xml:space="preserve"> </w:t>
      </w:r>
      <w:proofErr w:type="spellStart"/>
      <w:r w:rsidRPr="000757C9">
        <w:rPr>
          <w:i/>
          <w:iCs/>
          <w:color w:val="auto"/>
          <w:lang w:val="en-GB"/>
        </w:rPr>
        <w:t>Beberapa</w:t>
      </w:r>
      <w:proofErr w:type="spellEnd"/>
      <w:r w:rsidRPr="000757C9">
        <w:rPr>
          <w:i/>
          <w:iCs/>
          <w:color w:val="auto"/>
          <w:lang w:val="en-GB"/>
        </w:rPr>
        <w:t xml:space="preserve"> Negara</w:t>
      </w:r>
      <w:r w:rsidRPr="000757C9">
        <w:rPr>
          <w:color w:val="auto"/>
          <w:lang w:val="en-GB"/>
        </w:rPr>
        <w:t xml:space="preserve">. Semarang: </w:t>
      </w:r>
      <w:proofErr w:type="spellStart"/>
      <w:r w:rsidRPr="000757C9">
        <w:rPr>
          <w:color w:val="auto"/>
          <w:lang w:val="en-GB"/>
        </w:rPr>
        <w:t>Bidang</w:t>
      </w:r>
      <w:proofErr w:type="spellEnd"/>
      <w:r w:rsidRPr="000757C9">
        <w:rPr>
          <w:color w:val="auto"/>
          <w:lang w:val="en-GB"/>
        </w:rPr>
        <w:t xml:space="preserve"> </w:t>
      </w:r>
      <w:proofErr w:type="spellStart"/>
      <w:r w:rsidRPr="000757C9">
        <w:rPr>
          <w:color w:val="auto"/>
          <w:lang w:val="en-GB"/>
        </w:rPr>
        <w:t>Penerbit</w:t>
      </w:r>
      <w:proofErr w:type="spellEnd"/>
      <w:r w:rsidRPr="000757C9">
        <w:rPr>
          <w:color w:val="auto"/>
          <w:lang w:val="en-GB"/>
        </w:rPr>
        <w:t xml:space="preserve"> Universitas </w:t>
      </w:r>
      <w:proofErr w:type="spellStart"/>
      <w:r w:rsidRPr="000757C9">
        <w:rPr>
          <w:color w:val="auto"/>
          <w:lang w:val="en-GB"/>
        </w:rPr>
        <w:t>Diponegoro</w:t>
      </w:r>
      <w:proofErr w:type="spellEnd"/>
      <w:r w:rsidRPr="000757C9">
        <w:rPr>
          <w:color w:val="auto"/>
          <w:lang w:val="en-GB"/>
        </w:rPr>
        <w:t>.</w:t>
      </w:r>
    </w:p>
    <w:p w14:paraId="0BA46434" w14:textId="77777777" w:rsidR="000757C9" w:rsidRPr="000757C9" w:rsidRDefault="000757C9" w:rsidP="000757C9">
      <w:pPr>
        <w:pStyle w:val="Bibliography"/>
        <w:rPr>
          <w:color w:val="auto"/>
          <w:lang w:val="en-GB"/>
        </w:rPr>
      </w:pPr>
      <w:proofErr w:type="spellStart"/>
      <w:r w:rsidRPr="000757C9">
        <w:rPr>
          <w:color w:val="auto"/>
          <w:lang w:val="en-GB"/>
        </w:rPr>
        <w:t>As’ad</w:t>
      </w:r>
      <w:proofErr w:type="spellEnd"/>
      <w:r w:rsidRPr="000757C9">
        <w:rPr>
          <w:color w:val="auto"/>
          <w:lang w:val="en-GB"/>
        </w:rPr>
        <w:t xml:space="preserve">, Said Ali. 2009. </w:t>
      </w:r>
      <w:r w:rsidRPr="000757C9">
        <w:rPr>
          <w:i/>
          <w:iCs/>
          <w:color w:val="auto"/>
          <w:lang w:val="en-GB"/>
        </w:rPr>
        <w:t xml:space="preserve">Negara Pancasila: Jalan </w:t>
      </w:r>
      <w:proofErr w:type="spellStart"/>
      <w:r w:rsidRPr="000757C9">
        <w:rPr>
          <w:i/>
          <w:iCs/>
          <w:color w:val="auto"/>
          <w:lang w:val="en-GB"/>
        </w:rPr>
        <w:t>Kemaslahatan</w:t>
      </w:r>
      <w:proofErr w:type="spellEnd"/>
      <w:r w:rsidRPr="000757C9">
        <w:rPr>
          <w:i/>
          <w:iCs/>
          <w:color w:val="auto"/>
          <w:lang w:val="en-GB"/>
        </w:rPr>
        <w:t xml:space="preserve"> </w:t>
      </w:r>
      <w:proofErr w:type="spellStart"/>
      <w:r w:rsidRPr="000757C9">
        <w:rPr>
          <w:i/>
          <w:iCs/>
          <w:color w:val="auto"/>
          <w:lang w:val="en-GB"/>
        </w:rPr>
        <w:t>Berbangsa</w:t>
      </w:r>
      <w:proofErr w:type="spellEnd"/>
      <w:r w:rsidRPr="000757C9">
        <w:rPr>
          <w:color w:val="auto"/>
          <w:lang w:val="en-GB"/>
        </w:rPr>
        <w:t>. Jakarta: LP3ES.</w:t>
      </w:r>
    </w:p>
    <w:p w14:paraId="3CA4CF38" w14:textId="77777777" w:rsidR="000757C9" w:rsidRPr="000757C9" w:rsidRDefault="000757C9" w:rsidP="000757C9">
      <w:pPr>
        <w:pStyle w:val="Bibliography"/>
        <w:rPr>
          <w:color w:val="auto"/>
          <w:lang w:val="en-GB"/>
        </w:rPr>
      </w:pPr>
      <w:proofErr w:type="spellStart"/>
      <w:r w:rsidRPr="000757C9">
        <w:rPr>
          <w:color w:val="auto"/>
          <w:lang w:val="en-GB"/>
        </w:rPr>
        <w:t>Asshiddiqie</w:t>
      </w:r>
      <w:proofErr w:type="spellEnd"/>
      <w:r w:rsidRPr="000757C9">
        <w:rPr>
          <w:color w:val="auto"/>
          <w:lang w:val="en-GB"/>
        </w:rPr>
        <w:t xml:space="preserve">, </w:t>
      </w:r>
      <w:proofErr w:type="spellStart"/>
      <w:r w:rsidRPr="000757C9">
        <w:rPr>
          <w:color w:val="auto"/>
          <w:lang w:val="en-GB"/>
        </w:rPr>
        <w:t>Jimly</w:t>
      </w:r>
      <w:proofErr w:type="spellEnd"/>
      <w:r w:rsidRPr="000757C9">
        <w:rPr>
          <w:color w:val="auto"/>
          <w:lang w:val="en-GB"/>
        </w:rPr>
        <w:t>. 2018. “Constitutional Adjudication And Democracy.” Presentation presented at the The International Symposium on Constitutional Adjudication and Democracy, South Korea, August. http://jimly.com/makalah/namafile/211/CONSTITUTIONAL_ADJUDICATION___DEMOCRACY.pdf.</w:t>
      </w:r>
    </w:p>
    <w:p w14:paraId="19AE7741" w14:textId="77777777" w:rsidR="000757C9" w:rsidRPr="000757C9" w:rsidRDefault="000757C9" w:rsidP="000757C9">
      <w:pPr>
        <w:pStyle w:val="Bibliography"/>
        <w:rPr>
          <w:color w:val="auto"/>
          <w:lang w:val="en-GB"/>
        </w:rPr>
      </w:pPr>
      <w:r w:rsidRPr="000757C9">
        <w:rPr>
          <w:color w:val="auto"/>
          <w:lang w:val="en-GB"/>
        </w:rPr>
        <w:t xml:space="preserve">Atsushi, Ota, Okamoto Masaaki, and Ahmad </w:t>
      </w:r>
      <w:proofErr w:type="spellStart"/>
      <w:r w:rsidRPr="000757C9">
        <w:rPr>
          <w:color w:val="auto"/>
          <w:lang w:val="en-GB"/>
        </w:rPr>
        <w:t>Suaedy</w:t>
      </w:r>
      <w:proofErr w:type="spellEnd"/>
      <w:r w:rsidRPr="000757C9">
        <w:rPr>
          <w:color w:val="auto"/>
          <w:lang w:val="en-GB"/>
        </w:rPr>
        <w:t xml:space="preserve">. 2010. </w:t>
      </w:r>
      <w:r w:rsidRPr="000757C9">
        <w:rPr>
          <w:i/>
          <w:iCs/>
          <w:color w:val="auto"/>
          <w:lang w:val="en-GB"/>
        </w:rPr>
        <w:t>Islam in Contention: Rethinking Islam and State in Indonesia</w:t>
      </w:r>
      <w:r w:rsidRPr="000757C9">
        <w:rPr>
          <w:color w:val="auto"/>
          <w:lang w:val="en-GB"/>
        </w:rPr>
        <w:t>. Jakarta: The Wahid Institute-CSEAS-CAPAS.</w:t>
      </w:r>
    </w:p>
    <w:p w14:paraId="5521BF45" w14:textId="77777777" w:rsidR="000757C9" w:rsidRPr="000757C9" w:rsidRDefault="000757C9" w:rsidP="000757C9">
      <w:pPr>
        <w:pStyle w:val="Bibliography"/>
        <w:rPr>
          <w:color w:val="auto"/>
          <w:lang w:val="en-GB"/>
        </w:rPr>
      </w:pPr>
      <w:proofErr w:type="spellStart"/>
      <w:r w:rsidRPr="000757C9">
        <w:rPr>
          <w:color w:val="auto"/>
          <w:lang w:val="en-GB"/>
        </w:rPr>
        <w:t>Bedner</w:t>
      </w:r>
      <w:proofErr w:type="spellEnd"/>
      <w:r w:rsidRPr="000757C9">
        <w:rPr>
          <w:color w:val="auto"/>
          <w:lang w:val="en-GB"/>
        </w:rPr>
        <w:t xml:space="preserve">, A., and J.A.C. Vel. 2010. “An Analytical Framework for Empirical Research on Access to Justice.” </w:t>
      </w:r>
      <w:r w:rsidRPr="000757C9">
        <w:rPr>
          <w:i/>
          <w:iCs/>
          <w:color w:val="auto"/>
          <w:lang w:val="en-GB"/>
        </w:rPr>
        <w:t>Law, Social Justice &amp; Global Development Journal (LGD)</w:t>
      </w:r>
      <w:r w:rsidRPr="000757C9">
        <w:rPr>
          <w:color w:val="auto"/>
          <w:lang w:val="en-GB"/>
        </w:rPr>
        <w:t>.</w:t>
      </w:r>
    </w:p>
    <w:p w14:paraId="0AB39EEC" w14:textId="77777777" w:rsidR="000757C9" w:rsidRPr="000757C9" w:rsidRDefault="000757C9" w:rsidP="000757C9">
      <w:pPr>
        <w:pStyle w:val="Bibliography"/>
        <w:rPr>
          <w:color w:val="auto"/>
          <w:lang w:val="en-GB"/>
        </w:rPr>
      </w:pPr>
      <w:proofErr w:type="spellStart"/>
      <w:r w:rsidRPr="000757C9">
        <w:rPr>
          <w:color w:val="auto"/>
          <w:lang w:val="en-GB"/>
        </w:rPr>
        <w:t>Bielefeldt</w:t>
      </w:r>
      <w:proofErr w:type="spellEnd"/>
      <w:r w:rsidRPr="000757C9">
        <w:rPr>
          <w:color w:val="auto"/>
          <w:lang w:val="en-GB"/>
        </w:rPr>
        <w:t xml:space="preserve">, Heiner. 2012. </w:t>
      </w:r>
      <w:proofErr w:type="spellStart"/>
      <w:r w:rsidRPr="000757C9">
        <w:rPr>
          <w:i/>
          <w:iCs/>
          <w:color w:val="auto"/>
          <w:lang w:val="en-GB"/>
        </w:rPr>
        <w:t>Streit</w:t>
      </w:r>
      <w:proofErr w:type="spellEnd"/>
      <w:r w:rsidRPr="000757C9">
        <w:rPr>
          <w:i/>
          <w:iCs/>
          <w:color w:val="auto"/>
          <w:lang w:val="en-GB"/>
        </w:rPr>
        <w:t xml:space="preserve"> Um Die </w:t>
      </w:r>
      <w:proofErr w:type="spellStart"/>
      <w:r w:rsidRPr="000757C9">
        <w:rPr>
          <w:i/>
          <w:iCs/>
          <w:color w:val="auto"/>
          <w:lang w:val="en-GB"/>
        </w:rPr>
        <w:t>Religionsfreiheit</w:t>
      </w:r>
      <w:proofErr w:type="spellEnd"/>
      <w:r w:rsidRPr="000757C9">
        <w:rPr>
          <w:i/>
          <w:iCs/>
          <w:color w:val="auto"/>
          <w:lang w:val="en-GB"/>
        </w:rPr>
        <w:t xml:space="preserve"> </w:t>
      </w:r>
      <w:proofErr w:type="spellStart"/>
      <w:r w:rsidRPr="000757C9">
        <w:rPr>
          <w:i/>
          <w:iCs/>
          <w:color w:val="auto"/>
          <w:lang w:val="en-GB"/>
        </w:rPr>
        <w:t>Aktuelle</w:t>
      </w:r>
      <w:proofErr w:type="spellEnd"/>
      <w:r w:rsidRPr="000757C9">
        <w:rPr>
          <w:i/>
          <w:iCs/>
          <w:color w:val="auto"/>
          <w:lang w:val="en-GB"/>
        </w:rPr>
        <w:t xml:space="preserve"> </w:t>
      </w:r>
      <w:proofErr w:type="spellStart"/>
      <w:r w:rsidRPr="000757C9">
        <w:rPr>
          <w:i/>
          <w:iCs/>
          <w:color w:val="auto"/>
          <w:lang w:val="en-GB"/>
        </w:rPr>
        <w:t>Facetten</w:t>
      </w:r>
      <w:proofErr w:type="spellEnd"/>
      <w:r w:rsidRPr="000757C9">
        <w:rPr>
          <w:i/>
          <w:iCs/>
          <w:color w:val="auto"/>
          <w:lang w:val="en-GB"/>
        </w:rPr>
        <w:t xml:space="preserve"> Der Internationalen </w:t>
      </w:r>
      <w:proofErr w:type="spellStart"/>
      <w:r w:rsidRPr="000757C9">
        <w:rPr>
          <w:i/>
          <w:iCs/>
          <w:color w:val="auto"/>
          <w:lang w:val="en-GB"/>
        </w:rPr>
        <w:t>Debatte</w:t>
      </w:r>
      <w:proofErr w:type="spellEnd"/>
      <w:r w:rsidRPr="000757C9">
        <w:rPr>
          <w:color w:val="auto"/>
          <w:lang w:val="en-GB"/>
        </w:rPr>
        <w:t xml:space="preserve">. Erlangen </w:t>
      </w:r>
      <w:proofErr w:type="spellStart"/>
      <w:r w:rsidRPr="000757C9">
        <w:rPr>
          <w:color w:val="auto"/>
          <w:lang w:val="en-GB"/>
        </w:rPr>
        <w:t>Präsident</w:t>
      </w:r>
      <w:proofErr w:type="spellEnd"/>
      <w:r w:rsidRPr="000757C9">
        <w:rPr>
          <w:color w:val="auto"/>
          <w:lang w:val="en-GB"/>
        </w:rPr>
        <w:t xml:space="preserve"> der Friedrich-Alexander-Univ.</w:t>
      </w:r>
    </w:p>
    <w:p w14:paraId="27E489F2" w14:textId="77777777" w:rsidR="000757C9" w:rsidRPr="000757C9" w:rsidRDefault="000757C9" w:rsidP="000757C9">
      <w:pPr>
        <w:pStyle w:val="Bibliography"/>
        <w:rPr>
          <w:color w:val="auto"/>
          <w:lang w:val="en-GB"/>
        </w:rPr>
      </w:pPr>
      <w:r w:rsidRPr="000757C9">
        <w:rPr>
          <w:color w:val="auto"/>
          <w:lang w:val="en-GB"/>
        </w:rPr>
        <w:t xml:space="preserve">Biswas, Paul S. 2020. </w:t>
      </w:r>
      <w:r w:rsidRPr="000757C9">
        <w:rPr>
          <w:i/>
          <w:iCs/>
          <w:color w:val="auto"/>
          <w:lang w:val="en-GB"/>
        </w:rPr>
        <w:t>Perceptions of Christianity Among South Asian Muslims in America</w:t>
      </w:r>
      <w:r w:rsidRPr="000757C9">
        <w:rPr>
          <w:color w:val="auto"/>
          <w:lang w:val="en-GB"/>
        </w:rPr>
        <w:t xml:space="preserve">. </w:t>
      </w:r>
      <w:proofErr w:type="spellStart"/>
      <w:r w:rsidRPr="000757C9">
        <w:rPr>
          <w:color w:val="auto"/>
          <w:lang w:val="en-GB"/>
        </w:rPr>
        <w:t>WestBow</w:t>
      </w:r>
      <w:proofErr w:type="spellEnd"/>
      <w:r w:rsidRPr="000757C9">
        <w:rPr>
          <w:color w:val="auto"/>
          <w:lang w:val="en-GB"/>
        </w:rPr>
        <w:t xml:space="preserve"> Press.</w:t>
      </w:r>
    </w:p>
    <w:p w14:paraId="058CC3F6" w14:textId="77777777" w:rsidR="000757C9" w:rsidRPr="000757C9" w:rsidRDefault="000757C9" w:rsidP="000757C9">
      <w:pPr>
        <w:pStyle w:val="Bibliography"/>
        <w:rPr>
          <w:color w:val="auto"/>
          <w:lang w:val="en-GB"/>
        </w:rPr>
      </w:pPr>
      <w:r w:rsidRPr="000757C9">
        <w:rPr>
          <w:color w:val="auto"/>
          <w:lang w:val="en-GB"/>
        </w:rPr>
        <w:lastRenderedPageBreak/>
        <w:t xml:space="preserve">Carothers, Thomas. 2010. </w:t>
      </w:r>
      <w:r w:rsidRPr="000757C9">
        <w:rPr>
          <w:i/>
          <w:iCs/>
          <w:color w:val="auto"/>
          <w:lang w:val="en-GB"/>
        </w:rPr>
        <w:t>Promoting the Rule of Law Abroad: In Search of Knowledge</w:t>
      </w:r>
      <w:r w:rsidRPr="000757C9">
        <w:rPr>
          <w:color w:val="auto"/>
          <w:lang w:val="en-GB"/>
        </w:rPr>
        <w:t>. Brookings Institution Press.</w:t>
      </w:r>
    </w:p>
    <w:p w14:paraId="04466CF1" w14:textId="77777777" w:rsidR="000757C9" w:rsidRPr="000757C9" w:rsidRDefault="000757C9" w:rsidP="000757C9">
      <w:pPr>
        <w:pStyle w:val="Bibliography"/>
        <w:rPr>
          <w:color w:val="auto"/>
          <w:lang w:val="en-GB"/>
        </w:rPr>
      </w:pPr>
      <w:r w:rsidRPr="000757C9">
        <w:rPr>
          <w:color w:val="auto"/>
          <w:lang w:val="en-GB"/>
        </w:rPr>
        <w:t xml:space="preserve">Cohen, David. 2018. </w:t>
      </w:r>
      <w:r w:rsidRPr="000757C9">
        <w:rPr>
          <w:i/>
          <w:iCs/>
          <w:color w:val="auto"/>
          <w:lang w:val="en-GB"/>
        </w:rPr>
        <w:t>Interpretations of Article 156a of the Indonesian Criminal Code on Blasphemy and Religious Defamation (A Legal and Human Rights Analysis)</w:t>
      </w:r>
      <w:r w:rsidRPr="000757C9">
        <w:rPr>
          <w:color w:val="auto"/>
          <w:lang w:val="en-GB"/>
        </w:rPr>
        <w:t xml:space="preserve">. Jakarta: Indonesian Institute the Independent Judiciary Lembaga Kajian dan </w:t>
      </w:r>
      <w:proofErr w:type="spellStart"/>
      <w:r w:rsidRPr="000757C9">
        <w:rPr>
          <w:color w:val="auto"/>
          <w:lang w:val="en-GB"/>
        </w:rPr>
        <w:t>Advokasi</w:t>
      </w:r>
      <w:proofErr w:type="spellEnd"/>
      <w:r w:rsidRPr="000757C9">
        <w:rPr>
          <w:color w:val="auto"/>
          <w:lang w:val="en-GB"/>
        </w:rPr>
        <w:t xml:space="preserve"> </w:t>
      </w:r>
      <w:proofErr w:type="spellStart"/>
      <w:r w:rsidRPr="000757C9">
        <w:rPr>
          <w:color w:val="auto"/>
          <w:lang w:val="en-GB"/>
        </w:rPr>
        <w:t>Independensi</w:t>
      </w:r>
      <w:proofErr w:type="spellEnd"/>
      <w:r w:rsidRPr="000757C9">
        <w:rPr>
          <w:color w:val="auto"/>
          <w:lang w:val="en-GB"/>
        </w:rPr>
        <w:t xml:space="preserve"> </w:t>
      </w:r>
      <w:proofErr w:type="spellStart"/>
      <w:r w:rsidRPr="000757C9">
        <w:rPr>
          <w:color w:val="auto"/>
          <w:lang w:val="en-GB"/>
        </w:rPr>
        <w:t>Peradilan</w:t>
      </w:r>
      <w:proofErr w:type="spellEnd"/>
      <w:r w:rsidRPr="000757C9">
        <w:rPr>
          <w:color w:val="auto"/>
          <w:lang w:val="en-GB"/>
        </w:rPr>
        <w:t xml:space="preserve"> (</w:t>
      </w:r>
      <w:proofErr w:type="spellStart"/>
      <w:r w:rsidRPr="000757C9">
        <w:rPr>
          <w:color w:val="auto"/>
          <w:lang w:val="en-GB"/>
        </w:rPr>
        <w:t>LeIP</w:t>
      </w:r>
      <w:proofErr w:type="spellEnd"/>
      <w:r w:rsidRPr="000757C9">
        <w:rPr>
          <w:color w:val="auto"/>
          <w:lang w:val="en-GB"/>
        </w:rPr>
        <w:t>). https://leip.or.id/wp-content/uploads/2018/10/LeIP-Interpretations-of-Article-156A-of-The-Indonesian-Criminal-Code-On-Blasphemy-and-Religious-Defamation-a-Legal-and-Human-Right-Analysis.pdf.</w:t>
      </w:r>
    </w:p>
    <w:p w14:paraId="1CCE1259" w14:textId="77777777" w:rsidR="000757C9" w:rsidRPr="000757C9" w:rsidRDefault="000757C9" w:rsidP="000757C9">
      <w:pPr>
        <w:pStyle w:val="Bibliography"/>
        <w:rPr>
          <w:color w:val="auto"/>
          <w:lang w:val="en-GB"/>
        </w:rPr>
      </w:pPr>
      <w:proofErr w:type="spellStart"/>
      <w:r w:rsidRPr="000757C9">
        <w:rPr>
          <w:color w:val="auto"/>
          <w:lang w:val="en-GB"/>
        </w:rPr>
        <w:t>Colbran</w:t>
      </w:r>
      <w:proofErr w:type="spellEnd"/>
      <w:r w:rsidRPr="000757C9">
        <w:rPr>
          <w:color w:val="auto"/>
          <w:lang w:val="en-GB"/>
        </w:rPr>
        <w:t xml:space="preserve">, Nicola. 2015. “Sense and Simplicity in Legal and Human Rights Co-Operation: A Case Study of Indonesia.” </w:t>
      </w:r>
      <w:r w:rsidRPr="000757C9">
        <w:rPr>
          <w:i/>
          <w:iCs/>
          <w:color w:val="auto"/>
          <w:lang w:val="en-GB"/>
        </w:rPr>
        <w:t>Asian Journal of Law and Society</w:t>
      </w:r>
      <w:r w:rsidRPr="000757C9">
        <w:rPr>
          <w:color w:val="auto"/>
          <w:lang w:val="en-GB"/>
        </w:rPr>
        <w:t xml:space="preserve"> 2 (1): 195–206. https://doi.org/10.1017/als.2015.3.</w:t>
      </w:r>
    </w:p>
    <w:p w14:paraId="28A2AE09" w14:textId="77777777" w:rsidR="000757C9" w:rsidRPr="000757C9" w:rsidRDefault="000757C9" w:rsidP="000757C9">
      <w:pPr>
        <w:pStyle w:val="Bibliography"/>
        <w:rPr>
          <w:color w:val="auto"/>
          <w:lang w:val="en-GB"/>
        </w:rPr>
      </w:pPr>
      <w:r w:rsidRPr="000757C9">
        <w:rPr>
          <w:color w:val="auto"/>
          <w:lang w:val="en-GB"/>
        </w:rPr>
        <w:t xml:space="preserve">Creutzfeldt, Naomi, Marc Mason, and Kirsten </w:t>
      </w:r>
      <w:proofErr w:type="spellStart"/>
      <w:r w:rsidRPr="000757C9">
        <w:rPr>
          <w:color w:val="auto"/>
          <w:lang w:val="en-GB"/>
        </w:rPr>
        <w:t>McConnachie</w:t>
      </w:r>
      <w:proofErr w:type="spellEnd"/>
      <w:r w:rsidRPr="000757C9">
        <w:rPr>
          <w:color w:val="auto"/>
          <w:lang w:val="en-GB"/>
        </w:rPr>
        <w:t xml:space="preserve">, eds. 2020. </w:t>
      </w:r>
      <w:r w:rsidRPr="000757C9">
        <w:rPr>
          <w:i/>
          <w:iCs/>
          <w:color w:val="auto"/>
          <w:lang w:val="en-GB"/>
        </w:rPr>
        <w:t>Routledge Handbook of Socio-Legal Theory and Methods</w:t>
      </w:r>
      <w:r w:rsidRPr="000757C9">
        <w:rPr>
          <w:color w:val="auto"/>
          <w:lang w:val="en-GB"/>
        </w:rPr>
        <w:t>. London ; New York: Routledge.</w:t>
      </w:r>
    </w:p>
    <w:p w14:paraId="03FB509C" w14:textId="77777777" w:rsidR="000757C9" w:rsidRPr="000757C9" w:rsidRDefault="000757C9" w:rsidP="000757C9">
      <w:pPr>
        <w:pStyle w:val="Bibliography"/>
        <w:rPr>
          <w:color w:val="auto"/>
          <w:lang w:val="en-GB"/>
        </w:rPr>
      </w:pPr>
      <w:r w:rsidRPr="000757C9">
        <w:rPr>
          <w:color w:val="auto"/>
          <w:lang w:val="en-GB"/>
        </w:rPr>
        <w:t xml:space="preserve">Crouch, Melissa A. 2011. “Law and Religion in Indonesia: The Constitutional Court and the Blasphemy Law.” </w:t>
      </w:r>
      <w:r w:rsidRPr="000757C9">
        <w:rPr>
          <w:i/>
          <w:iCs/>
          <w:color w:val="auto"/>
          <w:lang w:val="en-GB"/>
        </w:rPr>
        <w:t>Asian Journal of Comparative Law</w:t>
      </w:r>
      <w:r w:rsidRPr="000757C9">
        <w:rPr>
          <w:color w:val="auto"/>
          <w:lang w:val="en-GB"/>
        </w:rPr>
        <w:t xml:space="preserve"> 7: 1–46. https://doi.org/10.1017/s2194607800000582.</w:t>
      </w:r>
    </w:p>
    <w:p w14:paraId="5B503322" w14:textId="77777777" w:rsidR="000757C9" w:rsidRPr="000757C9" w:rsidRDefault="000757C9" w:rsidP="000757C9">
      <w:pPr>
        <w:pStyle w:val="Bibliography"/>
        <w:rPr>
          <w:color w:val="auto"/>
          <w:lang w:val="en-GB"/>
        </w:rPr>
      </w:pPr>
      <w:r w:rsidRPr="000757C9">
        <w:rPr>
          <w:color w:val="auto"/>
          <w:lang w:val="en-GB"/>
        </w:rPr>
        <w:t xml:space="preserve">Daniels, Ronald J, and Michael </w:t>
      </w:r>
      <w:proofErr w:type="spellStart"/>
      <w:r w:rsidRPr="000757C9">
        <w:rPr>
          <w:color w:val="auto"/>
          <w:lang w:val="en-GB"/>
        </w:rPr>
        <w:t>Trebilcock</w:t>
      </w:r>
      <w:proofErr w:type="spellEnd"/>
      <w:r w:rsidRPr="000757C9">
        <w:rPr>
          <w:color w:val="auto"/>
          <w:lang w:val="en-GB"/>
        </w:rPr>
        <w:t xml:space="preserve">. 2004. “The Political Economy of Rule of Law Reform in Developing Countries.” </w:t>
      </w:r>
      <w:r w:rsidRPr="000757C9">
        <w:rPr>
          <w:i/>
          <w:iCs/>
          <w:color w:val="auto"/>
          <w:lang w:val="en-GB"/>
        </w:rPr>
        <w:t>Mich. J. Int’l L.</w:t>
      </w:r>
      <w:r w:rsidRPr="000757C9">
        <w:rPr>
          <w:color w:val="auto"/>
          <w:lang w:val="en-GB"/>
        </w:rPr>
        <w:t xml:space="preserve"> 26: 99.</w:t>
      </w:r>
    </w:p>
    <w:p w14:paraId="2EC67D9D" w14:textId="77777777" w:rsidR="000757C9" w:rsidRPr="000757C9" w:rsidRDefault="000757C9" w:rsidP="000757C9">
      <w:pPr>
        <w:pStyle w:val="Bibliography"/>
        <w:rPr>
          <w:color w:val="auto"/>
          <w:lang w:val="en-GB"/>
        </w:rPr>
      </w:pPr>
      <w:proofErr w:type="spellStart"/>
      <w:r w:rsidRPr="000757C9">
        <w:rPr>
          <w:color w:val="auto"/>
          <w:lang w:val="en-GB"/>
        </w:rPr>
        <w:t>Debeljak</w:t>
      </w:r>
      <w:proofErr w:type="spellEnd"/>
      <w:r w:rsidRPr="000757C9">
        <w:rPr>
          <w:color w:val="auto"/>
          <w:lang w:val="en-GB"/>
        </w:rPr>
        <w:t xml:space="preserve">, Julie. 2008. “Balancing Rights in a Democracy: The Problems with Limitations and Overrides of Rights under the Victorian Charter of Human Rights and Responsibilities Act 2006.” </w:t>
      </w:r>
      <w:proofErr w:type="spellStart"/>
      <w:r w:rsidRPr="000757C9">
        <w:rPr>
          <w:i/>
          <w:iCs/>
          <w:color w:val="auto"/>
          <w:lang w:val="en-GB"/>
        </w:rPr>
        <w:t>MelbULawRw</w:t>
      </w:r>
      <w:proofErr w:type="spellEnd"/>
      <w:r w:rsidRPr="000757C9">
        <w:rPr>
          <w:color w:val="auto"/>
          <w:lang w:val="en-GB"/>
        </w:rPr>
        <w:t xml:space="preserve"> 14 (32): 422.</w:t>
      </w:r>
    </w:p>
    <w:p w14:paraId="0FCDB6D8" w14:textId="77777777" w:rsidR="000757C9" w:rsidRPr="000757C9" w:rsidRDefault="000757C9" w:rsidP="000757C9">
      <w:pPr>
        <w:pStyle w:val="Bibliography"/>
        <w:rPr>
          <w:color w:val="auto"/>
          <w:lang w:val="en-GB"/>
        </w:rPr>
      </w:pPr>
      <w:proofErr w:type="spellStart"/>
      <w:r w:rsidRPr="000757C9">
        <w:rPr>
          <w:color w:val="auto"/>
          <w:lang w:val="en-GB"/>
        </w:rPr>
        <w:t>Djamin</w:t>
      </w:r>
      <w:proofErr w:type="spellEnd"/>
      <w:r w:rsidRPr="000757C9">
        <w:rPr>
          <w:color w:val="auto"/>
          <w:lang w:val="en-GB"/>
        </w:rPr>
        <w:t xml:space="preserve">, </w:t>
      </w:r>
      <w:proofErr w:type="spellStart"/>
      <w:r w:rsidRPr="000757C9">
        <w:rPr>
          <w:color w:val="auto"/>
          <w:lang w:val="en-GB"/>
        </w:rPr>
        <w:t>Rafendi</w:t>
      </w:r>
      <w:proofErr w:type="spellEnd"/>
      <w:r w:rsidRPr="000757C9">
        <w:rPr>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61EC48E5" w14:textId="77777777" w:rsidR="000757C9" w:rsidRPr="000757C9" w:rsidRDefault="000757C9" w:rsidP="000757C9">
      <w:pPr>
        <w:pStyle w:val="Bibliography"/>
        <w:rPr>
          <w:color w:val="auto"/>
          <w:lang w:val="en-GB"/>
        </w:rPr>
      </w:pPr>
      <w:r w:rsidRPr="000757C9">
        <w:rPr>
          <w:color w:val="auto"/>
          <w:lang w:val="en-GB"/>
        </w:rPr>
        <w:t xml:space="preserve">Durham, Cole, and Brett G </w:t>
      </w:r>
      <w:proofErr w:type="spellStart"/>
      <w:r w:rsidRPr="000757C9">
        <w:rPr>
          <w:color w:val="auto"/>
          <w:lang w:val="en-GB"/>
        </w:rPr>
        <w:t>Scharffs</w:t>
      </w:r>
      <w:proofErr w:type="spellEnd"/>
      <w:r w:rsidRPr="000757C9">
        <w:rPr>
          <w:color w:val="auto"/>
          <w:lang w:val="en-GB"/>
        </w:rPr>
        <w:t xml:space="preserve">. 2019. </w:t>
      </w:r>
      <w:r w:rsidRPr="000757C9">
        <w:rPr>
          <w:i/>
          <w:iCs/>
          <w:color w:val="auto"/>
          <w:lang w:val="en-GB"/>
        </w:rPr>
        <w:t>Law and Religion : National, International, and Comparative Perspectives</w:t>
      </w:r>
      <w:r w:rsidRPr="000757C9">
        <w:rPr>
          <w:color w:val="auto"/>
          <w:lang w:val="en-GB"/>
        </w:rPr>
        <w:t>. Second edition. Wolters Kluwer.</w:t>
      </w:r>
    </w:p>
    <w:p w14:paraId="40B55D85" w14:textId="77777777" w:rsidR="000757C9" w:rsidRPr="000757C9" w:rsidRDefault="000757C9" w:rsidP="000757C9">
      <w:pPr>
        <w:pStyle w:val="Bibliography"/>
        <w:rPr>
          <w:color w:val="auto"/>
          <w:lang w:val="en-GB"/>
        </w:rPr>
      </w:pPr>
      <w:r w:rsidRPr="000757C9">
        <w:rPr>
          <w:color w:val="auto"/>
          <w:lang w:val="en-GB"/>
        </w:rPr>
        <w:t xml:space="preserve">Durham, W. 2011. “Religious Freedom in a Worldwide Setting: Comparative Reflections.” </w:t>
      </w:r>
      <w:r w:rsidRPr="000757C9">
        <w:rPr>
          <w:i/>
          <w:iCs/>
          <w:color w:val="auto"/>
          <w:lang w:val="en-GB"/>
        </w:rPr>
        <w:t>Pontifical Academy of Social Sciences</w:t>
      </w:r>
      <w:r w:rsidRPr="000757C9">
        <w:rPr>
          <w:color w:val="auto"/>
          <w:lang w:val="en-GB"/>
        </w:rPr>
        <w:t xml:space="preserve"> 36. http://www.pass.va/content/dam/scienzesociali/pdf/acta17/acta17-durham.pdf.</w:t>
      </w:r>
    </w:p>
    <w:p w14:paraId="08D1997A" w14:textId="77777777" w:rsidR="000757C9" w:rsidRPr="000757C9" w:rsidRDefault="000757C9" w:rsidP="000757C9">
      <w:pPr>
        <w:pStyle w:val="Bibliography"/>
        <w:rPr>
          <w:color w:val="auto"/>
          <w:lang w:val="en-GB"/>
        </w:rPr>
      </w:pPr>
      <w:proofErr w:type="spellStart"/>
      <w:r w:rsidRPr="000757C9">
        <w:rPr>
          <w:color w:val="auto"/>
          <w:lang w:val="en-GB"/>
        </w:rPr>
        <w:t>Eddyono</w:t>
      </w:r>
      <w:proofErr w:type="spellEnd"/>
      <w:r w:rsidRPr="000757C9">
        <w:rPr>
          <w:color w:val="auto"/>
          <w:lang w:val="en-GB"/>
        </w:rPr>
        <w:t xml:space="preserve">, </w:t>
      </w:r>
      <w:proofErr w:type="spellStart"/>
      <w:r w:rsidRPr="000757C9">
        <w:rPr>
          <w:color w:val="auto"/>
          <w:lang w:val="en-GB"/>
        </w:rPr>
        <w:t>Luthfi</w:t>
      </w:r>
      <w:proofErr w:type="spellEnd"/>
      <w:r w:rsidRPr="000757C9">
        <w:rPr>
          <w:color w:val="auto"/>
          <w:lang w:val="en-GB"/>
        </w:rPr>
        <w:t xml:space="preserve"> </w:t>
      </w:r>
      <w:proofErr w:type="spellStart"/>
      <w:r w:rsidRPr="000757C9">
        <w:rPr>
          <w:color w:val="auto"/>
          <w:lang w:val="en-GB"/>
        </w:rPr>
        <w:t>Widagdo</w:t>
      </w:r>
      <w:proofErr w:type="spellEnd"/>
      <w:r w:rsidRPr="000757C9">
        <w:rPr>
          <w:color w:val="auto"/>
          <w:lang w:val="en-GB"/>
        </w:rPr>
        <w:t xml:space="preserve">. 2016. “The First Ten Years Of The Constitutional Court Of Indonesia: The Establishment Of The Principle Of Equality And The Prohibition Of Discrimination.” </w:t>
      </w:r>
      <w:r w:rsidRPr="000757C9">
        <w:rPr>
          <w:i/>
          <w:iCs/>
          <w:color w:val="auto"/>
          <w:lang w:val="en-GB"/>
        </w:rPr>
        <w:t>Constitutional Review</w:t>
      </w:r>
      <w:r w:rsidRPr="000757C9">
        <w:rPr>
          <w:color w:val="auto"/>
          <w:lang w:val="en-GB"/>
        </w:rPr>
        <w:t xml:space="preserve"> 1 (2): 119–46.</w:t>
      </w:r>
    </w:p>
    <w:p w14:paraId="6BF98ED8" w14:textId="77777777" w:rsidR="000757C9" w:rsidRPr="000757C9" w:rsidRDefault="000757C9" w:rsidP="000757C9">
      <w:pPr>
        <w:pStyle w:val="Bibliography"/>
        <w:rPr>
          <w:color w:val="auto"/>
          <w:lang w:val="en-GB"/>
        </w:rPr>
      </w:pPr>
      <w:r w:rsidRPr="000757C9">
        <w:rPr>
          <w:color w:val="auto"/>
          <w:lang w:val="en-GB"/>
        </w:rPr>
        <w:t xml:space="preserve">Fagan, Andrew. 2019. “The Gentrification of Human Rights.” </w:t>
      </w:r>
      <w:r w:rsidRPr="000757C9">
        <w:rPr>
          <w:i/>
          <w:iCs/>
          <w:color w:val="auto"/>
          <w:lang w:val="en-GB"/>
        </w:rPr>
        <w:t>Human Rights Quarterly</w:t>
      </w:r>
      <w:r w:rsidRPr="000757C9">
        <w:rPr>
          <w:color w:val="auto"/>
          <w:lang w:val="en-GB"/>
        </w:rPr>
        <w:t xml:space="preserve"> 41 (2): 283–308. https://doi.org/10.1353/hrq.2019.0027.</w:t>
      </w:r>
    </w:p>
    <w:p w14:paraId="5FE9F724" w14:textId="77777777" w:rsidR="000757C9" w:rsidRPr="000757C9" w:rsidRDefault="000757C9" w:rsidP="000757C9">
      <w:pPr>
        <w:pStyle w:val="Bibliography"/>
        <w:rPr>
          <w:color w:val="auto"/>
          <w:lang w:val="en-GB"/>
        </w:rPr>
      </w:pPr>
      <w:r w:rsidRPr="000757C9">
        <w:rPr>
          <w:color w:val="auto"/>
          <w:lang w:val="en-GB"/>
        </w:rPr>
        <w:t xml:space="preserve">Fenton, Adam J. 2016. “Faith, Intolerance, Violence and Bigotry: Legal and Constitutional Issues of Freedom of Religion in Indonesia.” </w:t>
      </w:r>
      <w:r w:rsidRPr="000757C9">
        <w:rPr>
          <w:i/>
          <w:iCs/>
          <w:color w:val="auto"/>
          <w:lang w:val="en-GB"/>
        </w:rPr>
        <w:t>Journal of Indonesian Islam</w:t>
      </w:r>
      <w:r w:rsidRPr="000757C9">
        <w:rPr>
          <w:color w:val="auto"/>
          <w:lang w:val="en-GB"/>
        </w:rPr>
        <w:t xml:space="preserve"> 10 (2): 181–212. https://doi.org/10.15642/JIIS.2016.10.2.181-212.</w:t>
      </w:r>
    </w:p>
    <w:p w14:paraId="2DBB17E4" w14:textId="77777777" w:rsidR="000757C9" w:rsidRPr="000757C9" w:rsidRDefault="000757C9" w:rsidP="000757C9">
      <w:pPr>
        <w:pStyle w:val="Bibliography"/>
        <w:rPr>
          <w:color w:val="auto"/>
          <w:lang w:val="en-GB"/>
        </w:rPr>
      </w:pPr>
      <w:proofErr w:type="spellStart"/>
      <w:r w:rsidRPr="000757C9">
        <w:rPr>
          <w:color w:val="auto"/>
          <w:lang w:val="en-GB"/>
        </w:rPr>
        <w:t>Fiss</w:t>
      </w:r>
      <w:proofErr w:type="spellEnd"/>
      <w:r w:rsidRPr="000757C9">
        <w:rPr>
          <w:color w:val="auto"/>
          <w:lang w:val="en-GB"/>
        </w:rPr>
        <w:t xml:space="preserve">, J., and J.G. Kestenbaum. 2017. </w:t>
      </w:r>
      <w:r w:rsidRPr="000757C9">
        <w:rPr>
          <w:i/>
          <w:iCs/>
          <w:color w:val="auto"/>
          <w:lang w:val="en-GB"/>
        </w:rPr>
        <w:t>Respecting Rights?: Measuring the World’s Blasphemy Laws</w:t>
      </w:r>
      <w:r w:rsidRPr="000757C9">
        <w:rPr>
          <w:color w:val="auto"/>
          <w:lang w:val="en-GB"/>
        </w:rPr>
        <w:t>. United States Commission on International Religious Freedom. https://books.google.co.id/books?id=35RsswEACAAJ.</w:t>
      </w:r>
    </w:p>
    <w:p w14:paraId="7D904A4F" w14:textId="77777777" w:rsidR="000757C9" w:rsidRPr="000757C9" w:rsidRDefault="000757C9" w:rsidP="000757C9">
      <w:pPr>
        <w:pStyle w:val="Bibliography"/>
        <w:rPr>
          <w:color w:val="auto"/>
          <w:lang w:val="en-GB"/>
        </w:rPr>
      </w:pPr>
      <w:r w:rsidRPr="000757C9">
        <w:rPr>
          <w:color w:val="auto"/>
          <w:lang w:val="en-GB"/>
        </w:rPr>
        <w:t xml:space="preserve">Forte, David F. 1994. “Apostasy and Blasphemy in Pakistan.” </w:t>
      </w:r>
      <w:r w:rsidRPr="000757C9">
        <w:rPr>
          <w:i/>
          <w:iCs/>
          <w:color w:val="auto"/>
          <w:lang w:val="en-GB"/>
        </w:rPr>
        <w:t>Law Faculty Articles and Essays</w:t>
      </w:r>
      <w:r w:rsidRPr="000757C9">
        <w:rPr>
          <w:color w:val="auto"/>
          <w:lang w:val="en-GB"/>
        </w:rPr>
        <w:t xml:space="preserve"> 10 (1).</w:t>
      </w:r>
    </w:p>
    <w:p w14:paraId="237FB9A7" w14:textId="77777777" w:rsidR="000757C9" w:rsidRPr="000757C9" w:rsidRDefault="000757C9" w:rsidP="000757C9">
      <w:pPr>
        <w:pStyle w:val="Bibliography"/>
        <w:rPr>
          <w:color w:val="auto"/>
          <w:lang w:val="en-GB"/>
        </w:rPr>
      </w:pPr>
      <w:r w:rsidRPr="000757C9">
        <w:rPr>
          <w:color w:val="auto"/>
          <w:lang w:val="en-GB"/>
        </w:rPr>
        <w:lastRenderedPageBreak/>
        <w:t xml:space="preserve">Fraser, Julie. 2019. “Challenging State-Centricity and Legalism: Promoting the Role of Social Institutions in the Domestic Implementation of International Human Rights Law.” </w:t>
      </w:r>
      <w:r w:rsidRPr="000757C9">
        <w:rPr>
          <w:i/>
          <w:iCs/>
          <w:color w:val="auto"/>
          <w:lang w:val="en-GB"/>
        </w:rPr>
        <w:t>The International Journal of Human Rights</w:t>
      </w:r>
      <w:r w:rsidRPr="000757C9">
        <w:rPr>
          <w:color w:val="auto"/>
          <w:lang w:val="en-GB"/>
        </w:rPr>
        <w:t xml:space="preserve"> 23 (6): 974–92. https://doi.org/10.1080/13642987.2019.1577539.</w:t>
      </w:r>
    </w:p>
    <w:p w14:paraId="7602065E" w14:textId="77777777" w:rsidR="000757C9" w:rsidRPr="000757C9" w:rsidRDefault="000757C9" w:rsidP="000757C9">
      <w:pPr>
        <w:pStyle w:val="Bibliography"/>
        <w:rPr>
          <w:color w:val="auto"/>
          <w:lang w:val="en-GB"/>
        </w:rPr>
      </w:pPr>
      <w:r w:rsidRPr="000757C9">
        <w:rPr>
          <w:color w:val="auto"/>
          <w:lang w:val="en-GB"/>
        </w:rPr>
        <w:t xml:space="preserve">Friedmann, Lawrence M. 1975. </w:t>
      </w:r>
      <w:r w:rsidRPr="000757C9">
        <w:rPr>
          <w:i/>
          <w:iCs/>
          <w:color w:val="auto"/>
          <w:lang w:val="en-GB"/>
        </w:rPr>
        <w:t>The Legal System: A Social Science Perspective</w:t>
      </w:r>
      <w:r w:rsidRPr="000757C9">
        <w:rPr>
          <w:color w:val="auto"/>
          <w:lang w:val="en-GB"/>
        </w:rPr>
        <w:t>. New York: Russel Sage Foundation.</w:t>
      </w:r>
    </w:p>
    <w:p w14:paraId="46BB4806" w14:textId="77777777" w:rsidR="000757C9" w:rsidRPr="000757C9" w:rsidRDefault="000757C9" w:rsidP="000757C9">
      <w:pPr>
        <w:pStyle w:val="Bibliography"/>
        <w:rPr>
          <w:color w:val="auto"/>
          <w:lang w:val="en-GB"/>
        </w:rPr>
      </w:pPr>
      <w:proofErr w:type="spellStart"/>
      <w:r w:rsidRPr="000757C9">
        <w:rPr>
          <w:color w:val="auto"/>
          <w:lang w:val="en-GB"/>
        </w:rPr>
        <w:t>Gerards</w:t>
      </w:r>
      <w:proofErr w:type="spellEnd"/>
      <w:r w:rsidRPr="000757C9">
        <w:rPr>
          <w:color w:val="auto"/>
          <w:lang w:val="en-GB"/>
        </w:rPr>
        <w:t xml:space="preserve">, J. 2013. “How to Improve the Necessity Test of the European Court of Human Rights.” </w:t>
      </w:r>
      <w:r w:rsidRPr="000757C9">
        <w:rPr>
          <w:i/>
          <w:iCs/>
          <w:color w:val="auto"/>
          <w:lang w:val="en-GB"/>
        </w:rPr>
        <w:t>International Journal of Constitutional Law</w:t>
      </w:r>
      <w:r w:rsidRPr="000757C9">
        <w:rPr>
          <w:color w:val="auto"/>
          <w:lang w:val="en-GB"/>
        </w:rPr>
        <w:t xml:space="preserve"> 11 (2): 466–90. https://doi.org/10.1093/icon/mot004.</w:t>
      </w:r>
    </w:p>
    <w:p w14:paraId="19C6DC08" w14:textId="77777777" w:rsidR="000757C9" w:rsidRPr="000757C9" w:rsidRDefault="000757C9" w:rsidP="000757C9">
      <w:pPr>
        <w:pStyle w:val="Bibliography"/>
        <w:rPr>
          <w:color w:val="auto"/>
          <w:lang w:val="en-GB"/>
        </w:rPr>
      </w:pPr>
      <w:r w:rsidRPr="000757C9">
        <w:rPr>
          <w:color w:val="auto"/>
          <w:lang w:val="en-GB"/>
        </w:rPr>
        <w:t xml:space="preserve">Golder, Ben, and George Williams. 2006. “Balancing National Security and Human Rights: Assessing the Legal Response of Common Law Nations to the Threat of Terrorism.” </w:t>
      </w:r>
      <w:r w:rsidRPr="000757C9">
        <w:rPr>
          <w:i/>
          <w:iCs/>
          <w:color w:val="auto"/>
          <w:lang w:val="en-GB"/>
        </w:rPr>
        <w:t>Journal of Comparative Policy Analysis</w:t>
      </w:r>
      <w:r w:rsidRPr="000757C9">
        <w:rPr>
          <w:color w:val="auto"/>
          <w:lang w:val="en-GB"/>
        </w:rPr>
        <w:t xml:space="preserve"> 8 (01): 43–62.</w:t>
      </w:r>
    </w:p>
    <w:p w14:paraId="7CF3EE2D" w14:textId="77777777" w:rsidR="000757C9" w:rsidRPr="000757C9" w:rsidRDefault="000757C9" w:rsidP="000757C9">
      <w:pPr>
        <w:pStyle w:val="Bibliography"/>
        <w:rPr>
          <w:color w:val="auto"/>
          <w:lang w:val="en-GB"/>
        </w:rPr>
      </w:pPr>
      <w:proofErr w:type="spellStart"/>
      <w:r w:rsidRPr="000757C9">
        <w:rPr>
          <w:color w:val="auto"/>
          <w:lang w:val="en-GB"/>
        </w:rPr>
        <w:t>Henkin</w:t>
      </w:r>
      <w:proofErr w:type="spellEnd"/>
      <w:r w:rsidRPr="000757C9">
        <w:rPr>
          <w:color w:val="auto"/>
          <w:lang w:val="en-GB"/>
        </w:rPr>
        <w:t xml:space="preserve">, Louis, ed. 2009. </w:t>
      </w:r>
      <w:r w:rsidRPr="000757C9">
        <w:rPr>
          <w:i/>
          <w:iCs/>
          <w:color w:val="auto"/>
          <w:lang w:val="en-GB"/>
        </w:rPr>
        <w:t>Human Rights</w:t>
      </w:r>
      <w:r w:rsidRPr="000757C9">
        <w:rPr>
          <w:color w:val="auto"/>
          <w:lang w:val="en-GB"/>
        </w:rPr>
        <w:t>. 2nd ed. Thomson Reuters/Foundation Press. http://www.jstor.org/stable/24219097.</w:t>
      </w:r>
    </w:p>
    <w:p w14:paraId="35053B4B" w14:textId="77777777" w:rsidR="000757C9" w:rsidRPr="000757C9" w:rsidRDefault="000757C9" w:rsidP="000757C9">
      <w:pPr>
        <w:pStyle w:val="Bibliography"/>
        <w:rPr>
          <w:color w:val="auto"/>
          <w:lang w:val="en-GB"/>
        </w:rPr>
      </w:pPr>
      <w:r w:rsidRPr="000757C9">
        <w:rPr>
          <w:color w:val="auto"/>
          <w:lang w:val="en-GB"/>
        </w:rPr>
        <w:t>Howard, Erica. 2017. “Freedom of Expression, Blasphemy and Religious Hatred: A View from the United Kingdom.” In , 595–618. Cambridge University Press. https://doi.org/10.1017/9781108242189.025.</w:t>
      </w:r>
    </w:p>
    <w:p w14:paraId="24C08B55" w14:textId="77777777" w:rsidR="000757C9" w:rsidRPr="000757C9" w:rsidRDefault="000757C9" w:rsidP="000757C9">
      <w:pPr>
        <w:pStyle w:val="Bibliography"/>
        <w:rPr>
          <w:color w:val="auto"/>
          <w:lang w:val="en-GB"/>
        </w:rPr>
      </w:pPr>
      <w:proofErr w:type="spellStart"/>
      <w:r w:rsidRPr="000757C9">
        <w:rPr>
          <w:color w:val="auto"/>
          <w:lang w:val="en-GB"/>
        </w:rPr>
        <w:t>Joppke</w:t>
      </w:r>
      <w:proofErr w:type="spellEnd"/>
      <w:r w:rsidRPr="000757C9">
        <w:rPr>
          <w:color w:val="auto"/>
          <w:lang w:val="en-GB"/>
        </w:rPr>
        <w:t>, Christian. 2018. “</w:t>
      </w:r>
      <w:proofErr w:type="spellStart"/>
      <w:r w:rsidRPr="000757C9">
        <w:rPr>
          <w:color w:val="auto"/>
          <w:lang w:val="en-GB"/>
        </w:rPr>
        <w:t>Culturalizing</w:t>
      </w:r>
      <w:proofErr w:type="spellEnd"/>
      <w:r w:rsidRPr="000757C9">
        <w:rPr>
          <w:color w:val="auto"/>
          <w:lang w:val="en-GB"/>
        </w:rPr>
        <w:t xml:space="preserve"> Religion in Western Europe: Patterns and Puzzles.” </w:t>
      </w:r>
      <w:r w:rsidRPr="000757C9">
        <w:rPr>
          <w:i/>
          <w:iCs/>
          <w:color w:val="auto"/>
          <w:lang w:val="en-GB"/>
        </w:rPr>
        <w:t>Social Compass</w:t>
      </w:r>
      <w:r w:rsidRPr="000757C9">
        <w:rPr>
          <w:color w:val="auto"/>
          <w:lang w:val="en-GB"/>
        </w:rPr>
        <w:t xml:space="preserve"> 65 (2): 234–46. https://doi.org/10.1177/0037768618767962.</w:t>
      </w:r>
    </w:p>
    <w:p w14:paraId="09AE029D" w14:textId="77777777" w:rsidR="000757C9" w:rsidRPr="000757C9" w:rsidRDefault="000757C9" w:rsidP="000757C9">
      <w:pPr>
        <w:pStyle w:val="Bibliography"/>
        <w:rPr>
          <w:color w:val="auto"/>
          <w:lang w:val="en-GB"/>
        </w:rPr>
      </w:pPr>
      <w:proofErr w:type="spellStart"/>
      <w:r w:rsidRPr="000757C9">
        <w:rPr>
          <w:color w:val="auto"/>
          <w:lang w:val="en-GB"/>
        </w:rPr>
        <w:t>Kamali</w:t>
      </w:r>
      <w:proofErr w:type="spellEnd"/>
      <w:r w:rsidRPr="000757C9">
        <w:rPr>
          <w:color w:val="auto"/>
          <w:lang w:val="en-GB"/>
        </w:rPr>
        <w:t xml:space="preserve">, Mohammed Hashim. 2006. “Reading the Signs: A Qur’anic Perspective on Thinking.” </w:t>
      </w:r>
      <w:r w:rsidRPr="000757C9">
        <w:rPr>
          <w:i/>
          <w:iCs/>
          <w:color w:val="auto"/>
          <w:lang w:val="en-GB"/>
        </w:rPr>
        <w:t>Islam and Science</w:t>
      </w:r>
      <w:r w:rsidRPr="000757C9">
        <w:rPr>
          <w:color w:val="auto"/>
          <w:lang w:val="en-GB"/>
        </w:rPr>
        <w:t xml:space="preserve"> 4.</w:t>
      </w:r>
    </w:p>
    <w:p w14:paraId="73A7067E" w14:textId="77777777" w:rsidR="000757C9" w:rsidRPr="000757C9" w:rsidRDefault="000757C9" w:rsidP="000757C9">
      <w:pPr>
        <w:pStyle w:val="Bibliography"/>
        <w:rPr>
          <w:color w:val="auto"/>
          <w:lang w:val="en-GB"/>
        </w:rPr>
      </w:pPr>
      <w:r w:rsidRPr="000757C9">
        <w:rPr>
          <w:color w:val="auto"/>
          <w:lang w:val="en-GB"/>
        </w:rPr>
        <w:t xml:space="preserve">Karim, Abdul. 2005. </w:t>
      </w:r>
      <w:r w:rsidRPr="000757C9">
        <w:rPr>
          <w:i/>
          <w:iCs/>
          <w:color w:val="auto"/>
          <w:lang w:val="en-GB"/>
        </w:rPr>
        <w:t>Religion and State Relations in Post Reformation Era</w:t>
      </w:r>
      <w:r w:rsidRPr="000757C9">
        <w:rPr>
          <w:color w:val="auto"/>
          <w:lang w:val="en-GB"/>
        </w:rPr>
        <w:t>. 11th ed. Al-</w:t>
      </w:r>
      <w:proofErr w:type="spellStart"/>
      <w:r w:rsidRPr="000757C9">
        <w:rPr>
          <w:color w:val="auto"/>
          <w:lang w:val="en-GB"/>
        </w:rPr>
        <w:t>Mawarid</w:t>
      </w:r>
      <w:proofErr w:type="spellEnd"/>
      <w:r w:rsidRPr="000757C9">
        <w:rPr>
          <w:color w:val="auto"/>
          <w:lang w:val="en-GB"/>
        </w:rPr>
        <w:t xml:space="preserve"> Edition.</w:t>
      </w:r>
    </w:p>
    <w:p w14:paraId="69B0F839" w14:textId="77777777" w:rsidR="000757C9" w:rsidRPr="000757C9" w:rsidRDefault="000757C9" w:rsidP="000757C9">
      <w:pPr>
        <w:pStyle w:val="Bibliography"/>
        <w:rPr>
          <w:color w:val="auto"/>
          <w:lang w:val="en-GB"/>
        </w:rPr>
      </w:pPr>
      <w:r w:rsidRPr="000757C9">
        <w:rPr>
          <w:color w:val="auto"/>
          <w:lang w:val="en-GB"/>
        </w:rPr>
        <w:t xml:space="preserve">Keck, Leander E and Winkley. 2015. </w:t>
      </w:r>
      <w:r w:rsidRPr="000757C9">
        <w:rPr>
          <w:i/>
          <w:iCs/>
          <w:color w:val="auto"/>
          <w:lang w:val="en-GB"/>
        </w:rPr>
        <w:t>Echoes of the Word</w:t>
      </w:r>
      <w:r w:rsidRPr="000757C9">
        <w:rPr>
          <w:color w:val="auto"/>
          <w:lang w:val="en-GB"/>
        </w:rPr>
        <w:t>. Cascade Books.</w:t>
      </w:r>
    </w:p>
    <w:p w14:paraId="452F84A3" w14:textId="77777777" w:rsidR="000757C9" w:rsidRPr="000757C9" w:rsidRDefault="000757C9" w:rsidP="000757C9">
      <w:pPr>
        <w:pStyle w:val="Bibliography"/>
        <w:rPr>
          <w:color w:val="auto"/>
          <w:lang w:val="en-GB"/>
        </w:rPr>
      </w:pPr>
      <w:proofErr w:type="spellStart"/>
      <w:r w:rsidRPr="000757C9">
        <w:rPr>
          <w:color w:val="auto"/>
          <w:lang w:val="en-GB"/>
        </w:rPr>
        <w:t>Kroef</w:t>
      </w:r>
      <w:proofErr w:type="spellEnd"/>
      <w:r w:rsidRPr="000757C9">
        <w:rPr>
          <w:color w:val="auto"/>
          <w:lang w:val="en-GB"/>
        </w:rPr>
        <w:t xml:space="preserve">, Justus M. van der. 1953. “Conflicts of Religious Policy in Indonesia.” </w:t>
      </w:r>
      <w:r w:rsidRPr="000757C9">
        <w:rPr>
          <w:i/>
          <w:iCs/>
          <w:color w:val="auto"/>
          <w:lang w:val="en-GB"/>
        </w:rPr>
        <w:t>Far Eastern Survey</w:t>
      </w:r>
      <w:r w:rsidRPr="000757C9">
        <w:rPr>
          <w:color w:val="auto"/>
          <w:lang w:val="en-GB"/>
        </w:rPr>
        <w:t xml:space="preserve"> 22 (10): 121–25. https://doi.org/10.2307/3023769.</w:t>
      </w:r>
    </w:p>
    <w:p w14:paraId="4B004A90" w14:textId="77777777" w:rsidR="000757C9" w:rsidRPr="000757C9" w:rsidRDefault="000757C9" w:rsidP="000757C9">
      <w:pPr>
        <w:pStyle w:val="Bibliography"/>
        <w:rPr>
          <w:color w:val="auto"/>
          <w:lang w:val="en-GB"/>
        </w:rPr>
      </w:pPr>
      <w:proofErr w:type="spellStart"/>
      <w:r w:rsidRPr="000757C9">
        <w:rPr>
          <w:color w:val="auto"/>
          <w:lang w:val="en-GB"/>
        </w:rPr>
        <w:t>Kunelius</w:t>
      </w:r>
      <w:proofErr w:type="spellEnd"/>
      <w:r w:rsidRPr="000757C9">
        <w:rPr>
          <w:color w:val="auto"/>
          <w:lang w:val="en-GB"/>
        </w:rPr>
        <w:t xml:space="preserve">, R., E Eide, O Hahn, and R. Schroeder. 2007. </w:t>
      </w:r>
      <w:r w:rsidRPr="000757C9">
        <w:rPr>
          <w:i/>
          <w:iCs/>
          <w:color w:val="auto"/>
          <w:lang w:val="en-GB"/>
        </w:rPr>
        <w:t xml:space="preserve">Reading </w:t>
      </w:r>
      <w:proofErr w:type="spellStart"/>
      <w:r w:rsidRPr="000757C9">
        <w:rPr>
          <w:i/>
          <w:iCs/>
          <w:color w:val="auto"/>
          <w:lang w:val="en-GB"/>
        </w:rPr>
        <w:t>TheMohammed</w:t>
      </w:r>
      <w:proofErr w:type="spellEnd"/>
      <w:r w:rsidRPr="000757C9">
        <w:rPr>
          <w:i/>
          <w:iCs/>
          <w:color w:val="auto"/>
          <w:lang w:val="en-GB"/>
        </w:rPr>
        <w:t xml:space="preserve"> Cartoons Controversy. An International Analysis of Press Discourses on </w:t>
      </w:r>
      <w:proofErr w:type="spellStart"/>
      <w:r w:rsidRPr="000757C9">
        <w:rPr>
          <w:i/>
          <w:iCs/>
          <w:color w:val="auto"/>
          <w:lang w:val="en-GB"/>
        </w:rPr>
        <w:t>Freespeech</w:t>
      </w:r>
      <w:proofErr w:type="spellEnd"/>
      <w:r w:rsidRPr="000757C9">
        <w:rPr>
          <w:i/>
          <w:iCs/>
          <w:color w:val="auto"/>
          <w:lang w:val="en-GB"/>
        </w:rPr>
        <w:t xml:space="preserve"> and Political Spin</w:t>
      </w:r>
      <w:r w:rsidRPr="000757C9">
        <w:rPr>
          <w:color w:val="auto"/>
          <w:lang w:val="en-GB"/>
        </w:rPr>
        <w:t xml:space="preserve">. Bochum/Freiburg: </w:t>
      </w:r>
      <w:proofErr w:type="spellStart"/>
      <w:r w:rsidRPr="000757C9">
        <w:rPr>
          <w:color w:val="auto"/>
          <w:lang w:val="en-GB"/>
        </w:rPr>
        <w:t>Projekt</w:t>
      </w:r>
      <w:proofErr w:type="spellEnd"/>
      <w:r w:rsidRPr="000757C9">
        <w:rPr>
          <w:color w:val="auto"/>
          <w:lang w:val="en-GB"/>
        </w:rPr>
        <w:t xml:space="preserve"> Verlag.</w:t>
      </w:r>
    </w:p>
    <w:p w14:paraId="65395EFC" w14:textId="77777777" w:rsidR="000757C9" w:rsidRPr="000757C9" w:rsidRDefault="000757C9" w:rsidP="000757C9">
      <w:pPr>
        <w:pStyle w:val="Bibliography"/>
        <w:rPr>
          <w:color w:val="auto"/>
          <w:lang w:val="en-GB"/>
        </w:rPr>
      </w:pPr>
      <w:proofErr w:type="spellStart"/>
      <w:r w:rsidRPr="000757C9">
        <w:rPr>
          <w:color w:val="auto"/>
          <w:lang w:val="en-GB"/>
        </w:rPr>
        <w:t>Kuznetsov</w:t>
      </w:r>
      <w:proofErr w:type="spellEnd"/>
      <w:r w:rsidRPr="000757C9">
        <w:rPr>
          <w:color w:val="auto"/>
          <w:lang w:val="en-GB"/>
        </w:rPr>
        <w:t xml:space="preserve">, Dmitry. 2015. “Freedoms Collide: Freedom of Expression and Freedom of Religion in Russia in Comparative Perspective.” </w:t>
      </w:r>
      <w:r w:rsidRPr="000757C9">
        <w:rPr>
          <w:i/>
          <w:iCs/>
          <w:color w:val="auto"/>
          <w:lang w:val="en-GB"/>
        </w:rPr>
        <w:t>Russian Law Journal</w:t>
      </w:r>
      <w:r w:rsidRPr="000757C9">
        <w:rPr>
          <w:color w:val="auto"/>
          <w:lang w:val="en-GB"/>
        </w:rPr>
        <w:t xml:space="preserve"> 2 (2): 75. https://doi.org/10.17589/2309-8678-2014-2-2-75-100.</w:t>
      </w:r>
    </w:p>
    <w:p w14:paraId="64FDE03B" w14:textId="77777777" w:rsidR="000757C9" w:rsidRPr="000757C9" w:rsidRDefault="000757C9" w:rsidP="000757C9">
      <w:pPr>
        <w:pStyle w:val="Bibliography"/>
        <w:rPr>
          <w:color w:val="auto"/>
          <w:lang w:val="en-GB"/>
        </w:rPr>
      </w:pPr>
      <w:r w:rsidRPr="000757C9">
        <w:rPr>
          <w:color w:val="auto"/>
          <w:lang w:val="en-GB"/>
        </w:rPr>
        <w:t xml:space="preserve">Latif, </w:t>
      </w:r>
      <w:proofErr w:type="spellStart"/>
      <w:r w:rsidRPr="000757C9">
        <w:rPr>
          <w:color w:val="auto"/>
          <w:lang w:val="en-GB"/>
        </w:rPr>
        <w:t>Yudi</w:t>
      </w:r>
      <w:proofErr w:type="spellEnd"/>
      <w:r w:rsidRPr="000757C9">
        <w:rPr>
          <w:color w:val="auto"/>
          <w:lang w:val="en-GB"/>
        </w:rPr>
        <w:t xml:space="preserve">. 2011. </w:t>
      </w:r>
      <w:r w:rsidRPr="000757C9">
        <w:rPr>
          <w:i/>
          <w:iCs/>
          <w:color w:val="auto"/>
          <w:lang w:val="en-GB"/>
        </w:rPr>
        <w:t xml:space="preserve">Negara </w:t>
      </w:r>
      <w:proofErr w:type="spellStart"/>
      <w:r w:rsidRPr="000757C9">
        <w:rPr>
          <w:i/>
          <w:iCs/>
          <w:color w:val="auto"/>
          <w:lang w:val="en-GB"/>
        </w:rPr>
        <w:t>Paripurna</w:t>
      </w:r>
      <w:proofErr w:type="spellEnd"/>
      <w:r w:rsidRPr="000757C9">
        <w:rPr>
          <w:i/>
          <w:iCs/>
          <w:color w:val="auto"/>
          <w:lang w:val="en-GB"/>
        </w:rPr>
        <w:t xml:space="preserve">: </w:t>
      </w:r>
      <w:proofErr w:type="spellStart"/>
      <w:r w:rsidRPr="000757C9">
        <w:rPr>
          <w:i/>
          <w:iCs/>
          <w:color w:val="auto"/>
          <w:lang w:val="en-GB"/>
        </w:rPr>
        <w:t>Historisitas</w:t>
      </w:r>
      <w:proofErr w:type="spellEnd"/>
      <w:r w:rsidRPr="000757C9">
        <w:rPr>
          <w:i/>
          <w:iCs/>
          <w:color w:val="auto"/>
          <w:lang w:val="en-GB"/>
        </w:rPr>
        <w:t xml:space="preserve">, </w:t>
      </w:r>
      <w:proofErr w:type="spellStart"/>
      <w:r w:rsidRPr="000757C9">
        <w:rPr>
          <w:i/>
          <w:iCs/>
          <w:color w:val="auto"/>
          <w:lang w:val="en-GB"/>
        </w:rPr>
        <w:t>Rasionalitas</w:t>
      </w:r>
      <w:proofErr w:type="spellEnd"/>
      <w:r w:rsidRPr="000757C9">
        <w:rPr>
          <w:i/>
          <w:iCs/>
          <w:color w:val="auto"/>
          <w:lang w:val="en-GB"/>
        </w:rPr>
        <w:t xml:space="preserve">, Dun </w:t>
      </w:r>
      <w:proofErr w:type="spellStart"/>
      <w:r w:rsidRPr="000757C9">
        <w:rPr>
          <w:i/>
          <w:iCs/>
          <w:color w:val="auto"/>
          <w:lang w:val="en-GB"/>
        </w:rPr>
        <w:t>Aktualitas</w:t>
      </w:r>
      <w:proofErr w:type="spellEnd"/>
      <w:r w:rsidRPr="000757C9">
        <w:rPr>
          <w:i/>
          <w:iCs/>
          <w:color w:val="auto"/>
          <w:lang w:val="en-GB"/>
        </w:rPr>
        <w:t xml:space="preserve"> Pancasila</w:t>
      </w:r>
      <w:r w:rsidRPr="000757C9">
        <w:rPr>
          <w:color w:val="auto"/>
          <w:lang w:val="en-GB"/>
        </w:rPr>
        <w:t>. Jakarta: Gramedia Pustaka Utama.</w:t>
      </w:r>
    </w:p>
    <w:p w14:paraId="7A902CD8" w14:textId="77777777" w:rsidR="000757C9" w:rsidRPr="000757C9" w:rsidRDefault="000757C9" w:rsidP="000757C9">
      <w:pPr>
        <w:pStyle w:val="Bibliography"/>
        <w:rPr>
          <w:color w:val="auto"/>
          <w:lang w:val="en-GB"/>
        </w:rPr>
      </w:pPr>
      <w:r w:rsidRPr="000757C9">
        <w:rPr>
          <w:color w:val="auto"/>
          <w:lang w:val="en-GB"/>
        </w:rPr>
        <w:t xml:space="preserve">Lindsey, Tim. 2019. “Minorities and Discrimination in Indonesia: The Legal Framework.” </w:t>
      </w:r>
      <w:r w:rsidRPr="000757C9">
        <w:rPr>
          <w:i/>
          <w:iCs/>
          <w:color w:val="auto"/>
          <w:lang w:val="en-GB"/>
        </w:rPr>
        <w:t>Contentious Belonging: The Place of Minorities in Indonesia</w:t>
      </w:r>
      <w:r w:rsidRPr="000757C9">
        <w:rPr>
          <w:color w:val="auto"/>
          <w:lang w:val="en-GB"/>
        </w:rPr>
        <w:t>, 36–54.</w:t>
      </w:r>
    </w:p>
    <w:p w14:paraId="08154C83" w14:textId="77777777" w:rsidR="000757C9" w:rsidRPr="000757C9" w:rsidRDefault="000757C9" w:rsidP="000757C9">
      <w:pPr>
        <w:pStyle w:val="Bibliography"/>
        <w:rPr>
          <w:color w:val="auto"/>
          <w:lang w:val="en-GB"/>
        </w:rPr>
      </w:pPr>
      <w:r w:rsidRPr="000757C9">
        <w:rPr>
          <w:color w:val="auto"/>
          <w:lang w:val="en-GB"/>
        </w:rPr>
        <w:t>Lindsey, Timothy, and Simon Butt. 2016. “State Power to Restrict Religious Freedom An Overview of the Legal Framework.” In . Routledge, Taylor &amp; Francis Group.</w:t>
      </w:r>
    </w:p>
    <w:p w14:paraId="342502C0" w14:textId="77777777" w:rsidR="000757C9" w:rsidRPr="000757C9" w:rsidRDefault="000757C9" w:rsidP="000757C9">
      <w:pPr>
        <w:pStyle w:val="Bibliography"/>
        <w:rPr>
          <w:color w:val="auto"/>
          <w:lang w:val="en-GB"/>
        </w:rPr>
      </w:pPr>
      <w:proofErr w:type="spellStart"/>
      <w:r w:rsidRPr="000757C9">
        <w:rPr>
          <w:color w:val="auto"/>
          <w:lang w:val="en-GB"/>
        </w:rPr>
        <w:t>Lintang</w:t>
      </w:r>
      <w:proofErr w:type="spellEnd"/>
      <w:r w:rsidRPr="000757C9">
        <w:rPr>
          <w:color w:val="auto"/>
          <w:lang w:val="en-GB"/>
        </w:rPr>
        <w:t xml:space="preserve">, </w:t>
      </w:r>
      <w:proofErr w:type="spellStart"/>
      <w:r w:rsidRPr="000757C9">
        <w:rPr>
          <w:color w:val="auto"/>
          <w:lang w:val="en-GB"/>
        </w:rPr>
        <w:t>Loresta</w:t>
      </w:r>
      <w:proofErr w:type="spellEnd"/>
      <w:r w:rsidRPr="000757C9">
        <w:rPr>
          <w:color w:val="auto"/>
          <w:lang w:val="en-GB"/>
        </w:rPr>
        <w:t xml:space="preserve"> </w:t>
      </w:r>
      <w:proofErr w:type="spellStart"/>
      <w:r w:rsidRPr="000757C9">
        <w:rPr>
          <w:color w:val="auto"/>
          <w:lang w:val="en-GB"/>
        </w:rPr>
        <w:t>Cahyaning</w:t>
      </w:r>
      <w:proofErr w:type="spellEnd"/>
      <w:r w:rsidRPr="000757C9">
        <w:rPr>
          <w:color w:val="auto"/>
          <w:lang w:val="en-GB"/>
        </w:rPr>
        <w:t xml:space="preserve">, Adriano </w:t>
      </w:r>
      <w:proofErr w:type="spellStart"/>
      <w:r w:rsidRPr="000757C9">
        <w:rPr>
          <w:color w:val="auto"/>
          <w:lang w:val="en-GB"/>
        </w:rPr>
        <w:t>Martufi</w:t>
      </w:r>
      <w:proofErr w:type="spellEnd"/>
      <w:r w:rsidRPr="000757C9">
        <w:rPr>
          <w:color w:val="auto"/>
          <w:lang w:val="en-GB"/>
        </w:rPr>
        <w:t xml:space="preserve">, and JW </w:t>
      </w:r>
      <w:proofErr w:type="spellStart"/>
      <w:r w:rsidRPr="000757C9">
        <w:rPr>
          <w:color w:val="auto"/>
          <w:lang w:val="en-GB"/>
        </w:rPr>
        <w:t>Ouwerker</w:t>
      </w:r>
      <w:proofErr w:type="spellEnd"/>
      <w:r w:rsidRPr="000757C9">
        <w:rPr>
          <w:color w:val="auto"/>
          <w:lang w:val="en-GB"/>
        </w:rPr>
        <w:t xml:space="preserve">. 2020. “The Alternative Concepts of Blasphemy Law in Indonesia: Legal Comparison with Ireland and Canada.” </w:t>
      </w:r>
      <w:proofErr w:type="spellStart"/>
      <w:r w:rsidRPr="000757C9">
        <w:rPr>
          <w:i/>
          <w:iCs/>
          <w:color w:val="auto"/>
          <w:lang w:val="en-GB"/>
        </w:rPr>
        <w:t>Bestuur</w:t>
      </w:r>
      <w:proofErr w:type="spellEnd"/>
      <w:r w:rsidRPr="000757C9">
        <w:rPr>
          <w:color w:val="auto"/>
          <w:lang w:val="en-GB"/>
        </w:rPr>
        <w:t xml:space="preserve"> 9 (1): 13–25.</w:t>
      </w:r>
    </w:p>
    <w:p w14:paraId="0AE74C55" w14:textId="77777777" w:rsidR="000757C9" w:rsidRPr="000757C9" w:rsidRDefault="000757C9" w:rsidP="000757C9">
      <w:pPr>
        <w:pStyle w:val="Bibliography"/>
        <w:rPr>
          <w:color w:val="auto"/>
          <w:lang w:val="en-GB"/>
        </w:rPr>
      </w:pPr>
      <w:proofErr w:type="spellStart"/>
      <w:r w:rsidRPr="000757C9">
        <w:rPr>
          <w:color w:val="auto"/>
          <w:lang w:val="en-GB"/>
        </w:rPr>
        <w:t>Marzuki</w:t>
      </w:r>
      <w:proofErr w:type="spellEnd"/>
      <w:r w:rsidRPr="000757C9">
        <w:rPr>
          <w:color w:val="auto"/>
          <w:lang w:val="en-GB"/>
        </w:rPr>
        <w:t xml:space="preserve">, Peter Mahmud. 2017. </w:t>
      </w:r>
      <w:proofErr w:type="spellStart"/>
      <w:r w:rsidRPr="000757C9">
        <w:rPr>
          <w:i/>
          <w:iCs/>
          <w:color w:val="auto"/>
          <w:lang w:val="en-GB"/>
        </w:rPr>
        <w:t>Penelitian</w:t>
      </w:r>
      <w:proofErr w:type="spellEnd"/>
      <w:r w:rsidRPr="000757C9">
        <w:rPr>
          <w:i/>
          <w:iCs/>
          <w:color w:val="auto"/>
          <w:lang w:val="en-GB"/>
        </w:rPr>
        <w:t xml:space="preserve"> Hukum</w:t>
      </w:r>
      <w:r w:rsidRPr="000757C9">
        <w:rPr>
          <w:color w:val="auto"/>
          <w:lang w:val="en-GB"/>
        </w:rPr>
        <w:t xml:space="preserve">. </w:t>
      </w:r>
      <w:proofErr w:type="spellStart"/>
      <w:r w:rsidRPr="000757C9">
        <w:rPr>
          <w:color w:val="auto"/>
          <w:lang w:val="en-GB"/>
        </w:rPr>
        <w:t>Prenada</w:t>
      </w:r>
      <w:proofErr w:type="spellEnd"/>
      <w:r w:rsidRPr="000757C9">
        <w:rPr>
          <w:color w:val="auto"/>
          <w:lang w:val="en-GB"/>
        </w:rPr>
        <w:t xml:space="preserve"> Media.</w:t>
      </w:r>
    </w:p>
    <w:p w14:paraId="6667FE6A" w14:textId="77777777" w:rsidR="000757C9" w:rsidRPr="000757C9" w:rsidRDefault="000757C9" w:rsidP="000757C9">
      <w:pPr>
        <w:pStyle w:val="Bibliography"/>
        <w:rPr>
          <w:color w:val="auto"/>
          <w:lang w:val="en-GB"/>
        </w:rPr>
      </w:pPr>
      <w:proofErr w:type="spellStart"/>
      <w:r w:rsidRPr="000757C9">
        <w:rPr>
          <w:color w:val="auto"/>
          <w:lang w:val="en-GB"/>
        </w:rPr>
        <w:t>Menchik</w:t>
      </w:r>
      <w:proofErr w:type="spellEnd"/>
      <w:r w:rsidRPr="000757C9">
        <w:rPr>
          <w:color w:val="auto"/>
          <w:lang w:val="en-GB"/>
        </w:rPr>
        <w:t xml:space="preserve">, Jeremy. 2014. “Productive Intolerance: Godly Nationalism in Indonesia.” </w:t>
      </w:r>
      <w:r w:rsidRPr="000757C9">
        <w:rPr>
          <w:i/>
          <w:iCs/>
          <w:color w:val="auto"/>
          <w:lang w:val="en-GB"/>
        </w:rPr>
        <w:t>Comparative Studies in Society and History</w:t>
      </w:r>
      <w:r w:rsidRPr="000757C9">
        <w:rPr>
          <w:color w:val="auto"/>
          <w:lang w:val="en-GB"/>
        </w:rPr>
        <w:t xml:space="preserve"> 56 (3): 591–621. https://doi.org/10.1017/S0010417514000267.</w:t>
      </w:r>
    </w:p>
    <w:p w14:paraId="3E9828C9" w14:textId="77777777" w:rsidR="000757C9" w:rsidRPr="000757C9" w:rsidRDefault="000757C9" w:rsidP="000757C9">
      <w:pPr>
        <w:pStyle w:val="Bibliography"/>
        <w:rPr>
          <w:color w:val="auto"/>
          <w:lang w:val="en-GB"/>
        </w:rPr>
      </w:pPr>
      <w:proofErr w:type="spellStart"/>
      <w:r w:rsidRPr="000757C9">
        <w:rPr>
          <w:color w:val="auto"/>
          <w:lang w:val="en-GB"/>
        </w:rPr>
        <w:lastRenderedPageBreak/>
        <w:t>Mietzner</w:t>
      </w:r>
      <w:proofErr w:type="spellEnd"/>
      <w:r w:rsidRPr="000757C9">
        <w:rPr>
          <w:color w:val="auto"/>
          <w:lang w:val="en-GB"/>
        </w:rPr>
        <w:t xml:space="preserve">, Marcus, and Burhanuddin </w:t>
      </w:r>
      <w:proofErr w:type="spellStart"/>
      <w:r w:rsidRPr="000757C9">
        <w:rPr>
          <w:color w:val="auto"/>
          <w:lang w:val="en-GB"/>
        </w:rPr>
        <w:t>Muhtadi</w:t>
      </w:r>
      <w:proofErr w:type="spellEnd"/>
      <w:r w:rsidRPr="000757C9">
        <w:rPr>
          <w:color w:val="auto"/>
          <w:lang w:val="en-GB"/>
        </w:rPr>
        <w:t xml:space="preserve">. 2020. “The Myth of Pluralism: Nahdlatul Ulama and the Politics of Religious Tolerance in Indonesia.” </w:t>
      </w:r>
      <w:r w:rsidRPr="000757C9">
        <w:rPr>
          <w:i/>
          <w:iCs/>
          <w:color w:val="auto"/>
          <w:lang w:val="en-GB"/>
        </w:rPr>
        <w:t>Contemporary Southeast Asia</w:t>
      </w:r>
      <w:r w:rsidRPr="000757C9">
        <w:rPr>
          <w:color w:val="auto"/>
          <w:lang w:val="en-GB"/>
        </w:rPr>
        <w:t xml:space="preserve"> 42 (1): 58–84. https://doi.org/10.1355/cs42-1c.</w:t>
      </w:r>
    </w:p>
    <w:p w14:paraId="6E617FA8" w14:textId="77777777" w:rsidR="000757C9" w:rsidRPr="000757C9" w:rsidRDefault="000757C9" w:rsidP="000757C9">
      <w:pPr>
        <w:pStyle w:val="Bibliography"/>
        <w:rPr>
          <w:color w:val="auto"/>
          <w:lang w:val="en-GB"/>
        </w:rPr>
      </w:pPr>
      <w:r w:rsidRPr="000757C9">
        <w:rPr>
          <w:color w:val="auto"/>
          <w:lang w:val="en-GB"/>
        </w:rPr>
        <w:t xml:space="preserve">Milanovic, Marko. 2018. “Legitimizing Blasphemy Laws Through the Backdoor: The European Court’s Judgment in E.S. v. Austria.” </w:t>
      </w:r>
      <w:r w:rsidRPr="000757C9">
        <w:rPr>
          <w:i/>
          <w:iCs/>
          <w:color w:val="auto"/>
          <w:lang w:val="en-GB"/>
        </w:rPr>
        <w:t>EJIL: Talk!</w:t>
      </w:r>
      <w:r w:rsidRPr="000757C9">
        <w:rPr>
          <w:color w:val="auto"/>
          <w:lang w:val="en-GB"/>
        </w:rPr>
        <w:t xml:space="preserve"> (blog). October 29, 2018. https://www.ejiltalk.org/legitimizing-blasphemy-laws-through-the-backdoor-the-european-courts-judgment-in-e-s-v-austria/.</w:t>
      </w:r>
    </w:p>
    <w:p w14:paraId="2D6B4BAA" w14:textId="77777777" w:rsidR="000757C9" w:rsidRPr="000757C9" w:rsidRDefault="000757C9" w:rsidP="000757C9">
      <w:pPr>
        <w:pStyle w:val="Bibliography"/>
        <w:rPr>
          <w:color w:val="auto"/>
          <w:lang w:val="en-GB"/>
        </w:rPr>
      </w:pPr>
      <w:proofErr w:type="spellStart"/>
      <w:r w:rsidRPr="000757C9">
        <w:rPr>
          <w:color w:val="auto"/>
          <w:lang w:val="en-GB"/>
        </w:rPr>
        <w:t>Modood</w:t>
      </w:r>
      <w:proofErr w:type="spellEnd"/>
      <w:r w:rsidRPr="000757C9">
        <w:rPr>
          <w:color w:val="auto"/>
          <w:lang w:val="en-GB"/>
        </w:rPr>
        <w:t xml:space="preserve">, Tariq, Randall Hansen, Erik Bleich, Brendan O’Leary, and Joseph H. </w:t>
      </w:r>
      <w:proofErr w:type="spellStart"/>
      <w:r w:rsidRPr="000757C9">
        <w:rPr>
          <w:color w:val="auto"/>
          <w:lang w:val="en-GB"/>
        </w:rPr>
        <w:t>Carens</w:t>
      </w:r>
      <w:proofErr w:type="spellEnd"/>
      <w:r w:rsidRPr="000757C9">
        <w:rPr>
          <w:color w:val="auto"/>
          <w:lang w:val="en-GB"/>
        </w:rPr>
        <w:t xml:space="preserve">. 2006. “The Danish Cartoon Affair: Free Speech, Racism, Islamism, and Integration.” </w:t>
      </w:r>
      <w:r w:rsidRPr="000757C9">
        <w:rPr>
          <w:i/>
          <w:iCs/>
          <w:color w:val="auto"/>
          <w:lang w:val="en-GB"/>
        </w:rPr>
        <w:t>International Migration</w:t>
      </w:r>
      <w:r w:rsidRPr="000757C9">
        <w:rPr>
          <w:color w:val="auto"/>
          <w:lang w:val="en-GB"/>
        </w:rPr>
        <w:t xml:space="preserve"> 44 (5): 3–62. https://doi.org/10.1111/j.1468-2435.2006.00386.x.</w:t>
      </w:r>
    </w:p>
    <w:p w14:paraId="08428783" w14:textId="77777777" w:rsidR="000757C9" w:rsidRPr="000757C9" w:rsidRDefault="000757C9" w:rsidP="000757C9">
      <w:pPr>
        <w:pStyle w:val="Bibliography"/>
        <w:rPr>
          <w:color w:val="auto"/>
          <w:lang w:val="en-GB"/>
        </w:rPr>
      </w:pPr>
      <w:r w:rsidRPr="000757C9">
        <w:rPr>
          <w:color w:val="auto"/>
          <w:lang w:val="en-GB"/>
        </w:rPr>
        <w:t xml:space="preserve">Mondal, Anshuman A. 2016. “Articles of Faith: Freedom of Expression and Religious Freedom in Contemporary </w:t>
      </w:r>
      <w:proofErr w:type="spellStart"/>
      <w:r w:rsidRPr="000757C9">
        <w:rPr>
          <w:color w:val="auto"/>
          <w:lang w:val="en-GB"/>
        </w:rPr>
        <w:t>Multiculture</w:t>
      </w:r>
      <w:proofErr w:type="spellEnd"/>
      <w:r w:rsidRPr="000757C9">
        <w:rPr>
          <w:color w:val="auto"/>
          <w:lang w:val="en-GB"/>
        </w:rPr>
        <w:t xml:space="preserve">.” </w:t>
      </w:r>
      <w:r w:rsidRPr="000757C9">
        <w:rPr>
          <w:i/>
          <w:iCs/>
          <w:color w:val="auto"/>
          <w:lang w:val="en-GB"/>
        </w:rPr>
        <w:t>Islam and Christian–Muslim Relations</w:t>
      </w:r>
      <w:r w:rsidRPr="000757C9">
        <w:rPr>
          <w:color w:val="auto"/>
          <w:lang w:val="en-GB"/>
        </w:rPr>
        <w:t xml:space="preserve"> 27 (1): 3–24. https://doi.org/10.1080/09596410.2015.1114240.</w:t>
      </w:r>
    </w:p>
    <w:p w14:paraId="7B555C64" w14:textId="77777777" w:rsidR="000757C9" w:rsidRPr="000757C9" w:rsidRDefault="000757C9" w:rsidP="000757C9">
      <w:pPr>
        <w:pStyle w:val="Bibliography"/>
        <w:rPr>
          <w:color w:val="auto"/>
          <w:lang w:val="en-GB"/>
        </w:rPr>
      </w:pPr>
      <w:proofErr w:type="spellStart"/>
      <w:r w:rsidRPr="000757C9">
        <w:rPr>
          <w:color w:val="auto"/>
          <w:lang w:val="en-GB"/>
        </w:rPr>
        <w:t>Nalle</w:t>
      </w:r>
      <w:proofErr w:type="spellEnd"/>
      <w:r w:rsidRPr="000757C9">
        <w:rPr>
          <w:color w:val="auto"/>
          <w:lang w:val="en-GB"/>
        </w:rPr>
        <w:t xml:space="preserve">, Victor </w:t>
      </w:r>
      <w:proofErr w:type="spellStart"/>
      <w:r w:rsidRPr="000757C9">
        <w:rPr>
          <w:color w:val="auto"/>
          <w:lang w:val="en-GB"/>
        </w:rPr>
        <w:t>Imanuel</w:t>
      </w:r>
      <w:proofErr w:type="spellEnd"/>
      <w:r w:rsidRPr="000757C9">
        <w:rPr>
          <w:color w:val="auto"/>
          <w:lang w:val="en-GB"/>
        </w:rPr>
        <w:t xml:space="preserve"> W. 2017. “Blasphemy Law and Public Neutrality in Indonesia.” </w:t>
      </w:r>
      <w:r w:rsidRPr="000757C9">
        <w:rPr>
          <w:i/>
          <w:iCs/>
          <w:color w:val="auto"/>
          <w:lang w:val="en-GB"/>
        </w:rPr>
        <w:t>Mediterranean Journal of Social Sciences</w:t>
      </w:r>
      <w:r w:rsidRPr="000757C9">
        <w:rPr>
          <w:color w:val="auto"/>
          <w:lang w:val="en-GB"/>
        </w:rPr>
        <w:t xml:space="preserve"> 8 (2): 57–62.</w:t>
      </w:r>
    </w:p>
    <w:p w14:paraId="14C66430" w14:textId="77777777" w:rsidR="000757C9" w:rsidRPr="000757C9" w:rsidRDefault="000757C9" w:rsidP="000757C9">
      <w:pPr>
        <w:pStyle w:val="Bibliography"/>
        <w:rPr>
          <w:color w:val="auto"/>
          <w:lang w:val="en-GB"/>
        </w:rPr>
      </w:pPr>
      <w:proofErr w:type="spellStart"/>
      <w:r w:rsidRPr="000757C9">
        <w:rPr>
          <w:color w:val="auto"/>
          <w:lang w:val="en-GB"/>
        </w:rPr>
        <w:t>Nieuwenhuis</w:t>
      </w:r>
      <w:proofErr w:type="spellEnd"/>
      <w:r w:rsidRPr="000757C9">
        <w:rPr>
          <w:color w:val="auto"/>
          <w:lang w:val="en-GB"/>
        </w:rPr>
        <w:t xml:space="preserve">, </w:t>
      </w:r>
      <w:proofErr w:type="spellStart"/>
      <w:r w:rsidRPr="000757C9">
        <w:rPr>
          <w:color w:val="auto"/>
          <w:lang w:val="en-GB"/>
        </w:rPr>
        <w:t>Aernout</w:t>
      </w:r>
      <w:proofErr w:type="spellEnd"/>
      <w:r w:rsidRPr="000757C9">
        <w:rPr>
          <w:color w:val="auto"/>
          <w:lang w:val="en-GB"/>
        </w:rPr>
        <w:t xml:space="preserve"> J. 2012. “State and Religion, a Multidimensional Relationship: Some Comparative Law Remarks.” </w:t>
      </w:r>
      <w:r w:rsidRPr="000757C9">
        <w:rPr>
          <w:i/>
          <w:iCs/>
          <w:color w:val="auto"/>
          <w:lang w:val="en-GB"/>
        </w:rPr>
        <w:t>International Journal of Constitutional Law</w:t>
      </w:r>
      <w:r w:rsidRPr="000757C9">
        <w:rPr>
          <w:color w:val="auto"/>
          <w:lang w:val="en-GB"/>
        </w:rPr>
        <w:t xml:space="preserve"> 10 (1): 153–74. https://doi.org/10.1093/icon/mos001.</w:t>
      </w:r>
    </w:p>
    <w:p w14:paraId="19FE42A8" w14:textId="77777777" w:rsidR="000757C9" w:rsidRPr="000757C9" w:rsidRDefault="000757C9" w:rsidP="000757C9">
      <w:pPr>
        <w:pStyle w:val="Bibliography"/>
        <w:rPr>
          <w:color w:val="auto"/>
          <w:lang w:val="en-GB"/>
        </w:rPr>
      </w:pPr>
      <w:proofErr w:type="spellStart"/>
      <w:r w:rsidRPr="000757C9">
        <w:rPr>
          <w:color w:val="auto"/>
          <w:lang w:val="en-GB"/>
        </w:rPr>
        <w:t>Panjaitan</w:t>
      </w:r>
      <w:proofErr w:type="spellEnd"/>
      <w:r w:rsidRPr="000757C9">
        <w:rPr>
          <w:color w:val="auto"/>
          <w:lang w:val="en-GB"/>
        </w:rPr>
        <w:t xml:space="preserve">, </w:t>
      </w:r>
      <w:proofErr w:type="spellStart"/>
      <w:r w:rsidRPr="000757C9">
        <w:rPr>
          <w:color w:val="auto"/>
          <w:lang w:val="en-GB"/>
        </w:rPr>
        <w:t>Chandro</w:t>
      </w:r>
      <w:proofErr w:type="spellEnd"/>
      <w:r w:rsidRPr="000757C9">
        <w:rPr>
          <w:color w:val="auto"/>
          <w:lang w:val="en-GB"/>
        </w:rPr>
        <w:t xml:space="preserve">, and </w:t>
      </w:r>
      <w:proofErr w:type="spellStart"/>
      <w:r w:rsidRPr="000757C9">
        <w:rPr>
          <w:color w:val="auto"/>
          <w:lang w:val="en-GB"/>
        </w:rPr>
        <w:t>Firman</w:t>
      </w:r>
      <w:proofErr w:type="spellEnd"/>
      <w:r w:rsidRPr="000757C9">
        <w:rPr>
          <w:color w:val="auto"/>
          <w:lang w:val="en-GB"/>
        </w:rPr>
        <w:t xml:space="preserve"> Wijaya. 2018. “</w:t>
      </w:r>
      <w:proofErr w:type="spellStart"/>
      <w:r w:rsidRPr="000757C9">
        <w:rPr>
          <w:color w:val="auto"/>
          <w:lang w:val="en-GB"/>
        </w:rPr>
        <w:t>Penyebab</w:t>
      </w:r>
      <w:proofErr w:type="spellEnd"/>
      <w:r w:rsidRPr="000757C9">
        <w:rPr>
          <w:color w:val="auto"/>
          <w:lang w:val="en-GB"/>
        </w:rPr>
        <w:t xml:space="preserve"> </w:t>
      </w:r>
      <w:proofErr w:type="spellStart"/>
      <w:r w:rsidRPr="000757C9">
        <w:rPr>
          <w:color w:val="auto"/>
          <w:lang w:val="en-GB"/>
        </w:rPr>
        <w:t>Terjadinya</w:t>
      </w:r>
      <w:proofErr w:type="spellEnd"/>
      <w:r w:rsidRPr="000757C9">
        <w:rPr>
          <w:color w:val="auto"/>
          <w:lang w:val="en-GB"/>
        </w:rPr>
        <w:t xml:space="preserve"> Tindakan Main Hakim </w:t>
      </w:r>
      <w:proofErr w:type="spellStart"/>
      <w:r w:rsidRPr="000757C9">
        <w:rPr>
          <w:color w:val="auto"/>
          <w:lang w:val="en-GB"/>
        </w:rPr>
        <w:t>Sendiri</w:t>
      </w:r>
      <w:proofErr w:type="spellEnd"/>
      <w:r w:rsidRPr="000757C9">
        <w:rPr>
          <w:color w:val="auto"/>
          <w:lang w:val="en-GB"/>
        </w:rPr>
        <w:t xml:space="preserve"> </w:t>
      </w:r>
      <w:proofErr w:type="spellStart"/>
      <w:r w:rsidRPr="000757C9">
        <w:rPr>
          <w:color w:val="auto"/>
          <w:lang w:val="en-GB"/>
        </w:rPr>
        <w:t>Atau</w:t>
      </w:r>
      <w:proofErr w:type="spellEnd"/>
      <w:r w:rsidRPr="000757C9">
        <w:rPr>
          <w:color w:val="auto"/>
          <w:lang w:val="en-GB"/>
        </w:rPr>
        <w:t xml:space="preserve"> </w:t>
      </w:r>
      <w:proofErr w:type="spellStart"/>
      <w:r w:rsidRPr="000757C9">
        <w:rPr>
          <w:color w:val="auto"/>
          <w:lang w:val="en-GB"/>
        </w:rPr>
        <w:t>Eigenrichting</w:t>
      </w:r>
      <w:proofErr w:type="spellEnd"/>
      <w:r w:rsidRPr="000757C9">
        <w:rPr>
          <w:color w:val="auto"/>
          <w:lang w:val="en-GB"/>
        </w:rPr>
        <w:t xml:space="preserve"> Yang </w:t>
      </w:r>
      <w:proofErr w:type="spellStart"/>
      <w:r w:rsidRPr="000757C9">
        <w:rPr>
          <w:color w:val="auto"/>
          <w:lang w:val="en-GB"/>
        </w:rPr>
        <w:t>Mengakibatkan</w:t>
      </w:r>
      <w:proofErr w:type="spellEnd"/>
      <w:r w:rsidRPr="000757C9">
        <w:rPr>
          <w:color w:val="auto"/>
          <w:lang w:val="en-GB"/>
        </w:rPr>
        <w:t xml:space="preserve"> </w:t>
      </w:r>
      <w:proofErr w:type="spellStart"/>
      <w:r w:rsidRPr="000757C9">
        <w:rPr>
          <w:color w:val="auto"/>
          <w:lang w:val="en-GB"/>
        </w:rPr>
        <w:t>Kematian</w:t>
      </w:r>
      <w:proofErr w:type="spellEnd"/>
      <w:r w:rsidRPr="000757C9">
        <w:rPr>
          <w:color w:val="auto"/>
          <w:lang w:val="en-GB"/>
        </w:rPr>
        <w:t xml:space="preserve"> (</w:t>
      </w:r>
      <w:proofErr w:type="spellStart"/>
      <w:r w:rsidRPr="000757C9">
        <w:rPr>
          <w:color w:val="auto"/>
          <w:lang w:val="en-GB"/>
        </w:rPr>
        <w:t>Contoh</w:t>
      </w:r>
      <w:proofErr w:type="spellEnd"/>
      <w:r w:rsidRPr="000757C9">
        <w:rPr>
          <w:color w:val="auto"/>
          <w:lang w:val="en-GB"/>
        </w:rPr>
        <w:t xml:space="preserve"> </w:t>
      </w:r>
      <w:proofErr w:type="spellStart"/>
      <w:r w:rsidRPr="000757C9">
        <w:rPr>
          <w:color w:val="auto"/>
          <w:lang w:val="en-GB"/>
        </w:rPr>
        <w:t>Kasus</w:t>
      </w:r>
      <w:proofErr w:type="spellEnd"/>
      <w:r w:rsidRPr="000757C9">
        <w:rPr>
          <w:color w:val="auto"/>
          <w:lang w:val="en-GB"/>
        </w:rPr>
        <w:t xml:space="preserve"> </w:t>
      </w:r>
      <w:proofErr w:type="spellStart"/>
      <w:r w:rsidRPr="000757C9">
        <w:rPr>
          <w:color w:val="auto"/>
          <w:lang w:val="en-GB"/>
        </w:rPr>
        <w:t>Pembakaran</w:t>
      </w:r>
      <w:proofErr w:type="spellEnd"/>
      <w:r w:rsidRPr="000757C9">
        <w:rPr>
          <w:color w:val="auto"/>
          <w:lang w:val="en-GB"/>
        </w:rPr>
        <w:t xml:space="preserve"> </w:t>
      </w:r>
      <w:proofErr w:type="spellStart"/>
      <w:r w:rsidRPr="000757C9">
        <w:rPr>
          <w:color w:val="auto"/>
          <w:lang w:val="en-GB"/>
        </w:rPr>
        <w:t>Pelaku</w:t>
      </w:r>
      <w:proofErr w:type="spellEnd"/>
      <w:r w:rsidRPr="000757C9">
        <w:rPr>
          <w:color w:val="auto"/>
          <w:lang w:val="en-GB"/>
        </w:rPr>
        <w:t xml:space="preserve"> </w:t>
      </w:r>
      <w:proofErr w:type="spellStart"/>
      <w:r w:rsidRPr="000757C9">
        <w:rPr>
          <w:color w:val="auto"/>
          <w:lang w:val="en-GB"/>
        </w:rPr>
        <w:t>Pencurian</w:t>
      </w:r>
      <w:proofErr w:type="spellEnd"/>
      <w:r w:rsidRPr="000757C9">
        <w:rPr>
          <w:color w:val="auto"/>
          <w:lang w:val="en-GB"/>
        </w:rPr>
        <w:t xml:space="preserve"> Motor </w:t>
      </w:r>
      <w:proofErr w:type="spellStart"/>
      <w:r w:rsidRPr="000757C9">
        <w:rPr>
          <w:color w:val="auto"/>
          <w:lang w:val="en-GB"/>
        </w:rPr>
        <w:t>Dengan</w:t>
      </w:r>
      <w:proofErr w:type="spellEnd"/>
      <w:r w:rsidRPr="000757C9">
        <w:rPr>
          <w:color w:val="auto"/>
          <w:lang w:val="en-GB"/>
        </w:rPr>
        <w:t xml:space="preserve"> </w:t>
      </w:r>
      <w:proofErr w:type="spellStart"/>
      <w:r w:rsidRPr="000757C9">
        <w:rPr>
          <w:color w:val="auto"/>
          <w:lang w:val="en-GB"/>
        </w:rPr>
        <w:t>Kekerasan</w:t>
      </w:r>
      <w:proofErr w:type="spellEnd"/>
      <w:r w:rsidRPr="000757C9">
        <w:rPr>
          <w:color w:val="auto"/>
          <w:lang w:val="en-GB"/>
        </w:rPr>
        <w:t xml:space="preserve"> Di </w:t>
      </w:r>
      <w:proofErr w:type="spellStart"/>
      <w:r w:rsidRPr="000757C9">
        <w:rPr>
          <w:color w:val="auto"/>
          <w:lang w:val="en-GB"/>
        </w:rPr>
        <w:t>Pondok</w:t>
      </w:r>
      <w:proofErr w:type="spellEnd"/>
      <w:r w:rsidRPr="000757C9">
        <w:rPr>
          <w:color w:val="auto"/>
          <w:lang w:val="en-GB"/>
        </w:rPr>
        <w:t xml:space="preserve"> </w:t>
      </w:r>
      <w:proofErr w:type="spellStart"/>
      <w:r w:rsidRPr="000757C9">
        <w:rPr>
          <w:color w:val="auto"/>
          <w:lang w:val="en-GB"/>
        </w:rPr>
        <w:t>Aren</w:t>
      </w:r>
      <w:proofErr w:type="spellEnd"/>
      <w:r w:rsidRPr="000757C9">
        <w:rPr>
          <w:color w:val="auto"/>
          <w:lang w:val="en-GB"/>
        </w:rPr>
        <w:t xml:space="preserve"> Tangerang).” </w:t>
      </w:r>
      <w:proofErr w:type="spellStart"/>
      <w:r w:rsidRPr="000757C9">
        <w:rPr>
          <w:i/>
          <w:iCs/>
          <w:color w:val="auto"/>
          <w:lang w:val="en-GB"/>
        </w:rPr>
        <w:t>Jurnal</w:t>
      </w:r>
      <w:proofErr w:type="spellEnd"/>
      <w:r w:rsidRPr="000757C9">
        <w:rPr>
          <w:i/>
          <w:iCs/>
          <w:color w:val="auto"/>
          <w:lang w:val="en-GB"/>
        </w:rPr>
        <w:t xml:space="preserve"> Hukum </w:t>
      </w:r>
      <w:proofErr w:type="spellStart"/>
      <w:r w:rsidRPr="000757C9">
        <w:rPr>
          <w:i/>
          <w:iCs/>
          <w:color w:val="auto"/>
          <w:lang w:val="en-GB"/>
        </w:rPr>
        <w:t>Adigama</w:t>
      </w:r>
      <w:proofErr w:type="spellEnd"/>
      <w:r w:rsidRPr="000757C9">
        <w:rPr>
          <w:color w:val="auto"/>
          <w:lang w:val="en-GB"/>
        </w:rPr>
        <w:t xml:space="preserve"> 1 (1): 809. https://doi.org/10.24912/adigama.v1i1.2168.</w:t>
      </w:r>
    </w:p>
    <w:p w14:paraId="4A4FE9DE" w14:textId="77777777" w:rsidR="000757C9" w:rsidRPr="000757C9" w:rsidRDefault="000757C9" w:rsidP="000757C9">
      <w:pPr>
        <w:pStyle w:val="Bibliography"/>
        <w:rPr>
          <w:color w:val="auto"/>
          <w:lang w:val="en-GB"/>
        </w:rPr>
      </w:pPr>
      <w:proofErr w:type="spellStart"/>
      <w:r w:rsidRPr="000757C9">
        <w:rPr>
          <w:color w:val="auto"/>
          <w:lang w:val="en-GB"/>
        </w:rPr>
        <w:t>Pratiwi</w:t>
      </w:r>
      <w:proofErr w:type="spellEnd"/>
      <w:r w:rsidRPr="000757C9">
        <w:rPr>
          <w:color w:val="auto"/>
          <w:lang w:val="en-GB"/>
        </w:rPr>
        <w:t xml:space="preserve">, </w:t>
      </w:r>
      <w:proofErr w:type="spellStart"/>
      <w:r w:rsidRPr="000757C9">
        <w:rPr>
          <w:color w:val="auto"/>
          <w:lang w:val="en-GB"/>
        </w:rPr>
        <w:t>Cekli</w:t>
      </w:r>
      <w:proofErr w:type="spellEnd"/>
      <w:r w:rsidRPr="000757C9">
        <w:rPr>
          <w:color w:val="auto"/>
          <w:lang w:val="en-GB"/>
        </w:rPr>
        <w:t xml:space="preserve"> </w:t>
      </w:r>
      <w:proofErr w:type="spellStart"/>
      <w:r w:rsidRPr="000757C9">
        <w:rPr>
          <w:color w:val="auto"/>
          <w:lang w:val="en-GB"/>
        </w:rPr>
        <w:t>Setya</w:t>
      </w:r>
      <w:proofErr w:type="spellEnd"/>
      <w:r w:rsidRPr="000757C9">
        <w:rPr>
          <w:color w:val="auto"/>
          <w:lang w:val="en-GB"/>
        </w:rPr>
        <w:t xml:space="preserve">, and </w:t>
      </w:r>
      <w:proofErr w:type="spellStart"/>
      <w:r w:rsidRPr="000757C9">
        <w:rPr>
          <w:color w:val="auto"/>
          <w:lang w:val="en-GB"/>
        </w:rPr>
        <w:t>Sidik</w:t>
      </w:r>
      <w:proofErr w:type="spellEnd"/>
      <w:r w:rsidRPr="000757C9">
        <w:rPr>
          <w:color w:val="auto"/>
          <w:lang w:val="en-GB"/>
        </w:rPr>
        <w:t xml:space="preserve"> </w:t>
      </w:r>
      <w:proofErr w:type="spellStart"/>
      <w:r w:rsidRPr="000757C9">
        <w:rPr>
          <w:color w:val="auto"/>
          <w:lang w:val="en-GB"/>
        </w:rPr>
        <w:t>Sunaryo</w:t>
      </w:r>
      <w:proofErr w:type="spellEnd"/>
      <w:r w:rsidRPr="000757C9">
        <w:rPr>
          <w:color w:val="auto"/>
          <w:lang w:val="en-GB"/>
        </w:rPr>
        <w:t xml:space="preserve">. 2021. “Blasphemy Law as a Structural Violence: A Challenge for Maintaining Sustainable Peace.” </w:t>
      </w:r>
      <w:r w:rsidRPr="000757C9">
        <w:rPr>
          <w:i/>
          <w:iCs/>
          <w:color w:val="auto"/>
          <w:lang w:val="en-GB"/>
        </w:rPr>
        <w:t>Muslim World Journal of Human Rights</w:t>
      </w:r>
      <w:r w:rsidRPr="000757C9">
        <w:rPr>
          <w:color w:val="auto"/>
          <w:lang w:val="en-GB"/>
        </w:rPr>
        <w:t xml:space="preserve"> 18 (1): 133–65. https://doi.org/10.1515/mwjhr-2020-0019.</w:t>
      </w:r>
    </w:p>
    <w:p w14:paraId="76CBC462" w14:textId="77777777" w:rsidR="000757C9" w:rsidRPr="000757C9" w:rsidRDefault="000757C9" w:rsidP="000757C9">
      <w:pPr>
        <w:pStyle w:val="Bibliography"/>
        <w:rPr>
          <w:color w:val="auto"/>
          <w:lang w:val="en-GB"/>
        </w:rPr>
      </w:pPr>
      <w:proofErr w:type="spellStart"/>
      <w:r w:rsidRPr="000757C9">
        <w:rPr>
          <w:color w:val="auto"/>
          <w:lang w:val="en-GB"/>
        </w:rPr>
        <w:t>Prud’homme</w:t>
      </w:r>
      <w:proofErr w:type="spellEnd"/>
      <w:r w:rsidRPr="000757C9">
        <w:rPr>
          <w:color w:val="auto"/>
          <w:lang w:val="en-GB"/>
        </w:rPr>
        <w:t>, Jo-Anne. 2010. “Policing Belief: The Impact of Blasphemy Laws on Human Rights.” Special Report. DC: Freedom House. https://freedomhouse.org/sites/default/files/2020-02/Archived_Special_Report_FH_Policing_Belief_Full.pdf.</w:t>
      </w:r>
    </w:p>
    <w:p w14:paraId="0239E289" w14:textId="77777777" w:rsidR="000757C9" w:rsidRPr="000757C9" w:rsidRDefault="000757C9" w:rsidP="000757C9">
      <w:pPr>
        <w:pStyle w:val="Bibliography"/>
        <w:rPr>
          <w:color w:val="auto"/>
          <w:lang w:val="en-GB"/>
        </w:rPr>
      </w:pPr>
      <w:proofErr w:type="spellStart"/>
      <w:r w:rsidRPr="000757C9">
        <w:rPr>
          <w:color w:val="auto"/>
          <w:lang w:val="en-GB"/>
        </w:rPr>
        <w:t>Rambe</w:t>
      </w:r>
      <w:proofErr w:type="spellEnd"/>
      <w:r w:rsidRPr="000757C9">
        <w:rPr>
          <w:color w:val="auto"/>
          <w:lang w:val="en-GB"/>
        </w:rPr>
        <w:t>, Aditya. 2018. “</w:t>
      </w:r>
      <w:proofErr w:type="spellStart"/>
      <w:r w:rsidRPr="000757C9">
        <w:rPr>
          <w:color w:val="auto"/>
          <w:lang w:val="en-GB"/>
        </w:rPr>
        <w:t>Pertanggungjawaban</w:t>
      </w:r>
      <w:proofErr w:type="spellEnd"/>
      <w:r w:rsidRPr="000757C9">
        <w:rPr>
          <w:color w:val="auto"/>
          <w:lang w:val="en-GB"/>
        </w:rPr>
        <w:t xml:space="preserve"> </w:t>
      </w:r>
      <w:proofErr w:type="spellStart"/>
      <w:r w:rsidRPr="000757C9">
        <w:rPr>
          <w:color w:val="auto"/>
          <w:lang w:val="en-GB"/>
        </w:rPr>
        <w:t>Pidana</w:t>
      </w:r>
      <w:proofErr w:type="spellEnd"/>
      <w:r w:rsidRPr="000757C9">
        <w:rPr>
          <w:color w:val="auto"/>
          <w:lang w:val="en-GB"/>
        </w:rPr>
        <w:t xml:space="preserve"> </w:t>
      </w:r>
      <w:proofErr w:type="spellStart"/>
      <w:r w:rsidRPr="000757C9">
        <w:rPr>
          <w:color w:val="auto"/>
          <w:lang w:val="en-GB"/>
        </w:rPr>
        <w:t>Terhadap</w:t>
      </w:r>
      <w:proofErr w:type="spellEnd"/>
      <w:r w:rsidRPr="000757C9">
        <w:rPr>
          <w:color w:val="auto"/>
          <w:lang w:val="en-GB"/>
        </w:rPr>
        <w:t xml:space="preserve"> </w:t>
      </w:r>
      <w:proofErr w:type="spellStart"/>
      <w:r w:rsidRPr="000757C9">
        <w:rPr>
          <w:color w:val="auto"/>
          <w:lang w:val="en-GB"/>
        </w:rPr>
        <w:t>Pelaku</w:t>
      </w:r>
      <w:proofErr w:type="spellEnd"/>
      <w:r w:rsidRPr="000757C9">
        <w:rPr>
          <w:color w:val="auto"/>
          <w:lang w:val="en-GB"/>
        </w:rPr>
        <w:t xml:space="preserve"> Tindakan Main Hakim </w:t>
      </w:r>
      <w:proofErr w:type="spellStart"/>
      <w:r w:rsidRPr="000757C9">
        <w:rPr>
          <w:color w:val="auto"/>
          <w:lang w:val="en-GB"/>
        </w:rPr>
        <w:t>Sendiri</w:t>
      </w:r>
      <w:proofErr w:type="spellEnd"/>
      <w:r w:rsidRPr="000757C9">
        <w:rPr>
          <w:color w:val="auto"/>
          <w:lang w:val="en-GB"/>
        </w:rPr>
        <w:t xml:space="preserve"> </w:t>
      </w:r>
      <w:proofErr w:type="spellStart"/>
      <w:r w:rsidRPr="000757C9">
        <w:rPr>
          <w:color w:val="auto"/>
          <w:lang w:val="en-GB"/>
        </w:rPr>
        <w:t>Bagi</w:t>
      </w:r>
      <w:proofErr w:type="spellEnd"/>
      <w:r w:rsidRPr="000757C9">
        <w:rPr>
          <w:color w:val="auto"/>
          <w:lang w:val="en-GB"/>
        </w:rPr>
        <w:t xml:space="preserve"> </w:t>
      </w:r>
      <w:proofErr w:type="spellStart"/>
      <w:r w:rsidRPr="000757C9">
        <w:rPr>
          <w:color w:val="auto"/>
          <w:lang w:val="en-GB"/>
        </w:rPr>
        <w:t>Terduga</w:t>
      </w:r>
      <w:proofErr w:type="spellEnd"/>
      <w:r w:rsidRPr="000757C9">
        <w:rPr>
          <w:color w:val="auto"/>
          <w:lang w:val="en-GB"/>
        </w:rPr>
        <w:t xml:space="preserve"> </w:t>
      </w:r>
      <w:proofErr w:type="spellStart"/>
      <w:r w:rsidRPr="000757C9">
        <w:rPr>
          <w:color w:val="auto"/>
          <w:lang w:val="en-GB"/>
        </w:rPr>
        <w:t>Pelaku</w:t>
      </w:r>
      <w:proofErr w:type="spellEnd"/>
      <w:r w:rsidRPr="000757C9">
        <w:rPr>
          <w:color w:val="auto"/>
          <w:lang w:val="en-GB"/>
        </w:rPr>
        <w:t xml:space="preserve"> </w:t>
      </w:r>
      <w:proofErr w:type="spellStart"/>
      <w:r w:rsidRPr="000757C9">
        <w:rPr>
          <w:color w:val="auto"/>
          <w:lang w:val="en-GB"/>
        </w:rPr>
        <w:t>Tindak</w:t>
      </w:r>
      <w:proofErr w:type="spellEnd"/>
      <w:r w:rsidRPr="000757C9">
        <w:rPr>
          <w:color w:val="auto"/>
          <w:lang w:val="en-GB"/>
        </w:rPr>
        <w:t xml:space="preserve"> </w:t>
      </w:r>
      <w:proofErr w:type="spellStart"/>
      <w:r w:rsidRPr="000757C9">
        <w:rPr>
          <w:color w:val="auto"/>
          <w:lang w:val="en-GB"/>
        </w:rPr>
        <w:t>Pidana</w:t>
      </w:r>
      <w:proofErr w:type="spellEnd"/>
      <w:r w:rsidRPr="000757C9">
        <w:rPr>
          <w:color w:val="auto"/>
          <w:lang w:val="en-GB"/>
        </w:rPr>
        <w:t xml:space="preserve"> </w:t>
      </w:r>
      <w:proofErr w:type="spellStart"/>
      <w:r w:rsidRPr="000757C9">
        <w:rPr>
          <w:color w:val="auto"/>
          <w:lang w:val="en-GB"/>
        </w:rPr>
        <w:t>Pencurian</w:t>
      </w:r>
      <w:proofErr w:type="spellEnd"/>
      <w:r w:rsidRPr="000757C9">
        <w:rPr>
          <w:color w:val="auto"/>
          <w:lang w:val="en-GB"/>
        </w:rPr>
        <w:t xml:space="preserve"> (</w:t>
      </w:r>
      <w:proofErr w:type="spellStart"/>
      <w:r w:rsidRPr="000757C9">
        <w:rPr>
          <w:color w:val="auto"/>
          <w:lang w:val="en-GB"/>
        </w:rPr>
        <w:t>Studi</w:t>
      </w:r>
      <w:proofErr w:type="spellEnd"/>
      <w:r w:rsidRPr="000757C9">
        <w:rPr>
          <w:color w:val="auto"/>
          <w:lang w:val="en-GB"/>
        </w:rPr>
        <w:t xml:space="preserve"> POLRESTABES Medan).” Bachelor Thesis, Medan: Universitas Muhammadiyah Sumatera Utara. http://repository.umsu.ac.id/handle/123456789/8280.</w:t>
      </w:r>
    </w:p>
    <w:p w14:paraId="01B449DC" w14:textId="77777777" w:rsidR="000757C9" w:rsidRPr="000757C9" w:rsidRDefault="000757C9" w:rsidP="000757C9">
      <w:pPr>
        <w:pStyle w:val="Bibliography"/>
        <w:rPr>
          <w:color w:val="auto"/>
          <w:lang w:val="en-GB"/>
        </w:rPr>
      </w:pPr>
      <w:proofErr w:type="spellStart"/>
      <w:r w:rsidRPr="000757C9">
        <w:rPr>
          <w:color w:val="auto"/>
          <w:lang w:val="en-GB"/>
        </w:rPr>
        <w:t>Safa’at</w:t>
      </w:r>
      <w:proofErr w:type="spellEnd"/>
      <w:r w:rsidRPr="000757C9">
        <w:rPr>
          <w:color w:val="auto"/>
          <w:lang w:val="en-GB"/>
        </w:rPr>
        <w:t xml:space="preserve">, </w:t>
      </w:r>
      <w:proofErr w:type="spellStart"/>
      <w:r w:rsidRPr="000757C9">
        <w:rPr>
          <w:color w:val="auto"/>
          <w:lang w:val="en-GB"/>
        </w:rPr>
        <w:t>Muchamad</w:t>
      </w:r>
      <w:proofErr w:type="spellEnd"/>
      <w:r w:rsidRPr="000757C9">
        <w:rPr>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0757C9">
        <w:rPr>
          <w:i/>
          <w:iCs/>
          <w:color w:val="auto"/>
          <w:lang w:val="en-GB"/>
        </w:rPr>
        <w:t>Tadulako</w:t>
      </w:r>
      <w:proofErr w:type="spellEnd"/>
      <w:r w:rsidRPr="000757C9">
        <w:rPr>
          <w:i/>
          <w:iCs/>
          <w:color w:val="auto"/>
          <w:lang w:val="en-GB"/>
        </w:rPr>
        <w:t xml:space="preserve"> Law Review</w:t>
      </w:r>
      <w:r w:rsidRPr="000757C9">
        <w:rPr>
          <w:color w:val="auto"/>
          <w:lang w:val="en-GB"/>
        </w:rPr>
        <w:t>.</w:t>
      </w:r>
    </w:p>
    <w:p w14:paraId="7C823737" w14:textId="77777777" w:rsidR="000757C9" w:rsidRPr="000757C9" w:rsidRDefault="000757C9" w:rsidP="000757C9">
      <w:pPr>
        <w:pStyle w:val="Bibliography"/>
        <w:rPr>
          <w:color w:val="auto"/>
          <w:lang w:val="en-GB"/>
        </w:rPr>
      </w:pPr>
      <w:r w:rsidRPr="000757C9">
        <w:rPr>
          <w:color w:val="auto"/>
          <w:lang w:val="en-GB"/>
        </w:rPr>
        <w:t xml:space="preserve">Salim, </w:t>
      </w:r>
      <w:proofErr w:type="spellStart"/>
      <w:r w:rsidRPr="000757C9">
        <w:rPr>
          <w:color w:val="auto"/>
          <w:lang w:val="en-GB"/>
        </w:rPr>
        <w:t>Arskal</w:t>
      </w:r>
      <w:proofErr w:type="spellEnd"/>
      <w:r w:rsidRPr="000757C9">
        <w:rPr>
          <w:color w:val="auto"/>
          <w:lang w:val="en-GB"/>
        </w:rPr>
        <w:t xml:space="preserve">, and </w:t>
      </w:r>
      <w:proofErr w:type="spellStart"/>
      <w:r w:rsidRPr="000757C9">
        <w:rPr>
          <w:color w:val="auto"/>
          <w:lang w:val="en-GB"/>
        </w:rPr>
        <w:t>Azyumardi</w:t>
      </w:r>
      <w:proofErr w:type="spellEnd"/>
      <w:r w:rsidRPr="000757C9">
        <w:rPr>
          <w:color w:val="auto"/>
          <w:lang w:val="en-GB"/>
        </w:rPr>
        <w:t xml:space="preserve"> Azra. 2003. “Negara Dan </w:t>
      </w:r>
      <w:proofErr w:type="spellStart"/>
      <w:r w:rsidRPr="000757C9">
        <w:rPr>
          <w:color w:val="auto"/>
          <w:lang w:val="en-GB"/>
        </w:rPr>
        <w:t>Syariat</w:t>
      </w:r>
      <w:proofErr w:type="spellEnd"/>
      <w:r w:rsidRPr="000757C9">
        <w:rPr>
          <w:color w:val="auto"/>
          <w:lang w:val="en-GB"/>
        </w:rPr>
        <w:t xml:space="preserve"> </w:t>
      </w:r>
      <w:proofErr w:type="spellStart"/>
      <w:r w:rsidRPr="000757C9">
        <w:rPr>
          <w:color w:val="auto"/>
          <w:lang w:val="en-GB"/>
        </w:rPr>
        <w:t>Dalam</w:t>
      </w:r>
      <w:proofErr w:type="spellEnd"/>
      <w:r w:rsidRPr="000757C9">
        <w:rPr>
          <w:color w:val="auto"/>
          <w:lang w:val="en-GB"/>
        </w:rPr>
        <w:t xml:space="preserve"> </w:t>
      </w:r>
      <w:proofErr w:type="spellStart"/>
      <w:r w:rsidRPr="000757C9">
        <w:rPr>
          <w:color w:val="auto"/>
          <w:lang w:val="en-GB"/>
        </w:rPr>
        <w:t>Perspektif</w:t>
      </w:r>
      <w:proofErr w:type="spellEnd"/>
      <w:r w:rsidRPr="000757C9">
        <w:rPr>
          <w:color w:val="auto"/>
          <w:lang w:val="en-GB"/>
        </w:rPr>
        <w:t xml:space="preserve"> </w:t>
      </w:r>
      <w:proofErr w:type="spellStart"/>
      <w:r w:rsidRPr="000757C9">
        <w:rPr>
          <w:color w:val="auto"/>
          <w:lang w:val="en-GB"/>
        </w:rPr>
        <w:t>Politik</w:t>
      </w:r>
      <w:proofErr w:type="spellEnd"/>
      <w:r w:rsidRPr="000757C9">
        <w:rPr>
          <w:color w:val="auto"/>
          <w:lang w:val="en-GB"/>
        </w:rPr>
        <w:t xml:space="preserve"> Hukum Indonesia.” In </w:t>
      </w:r>
      <w:proofErr w:type="spellStart"/>
      <w:r w:rsidRPr="000757C9">
        <w:rPr>
          <w:i/>
          <w:iCs/>
          <w:color w:val="auto"/>
          <w:lang w:val="en-GB"/>
        </w:rPr>
        <w:t>Syariat</w:t>
      </w:r>
      <w:proofErr w:type="spellEnd"/>
      <w:r w:rsidRPr="000757C9">
        <w:rPr>
          <w:i/>
          <w:iCs/>
          <w:color w:val="auto"/>
          <w:lang w:val="en-GB"/>
        </w:rPr>
        <w:t xml:space="preserve"> Islam: </w:t>
      </w:r>
      <w:proofErr w:type="spellStart"/>
      <w:r w:rsidRPr="000757C9">
        <w:rPr>
          <w:i/>
          <w:iCs/>
          <w:color w:val="auto"/>
          <w:lang w:val="en-GB"/>
        </w:rPr>
        <w:t>Pandangan</w:t>
      </w:r>
      <w:proofErr w:type="spellEnd"/>
      <w:r w:rsidRPr="000757C9">
        <w:rPr>
          <w:i/>
          <w:iCs/>
          <w:color w:val="auto"/>
          <w:lang w:val="en-GB"/>
        </w:rPr>
        <w:t xml:space="preserve"> Muslim Liberal</w:t>
      </w:r>
      <w:r w:rsidRPr="000757C9">
        <w:rPr>
          <w:color w:val="auto"/>
          <w:lang w:val="en-GB"/>
        </w:rPr>
        <w:t xml:space="preserve">. Jakarta: </w:t>
      </w:r>
      <w:proofErr w:type="spellStart"/>
      <w:r w:rsidRPr="000757C9">
        <w:rPr>
          <w:color w:val="auto"/>
          <w:lang w:val="en-GB"/>
        </w:rPr>
        <w:t>Jaringan</w:t>
      </w:r>
      <w:proofErr w:type="spellEnd"/>
      <w:r w:rsidRPr="000757C9">
        <w:rPr>
          <w:color w:val="auto"/>
          <w:lang w:val="en-GB"/>
        </w:rPr>
        <w:t xml:space="preserve"> Islam Liberal-The Asia </w:t>
      </w:r>
      <w:proofErr w:type="spellStart"/>
      <w:r w:rsidRPr="000757C9">
        <w:rPr>
          <w:color w:val="auto"/>
          <w:lang w:val="en-GB"/>
        </w:rPr>
        <w:t>Faoundation</w:t>
      </w:r>
      <w:proofErr w:type="spellEnd"/>
      <w:r w:rsidRPr="000757C9">
        <w:rPr>
          <w:color w:val="auto"/>
          <w:lang w:val="en-GB"/>
        </w:rPr>
        <w:t>.</w:t>
      </w:r>
    </w:p>
    <w:p w14:paraId="2A8D35F5" w14:textId="77777777" w:rsidR="000757C9" w:rsidRPr="000757C9" w:rsidRDefault="000757C9" w:rsidP="000757C9">
      <w:pPr>
        <w:pStyle w:val="Bibliography"/>
        <w:rPr>
          <w:color w:val="auto"/>
          <w:lang w:val="en-GB"/>
        </w:rPr>
      </w:pPr>
      <w:r w:rsidRPr="000757C9">
        <w:rPr>
          <w:color w:val="auto"/>
          <w:lang w:val="en-GB"/>
        </w:rPr>
        <w:t xml:space="preserve">Scanlon, Thomas. 1972. “A Theory of Freedom of Expression.” </w:t>
      </w:r>
      <w:r w:rsidRPr="000757C9">
        <w:rPr>
          <w:i/>
          <w:iCs/>
          <w:color w:val="auto"/>
          <w:lang w:val="en-GB"/>
        </w:rPr>
        <w:t>Philosophy &amp; Public Affairs</w:t>
      </w:r>
      <w:r w:rsidRPr="000757C9">
        <w:rPr>
          <w:color w:val="auto"/>
          <w:lang w:val="en-GB"/>
        </w:rPr>
        <w:t xml:space="preserve"> 1 (2): 204–26.</w:t>
      </w:r>
    </w:p>
    <w:p w14:paraId="065BC974" w14:textId="77777777" w:rsidR="000757C9" w:rsidRPr="000757C9" w:rsidRDefault="000757C9" w:rsidP="000757C9">
      <w:pPr>
        <w:pStyle w:val="Bibliography"/>
        <w:rPr>
          <w:color w:val="auto"/>
          <w:lang w:val="en-GB"/>
        </w:rPr>
      </w:pPr>
      <w:proofErr w:type="spellStart"/>
      <w:r w:rsidRPr="000757C9">
        <w:rPr>
          <w:color w:val="auto"/>
          <w:lang w:val="en-GB"/>
        </w:rPr>
        <w:t>Scharffs</w:t>
      </w:r>
      <w:proofErr w:type="spellEnd"/>
      <w:r w:rsidRPr="000757C9">
        <w:rPr>
          <w:color w:val="auto"/>
          <w:lang w:val="en-GB"/>
        </w:rPr>
        <w:t xml:space="preserve">, Brett G. 2017. “Towards an Understanding of Accelerants and </w:t>
      </w:r>
      <w:proofErr w:type="spellStart"/>
      <w:r w:rsidRPr="000757C9">
        <w:rPr>
          <w:color w:val="auto"/>
          <w:lang w:val="en-GB"/>
        </w:rPr>
        <w:t>Decelerants</w:t>
      </w:r>
      <w:proofErr w:type="spellEnd"/>
      <w:r w:rsidRPr="000757C9">
        <w:rPr>
          <w:color w:val="auto"/>
          <w:lang w:val="en-GB"/>
        </w:rPr>
        <w:t>: A Non-</w:t>
      </w:r>
      <w:proofErr w:type="spellStart"/>
      <w:r w:rsidRPr="000757C9">
        <w:rPr>
          <w:color w:val="auto"/>
          <w:lang w:val="en-GB"/>
        </w:rPr>
        <w:t>Juriscentric</w:t>
      </w:r>
      <w:proofErr w:type="spellEnd"/>
      <w:r w:rsidRPr="000757C9">
        <w:rPr>
          <w:color w:val="auto"/>
          <w:lang w:val="en-GB"/>
        </w:rPr>
        <w:t xml:space="preserve"> Approach to off </w:t>
      </w:r>
      <w:proofErr w:type="spellStart"/>
      <w:r w:rsidRPr="000757C9">
        <w:rPr>
          <w:color w:val="auto"/>
          <w:lang w:val="en-GB"/>
        </w:rPr>
        <w:t>Ensive</w:t>
      </w:r>
      <w:proofErr w:type="spellEnd"/>
      <w:r w:rsidRPr="000757C9">
        <w:rPr>
          <w:color w:val="auto"/>
          <w:lang w:val="en-GB"/>
        </w:rPr>
        <w:t xml:space="preserve"> or Hateful Speech Concerning </w:t>
      </w:r>
      <w:r w:rsidRPr="000757C9">
        <w:rPr>
          <w:color w:val="auto"/>
          <w:lang w:val="en-GB"/>
        </w:rPr>
        <w:lastRenderedPageBreak/>
        <w:t>Religion.” In , 701–17. Cambridge University Press. https://doi.org/10.1017/9781108242189.029.</w:t>
      </w:r>
    </w:p>
    <w:p w14:paraId="0A4C2BA1" w14:textId="77777777" w:rsidR="000757C9" w:rsidRPr="000757C9" w:rsidRDefault="000757C9" w:rsidP="000757C9">
      <w:pPr>
        <w:pStyle w:val="Bibliography"/>
        <w:rPr>
          <w:color w:val="auto"/>
          <w:lang w:val="en-GB"/>
        </w:rPr>
      </w:pPr>
      <w:proofErr w:type="spellStart"/>
      <w:r w:rsidRPr="000757C9">
        <w:rPr>
          <w:color w:val="auto"/>
          <w:lang w:val="en-GB"/>
        </w:rPr>
        <w:t>Schmitter</w:t>
      </w:r>
      <w:proofErr w:type="spellEnd"/>
      <w:r w:rsidRPr="000757C9">
        <w:rPr>
          <w:color w:val="auto"/>
          <w:lang w:val="en-GB"/>
        </w:rPr>
        <w:t xml:space="preserve">, Philippe C, and Terry Lynn Karl. 1991. “What Democracy Is. . . and Is Not.” </w:t>
      </w:r>
      <w:r w:rsidRPr="000757C9">
        <w:rPr>
          <w:i/>
          <w:iCs/>
          <w:color w:val="auto"/>
          <w:lang w:val="en-GB"/>
        </w:rPr>
        <w:t>Journal of Democracy</w:t>
      </w:r>
      <w:r w:rsidRPr="000757C9">
        <w:rPr>
          <w:color w:val="auto"/>
          <w:lang w:val="en-GB"/>
        </w:rPr>
        <w:t xml:space="preserve"> 2 (3): 75–88. https://doi.org/10.1353/jod.1991.0033.</w:t>
      </w:r>
    </w:p>
    <w:p w14:paraId="273273B7" w14:textId="77777777" w:rsidR="000757C9" w:rsidRPr="000757C9" w:rsidRDefault="000757C9" w:rsidP="000757C9">
      <w:pPr>
        <w:pStyle w:val="Bibliography"/>
        <w:rPr>
          <w:color w:val="auto"/>
          <w:lang w:val="en-GB"/>
        </w:rPr>
      </w:pPr>
      <w:proofErr w:type="spellStart"/>
      <w:r w:rsidRPr="000757C9">
        <w:rPr>
          <w:color w:val="auto"/>
          <w:lang w:val="en-GB"/>
        </w:rPr>
        <w:t>Sezgin</w:t>
      </w:r>
      <w:proofErr w:type="spellEnd"/>
      <w:r w:rsidRPr="000757C9">
        <w:rPr>
          <w:color w:val="auto"/>
          <w:lang w:val="en-GB"/>
        </w:rPr>
        <w:t xml:space="preserve">, Y, and M </w:t>
      </w:r>
      <w:proofErr w:type="spellStart"/>
      <w:r w:rsidRPr="000757C9">
        <w:rPr>
          <w:color w:val="auto"/>
          <w:lang w:val="en-GB"/>
        </w:rPr>
        <w:t>Künkler</w:t>
      </w:r>
      <w:proofErr w:type="spellEnd"/>
      <w:r w:rsidRPr="000757C9">
        <w:rPr>
          <w:color w:val="auto"/>
          <w:lang w:val="en-GB"/>
        </w:rPr>
        <w:t xml:space="preserve">. 2014. “Regulation of ‘Religion’ and the ‘Religious’: The Politics of Judicialization and Bureaucratization in India and Indonesia.” </w:t>
      </w:r>
      <w:r w:rsidRPr="000757C9">
        <w:rPr>
          <w:i/>
          <w:iCs/>
          <w:color w:val="auto"/>
          <w:lang w:val="en-GB"/>
        </w:rPr>
        <w:t>Comparative Studies in Society and History</w:t>
      </w:r>
      <w:r w:rsidRPr="000757C9">
        <w:rPr>
          <w:color w:val="auto"/>
          <w:lang w:val="en-GB"/>
        </w:rPr>
        <w:t xml:space="preserve"> 56 (2): 448–78.</w:t>
      </w:r>
    </w:p>
    <w:p w14:paraId="558DFE1C" w14:textId="77777777" w:rsidR="000757C9" w:rsidRPr="000757C9" w:rsidRDefault="000757C9" w:rsidP="000757C9">
      <w:pPr>
        <w:pStyle w:val="Bibliography"/>
        <w:rPr>
          <w:color w:val="auto"/>
          <w:lang w:val="en-GB"/>
        </w:rPr>
      </w:pPr>
      <w:r w:rsidRPr="000757C9">
        <w:rPr>
          <w:color w:val="auto"/>
          <w:lang w:val="en-GB"/>
        </w:rPr>
        <w:t xml:space="preserve">Shaikh, Osama, and Zeeshan Malik. 2020. “Rule of Law: A Literature Review on Theoretical Concepts, Challenges from Mass Media to Innovation.” </w:t>
      </w:r>
      <w:r w:rsidRPr="000757C9">
        <w:rPr>
          <w:i/>
          <w:iCs/>
          <w:color w:val="auto"/>
          <w:lang w:val="en-GB"/>
        </w:rPr>
        <w:t>Jus Corpus LJ</w:t>
      </w:r>
      <w:r w:rsidRPr="000757C9">
        <w:rPr>
          <w:color w:val="auto"/>
          <w:lang w:val="en-GB"/>
        </w:rPr>
        <w:t xml:space="preserve"> 1: 31.</w:t>
      </w:r>
    </w:p>
    <w:p w14:paraId="435A4EB7" w14:textId="77777777" w:rsidR="000757C9" w:rsidRPr="000757C9" w:rsidRDefault="000757C9" w:rsidP="000757C9">
      <w:pPr>
        <w:pStyle w:val="Bibliography"/>
        <w:rPr>
          <w:color w:val="auto"/>
          <w:lang w:val="en-GB"/>
        </w:rPr>
      </w:pPr>
      <w:r w:rsidRPr="000757C9">
        <w:rPr>
          <w:color w:val="auto"/>
          <w:lang w:val="en-GB"/>
        </w:rPr>
        <w:t xml:space="preserve">Shepherd, Amy. 2017. “Extremism, Free Speech and the Rule of Law: Evaluating the Compliance of Legislation Restricting Extremist Expressions with Article 19 ICCPR.” </w:t>
      </w:r>
      <w:r w:rsidRPr="000757C9">
        <w:rPr>
          <w:i/>
          <w:iCs/>
          <w:color w:val="auto"/>
          <w:lang w:val="en-GB"/>
        </w:rPr>
        <w:t>Utrecht Journal of International and European Law</w:t>
      </w:r>
      <w:r w:rsidRPr="000757C9">
        <w:rPr>
          <w:color w:val="auto"/>
          <w:lang w:val="en-GB"/>
        </w:rPr>
        <w:t xml:space="preserve"> 33 (85): 62–83. https://doi.org/10.5334/ujiel.405.</w:t>
      </w:r>
    </w:p>
    <w:p w14:paraId="7A8A9473" w14:textId="77777777" w:rsidR="000757C9" w:rsidRPr="000757C9" w:rsidRDefault="000757C9" w:rsidP="000757C9">
      <w:pPr>
        <w:pStyle w:val="Bibliography"/>
        <w:rPr>
          <w:color w:val="auto"/>
          <w:lang w:val="en-GB"/>
        </w:rPr>
      </w:pPr>
      <w:proofErr w:type="spellStart"/>
      <w:r w:rsidRPr="000757C9">
        <w:rPr>
          <w:color w:val="auto"/>
          <w:lang w:val="en-GB"/>
        </w:rPr>
        <w:t>Sihombing</w:t>
      </w:r>
      <w:proofErr w:type="spellEnd"/>
      <w:r w:rsidRPr="000757C9">
        <w:rPr>
          <w:color w:val="auto"/>
          <w:lang w:val="en-GB"/>
        </w:rPr>
        <w:t xml:space="preserve">, </w:t>
      </w:r>
      <w:proofErr w:type="spellStart"/>
      <w:r w:rsidRPr="000757C9">
        <w:rPr>
          <w:color w:val="auto"/>
          <w:lang w:val="en-GB"/>
        </w:rPr>
        <w:t>Uli</w:t>
      </w:r>
      <w:proofErr w:type="spellEnd"/>
      <w:r w:rsidRPr="000757C9">
        <w:rPr>
          <w:color w:val="auto"/>
          <w:lang w:val="en-GB"/>
        </w:rPr>
        <w:t xml:space="preserve"> </w:t>
      </w:r>
      <w:proofErr w:type="spellStart"/>
      <w:r w:rsidRPr="000757C9">
        <w:rPr>
          <w:color w:val="auto"/>
          <w:lang w:val="en-GB"/>
        </w:rPr>
        <w:t>Parulina</w:t>
      </w:r>
      <w:proofErr w:type="spellEnd"/>
      <w:r w:rsidRPr="000757C9">
        <w:rPr>
          <w:color w:val="auto"/>
          <w:lang w:val="en-GB"/>
        </w:rPr>
        <w:t>. 2008. “</w:t>
      </w:r>
      <w:proofErr w:type="spellStart"/>
      <w:r w:rsidRPr="000757C9">
        <w:rPr>
          <w:color w:val="auto"/>
          <w:lang w:val="en-GB"/>
        </w:rPr>
        <w:t>Menggugat</w:t>
      </w:r>
      <w:proofErr w:type="spellEnd"/>
      <w:r w:rsidRPr="000757C9">
        <w:rPr>
          <w:color w:val="auto"/>
          <w:lang w:val="en-GB"/>
        </w:rPr>
        <w:t xml:space="preserve"> </w:t>
      </w:r>
      <w:proofErr w:type="spellStart"/>
      <w:r w:rsidRPr="000757C9">
        <w:rPr>
          <w:color w:val="auto"/>
          <w:lang w:val="en-GB"/>
        </w:rPr>
        <w:t>Bakor</w:t>
      </w:r>
      <w:proofErr w:type="spellEnd"/>
      <w:r w:rsidRPr="000757C9">
        <w:rPr>
          <w:color w:val="auto"/>
          <w:lang w:val="en-GB"/>
        </w:rPr>
        <w:t xml:space="preserve"> </w:t>
      </w:r>
      <w:proofErr w:type="spellStart"/>
      <w:r w:rsidRPr="000757C9">
        <w:rPr>
          <w:color w:val="auto"/>
          <w:lang w:val="en-GB"/>
        </w:rPr>
        <w:t>Pakem</w:t>
      </w:r>
      <w:proofErr w:type="spellEnd"/>
      <w:r w:rsidRPr="000757C9">
        <w:rPr>
          <w:color w:val="auto"/>
          <w:lang w:val="en-GB"/>
        </w:rPr>
        <w:t xml:space="preserve">; Kajian Hukum </w:t>
      </w:r>
      <w:proofErr w:type="spellStart"/>
      <w:r w:rsidRPr="000757C9">
        <w:rPr>
          <w:color w:val="auto"/>
          <w:lang w:val="en-GB"/>
        </w:rPr>
        <w:t>Terhadap</w:t>
      </w:r>
      <w:proofErr w:type="spellEnd"/>
      <w:r w:rsidRPr="000757C9">
        <w:rPr>
          <w:color w:val="auto"/>
          <w:lang w:val="en-GB"/>
        </w:rPr>
        <w:t xml:space="preserve"> </w:t>
      </w:r>
      <w:proofErr w:type="spellStart"/>
      <w:r w:rsidRPr="000757C9">
        <w:rPr>
          <w:color w:val="auto"/>
          <w:lang w:val="en-GB"/>
        </w:rPr>
        <w:t>Pengawasan</w:t>
      </w:r>
      <w:proofErr w:type="spellEnd"/>
      <w:r w:rsidRPr="000757C9">
        <w:rPr>
          <w:color w:val="auto"/>
          <w:lang w:val="en-GB"/>
        </w:rPr>
        <w:t xml:space="preserve"> Agama Dan </w:t>
      </w:r>
      <w:proofErr w:type="spellStart"/>
      <w:r w:rsidRPr="000757C9">
        <w:rPr>
          <w:color w:val="auto"/>
          <w:lang w:val="en-GB"/>
        </w:rPr>
        <w:t>Kepercayaan</w:t>
      </w:r>
      <w:proofErr w:type="spellEnd"/>
      <w:r w:rsidRPr="000757C9">
        <w:rPr>
          <w:color w:val="auto"/>
          <w:lang w:val="en-GB"/>
        </w:rPr>
        <w:t xml:space="preserve"> Di Indonesia [</w:t>
      </w:r>
      <w:proofErr w:type="spellStart"/>
      <w:r w:rsidRPr="000757C9">
        <w:rPr>
          <w:color w:val="auto"/>
          <w:lang w:val="en-GB"/>
        </w:rPr>
        <w:t>Challeng</w:t>
      </w:r>
      <w:proofErr w:type="spellEnd"/>
      <w:r w:rsidRPr="000757C9">
        <w:rPr>
          <w:color w:val="auto"/>
          <w:lang w:val="en-GB"/>
        </w:rPr>
        <w:t xml:space="preserve">-Ing </w:t>
      </w:r>
      <w:proofErr w:type="spellStart"/>
      <w:r w:rsidRPr="000757C9">
        <w:rPr>
          <w:color w:val="auto"/>
          <w:lang w:val="en-GB"/>
        </w:rPr>
        <w:t>Bakor</w:t>
      </w:r>
      <w:proofErr w:type="spellEnd"/>
      <w:r w:rsidRPr="000757C9">
        <w:rPr>
          <w:color w:val="auto"/>
          <w:lang w:val="en-GB"/>
        </w:rPr>
        <w:t xml:space="preserve"> </w:t>
      </w:r>
      <w:proofErr w:type="spellStart"/>
      <w:r w:rsidRPr="000757C9">
        <w:rPr>
          <w:color w:val="auto"/>
          <w:lang w:val="en-GB"/>
        </w:rPr>
        <w:t>Pakem</w:t>
      </w:r>
      <w:proofErr w:type="spellEnd"/>
      <w:r w:rsidRPr="000757C9">
        <w:rPr>
          <w:color w:val="auto"/>
          <w:lang w:val="en-GB"/>
        </w:rPr>
        <w:t xml:space="preserve">; Legal Study on the Oversight of Religion and Belief in Indonesia].” Jakarta: ILRC [the Indonesian Legal Resource </w:t>
      </w:r>
      <w:proofErr w:type="spellStart"/>
      <w:r w:rsidRPr="000757C9">
        <w:rPr>
          <w:color w:val="auto"/>
          <w:lang w:val="en-GB"/>
        </w:rPr>
        <w:t>Center</w:t>
      </w:r>
      <w:proofErr w:type="spellEnd"/>
      <w:r w:rsidRPr="000757C9">
        <w:rPr>
          <w:color w:val="auto"/>
          <w:lang w:val="en-GB"/>
        </w:rPr>
        <w:t>].</w:t>
      </w:r>
    </w:p>
    <w:p w14:paraId="316DF50B" w14:textId="77777777" w:rsidR="000757C9" w:rsidRPr="000757C9" w:rsidRDefault="000757C9" w:rsidP="000757C9">
      <w:pPr>
        <w:pStyle w:val="Bibliography"/>
        <w:rPr>
          <w:color w:val="auto"/>
          <w:lang w:val="en-GB"/>
        </w:rPr>
      </w:pPr>
      <w:r w:rsidRPr="000757C9">
        <w:rPr>
          <w:color w:val="auto"/>
          <w:lang w:val="en-GB"/>
        </w:rPr>
        <w:t xml:space="preserve">Smet, Stijn. 2011. “Freedom of Expression and the Right to Reputation: Human Rights in Conflict.” </w:t>
      </w:r>
      <w:r w:rsidRPr="000757C9">
        <w:rPr>
          <w:i/>
          <w:iCs/>
          <w:color w:val="auto"/>
          <w:lang w:val="en-GB"/>
        </w:rPr>
        <w:t>American University International Law Review</w:t>
      </w:r>
      <w:r w:rsidRPr="000757C9">
        <w:rPr>
          <w:color w:val="auto"/>
          <w:lang w:val="en-GB"/>
        </w:rPr>
        <w:t>, 183–236.</w:t>
      </w:r>
    </w:p>
    <w:p w14:paraId="625E64CF" w14:textId="77777777" w:rsidR="000757C9" w:rsidRPr="000757C9" w:rsidRDefault="000757C9" w:rsidP="000757C9">
      <w:pPr>
        <w:pStyle w:val="Bibliography"/>
        <w:rPr>
          <w:color w:val="auto"/>
          <w:lang w:val="en-GB"/>
        </w:rPr>
      </w:pPr>
      <w:proofErr w:type="spellStart"/>
      <w:r w:rsidRPr="000757C9">
        <w:rPr>
          <w:color w:val="auto"/>
          <w:lang w:val="en-GB"/>
        </w:rPr>
        <w:t>Tamanaha</w:t>
      </w:r>
      <w:proofErr w:type="spellEnd"/>
      <w:r w:rsidRPr="000757C9">
        <w:rPr>
          <w:color w:val="auto"/>
          <w:lang w:val="en-GB"/>
        </w:rPr>
        <w:t>, Brian Z. 2007. “A Concise Guide to the Rule of Law.”</w:t>
      </w:r>
    </w:p>
    <w:p w14:paraId="5A4E53C8" w14:textId="77777777" w:rsidR="000757C9" w:rsidRPr="000757C9" w:rsidRDefault="000757C9" w:rsidP="000757C9">
      <w:pPr>
        <w:pStyle w:val="Bibliography"/>
        <w:rPr>
          <w:color w:val="auto"/>
          <w:lang w:val="en-GB"/>
        </w:rPr>
      </w:pPr>
      <w:proofErr w:type="spellStart"/>
      <w:r w:rsidRPr="000757C9">
        <w:rPr>
          <w:color w:val="auto"/>
          <w:lang w:val="en-GB"/>
        </w:rPr>
        <w:t>Tehusijarana</w:t>
      </w:r>
      <w:proofErr w:type="spellEnd"/>
      <w:r w:rsidRPr="000757C9">
        <w:rPr>
          <w:color w:val="auto"/>
          <w:lang w:val="en-GB"/>
        </w:rPr>
        <w:t xml:space="preserve">, Karina M. 2018. “Police End Probe into Blasphemy Allegations against </w:t>
      </w:r>
      <w:proofErr w:type="spellStart"/>
      <w:r w:rsidRPr="000757C9">
        <w:rPr>
          <w:color w:val="auto"/>
          <w:lang w:val="en-GB"/>
        </w:rPr>
        <w:t>Sukmawati</w:t>
      </w:r>
      <w:proofErr w:type="spellEnd"/>
      <w:r w:rsidRPr="000757C9">
        <w:rPr>
          <w:color w:val="auto"/>
          <w:lang w:val="en-GB"/>
        </w:rPr>
        <w:t>.” The Jakarta Post. 2018. https://www.thejakartapost.com/news/2018/06/17/police-end-probe-into-blasphemy-allegations-against-sukmawati.html.</w:t>
      </w:r>
    </w:p>
    <w:p w14:paraId="09F0FFCB" w14:textId="77777777" w:rsidR="000757C9" w:rsidRPr="000757C9" w:rsidRDefault="000757C9" w:rsidP="000757C9">
      <w:pPr>
        <w:pStyle w:val="Bibliography"/>
        <w:rPr>
          <w:color w:val="auto"/>
          <w:lang w:val="en-GB"/>
        </w:rPr>
      </w:pPr>
      <w:r w:rsidRPr="000757C9">
        <w:rPr>
          <w:color w:val="auto"/>
          <w:lang w:val="en-GB"/>
        </w:rPr>
        <w:t xml:space="preserve">Telle, Kari. 2017. “Faith on Trial: Blasphemy and ‘Lawfare’ in Indonesia.” </w:t>
      </w:r>
      <w:r w:rsidRPr="000757C9">
        <w:rPr>
          <w:i/>
          <w:iCs/>
          <w:color w:val="auto"/>
          <w:lang w:val="en-GB"/>
        </w:rPr>
        <w:t>Ethnos</w:t>
      </w:r>
      <w:r w:rsidRPr="000757C9">
        <w:rPr>
          <w:color w:val="auto"/>
          <w:lang w:val="en-GB"/>
        </w:rPr>
        <w:t xml:space="preserve"> 83 (2): 371–91. https://doi.org/10.1080/00141844.2017.1282973.</w:t>
      </w:r>
    </w:p>
    <w:p w14:paraId="7D91C3F1" w14:textId="77777777" w:rsidR="000757C9" w:rsidRPr="000757C9" w:rsidRDefault="000757C9" w:rsidP="000757C9">
      <w:pPr>
        <w:pStyle w:val="Bibliography"/>
        <w:rPr>
          <w:color w:val="auto"/>
          <w:lang w:val="en-GB"/>
        </w:rPr>
      </w:pPr>
      <w:proofErr w:type="spellStart"/>
      <w:r w:rsidRPr="000757C9">
        <w:rPr>
          <w:color w:val="auto"/>
          <w:lang w:val="en-GB"/>
        </w:rPr>
        <w:t>Temperman</w:t>
      </w:r>
      <w:proofErr w:type="spellEnd"/>
      <w:r w:rsidRPr="000757C9">
        <w:rPr>
          <w:color w:val="auto"/>
          <w:lang w:val="en-GB"/>
        </w:rPr>
        <w:t xml:space="preserve">, J. 2015. </w:t>
      </w:r>
      <w:r w:rsidRPr="000757C9">
        <w:rPr>
          <w:i/>
          <w:iCs/>
          <w:color w:val="auto"/>
          <w:lang w:val="en-GB"/>
        </w:rPr>
        <w:t>Religious Hatred and International Law: The Prohibition of Incitement to Violence or Discrimination</w:t>
      </w:r>
      <w:r w:rsidRPr="000757C9">
        <w:rPr>
          <w:color w:val="auto"/>
          <w:lang w:val="en-GB"/>
        </w:rPr>
        <w:t>. Cambridge University Press. https://books.google.com/books?id=ezDuCgAAQBAJ.</w:t>
      </w:r>
    </w:p>
    <w:p w14:paraId="5C16F367" w14:textId="77777777" w:rsidR="000757C9" w:rsidRPr="000757C9" w:rsidRDefault="000757C9" w:rsidP="000757C9">
      <w:pPr>
        <w:pStyle w:val="Bibliography"/>
        <w:rPr>
          <w:color w:val="auto"/>
          <w:lang w:val="en-GB"/>
        </w:rPr>
      </w:pPr>
      <w:proofErr w:type="spellStart"/>
      <w:r w:rsidRPr="000757C9">
        <w:rPr>
          <w:color w:val="auto"/>
          <w:lang w:val="en-GB"/>
        </w:rPr>
        <w:t>Theodorou</w:t>
      </w:r>
      <w:proofErr w:type="spellEnd"/>
      <w:r w:rsidRPr="000757C9">
        <w:rPr>
          <w:color w:val="auto"/>
          <w:lang w:val="en-GB"/>
        </w:rPr>
        <w:t xml:space="preserve">, Angelina E. 2016. “Which Countries Still Outlaw Apostasy and Blasphemy?” Pew Research </w:t>
      </w:r>
      <w:proofErr w:type="spellStart"/>
      <w:r w:rsidRPr="000757C9">
        <w:rPr>
          <w:color w:val="auto"/>
          <w:lang w:val="en-GB"/>
        </w:rPr>
        <w:t>Center</w:t>
      </w:r>
      <w:proofErr w:type="spellEnd"/>
      <w:r w:rsidRPr="000757C9">
        <w:rPr>
          <w:color w:val="auto"/>
          <w:lang w:val="en-GB"/>
        </w:rPr>
        <w:t>. 2016. https://www.pewresearch.org/fact-tank/2016/07/29/which-countries-still-outlaw-apostasy-and-blasphemy/.</w:t>
      </w:r>
    </w:p>
    <w:p w14:paraId="7784A42F" w14:textId="77777777" w:rsidR="000757C9" w:rsidRPr="000757C9" w:rsidRDefault="000757C9" w:rsidP="000757C9">
      <w:pPr>
        <w:pStyle w:val="Bibliography"/>
        <w:rPr>
          <w:color w:val="auto"/>
          <w:lang w:val="en-GB"/>
        </w:rPr>
      </w:pPr>
      <w:r w:rsidRPr="000757C9">
        <w:rPr>
          <w:color w:val="auto"/>
          <w:lang w:val="en-GB"/>
        </w:rPr>
        <w:t xml:space="preserve">Uddin, Asma T. 2015. “Provocative Speech in FRENCH Law: A Closer Look at Charlie Hebdo.” </w:t>
      </w:r>
      <w:r w:rsidRPr="000757C9">
        <w:rPr>
          <w:i/>
          <w:iCs/>
          <w:color w:val="auto"/>
          <w:lang w:val="en-GB"/>
        </w:rPr>
        <w:t>FIU Law Review</w:t>
      </w:r>
      <w:r w:rsidRPr="000757C9">
        <w:rPr>
          <w:color w:val="auto"/>
          <w:lang w:val="en-GB"/>
        </w:rPr>
        <w:t xml:space="preserve"> 11 (1). https://doi.org/10.25148/lawrev.11.1.14.</w:t>
      </w:r>
    </w:p>
    <w:p w14:paraId="369BA340" w14:textId="77777777" w:rsidR="000757C9" w:rsidRPr="000757C9" w:rsidRDefault="000757C9" w:rsidP="000757C9">
      <w:pPr>
        <w:pStyle w:val="Bibliography"/>
        <w:rPr>
          <w:color w:val="auto"/>
          <w:lang w:val="en-GB"/>
        </w:rPr>
      </w:pPr>
      <w:proofErr w:type="spellStart"/>
      <w:r w:rsidRPr="000757C9">
        <w:rPr>
          <w:color w:val="auto"/>
          <w:lang w:val="en-GB"/>
        </w:rPr>
        <w:t>Vrielink</w:t>
      </w:r>
      <w:proofErr w:type="spellEnd"/>
      <w:r w:rsidRPr="000757C9">
        <w:rPr>
          <w:color w:val="auto"/>
          <w:lang w:val="en-GB"/>
        </w:rPr>
        <w:t xml:space="preserve">, </w:t>
      </w:r>
      <w:proofErr w:type="spellStart"/>
      <w:r w:rsidRPr="000757C9">
        <w:rPr>
          <w:color w:val="auto"/>
          <w:lang w:val="en-GB"/>
        </w:rPr>
        <w:t>Jogchum</w:t>
      </w:r>
      <w:proofErr w:type="spellEnd"/>
      <w:r w:rsidRPr="000757C9">
        <w:rPr>
          <w:color w:val="auto"/>
          <w:lang w:val="en-GB"/>
        </w:rPr>
        <w:t xml:space="preserve">. 2016. “Do We Want ‘More or Fewer’ Prosecutions of Opinions? The Geert Wilders Trial 2.0.” </w:t>
      </w:r>
      <w:r w:rsidRPr="000757C9">
        <w:rPr>
          <w:i/>
          <w:iCs/>
          <w:color w:val="auto"/>
          <w:lang w:val="en-GB"/>
        </w:rPr>
        <w:t>Netherlands Journal of Legal Philosophy</w:t>
      </w:r>
      <w:r w:rsidRPr="000757C9">
        <w:rPr>
          <w:color w:val="auto"/>
          <w:lang w:val="en-GB"/>
        </w:rPr>
        <w:t xml:space="preserve"> 2: 3–11.</w:t>
      </w:r>
    </w:p>
    <w:p w14:paraId="6551FF3B" w14:textId="66237F38"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EAB2" w14:textId="77777777" w:rsidR="00B22678" w:rsidRDefault="00B22678" w:rsidP="00D043F5">
      <w:r>
        <w:separator/>
      </w:r>
    </w:p>
  </w:endnote>
  <w:endnote w:type="continuationSeparator" w:id="0">
    <w:p w14:paraId="66CCB7EB" w14:textId="77777777" w:rsidR="00B22678" w:rsidRDefault="00B22678"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A93F" w14:textId="77777777" w:rsidR="00B22678" w:rsidRDefault="00B22678" w:rsidP="00D043F5">
      <w:r>
        <w:separator/>
      </w:r>
    </w:p>
  </w:footnote>
  <w:footnote w:type="continuationSeparator" w:id="0">
    <w:p w14:paraId="2FD73597" w14:textId="77777777" w:rsidR="00B22678" w:rsidRDefault="00B22678"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5"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4"/>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1"/>
  </w:num>
  <w:num w:numId="204" w16cid:durableId="1207641991">
    <w:abstractNumId w:val="16"/>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5"/>
  </w:num>
  <w:num w:numId="326" w16cid:durableId="316344978">
    <w:abstractNumId w:val="8"/>
    <w:lvlOverride w:ilvl="0">
      <w:startOverride w:val="1"/>
    </w:lvlOverride>
  </w:num>
  <w:num w:numId="327" w16cid:durableId="1672759476">
    <w:abstractNumId w:val="36"/>
  </w:num>
  <w:num w:numId="328" w16cid:durableId="693918220">
    <w:abstractNumId w:val="34"/>
  </w:num>
  <w:num w:numId="329" w16cid:durableId="195196305">
    <w:abstractNumId w:val="34"/>
    <w:lvlOverride w:ilvl="0">
      <w:startOverride w:val="3"/>
    </w:lvlOverride>
    <w:lvlOverride w:ilvl="1">
      <w:startOverride w:val="3"/>
    </w:lvlOverride>
  </w:num>
  <w:num w:numId="330" w16cid:durableId="1556820072">
    <w:abstractNumId w:val="25"/>
  </w:num>
  <w:num w:numId="331" w16cid:durableId="1470439083">
    <w:abstractNumId w:val="17"/>
  </w:num>
  <w:num w:numId="332" w16cid:durableId="538780605">
    <w:abstractNumId w:val="20"/>
  </w:num>
  <w:num w:numId="333" w16cid:durableId="130564383">
    <w:abstractNumId w:val="27"/>
  </w:num>
  <w:num w:numId="334" w16cid:durableId="1017464277">
    <w:abstractNumId w:val="19"/>
  </w:num>
  <w:num w:numId="335" w16cid:durableId="1059282091">
    <w:abstractNumId w:val="37"/>
  </w:num>
  <w:num w:numId="336" w16cid:durableId="1735424484">
    <w:abstractNumId w:val="13"/>
  </w:num>
  <w:num w:numId="337" w16cid:durableId="438718605">
    <w:abstractNumId w:val="14"/>
  </w:num>
  <w:num w:numId="338" w16cid:durableId="1660186439">
    <w:abstractNumId w:val="29"/>
  </w:num>
  <w:num w:numId="339" w16cid:durableId="940062582">
    <w:abstractNumId w:val="33"/>
  </w:num>
  <w:num w:numId="340" w16cid:durableId="520437913">
    <w:abstractNumId w:val="32"/>
  </w:num>
  <w:num w:numId="341" w16cid:durableId="1454403568">
    <w:abstractNumId w:val="12"/>
  </w:num>
  <w:num w:numId="342" w16cid:durableId="1717658541">
    <w:abstractNumId w:val="28"/>
  </w:num>
  <w:num w:numId="343" w16cid:durableId="1224371027">
    <w:abstractNumId w:val="11"/>
  </w:num>
  <w:num w:numId="344" w16cid:durableId="1701936211">
    <w:abstractNumId w:val="22"/>
  </w:num>
  <w:num w:numId="345" w16cid:durableId="1666394135">
    <w:abstractNumId w:val="30"/>
  </w:num>
  <w:num w:numId="346" w16cid:durableId="1662804866">
    <w:abstractNumId w:val="18"/>
  </w:num>
  <w:num w:numId="347" w16cid:durableId="2047751868">
    <w:abstractNumId w:val="23"/>
  </w:num>
  <w:num w:numId="348" w16cid:durableId="1619143811">
    <w:abstractNumId w:val="31"/>
  </w:num>
  <w:num w:numId="349" w16cid:durableId="955217843">
    <w:abstractNumId w:val="15"/>
  </w:num>
  <w:num w:numId="350" w16cid:durableId="6135136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64116"/>
    <w:rsid w:val="0046564B"/>
    <w:rsid w:val="004933D7"/>
    <w:rsid w:val="00496D7D"/>
    <w:rsid w:val="00497A00"/>
    <w:rsid w:val="004C7AD8"/>
    <w:rsid w:val="004D24CC"/>
    <w:rsid w:val="00537C3F"/>
    <w:rsid w:val="00540FED"/>
    <w:rsid w:val="00554233"/>
    <w:rsid w:val="005D073C"/>
    <w:rsid w:val="005D7A02"/>
    <w:rsid w:val="005D7FEA"/>
    <w:rsid w:val="00601A07"/>
    <w:rsid w:val="0060217C"/>
    <w:rsid w:val="006052D0"/>
    <w:rsid w:val="00624770"/>
    <w:rsid w:val="00672A6A"/>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6D3F"/>
    <w:rsid w:val="00FA2773"/>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187</Pages>
  <Words>68107</Words>
  <Characters>388215</Characters>
  <Application>Microsoft Office Word</Application>
  <DocSecurity>0</DocSecurity>
  <Lines>3235</Lines>
  <Paragraphs>910</Paragraphs>
  <ScaleCrop>false</ScaleCrop>
  <Company/>
  <LinksUpToDate>false</LinksUpToDate>
  <CharactersWithSpaces>455412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196</cp:revision>
  <dcterms:created xsi:type="dcterms:W3CDTF">2023-03-23T02:09:00Z</dcterms:created>
  <dcterms:modified xsi:type="dcterms:W3CDTF">2023-05-02T14:19:00Z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id="RH1roAj2"/&gt;&lt;style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