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Does the verdict of the court lead to enhancing the relationship between the state and religion in Indonesia, and if so, what type of relationship does it foster?</w:t>
      </w:r>
      <w:r w:rsidRPr="00A51029">
        <w:rPr>
          <w:rFonts w:cs="Linux Libertine"/>
        </w:rPr>
        <w:t xml:space="preserve">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Pr="00A42133"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15194A7" w14:textId="75DD30DF"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489DC3AF">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lastRenderedPageBreak/>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 xml:space="preserve">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w:t>
      </w:r>
      <w:r w:rsidRPr="00A51029">
        <w:rPr>
          <w:rFonts w:cs="Linux Libertine"/>
        </w:rPr>
        <w:t>expectations, to</w:t>
      </w:r>
      <w:r w:rsidRPr="00A51029">
        <w:rPr>
          <w:rFonts w:cs="Linux Libertine"/>
        </w:rPr>
        <w:t xml:space="preserve">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 xml:space="preserve">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w:t>
      </w:r>
      <w:r w:rsidRPr="00A51029">
        <w:rPr>
          <w:rFonts w:eastAsiaTheme="minorEastAsia" w:cs="Linux Libertine"/>
          <w:color w:val="000000" w:themeColor="text1"/>
          <w:szCs w:val="24"/>
          <w:lang w:val="en-US" w:bidi="ar-SA"/>
          <w14:numSpacing w14:val="default"/>
        </w:rPr>
        <w:lastRenderedPageBreak/>
        <w:t>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5B6976DE"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3</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w:t>
      </w:r>
      <w:r w:rsidRPr="00A51029">
        <w:rPr>
          <w:rFonts w:cs="Linux Libertine"/>
        </w:rPr>
        <w:lastRenderedPageBreak/>
        <w:t>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72E100BC"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4</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2019: p.223</w:t>
      </w:r>
      <w:r w:rsidRPr="00A51029">
        <w:rPr>
          <w:rFonts w:cs="Linux Libertine"/>
        </w:rPr>
        <w:t xml:space="preserve">, </w:t>
      </w:r>
      <w:proofErr w:type="spellStart"/>
      <w:r w:rsidRPr="00A51029">
        <w:rPr>
          <w:rFonts w:cs="Linux Libertine"/>
        </w:rPr>
        <w:t>Octora</w:t>
      </w:r>
      <w:proofErr w:type="spellEnd"/>
      <w:r w:rsidRPr="00A51029">
        <w:rPr>
          <w:rFonts w:cs="Linux Libertine"/>
        </w:rPr>
        <w:t>, 2016:p.369)</w:t>
      </w:r>
      <w:r w:rsidRPr="00A51029">
        <w:rPr>
          <w:rFonts w:cs="Linux Libertine"/>
        </w:rPr>
        <w:t xml:space="preserve"> </w:t>
      </w:r>
      <w:r w:rsidRPr="00A51029">
        <w:rPr>
          <w:rFonts w:cs="Linux Libertine"/>
        </w:rPr>
        <w:t>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77777777"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 and the </w:t>
      </w:r>
      <w:r w:rsidRPr="00660AB6">
        <w:rPr>
          <w:rFonts w:cs="Linux Libertine"/>
          <w:color w:val="FF0000"/>
          <w:lang w:val="en-US"/>
        </w:rPr>
        <w:t xml:space="preserve">Bambang </w:t>
      </w:r>
      <w:proofErr w:type="spellStart"/>
      <w:r w:rsidRPr="00660AB6">
        <w:rPr>
          <w:rFonts w:cs="Linux Libertine"/>
          <w:color w:val="FF0000"/>
          <w:lang w:val="en-US"/>
        </w:rPr>
        <w:t>Bima</w:t>
      </w:r>
      <w:proofErr w:type="spellEnd"/>
      <w:r w:rsidRPr="00660AB6">
        <w:rPr>
          <w:rFonts w:cs="Linux Libertine"/>
          <w:color w:val="FF0000"/>
          <w:lang w:val="en-US"/>
        </w:rPr>
        <w:t xml:space="preserve"> case</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08E73D4"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the case of Ahmadiyya and </w:t>
      </w:r>
      <w:r w:rsidRPr="00660AB6">
        <w:rPr>
          <w:rFonts w:cs="Linux Libertine"/>
          <w:color w:val="FF0000"/>
          <w:lang w:val="en-US"/>
        </w:rPr>
        <w:t xml:space="preserve">the case of Bambang </w:t>
      </w:r>
      <w:proofErr w:type="spellStart"/>
      <w:r w:rsidRPr="00660AB6">
        <w:rPr>
          <w:rFonts w:cs="Linux Libertine"/>
          <w:color w:val="FF0000"/>
          <w:lang w:val="en-US"/>
        </w:rPr>
        <w:t>Bima</w:t>
      </w:r>
      <w:proofErr w:type="spellEnd"/>
      <w:r w:rsidRPr="00A51029">
        <w:rPr>
          <w:rFonts w:cs="Linux Libertine"/>
          <w:lang w:val="en-US"/>
        </w:rPr>
        <w:t>.</w:t>
      </w:r>
      <w:r w:rsidRPr="00A51029">
        <w:rPr>
          <w:rStyle w:val="FootnoteReference"/>
          <w:rFonts w:cs="Linux Libertine"/>
          <w:lang w:val="en-US"/>
        </w:rPr>
        <w:footnoteReference w:id="37"/>
      </w:r>
      <w:r w:rsidRPr="00A51029">
        <w:rPr>
          <w:rFonts w:cs="Linux Libertine"/>
          <w:lang w:val="en-US"/>
        </w:rPr>
        <w:t xml:space="preserve">  </w:t>
      </w:r>
      <w:r w:rsidR="00660AB6" w:rsidRPr="00660AB6">
        <w:rPr>
          <w:rFonts w:cs="Linux Libertine"/>
          <w:color w:val="FF0000"/>
          <w:lang w:val="en-US"/>
        </w:rPr>
        <w:t>(BELUM DISEBUTKAN)</w:t>
      </w:r>
      <w:r w:rsidR="00660AB6">
        <w:rPr>
          <w:rFonts w:cs="Linux Libertine"/>
          <w:lang w:val="en-US"/>
        </w:rPr>
        <w:t xml:space="preserve"> </w:t>
      </w:r>
      <w:r w:rsidRPr="00A51029">
        <w:rPr>
          <w:rFonts w:cs="Linux Libertine"/>
          <w:lang w:val="en-US"/>
        </w:rPr>
        <w:t xml:space="preserve">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71B68F57" w14:textId="77777777" w:rsidR="009C7DB5" w:rsidRPr="00A51029" w:rsidRDefault="009C7DB5" w:rsidP="009C7DB5">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A51029" w:rsidRDefault="009C7DB5" w:rsidP="00117785">
      <w:pPr>
        <w:pStyle w:val="ParagraphNormal"/>
        <w:rPr>
          <w:rFonts w:cs="Linux Libertine"/>
          <w:color w:val="00B050"/>
          <w:lang w:val="en-US"/>
        </w:rPr>
      </w:pP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1"/>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2"/>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3"/>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4"/>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5"/>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6"/>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7"/>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8"/>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9"/>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50"/>
            </w:r>
            <w:r>
              <w:rPr>
                <w:rFonts w:cs="Linux Libertine"/>
                <w:sz w:val="20"/>
                <w:szCs w:val="20"/>
              </w:rPr>
              <w:t>,</w:t>
            </w:r>
            <w:r w:rsidR="00C8473A" w:rsidRPr="00A51029">
              <w:rPr>
                <w:rStyle w:val="FootnoteReference"/>
                <w:rFonts w:cs="Linux Libertine"/>
              </w:rPr>
              <w:footnoteReference w:id="51"/>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3"/>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4"/>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cnfStyle w:val="001000000000" w:firstRow="0" w:lastRow="0" w:firstColumn="1" w:lastColumn="0" w:oddVBand="0" w:evenVBand="0" w:oddHBand="0" w:evenHBand="0" w:firstRowFirstColumn="0" w:firstRowLastColumn="0" w:lastRowFirstColumn="0" w:lastRowLastColumn="0"/>
            <w:tcW w:w="968" w:type="dxa"/>
            <w:tcBorders>
              <w:bottom w:val="single" w:sz="4" w:space="0" w:color="auto"/>
            </w:tcBorders>
          </w:tcPr>
          <w:p w14:paraId="3C9EBAD2" w14:textId="77777777" w:rsidR="00C8473A" w:rsidRPr="00A51029" w:rsidRDefault="00C8473A" w:rsidP="00ED0FE2">
            <w:pPr>
              <w:tabs>
                <w:tab w:val="left" w:pos="161"/>
              </w:tabs>
              <w:ind w:right="571"/>
              <w:jc w:val="both"/>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5"/>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6"/>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7"/>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8"/>
      </w:r>
    </w:p>
    <w:p w14:paraId="430820AF" w14:textId="77777777" w:rsidR="00660AB6" w:rsidRDefault="00660AB6" w:rsidP="00660AB6">
      <w:pPr>
        <w:pStyle w:val="ParagraphNormal"/>
        <w:ind w:firstLine="0"/>
        <w:rPr>
          <w:rFonts w:cs="Linux Libertine"/>
          <w:b/>
          <w:bCs/>
          <w:color w:val="00B050"/>
          <w:lang w:val="en-US"/>
        </w:rPr>
      </w:pPr>
    </w:p>
    <w:p w14:paraId="291949A1" w14:textId="3F01CC51" w:rsidR="00D17E6D" w:rsidRDefault="00660AB6" w:rsidP="00660AB6">
      <w:pPr>
        <w:pStyle w:val="ParagraphNormal"/>
        <w:ind w:firstLine="0"/>
        <w:rPr>
          <w:rFonts w:cs="Linux Libertine"/>
          <w:b/>
          <w:bCs/>
          <w:color w:val="00B050"/>
          <w:lang w:val="en-US"/>
        </w:rPr>
      </w:pPr>
      <w:r>
        <w:rPr>
          <w:rFonts w:cs="Linux Libertine"/>
          <w:b/>
          <w:bCs/>
          <w:color w:val="00B050"/>
          <w:lang w:val="en-US"/>
        </w:rPr>
        <w:t xml:space="preserve">(V) Bambang </w:t>
      </w:r>
      <w:proofErr w:type="spellStart"/>
      <w:r>
        <w:rPr>
          <w:rFonts w:cs="Linux Libertine"/>
          <w:b/>
          <w:bCs/>
          <w:color w:val="00B050"/>
          <w:lang w:val="en-US"/>
        </w:rPr>
        <w:t>Bima</w:t>
      </w:r>
      <w:proofErr w:type="spellEnd"/>
      <w:r>
        <w:rPr>
          <w:rFonts w:cs="Linux Libertine"/>
          <w:b/>
          <w:bCs/>
          <w:color w:val="00B050"/>
          <w:lang w:val="en-US"/>
        </w:rPr>
        <w:t xml:space="preserve"> Case</w:t>
      </w:r>
    </w:p>
    <w:p w14:paraId="44CE8A71" w14:textId="42A1DE01" w:rsidR="00660AB6" w:rsidRDefault="00660AB6" w:rsidP="00660AB6">
      <w:pPr>
        <w:pStyle w:val="ParagraphNormal"/>
        <w:ind w:firstLine="0"/>
        <w:rPr>
          <w:rFonts w:cs="Linux Libertine"/>
          <w:b/>
          <w:bCs/>
          <w:color w:val="00B050"/>
          <w:lang w:val="en-US"/>
        </w:rPr>
      </w:pPr>
      <w:r>
        <w:rPr>
          <w:rFonts w:cs="Linux Libertine"/>
          <w:b/>
          <w:bCs/>
          <w:color w:val="00B050"/>
          <w:lang w:val="en-US"/>
        </w:rPr>
        <w:lastRenderedPageBreak/>
        <w:tab/>
      </w: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9"/>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60"/>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1"/>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 xml:space="preserve">The study employs a case study approach to collect empirical data from various interviews and juridical experiences on different blasphemy cases. In addition, to </w:t>
      </w:r>
      <w:r w:rsidRPr="00F832DC">
        <w:rPr>
          <w:rFonts w:cs="Linux Libertine"/>
        </w:rPr>
        <w:lastRenderedPageBreak/>
        <w:t>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w:t>
      </w:r>
      <w:r w:rsidRPr="00F832DC">
        <w:rPr>
          <w:rFonts w:cs="Linux Libertine"/>
          <w:lang w:val="en-US"/>
        </w:rPr>
        <w:lastRenderedPageBreak/>
        <w:t xml:space="preserve">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29B3ADD5"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Anti-Defamation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2"/>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3"/>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059489EB" w14:textId="4F0AC6D3" w:rsidR="00985C39" w:rsidRDefault="00DE7D8A" w:rsidP="00DE7D8A">
      <w:pPr>
        <w:pStyle w:val="ParagraphNormal"/>
        <w:rPr>
          <w:rFonts w:cs="Linux Libertine"/>
          <w:color w:val="FF0000"/>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p>
    <w:p w14:paraId="3F8E2D1B" w14:textId="76A07ACB"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4"/>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5"/>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6"/>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7"/>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8"/>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9"/>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70"/>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1"/>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3A2AD84A" w14:textId="154498EF" w:rsidR="009510D5" w:rsidRPr="00A51029" w:rsidRDefault="009510D5" w:rsidP="009510D5">
      <w:pPr>
        <w:pStyle w:val="Heading2"/>
        <w:rPr>
          <w:rFonts w:cs="Linux Libertine"/>
        </w:rPr>
      </w:pPr>
      <w:r w:rsidRPr="00A51029">
        <w:rPr>
          <w:rFonts w:cs="Linux Libertine"/>
        </w:rPr>
        <w:t xml:space="preserve">5.1 </w:t>
      </w:r>
      <w:r w:rsidRPr="00A51029">
        <w:rPr>
          <w:rFonts w:cs="Linux Libertine"/>
        </w:rPr>
        <w:tab/>
        <w:t>Introduction</w:t>
      </w:r>
    </w:p>
    <w:p w14:paraId="789A8EF8" w14:textId="77777777" w:rsidR="00917215" w:rsidRPr="00917215" w:rsidRDefault="00917215" w:rsidP="00917215">
      <w:pPr>
        <w:spacing w:line="360" w:lineRule="auto"/>
        <w:ind w:firstLine="720"/>
        <w:jc w:val="both"/>
        <w:rPr>
          <w:rFonts w:eastAsia="Times New Roman" w:cs="Linux Libertine"/>
          <w:color w:val="auto"/>
          <w:szCs w:val="32"/>
          <w:lang w:val="en-GB" w:bidi="th-TH"/>
          <w14:numSpacing w14:val="proportional"/>
        </w:rPr>
      </w:pPr>
      <w:r w:rsidRPr="00917215">
        <w:rPr>
          <w:rFonts w:eastAsia="Times New Roman" w:cs="Linux Libertine"/>
          <w:color w:val="auto"/>
          <w:szCs w:val="32"/>
          <w:lang w:val="en-GB" w:bidi="th-TH"/>
          <w14:numSpacing w14:val="proportional"/>
        </w:rPr>
        <w:t xml:space="preserve">Several studies on Indonesia's anti-blasphemy legislation have emphasized normative legal research over the past decade (Cohen 2018; Crouch 2011; </w:t>
      </w:r>
      <w:proofErr w:type="spellStart"/>
      <w:r w:rsidRPr="00917215">
        <w:rPr>
          <w:rFonts w:eastAsia="Times New Roman" w:cs="Linux Libertine"/>
          <w:color w:val="auto"/>
          <w:szCs w:val="32"/>
          <w:lang w:val="en-GB" w:bidi="th-TH"/>
          <w14:numSpacing w14:val="proportional"/>
        </w:rPr>
        <w:t>Fiss</w:t>
      </w:r>
      <w:proofErr w:type="spellEnd"/>
      <w:r w:rsidRPr="00917215">
        <w:rPr>
          <w:rFonts w:eastAsia="Times New Roman" w:cs="Linux Libertine"/>
          <w:color w:val="auto"/>
          <w:szCs w:val="32"/>
          <w:lang w:val="en-GB" w:bidi="th-TH"/>
          <w14:numSpacing w14:val="proportional"/>
        </w:rPr>
        <w:t xml:space="preserve"> and Kestenbaum 2017; </w:t>
      </w:r>
      <w:proofErr w:type="spellStart"/>
      <w:r w:rsidRPr="00917215">
        <w:rPr>
          <w:rFonts w:eastAsia="Times New Roman" w:cs="Linux Libertine"/>
          <w:color w:val="auto"/>
          <w:szCs w:val="32"/>
          <w:lang w:val="en-GB" w:bidi="th-TH"/>
          <w14:numSpacing w14:val="proportional"/>
        </w:rPr>
        <w:t>Prud’homme</w:t>
      </w:r>
      <w:proofErr w:type="spellEnd"/>
      <w:r w:rsidRPr="00917215">
        <w:rPr>
          <w:rFonts w:eastAsia="Times New Roman" w:cs="Linux Libertine"/>
          <w:color w:val="auto"/>
          <w:szCs w:val="32"/>
          <w:lang w:val="en-GB" w:bidi="th-TH"/>
          <w14:numSpacing w14:val="proportional"/>
        </w:rPr>
        <w:t xml:space="preserve"> 2010). These researchers have been particularly critical of the normative defects found in blasphemy laws, where the substance is inconsistent with international human rights law, resulting in discriminatory treatment of minority religious groups and a threat to religious freedom.</w:t>
      </w:r>
    </w:p>
    <w:p w14:paraId="4A7B41A0" w14:textId="0E072569" w:rsidR="00917215" w:rsidRPr="00917215" w:rsidRDefault="00917215" w:rsidP="00917215">
      <w:pPr>
        <w:spacing w:line="360" w:lineRule="auto"/>
        <w:ind w:firstLine="720"/>
        <w:jc w:val="both"/>
        <w:rPr>
          <w:rFonts w:eastAsia="Times New Roman" w:cs="Linux Libertine"/>
          <w:color w:val="auto"/>
          <w:szCs w:val="32"/>
          <w:lang w:val="en-GB" w:bidi="th-TH"/>
          <w14:numSpacing w14:val="proportional"/>
        </w:rPr>
      </w:pPr>
      <w:r w:rsidRPr="00917215">
        <w:rPr>
          <w:rFonts w:eastAsia="Times New Roman" w:cs="Linux Libertine"/>
          <w:color w:val="auto"/>
          <w:szCs w:val="32"/>
          <w:lang w:val="en-GB" w:bidi="th-TH"/>
          <w14:numSpacing w14:val="proportional"/>
        </w:rPr>
        <w:t>Anti-blasphemy laws around the world are enforced by various factors and actors, including political, social, and cultural factors. One factor that affects the enforcement of anti-blasphemy laws is religion. In countries where religion plays a significant role, such as Pakistan and Iran, blasphemy laws are often strictly enforced to defend religious sensitivities. Religious leaders and groups have a significant influence in such countries and may pressure governments to enforce these laws. For example, in Pakistan, the blasphemy law has been used to target religious minorities, such as Christians and Ahmadiyya Muslims (Human Rights Watch, 2021). In Iran, criticism of Islam is viewed as a severe offense and can result in severe punishment, including death (Freedom House, 2021).</w:t>
      </w:r>
    </w:p>
    <w:p w14:paraId="21A37BE7" w14:textId="77777777" w:rsidR="00917215" w:rsidRDefault="00917215" w:rsidP="00917215">
      <w:pPr>
        <w:spacing w:line="360" w:lineRule="auto"/>
        <w:ind w:firstLine="720"/>
        <w:jc w:val="both"/>
        <w:rPr>
          <w:rFonts w:eastAsia="Times New Roman" w:cs="Linux Libertine"/>
          <w:color w:val="auto"/>
          <w:szCs w:val="32"/>
          <w:lang w:val="en-GB" w:bidi="th-TH"/>
          <w14:numSpacing w14:val="proportional"/>
        </w:rPr>
      </w:pPr>
      <w:r w:rsidRPr="00917215">
        <w:rPr>
          <w:rFonts w:eastAsia="Times New Roman" w:cs="Linux Libertine"/>
          <w:color w:val="auto"/>
          <w:szCs w:val="32"/>
          <w:lang w:val="en-GB" w:bidi="th-TH"/>
          <w14:numSpacing w14:val="proportional"/>
        </w:rPr>
        <w:t xml:space="preserve">The enforcement of the rule of law stresses that social problems must be addressed through legal mechanisms established by law or by entrusting the resolution to law enforcers instead of the community through vigilantism. Allowing individuals to take the law into their own hands is not only against the law but also violates human rights. The state, through its law enforcement system, has a primary responsibility to protect the human rights of its citizens if they become victims of vigilante attacks or any other form of violence. Article 1 paragraph 3 of the Indonesian Constitution explicitly states that "the State of Indonesia is a state based on the rule of law." However, in implementing the ABL, there has been a noticeable phenomenon of vigilante justice or "Main Hakim </w:t>
      </w:r>
      <w:proofErr w:type="spellStart"/>
      <w:r w:rsidRPr="00917215">
        <w:rPr>
          <w:rFonts w:eastAsia="Times New Roman" w:cs="Linux Libertine"/>
          <w:color w:val="auto"/>
          <w:szCs w:val="32"/>
          <w:lang w:val="en-GB" w:bidi="th-TH"/>
          <w14:numSpacing w14:val="proportional"/>
        </w:rPr>
        <w:t>Sendiri</w:t>
      </w:r>
      <w:proofErr w:type="spellEnd"/>
      <w:r w:rsidRPr="00917215">
        <w:rPr>
          <w:rFonts w:eastAsia="Times New Roman" w:cs="Linux Libertine"/>
          <w:color w:val="auto"/>
          <w:szCs w:val="32"/>
          <w:lang w:val="en-GB" w:bidi="th-TH"/>
          <w14:numSpacing w14:val="proportional"/>
        </w:rPr>
        <w:t>" against minority groups. Vigilante justice is one of the most significant consequences of enforcing the ABL, and it will be the focus of examination in this chapter.</w:t>
      </w:r>
    </w:p>
    <w:p w14:paraId="42463339" w14:textId="7D8D4178" w:rsidR="00917215" w:rsidRPr="00917215" w:rsidRDefault="00917215" w:rsidP="00917215">
      <w:pPr>
        <w:pStyle w:val="ParagraphNormal"/>
        <w:rPr>
          <w:rFonts w:eastAsiaTheme="minorEastAsia" w:cs="Linux Libertine"/>
          <w:color w:val="000000" w:themeColor="text1"/>
          <w:szCs w:val="24"/>
          <w:lang w:val="en-US" w:bidi="ar-SA"/>
          <w14:numSpacing w14:val="default"/>
        </w:rPr>
      </w:pPr>
      <w:r w:rsidRPr="00917215">
        <w:rPr>
          <w:rFonts w:eastAsiaTheme="minorEastAsia" w:cs="Linux Libertine"/>
          <w:color w:val="000000" w:themeColor="text1"/>
          <w:szCs w:val="24"/>
          <w:lang w:val="en-US" w:bidi="ar-SA"/>
          <w14:numSpacing w14:val="default"/>
        </w:rPr>
        <w:lastRenderedPageBreak/>
        <w:t>Accusations of blasphemy against religious minorities, such as the Ahmadiyya, Gafatar, and Meiliana cases, have led to the occurrence of vigilante judgments, which continue to generate public attention. Previous studies have suggested that MHS activities typically occurred during political transitions (</w:t>
      </w:r>
      <w:proofErr w:type="spellStart"/>
      <w:r w:rsidRPr="00917215">
        <w:rPr>
          <w:rFonts w:eastAsiaTheme="minorEastAsia" w:cs="Linux Libertine"/>
          <w:color w:val="000000" w:themeColor="text1"/>
          <w:szCs w:val="24"/>
          <w:lang w:val="en-US" w:bidi="ar-SA"/>
          <w14:numSpacing w14:val="default"/>
        </w:rPr>
        <w:t>Marzuki</w:t>
      </w:r>
      <w:proofErr w:type="spellEnd"/>
      <w:r w:rsidRPr="00917215">
        <w:rPr>
          <w:rFonts w:eastAsiaTheme="minorEastAsia" w:cs="Linux Libertine"/>
          <w:color w:val="000000" w:themeColor="text1"/>
          <w:szCs w:val="24"/>
          <w:lang w:val="en-US" w:bidi="ar-SA"/>
          <w14:numSpacing w14:val="default"/>
        </w:rPr>
        <w:t xml:space="preserve"> 2017). Other experts have focused on studying MHS in relation to the criminal liability of the perpetrators (</w:t>
      </w:r>
      <w:proofErr w:type="spellStart"/>
      <w:r w:rsidRPr="00917215">
        <w:rPr>
          <w:rFonts w:eastAsiaTheme="minorEastAsia" w:cs="Linux Libertine"/>
          <w:color w:val="000000" w:themeColor="text1"/>
          <w:szCs w:val="24"/>
          <w:lang w:val="en-US" w:bidi="ar-SA"/>
          <w14:numSpacing w14:val="default"/>
        </w:rPr>
        <w:t>Panjaitan</w:t>
      </w:r>
      <w:proofErr w:type="spellEnd"/>
      <w:r w:rsidRPr="00917215">
        <w:rPr>
          <w:rFonts w:eastAsiaTheme="minorEastAsia" w:cs="Linux Libertine"/>
          <w:color w:val="000000" w:themeColor="text1"/>
          <w:szCs w:val="24"/>
          <w:lang w:val="en-US" w:bidi="ar-SA"/>
          <w14:numSpacing w14:val="default"/>
        </w:rPr>
        <w:t xml:space="preserve"> and Wijaya 2018; </w:t>
      </w:r>
      <w:proofErr w:type="spellStart"/>
      <w:r w:rsidRPr="00917215">
        <w:rPr>
          <w:rFonts w:eastAsiaTheme="minorEastAsia" w:cs="Linux Libertine"/>
          <w:color w:val="000000" w:themeColor="text1"/>
          <w:szCs w:val="24"/>
          <w:lang w:val="en-US" w:bidi="ar-SA"/>
          <w14:numSpacing w14:val="default"/>
        </w:rPr>
        <w:t>Rambe</w:t>
      </w:r>
      <w:proofErr w:type="spellEnd"/>
      <w:r w:rsidRPr="00917215">
        <w:rPr>
          <w:rFonts w:eastAsiaTheme="minorEastAsia" w:cs="Linux Libertine"/>
          <w:color w:val="000000" w:themeColor="text1"/>
          <w:szCs w:val="24"/>
          <w:lang w:val="en-US" w:bidi="ar-SA"/>
          <w14:numSpacing w14:val="default"/>
        </w:rPr>
        <w:t xml:space="preserve"> 2018). This study aimed to examine the MHS activities that have escalated over the past decade following the enforcement of the ABL. The government continues to defend the necessity of maintaining the rule in order to prevent horizontal conflict and disruption of public order. However, social reality is just the opposite of the law's execution. In 2020, USCIRF stated that 76 out of 164 incidences of anti-blasphemy legislation being enforced in various countries were accompanied by efforts at public mobilization, threats of violence, and violence. Moreover, vigilantism has changed from spontaneous action to more deliberate acts supported by the government in blasphemy cases. </w:t>
      </w:r>
      <w:proofErr w:type="spellStart"/>
      <w:r w:rsidRPr="00917215">
        <w:rPr>
          <w:rFonts w:eastAsiaTheme="minorEastAsia" w:cs="Linux Libertine"/>
          <w:color w:val="000000" w:themeColor="text1"/>
          <w:szCs w:val="24"/>
          <w:lang w:val="en-US" w:bidi="ar-SA"/>
          <w14:numSpacing w14:val="default"/>
        </w:rPr>
        <w:t>Pratiwi</w:t>
      </w:r>
      <w:proofErr w:type="spellEnd"/>
      <w:r w:rsidRPr="00917215">
        <w:rPr>
          <w:rFonts w:eastAsiaTheme="minorEastAsia" w:cs="Linux Libertine"/>
          <w:color w:val="000000" w:themeColor="text1"/>
          <w:szCs w:val="24"/>
          <w:lang w:val="en-US" w:bidi="ar-SA"/>
          <w14:numSpacing w14:val="default"/>
        </w:rPr>
        <w:t xml:space="preserve">, CS., and </w:t>
      </w:r>
      <w:proofErr w:type="spellStart"/>
      <w:r w:rsidRPr="00917215">
        <w:rPr>
          <w:rFonts w:eastAsiaTheme="minorEastAsia" w:cs="Linux Libertine"/>
          <w:color w:val="000000" w:themeColor="text1"/>
          <w:szCs w:val="24"/>
          <w:lang w:val="en-US" w:bidi="ar-SA"/>
          <w14:numSpacing w14:val="default"/>
        </w:rPr>
        <w:t>Sunaryo</w:t>
      </w:r>
      <w:proofErr w:type="spellEnd"/>
      <w:r w:rsidRPr="00917215">
        <w:rPr>
          <w:rFonts w:eastAsiaTheme="minorEastAsia" w:cs="Linux Libertine"/>
          <w:color w:val="000000" w:themeColor="text1"/>
          <w:szCs w:val="24"/>
          <w:lang w:val="en-US" w:bidi="ar-SA"/>
          <w14:numSpacing w14:val="default"/>
        </w:rPr>
        <w:t>, S. (2021) argued that vigilante violence surrounding blasphemy charges in a number of countries, including Pakistan, Malaysia, and Indonesia, could not be separated from state-induced structural violence through the preservation of legislation.</w:t>
      </w:r>
    </w:p>
    <w:p w14:paraId="35DBF7E9" w14:textId="1A27F2D1" w:rsidR="00C8473A" w:rsidRPr="00A51029" w:rsidRDefault="00917215" w:rsidP="00917215">
      <w:pPr>
        <w:pStyle w:val="ParagraphNormal"/>
        <w:rPr>
          <w:rFonts w:cs="Linux Libertine"/>
        </w:rPr>
      </w:pPr>
      <w:r w:rsidRPr="00917215">
        <w:rPr>
          <w:rFonts w:eastAsiaTheme="minorEastAsia" w:cs="Linux Libertine"/>
          <w:color w:val="000000" w:themeColor="text1"/>
          <w:szCs w:val="24"/>
          <w:lang w:val="en-US" w:bidi="ar-SA"/>
          <w14:numSpacing w14:val="default"/>
        </w:rPr>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04E75CE6" w14:textId="77777777" w:rsidR="00C8473A" w:rsidRPr="00A51029" w:rsidRDefault="00C8473A" w:rsidP="00C8473A">
      <w:pPr>
        <w:pStyle w:val="ParagraphNormal"/>
        <w:rPr>
          <w:rFonts w:cs="Linux Libertine"/>
        </w:rPr>
      </w:pPr>
    </w:p>
    <w:p w14:paraId="09375A04" w14:textId="1272D977" w:rsidR="00C8473A" w:rsidRPr="00603F8F" w:rsidRDefault="00C8473A" w:rsidP="00C8473A">
      <w:pPr>
        <w:pStyle w:val="ParagraphNormal"/>
        <w:ind w:firstLine="0"/>
        <w:rPr>
          <w:rFonts w:cs="Linux Libertine"/>
          <w:b/>
          <w:bCs/>
          <w:color w:val="FF0000"/>
        </w:rPr>
      </w:pPr>
      <w:r w:rsidRPr="00603F8F">
        <w:rPr>
          <w:rFonts w:cs="Linux Libertine"/>
          <w:b/>
          <w:bCs/>
          <w:color w:val="FF0000"/>
        </w:rPr>
        <w:t>5.2. An overview of blasphemy law enforcement in Indonesia</w:t>
      </w:r>
    </w:p>
    <w:p w14:paraId="2576A067" w14:textId="19B154F8" w:rsidR="00C8473A" w:rsidRDefault="00C75C62" w:rsidP="00C75C62">
      <w:pPr>
        <w:pStyle w:val="ParagraphNormal"/>
        <w:ind w:firstLine="0"/>
        <w:rPr>
          <w:rFonts w:cs="Linux Libertine"/>
        </w:rPr>
      </w:pPr>
      <w:r w:rsidRPr="00A51029">
        <w:rPr>
          <w:rFonts w:cs="Linux Libertine"/>
        </w:rPr>
        <w:tab/>
      </w:r>
    </w:p>
    <w:p w14:paraId="0A4B9DE5" w14:textId="282B7BE5" w:rsidR="004470C1" w:rsidRPr="004470C1" w:rsidRDefault="004470C1" w:rsidP="00C75C62">
      <w:pPr>
        <w:pStyle w:val="ParagraphNormal"/>
        <w:ind w:firstLine="0"/>
        <w:rPr>
          <w:rFonts w:cs="Linux Libertine"/>
          <w:color w:val="FF0000"/>
          <w:lang w:val="en-US"/>
        </w:rPr>
      </w:pPr>
      <w:r w:rsidRPr="004470C1">
        <w:rPr>
          <w:rFonts w:cs="Linux Libertine"/>
          <w:color w:val="FF0000"/>
          <w:lang w:val="en-US"/>
        </w:rPr>
        <w:t xml:space="preserve">Belum </w:t>
      </w:r>
      <w:proofErr w:type="spellStart"/>
      <w:r w:rsidRPr="004470C1">
        <w:rPr>
          <w:rFonts w:cs="Linux Libertine"/>
          <w:color w:val="FF0000"/>
          <w:lang w:val="en-US"/>
        </w:rPr>
        <w:t>ada</w:t>
      </w:r>
      <w:proofErr w:type="spellEnd"/>
      <w:r w:rsidRPr="004470C1">
        <w:rPr>
          <w:rFonts w:cs="Linux Libertine"/>
          <w:color w:val="FF0000"/>
          <w:lang w:val="en-US"/>
        </w:rPr>
        <w:t xml:space="preserve"> </w:t>
      </w:r>
      <w:proofErr w:type="spellStart"/>
      <w:r w:rsidRPr="004470C1">
        <w:rPr>
          <w:rFonts w:cs="Linux Libertine"/>
          <w:color w:val="FF0000"/>
          <w:lang w:val="en-US"/>
        </w:rPr>
        <w:t>isi</w:t>
      </w:r>
      <w:proofErr w:type="spellEnd"/>
    </w:p>
    <w:p w14:paraId="62A80C0B" w14:textId="77777777" w:rsidR="004470C1" w:rsidRDefault="004470C1" w:rsidP="00C75C62">
      <w:pPr>
        <w:pStyle w:val="ParagraphNormal"/>
        <w:ind w:firstLine="0"/>
        <w:rPr>
          <w:rFonts w:cs="Linux Libertine"/>
          <w:lang w:val="en-US"/>
        </w:rPr>
      </w:pP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published a survey the favorite leader in Indonesia </w:t>
            </w:r>
            <w:r w:rsidRPr="00A51029">
              <w:rPr>
                <w:rFonts w:cs="Linux Libertine"/>
                <w:sz w:val="18"/>
                <w:szCs w:val="18"/>
              </w:rPr>
              <w:lastRenderedPageBreak/>
              <w:t>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lastRenderedPageBreak/>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2E897B78" w:rsidR="00C8473A" w:rsidRPr="00A51029" w:rsidRDefault="006F6B45" w:rsidP="00C8473A">
      <w:pPr>
        <w:pStyle w:val="Heading2"/>
        <w:spacing w:line="360" w:lineRule="auto"/>
        <w:rPr>
          <w:rFonts w:cs="Linux Libertine"/>
        </w:rPr>
      </w:pPr>
      <w:r w:rsidRPr="00A51029">
        <w:rPr>
          <w:rFonts w:cs="Linux Libertine"/>
        </w:rPr>
        <w:t xml:space="preserve">5.3 </w:t>
      </w:r>
      <w:r w:rsidRPr="00A51029">
        <w:rPr>
          <w:rFonts w:cs="Linux Libertine"/>
        </w:rPr>
        <w:tab/>
        <w:t>Discussion and Analysis</w:t>
      </w:r>
    </w:p>
    <w:p w14:paraId="23B6EE23" w14:textId="6B527D3D" w:rsidR="00C8473A" w:rsidRPr="00A51029" w:rsidRDefault="006F6B45" w:rsidP="00C8473A">
      <w:pPr>
        <w:pStyle w:val="Heading3"/>
        <w:spacing w:line="360" w:lineRule="auto"/>
        <w:rPr>
          <w:rFonts w:cs="Linux Libertine"/>
        </w:rPr>
      </w:pPr>
      <w:r w:rsidRPr="00A51029">
        <w:rPr>
          <w:rFonts w:cs="Linux Libertine"/>
        </w:rPr>
        <w:t xml:space="preserve">5.3.1 Factors and </w:t>
      </w:r>
      <w:r w:rsidR="00C8473A" w:rsidRPr="00A51029">
        <w:rPr>
          <w:rFonts w:cs="Linux Libertine"/>
        </w:rPr>
        <w:t>A</w:t>
      </w:r>
      <w:r w:rsidRPr="00A51029">
        <w:rPr>
          <w:rFonts w:cs="Linux Libertine"/>
        </w:rPr>
        <w:t xml:space="preserve">ctors </w:t>
      </w:r>
      <w:r w:rsidR="00C8473A" w:rsidRPr="00A51029">
        <w:rPr>
          <w:rFonts w:cs="Linux Libertine"/>
        </w:rPr>
        <w:t xml:space="preserve">Shaped </w:t>
      </w:r>
      <w:r w:rsidRPr="00A51029">
        <w:rPr>
          <w:rFonts w:cs="Linux Libertine"/>
        </w:rPr>
        <w:t xml:space="preserve">the ABL’s </w:t>
      </w:r>
      <w:r w:rsidR="00C8473A" w:rsidRPr="00A51029">
        <w:rPr>
          <w:rFonts w:cs="Linux Libertine"/>
        </w:rPr>
        <w:t>E</w:t>
      </w:r>
      <w:r w:rsidRPr="00A51029">
        <w:rPr>
          <w:rFonts w:cs="Linux Libertine"/>
        </w:rPr>
        <w:t>nforcement in Indonesia.</w:t>
      </w:r>
    </w:p>
    <w:p w14:paraId="64138393" w14:textId="10620F89" w:rsidR="00C8473A" w:rsidRPr="00A51029" w:rsidRDefault="006F6B45" w:rsidP="00C8473A">
      <w:pPr>
        <w:pStyle w:val="Heading4"/>
        <w:spacing w:line="360" w:lineRule="auto"/>
        <w:ind w:hanging="180"/>
        <w:rPr>
          <w:rFonts w:cs="Linux Libertine"/>
          <w:b/>
          <w:bCs/>
          <w:i w:val="0"/>
          <w:iCs w:val="0"/>
        </w:rPr>
      </w:pPr>
      <w:r w:rsidRPr="00A51029">
        <w:rPr>
          <w:rFonts w:cs="Linux Libertine"/>
          <w:b/>
          <w:bCs/>
          <w:i w:val="0"/>
          <w:iCs w:val="0"/>
        </w:rPr>
        <w:t>(</w:t>
      </w:r>
      <w:proofErr w:type="spellStart"/>
      <w:r w:rsidRPr="00A51029">
        <w:rPr>
          <w:rFonts w:cs="Linux Libertine"/>
          <w:b/>
          <w:bCs/>
          <w:i w:val="0"/>
          <w:iCs w:val="0"/>
        </w:rPr>
        <w:t>i</w:t>
      </w:r>
      <w:proofErr w:type="spellEnd"/>
      <w:r w:rsidRPr="00A51029">
        <w:rPr>
          <w:rFonts w:cs="Linux Libertine"/>
          <w:b/>
          <w:bCs/>
          <w:i w:val="0"/>
          <w:iCs w:val="0"/>
        </w:rPr>
        <w:t>)</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E901481" w14:textId="5BCCC750" w:rsidR="00C8473A" w:rsidRPr="00A51029" w:rsidRDefault="00C8473A" w:rsidP="00C8473A">
      <w:pPr>
        <w:pStyle w:val="ParagraphafSubheader"/>
        <w:ind w:firstLine="540"/>
        <w:rPr>
          <w:rFonts w:cs="Linux Libertine"/>
          <w:color w:val="FF0000"/>
        </w:rPr>
      </w:pPr>
      <w:r w:rsidRPr="00A51029">
        <w:rPr>
          <w:rFonts w:cs="Linux Libertine"/>
          <w:color w:val="FF0000"/>
        </w:rPr>
        <w:t>Godly nationalism was the basis for Soekarno's approval of the ABL in 1965 (</w:t>
      </w:r>
      <w:proofErr w:type="spellStart"/>
      <w:r w:rsidRPr="00A51029">
        <w:rPr>
          <w:rFonts w:cs="Linux Libertine"/>
          <w:color w:val="FF0000"/>
        </w:rPr>
        <w:t>Menchik</w:t>
      </w:r>
      <w:proofErr w:type="spellEnd"/>
      <w:r w:rsidRPr="00A51029">
        <w:rPr>
          <w:rFonts w:cs="Linux Libertine"/>
          <w:color w:val="FF0000"/>
        </w:rPr>
        <w:t>, 2014a: p.607-610). Article 1 of the ABL emphasizes punishment for acts of blasphemy.</w:t>
      </w:r>
      <w:r w:rsidRPr="00A51029">
        <w:rPr>
          <w:rStyle w:val="FootnoteReference"/>
          <w:rFonts w:cs="Linux Libertine"/>
        </w:rPr>
        <w:footnoteReference w:id="72"/>
      </w:r>
      <w:r w:rsidRPr="00A51029">
        <w:rPr>
          <w:rFonts w:cs="Linux Libertine"/>
          <w:color w:val="FF0000"/>
        </w:rPr>
        <w:t xml:space="preserve"> </w:t>
      </w:r>
      <w:r w:rsidRPr="00A51029">
        <w:rPr>
          <w:rFonts w:cs="Linux Libertine"/>
        </w:rPr>
        <w:t xml:space="preserve">Underpinning of Godly Nationalism manufactures the prolong enforcement of the anti-blasphemy law that applaud the presence of mob violence or public protest.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{"citationID":"1gs1srVC","properties":{"formattedCitation":"(2014)","plainCitation":"(2014)","noteIndex":0},"citationItems":[{"id":1806,"uris":["http://zotero.org/users/6396655/items/XYN34VLG"],"itemData":{"id":1806,"type":"article-journal","container-title":"Comparative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in his study argues that Godly nationalism that is upheld in Indonesia produces religious intolerance. </w:t>
      </w:r>
      <w:proofErr w:type="spellStart"/>
      <w:r w:rsidRPr="00A51029">
        <w:rPr>
          <w:rFonts w:cs="Linux Libertine"/>
        </w:rPr>
        <w:t>Menchik</w:t>
      </w:r>
      <w:proofErr w:type="spellEnd"/>
      <w:r w:rsidRPr="00A51029">
        <w:rPr>
          <w:rFonts w:cs="Linux Libertine"/>
        </w:rPr>
        <w:t xml:space="preserve"> believes that the value of God Almighty is central to the First </w:t>
      </w:r>
      <w:proofErr w:type="spellStart"/>
      <w:r w:rsidRPr="00A51029">
        <w:rPr>
          <w:rFonts w:cs="Linux Libertine"/>
        </w:rPr>
        <w:t>Sila</w:t>
      </w:r>
      <w:proofErr w:type="spellEnd"/>
      <w:r w:rsidRPr="00A51029">
        <w:rPr>
          <w:rFonts w:cs="Linux Libertine"/>
        </w:rPr>
        <w:t xml:space="preserve"> of Pancasila, “Believe in One God the Almighty,” in which every citizen has an intrinsic moral commitment to maintain religion as part of safeguarding the nation. In this view, insulting, blaspheming others religions, and urging others to have no faith are acts that oppose holy nationalism. </w:t>
      </w:r>
    </w:p>
    <w:p w14:paraId="586F782C" w14:textId="77777777" w:rsidR="00C8473A" w:rsidRPr="00A51029" w:rsidRDefault="00C8473A" w:rsidP="00C8473A">
      <w:pPr>
        <w:pStyle w:val="ParagraphNormal"/>
        <w:rPr>
          <w:rFonts w:cs="Linux Libertine"/>
        </w:rPr>
      </w:pPr>
      <w:r w:rsidRPr="00A51029">
        <w:rPr>
          <w:rFonts w:cs="Linux Libertine"/>
        </w:rPr>
        <w:t xml:space="preserve">This definition of “godly nationalism” also emerges in the Constitutional Court's legal arguments in support of the Blasphemy Law's legality. The Chairperson of the </w:t>
      </w:r>
      <w:r w:rsidRPr="00A51029">
        <w:rPr>
          <w:rFonts w:cs="Linux Libertine"/>
        </w:rPr>
        <w:lastRenderedPageBreak/>
        <w:t>Muhammadiyah organization believes that Indonesia is not a secular state, but a country that believes in God Almighty. It has values that cannot be matched with those of a secular state. Godly nationalism condemns anarchist activities or taking the law into one's own hands by persecuting religious groups or beliefs that are not among the six recognized by the government. The principle of Godly nationalism is perpetually warped by various state policies that are oppressive, accusatory, or condemning of diverse religious groups or views and that encourage individuals to behave as their own judges.</w:t>
      </w:r>
    </w:p>
    <w:p w14:paraId="47620B9F" w14:textId="755472F4" w:rsidR="00C8473A" w:rsidRPr="00A51029" w:rsidRDefault="00C8473A" w:rsidP="00C8473A">
      <w:pPr>
        <w:pStyle w:val="ParagraphNormal"/>
        <w:rPr>
          <w:rFonts w:cs="Linux Libertine"/>
        </w:rPr>
      </w:pPr>
      <w:r w:rsidRPr="00A51029">
        <w:rPr>
          <w:rFonts w:cs="Linux Libertine"/>
        </w:rPr>
        <w:t xml:space="preserve">Furthermore, Telle </w:t>
      </w:r>
      <w:r w:rsidRPr="00A51029">
        <w:rPr>
          <w:rFonts w:cs="Linux Libertine"/>
        </w:rPr>
        <w:fldChar w:fldCharType="begin"/>
      </w:r>
      <w:r w:rsidR="00496D7D" w:rsidRPr="00A51029">
        <w:rPr>
          <w:rFonts w:cs="Linux Libertine"/>
        </w:rPr>
        <w:instrText xml:space="preserve"> ADDIN ZOTERO_ITEM CSL_CITATION {"citationID":"WHxB9tyq","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(2017)</w:t>
      </w:r>
      <w:r w:rsidRPr="00A51029">
        <w:rPr>
          <w:rFonts w:cs="Linux Libertine"/>
        </w:rPr>
        <w:fldChar w:fldCharType="end"/>
      </w:r>
      <w:r w:rsidRPr="00A51029">
        <w:rPr>
          <w:rFonts w:cs="Linux Libertine"/>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Under </w:t>
      </w:r>
      <w:proofErr w:type="spellStart"/>
      <w:r w:rsidRPr="00A51029">
        <w:rPr>
          <w:rFonts w:cs="Linux Libertine"/>
        </w:rPr>
        <w:t>Soeharto’s</w:t>
      </w:r>
      <w:proofErr w:type="spellEnd"/>
      <w:r w:rsidRPr="00A51029">
        <w:rPr>
          <w:rFonts w:cs="Linux Libertine"/>
        </w:rPr>
        <w:t xml:space="preserve"> administration, numerous times, the ABL has been used to destroy communism and atheism and to restrict the liberties of non-recognized religions. At least three concerns posed a potential danger to Indonesia's unity. It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1764B239" w14:textId="77777777" w:rsidR="00C8473A" w:rsidRPr="00A51029" w:rsidRDefault="00C8473A" w:rsidP="00C8473A">
      <w:pPr>
        <w:pStyle w:val="ParagraphNormal"/>
        <w:rPr>
          <w:rFonts w:cs="Linux Libertine"/>
        </w:rPr>
      </w:pPr>
      <w:r w:rsidRPr="00A51029">
        <w:rPr>
          <w:rFonts w:cs="Linux Libertine"/>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w:t>
      </w:r>
    </w:p>
    <w:p w14:paraId="0D15F7EC" w14:textId="77777777" w:rsidR="00C8473A" w:rsidRPr="00A51029" w:rsidRDefault="00C8473A" w:rsidP="00C8473A">
      <w:pPr>
        <w:pStyle w:val="ParagraphNormal"/>
        <w:rPr>
          <w:rFonts w:cs="Linux Libertine"/>
          <w:i/>
          <w:iCs/>
          <w:color w:val="252525"/>
          <w:szCs w:val="24"/>
          <w:lang w:eastAsia="en-GB" w:bidi="ar-SA"/>
          <w14:ligatures w14:val="none"/>
          <w14:numSpacing w14:val="default"/>
        </w:rPr>
      </w:pPr>
      <w:r w:rsidRPr="00A51029">
        <w:rPr>
          <w:rFonts w:cs="Linux Libertine"/>
        </w:rPr>
        <w:t xml:space="preserve">Furthermore, according to the CCRI, Godly nationalism is reflected in Pancasila </w:t>
      </w:r>
      <w:proofErr w:type="spellStart"/>
      <w:r w:rsidRPr="00A51029">
        <w:rPr>
          <w:rFonts w:cs="Linux Libertine"/>
        </w:rPr>
        <w:t>Sila</w:t>
      </w:r>
      <w:proofErr w:type="spellEnd"/>
      <w:r w:rsidRPr="00A51029">
        <w:rPr>
          <w:rFonts w:cs="Linux Libertine"/>
        </w:rPr>
        <w:t xml:space="preserve"> I, “Belief in One God,” which is enshrined in Article 29 of the 1945 Constitution and reaffirmed by the Constitutional Court in its ratio decidendi decision when </w:t>
      </w:r>
      <w:r w:rsidRPr="00A51029">
        <w:rPr>
          <w:rFonts w:cs="Linux Libertine"/>
        </w:rPr>
        <w:lastRenderedPageBreak/>
        <w:t>examining the constitutionality of the 1965 Anti-Blasphemy Law.</w:t>
      </w:r>
      <w:r w:rsidRPr="00A51029">
        <w:rPr>
          <w:rStyle w:val="FootnoteReference"/>
          <w:rFonts w:cs="Linux Libertine"/>
        </w:rPr>
        <w:footnoteReference w:id="73"/>
      </w:r>
      <w:r w:rsidRPr="00A51029">
        <w:rPr>
          <w:rFonts w:cs="Linux Libertine"/>
        </w:rPr>
        <w:t xml:space="preserve"> </w:t>
      </w:r>
      <w:r w:rsidRPr="00A51029">
        <w:rPr>
          <w:rFonts w:cs="Linux Libertine"/>
          <w:color w:val="252525"/>
          <w:szCs w:val="24"/>
          <w:lang w:eastAsia="en-GB" w:bidi="ar-SA"/>
          <w14:ligatures w14:val="none"/>
          <w14:numSpacing w14:val="default"/>
        </w:rPr>
        <w:t xml:space="preserve">In contrast, the vigilante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A51029">
        <w:rPr>
          <w:rFonts w:cs="Linux Libertine"/>
          <w:color w:val="252525"/>
          <w:szCs w:val="24"/>
          <w:lang w:eastAsia="en-GB" w:bidi="ar-SA"/>
          <w14:ligatures w14:val="none"/>
          <w14:numSpacing w14:val="default"/>
        </w:rPr>
        <w:t>Rizieq</w:t>
      </w:r>
      <w:proofErr w:type="spellEnd"/>
      <w:r w:rsidRPr="00A51029">
        <w:rPr>
          <w:rFonts w:cs="Linux Libertine"/>
          <w:color w:val="252525"/>
          <w:szCs w:val="24"/>
          <w:lang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action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actions of </w:t>
      </w:r>
      <w:r w:rsidRPr="00A51029">
        <w:rPr>
          <w:rFonts w:cs="Linux Libertine"/>
          <w:i/>
          <w:iCs/>
          <w:color w:val="252525"/>
          <w:szCs w:val="24"/>
          <w:lang w:eastAsia="en-GB" w:bidi="ar-SA"/>
          <w14:ligatures w14:val="none"/>
          <w14:numSpacing w14:val="default"/>
        </w:rPr>
        <w:t>MHS.</w:t>
      </w:r>
    </w:p>
    <w:p w14:paraId="1ED4C997" w14:textId="77777777" w:rsidR="00C8473A" w:rsidRPr="00A51029" w:rsidRDefault="00C8473A" w:rsidP="00C8473A">
      <w:pPr>
        <w:pStyle w:val="ParagraphNormal"/>
        <w:rPr>
          <w:rFonts w:cs="Linux Libertine"/>
        </w:rPr>
      </w:pPr>
      <w:r w:rsidRPr="00A51029">
        <w:rPr>
          <w:rFonts w:cs="Linux Libertine"/>
          <w:color w:val="252525"/>
          <w:szCs w:val="24"/>
          <w:lang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644669D0" w14:textId="77777777" w:rsidR="00C8473A" w:rsidRPr="00A51029" w:rsidRDefault="00C8473A" w:rsidP="00C8473A">
      <w:pPr>
        <w:pStyle w:val="ParagraphNormal"/>
        <w:rPr>
          <w:rFonts w:cs="Linux Libertine"/>
        </w:rPr>
      </w:pPr>
      <w:r w:rsidRPr="00A51029">
        <w:rPr>
          <w:rFonts w:cs="Linux Libertine"/>
        </w:rPr>
        <w:t xml:space="preserve">But on the other hand, when the blasphemy law regime is strong, the vigilante phenomenon increases. For instance, a study conducted by Yilmaz and Barton (2021) states that Front Defender of Islam (FPI) is a hard-liner Islamic organization, where under the leadership of </w:t>
      </w:r>
      <w:proofErr w:type="spellStart"/>
      <w:r w:rsidRPr="00A51029">
        <w:rPr>
          <w:rFonts w:cs="Linux Libertine"/>
        </w:rPr>
        <w:t>Rizieq</w:t>
      </w:r>
      <w:proofErr w:type="spellEnd"/>
      <w:r w:rsidRPr="00A51029">
        <w:rPr>
          <w:rFonts w:cs="Linux Libertine"/>
        </w:rPr>
        <w:t xml:space="preserve"> Shihab (RS) its activities are always characterized by vigilante action. “Thus, a core part of FPI’s activities has been vigilantism (p.8). RS uses hate narratives to antagonize those outside its group, including politicians and the government, and encourages its followers to take vigilante action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A51029">
        <w:rPr>
          <w:rFonts w:cs="Linux Libertine"/>
        </w:rPr>
        <w:t>Sendiri</w:t>
      </w:r>
      <w:proofErr w:type="spellEnd"/>
      <w:r w:rsidRPr="00A51029">
        <w:rPr>
          <w:rFonts w:cs="Linux Libertine"/>
        </w:rPr>
        <w:t xml:space="preserve"> accompanies it which FPI is often involved in.</w:t>
      </w:r>
    </w:p>
    <w:p w14:paraId="7C564718" w14:textId="77777777" w:rsidR="00C8473A" w:rsidRPr="00A51029" w:rsidRDefault="00C8473A" w:rsidP="00C8473A">
      <w:pPr>
        <w:pStyle w:val="ParagraphNormal"/>
        <w:rPr>
          <w:rFonts w:cs="Linux Libertine"/>
        </w:rPr>
      </w:pPr>
      <w:r w:rsidRPr="00A51029">
        <w:rPr>
          <w:rFonts w:cs="Linux Libertine"/>
        </w:rPr>
        <w:lastRenderedPageBreak/>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13773099" w14:textId="77777777" w:rsidR="00C8473A" w:rsidRPr="00A51029" w:rsidRDefault="00C8473A" w:rsidP="00C8473A">
      <w:pPr>
        <w:rPr>
          <w:rFonts w:cs="Linux Libertine"/>
        </w:rPr>
      </w:pPr>
    </w:p>
    <w:p w14:paraId="58B0BD1E" w14:textId="5FA713CD" w:rsidR="00C8473A" w:rsidRPr="00A51029" w:rsidRDefault="00C8473A" w:rsidP="00C8473A">
      <w:pPr>
        <w:pStyle w:val="Heading4"/>
        <w:spacing w:line="360" w:lineRule="auto"/>
        <w:ind w:hanging="180"/>
        <w:rPr>
          <w:rFonts w:cs="Linux Libertine"/>
          <w:b/>
          <w:bCs/>
          <w:i w:val="0"/>
          <w:iCs w:val="0"/>
        </w:rPr>
      </w:pPr>
      <w:r w:rsidRPr="00A51029">
        <w:rPr>
          <w:rFonts w:cs="Linux Libertine"/>
          <w:b/>
          <w:bCs/>
          <w:i w:val="0"/>
          <w:iCs w:val="0"/>
        </w:rPr>
        <w:t xml:space="preserve">(ii) </w:t>
      </w:r>
      <w:r w:rsidR="00EB123F" w:rsidRPr="00A51029">
        <w:rPr>
          <w:rFonts w:cs="Linux Libertine"/>
          <w:b/>
          <w:bCs/>
          <w:i w:val="0"/>
          <w:iCs w:val="0"/>
        </w:rPr>
        <w:t>State Monopoly Truth</w:t>
      </w:r>
    </w:p>
    <w:p w14:paraId="1308FBEE" w14:textId="1F173749" w:rsidR="00EB123F" w:rsidRPr="00A51029" w:rsidRDefault="00EB123F" w:rsidP="00C8473A">
      <w:pPr>
        <w:pStyle w:val="ParagraphafSubheader"/>
        <w:ind w:firstLine="540"/>
        <w:rPr>
          <w:rFonts w:cs="Linux Libertine"/>
          <w:lang w:val="en-US" w:eastAsia="en-GB" w:bidi="ar-SA"/>
        </w:rPr>
      </w:pPr>
      <w:r w:rsidRPr="00A51029">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A51029">
        <w:rPr>
          <w:rFonts w:cs="Linux Libertine"/>
          <w:lang w:val="en-US" w:eastAsia="en-GB" w:bidi="ar-SA"/>
        </w:rPr>
        <w:t>hard-liner</w:t>
      </w:r>
      <w:r w:rsidRPr="00A51029">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74"/>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5"/>
      </w:r>
    </w:p>
    <w:p w14:paraId="30BBFDE1" w14:textId="5E94872B" w:rsidR="00EB123F" w:rsidRPr="00A51029" w:rsidRDefault="00EB123F" w:rsidP="00EB123F">
      <w:pPr>
        <w:pStyle w:val="ParagraphNormal"/>
        <w:rPr>
          <w:rFonts w:cs="Linux Libertine"/>
          <w:lang w:val="en-US"/>
        </w:rPr>
      </w:pPr>
      <w:r w:rsidRPr="00A51029">
        <w:rPr>
          <w:rFonts w:cs="Linux Libertine"/>
          <w:lang w:val="en-US"/>
        </w:rPr>
        <w:lastRenderedPageBreak/>
        <w:t xml:space="preserve">If referring to Hashim </w:t>
      </w:r>
      <w:proofErr w:type="spellStart"/>
      <w:r w:rsidRPr="00A51029">
        <w:rPr>
          <w:rFonts w:cs="Linux Libertine"/>
          <w:lang w:val="en-US"/>
        </w:rPr>
        <w:t>Kamali's</w:t>
      </w:r>
      <w:proofErr w:type="spellEnd"/>
      <w:r w:rsidRPr="00A51029">
        <w:rPr>
          <w:rFonts w:cs="Linux Libertine"/>
          <w:lang w:val="en-US"/>
        </w:rPr>
        <w:t xml:space="preserve"> view, “God reveals the truth in variety of ways, some explicit and others by allusion, the latter mainly through the modality of the “verse”, to provoke and engage the human intellect </w:t>
      </w:r>
      <w:r w:rsidRPr="00A51029">
        <w:rPr>
          <w:rFonts w:cs="Linux Libertine"/>
          <w:lang w:val="en-US"/>
        </w:rPr>
        <w:fldChar w:fldCharType="begin"/>
      </w:r>
      <w:r w:rsidR="00496D7D" w:rsidRPr="00A51029">
        <w:rPr>
          <w:rFonts w:cs="Linux Libertine"/>
          <w:lang w:val="en-US"/>
        </w:rPr>
        <w:instrText xml:space="preserve"> ADDIN ZOTERO_ITEM CSL_CITATION {"citationID":"R8e8nMLa","properties":{"formattedCitation":"(Kamali 2006)","plainCitation":"(Kamali 2006)","noteIndex":0},"citationItems":[{"id":2030,"uris":["http://zotero.org/users/6396655/items/PDG37LSL"],"itemData":{"id":2030,"type":"article-journal","container-title":"Islam and Science","title":"Reading the Signs: a Qur’anic Perspective on Thinking","volume":"4","author":[{"family":"Kamali","given":"Mohammed Hashim"}],"issued":{"date-parts":[["2006"]]}}}],"schema":"https://github.com/citation-style-language/schema/raw/master/csl-citation.json"} </w:instrText>
      </w:r>
      <w:r w:rsidRPr="00A51029">
        <w:rPr>
          <w:rFonts w:cs="Linux Libertine"/>
          <w:lang w:val="en-US"/>
        </w:rPr>
        <w:fldChar w:fldCharType="separate"/>
      </w:r>
      <w:r w:rsidR="009F6E03" w:rsidRPr="00A51029">
        <w:rPr>
          <w:rFonts w:cs="Linux Libertine"/>
          <w:lang w:val="en-US"/>
        </w:rPr>
        <w:t>(Kamali 2006)</w:t>
      </w:r>
      <w:r w:rsidRPr="00A51029">
        <w:rPr>
          <w:rFonts w:cs="Linux Libertine"/>
          <w:lang w:val="en-US"/>
        </w:rPr>
        <w:fldChar w:fldCharType="end"/>
      </w:r>
      <w:r w:rsidRPr="00A51029">
        <w:rPr>
          <w:rFonts w:cs="Linux Libertine"/>
          <w:lang w:val="en-US"/>
        </w:rPr>
        <w:t xml:space="preserve">. </w:t>
      </w:r>
    </w:p>
    <w:p w14:paraId="37077D0D" w14:textId="77777777" w:rsidR="00EB123F" w:rsidRPr="00A51029" w:rsidRDefault="00EB123F" w:rsidP="00EB123F">
      <w:pPr>
        <w:pStyle w:val="ParagraphNormal"/>
        <w:rPr>
          <w:rFonts w:cs="Linux Libertine"/>
          <w:lang w:val="en-US"/>
        </w:rPr>
      </w:pPr>
      <w:r w:rsidRPr="00A51029">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A51029">
        <w:rPr>
          <w:rFonts w:cs="Linux Libertine"/>
          <w:lang w:val="en-US"/>
        </w:rPr>
        <w:t>Kamali</w:t>
      </w:r>
      <w:proofErr w:type="spellEnd"/>
      <w:r w:rsidRPr="00A51029">
        <w:rPr>
          <w:rFonts w:cs="Linux Libertine"/>
          <w:lang w:val="en-US"/>
        </w:rPr>
        <w:t xml:space="preserve"> also asserts that “approximately 750 verses, or nearly one-eight of the Qur'an, exhort the readers to study nature, history, the Qur'an itself, and humanity at large.”</w:t>
      </w:r>
      <w:r w:rsidRPr="00A51029">
        <w:rPr>
          <w:rStyle w:val="FootnoteReference"/>
          <w:rFonts w:cs="Linux Libertine"/>
          <w:lang w:val="en-US"/>
        </w:rPr>
        <w:t xml:space="preserve"> </w:t>
      </w:r>
      <w:r w:rsidRPr="00A51029">
        <w:rPr>
          <w:rStyle w:val="FootnoteReference"/>
          <w:rFonts w:cs="Linux Libertine"/>
          <w:lang w:val="en-US"/>
        </w:rPr>
        <w:footnoteReference w:id="76"/>
      </w:r>
      <w:r w:rsidRPr="00A51029">
        <w:rPr>
          <w:rFonts w:cs="Linux Libertine"/>
          <w:lang w:val="en-US"/>
        </w:rPr>
        <w:t xml:space="preserve">  Thus, when </w:t>
      </w:r>
      <w:r w:rsidRPr="00A51029">
        <w:rPr>
          <w:rFonts w:cs="Linux Libertine"/>
          <w:i/>
          <w:iCs/>
          <w:lang w:val="en-US"/>
        </w:rPr>
        <w:t xml:space="preserve">Meiliana </w:t>
      </w:r>
      <w:r w:rsidRPr="00A51029">
        <w:rPr>
          <w:rFonts w:cs="Linux Libertine"/>
          <w:lang w:val="en-US"/>
        </w:rPr>
        <w:t xml:space="preserve">challenged the sound of the Adhan, which was too loud, and then said that </w:t>
      </w:r>
      <w:r w:rsidRPr="00A51029">
        <w:rPr>
          <w:rFonts w:cs="Linux Libertine"/>
          <w:i/>
          <w:iCs/>
          <w:lang w:val="en-US"/>
        </w:rPr>
        <w:t>Meiliana</w:t>
      </w:r>
      <w:r w:rsidRPr="00A51029">
        <w:rPr>
          <w:rFonts w:cs="Linux Libertine"/>
          <w:lang w:val="en-US"/>
        </w:rPr>
        <w:t xml:space="preserve"> had tarnished religion, such an attitude was an example of the monopoly of truth that understands religion (Islam) without reason, conscience, or science. Likewise in the cases of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xml:space="preserve"> The attitude of the Indonesian Ulema Council, which issued a heretical fatwa against the </w:t>
      </w:r>
      <w:r w:rsidRPr="00A51029">
        <w:rPr>
          <w:rFonts w:cs="Linux Libertine"/>
          <w:i/>
          <w:iCs/>
          <w:lang w:val="en-US"/>
        </w:rPr>
        <w:t xml:space="preserve">Ahmadiyya </w:t>
      </w:r>
      <w:r w:rsidRPr="00A51029">
        <w:rPr>
          <w:rFonts w:cs="Linux Libertine"/>
          <w:lang w:val="en-US"/>
        </w:rPr>
        <w:t xml:space="preserve">and </w:t>
      </w:r>
      <w:r w:rsidRPr="00A51029">
        <w:rPr>
          <w:rFonts w:cs="Linux Libertine"/>
          <w:i/>
          <w:iCs/>
          <w:lang w:val="en-US"/>
        </w:rPr>
        <w:t>Gafatar</w:t>
      </w:r>
      <w:r w:rsidRPr="00A51029">
        <w:rPr>
          <w:rFonts w:cs="Linux Libertine"/>
          <w:lang w:val="en-US"/>
        </w:rPr>
        <w:t xml:space="preserve"> groups based solely on a one-sided truth claim, did not give </w:t>
      </w:r>
      <w:r w:rsidRPr="00A51029">
        <w:rPr>
          <w:rFonts w:cs="Linux Libertine"/>
          <w:i/>
          <w:iCs/>
          <w:lang w:val="en-US"/>
        </w:rPr>
        <w:t xml:space="preserve">Ahmadiyya </w:t>
      </w:r>
      <w:r w:rsidRPr="00A51029">
        <w:rPr>
          <w:rFonts w:cs="Linux Libertine"/>
          <w:lang w:val="en-US"/>
        </w:rPr>
        <w:t xml:space="preserve">room for freedom to believe in their choice of belief or at least provided room for </w:t>
      </w:r>
      <w:r w:rsidRPr="00A51029">
        <w:rPr>
          <w:rFonts w:cs="Linux Libertine"/>
          <w:i/>
          <w:iCs/>
          <w:lang w:val="en-US"/>
        </w:rPr>
        <w:t>Ahmadiyya</w:t>
      </w:r>
      <w:r w:rsidRPr="00A51029">
        <w:rPr>
          <w:rFonts w:cs="Linux Libertine"/>
          <w:lang w:val="en-US"/>
        </w:rPr>
        <w:t xml:space="preserve"> to be heard for their explanations. Then </w:t>
      </w:r>
      <w:r w:rsidRPr="00A51029">
        <w:rPr>
          <w:rFonts w:cs="Linux Libertine"/>
          <w:i/>
          <w:iCs/>
          <w:lang w:val="en-US"/>
        </w:rPr>
        <w:t>Gafatar,</w:t>
      </w:r>
      <w:r w:rsidRPr="00A51029">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 xml:space="preserve">The one-sided </w:t>
      </w:r>
      <w:r w:rsidRPr="00A51029">
        <w:rPr>
          <w:rFonts w:cs="Linux Libertine"/>
          <w:lang w:val="en-US"/>
        </w:rPr>
        <w:t>truth</w:t>
      </w:r>
      <w:r w:rsidRPr="00A51029">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A51029">
        <w:rPr>
          <w:rFonts w:cs="Linux Libertine"/>
          <w:lang w:val="en-US" w:eastAsia="en-GB" w:bidi="ar-SA"/>
        </w:rPr>
        <w:t>Mahful</w:t>
      </w:r>
      <w:proofErr w:type="spellEnd"/>
      <w:r w:rsidRPr="00A51029">
        <w:rPr>
          <w:rFonts w:cs="Linux Libertine"/>
          <w:lang w:val="en-US" w:eastAsia="en-GB" w:bidi="ar-SA"/>
        </w:rPr>
        <w:t xml:space="preserve"> </w:t>
      </w:r>
      <w:proofErr w:type="spellStart"/>
      <w:r w:rsidRPr="00A51029">
        <w:rPr>
          <w:rFonts w:cs="Linux Libertine"/>
          <w:lang w:val="en-US" w:eastAsia="en-GB" w:bidi="ar-SA"/>
        </w:rPr>
        <w:t>Muis</w:t>
      </w:r>
      <w:proofErr w:type="spellEnd"/>
      <w:r w:rsidRPr="00A51029">
        <w:rPr>
          <w:rFonts w:cs="Linux Libertine"/>
          <w:lang w:val="en-US" w:eastAsia="en-GB" w:bidi="ar-SA"/>
        </w:rPr>
        <w:t xml:space="preserve"> and Ahmad </w:t>
      </w:r>
      <w:proofErr w:type="spellStart"/>
      <w:r w:rsidRPr="00A51029">
        <w:rPr>
          <w:rFonts w:cs="Linux Libertine"/>
          <w:lang w:val="en-US" w:eastAsia="en-GB" w:bidi="ar-SA"/>
        </w:rPr>
        <w:t>Musaddeq</w:t>
      </w:r>
      <w:proofErr w:type="spellEnd"/>
      <w:r w:rsidRPr="00A51029">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A51029">
        <w:rPr>
          <w:rFonts w:cs="Linux Libertine"/>
          <w:lang w:val="en-US" w:eastAsia="en-GB" w:bidi="ar-SA"/>
        </w:rPr>
        <w:t>Asfinawati</w:t>
      </w:r>
      <w:proofErr w:type="spellEnd"/>
      <w:r w:rsidRPr="00A51029">
        <w:rPr>
          <w:rFonts w:cs="Linux Libertine"/>
          <w:lang w:val="en-US" w:eastAsia="en-GB" w:bidi="ar-SA"/>
        </w:rPr>
        <w:t>,</w:t>
      </w:r>
      <w:r w:rsidRPr="00A51029">
        <w:rPr>
          <w:rStyle w:val="FootnoteReference"/>
          <w:rFonts w:cs="Linux Libertine"/>
          <w:lang w:val="en-US"/>
        </w:rPr>
        <w:footnoteReference w:id="77"/>
      </w:r>
      <w:r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 xml:space="preserve">“(1) [……] (2). The Appellant strongly agrees with the legal considerations of the East Jakarta District Court according to the facts that the trial has not proven at all the charges of the two public prosecutors and acquitted the defendants of the second indictment; (3) </w:t>
      </w:r>
      <w:r w:rsidRPr="00A51029">
        <w:rPr>
          <w:rFonts w:cs="Linux Libertine"/>
          <w:lang w:val="en-US" w:eastAsia="en-GB" w:bidi="ar-SA"/>
        </w:rPr>
        <w:lastRenderedPageBreak/>
        <w:t>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8"/>
      </w:r>
    </w:p>
    <w:p w14:paraId="25E8972F"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A51029">
        <w:rPr>
          <w:rFonts w:cs="Linux Libertine"/>
          <w:b/>
          <w:bCs/>
          <w:lang w:val="en-US" w:eastAsia="en-GB" w:bidi="ar-SA"/>
        </w:rPr>
        <w:t>intentionally committing an act publicly that is basically blasphemy against a religion adhered to in Indonesia</w:t>
      </w:r>
      <w:r w:rsidRPr="00A51029">
        <w:rPr>
          <w:rFonts w:cs="Linux Libertine"/>
          <w:lang w:val="en-US" w:eastAsia="en-GB" w:bidi="ar-SA"/>
        </w:rPr>
        <w:t>.”</w:t>
      </w:r>
      <w:r w:rsidRPr="00A51029">
        <w:rPr>
          <w:rStyle w:val="FootnoteReference"/>
          <w:rFonts w:cs="Linux Libertine"/>
          <w:lang w:val="en-US"/>
        </w:rPr>
        <w:footnoteReference w:id="79"/>
      </w:r>
      <w:r w:rsidRPr="00A51029">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A51029" w:rsidRDefault="00EB123F" w:rsidP="00EB123F">
      <w:pPr>
        <w:pStyle w:val="ParagraphNormal"/>
        <w:rPr>
          <w:rFonts w:cs="Linux Libertine"/>
          <w:lang w:val="en-US"/>
        </w:rPr>
      </w:pPr>
      <w:r w:rsidRPr="00A51029">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A51029">
        <w:rPr>
          <w:rFonts w:cs="Linux Libertine"/>
          <w:i/>
          <w:iCs/>
          <w:lang w:val="en-US"/>
        </w:rPr>
        <w:t>Gafatar,</w:t>
      </w:r>
      <w:r w:rsidRPr="00A51029">
        <w:rPr>
          <w:rFonts w:cs="Linux Libertine"/>
          <w:lang w:val="en-US"/>
        </w:rPr>
        <w:t xml:space="preserve"> as an organization that has a license, </w:t>
      </w:r>
      <w:r w:rsidRPr="00A51029">
        <w:rPr>
          <w:rFonts w:cs="Linux Libertine"/>
          <w:i/>
          <w:iCs/>
          <w:lang w:val="en-US"/>
        </w:rPr>
        <w:t xml:space="preserve">Gafatar </w:t>
      </w:r>
      <w:r w:rsidRPr="00A51029">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A51029">
        <w:rPr>
          <w:rFonts w:cs="Linux Libertine"/>
          <w:lang w:val="en-US"/>
        </w:rPr>
        <w:t>Qadiyan</w:t>
      </w:r>
      <w:proofErr w:type="spellEnd"/>
      <w:r w:rsidRPr="00A51029">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A51029">
        <w:rPr>
          <w:rFonts w:cs="Linux Libertine"/>
          <w:i/>
          <w:iCs/>
          <w:lang w:val="en-US"/>
        </w:rPr>
        <w:t>Ahmadiyya</w:t>
      </w:r>
      <w:r w:rsidRPr="00A51029">
        <w:rPr>
          <w:rFonts w:cs="Linux Libertine"/>
          <w:lang w:val="en-US"/>
        </w:rPr>
        <w:t xml:space="preserve">, but also to </w:t>
      </w:r>
      <w:r w:rsidRPr="00A51029">
        <w:rPr>
          <w:rFonts w:cs="Linux Libertine"/>
          <w:i/>
          <w:iCs/>
          <w:lang w:val="en-US"/>
        </w:rPr>
        <w:t>Gafatar</w:t>
      </w:r>
      <w:r w:rsidRPr="00A51029">
        <w:rPr>
          <w:rFonts w:cs="Linux Libertine"/>
          <w:lang w:val="en-US"/>
        </w:rPr>
        <w:t xml:space="preserve"> and </w:t>
      </w:r>
      <w:r w:rsidRPr="00A51029">
        <w:rPr>
          <w:rFonts w:cs="Linux Libertine"/>
          <w:i/>
          <w:iCs/>
          <w:lang w:val="en-US"/>
        </w:rPr>
        <w:t>Meiliana.</w:t>
      </w:r>
      <w:r w:rsidRPr="00A51029">
        <w:rPr>
          <w:rFonts w:cs="Linux Libertine"/>
          <w:lang w:val="en-US"/>
        </w:rPr>
        <w:t xml:space="preserve"> </w:t>
      </w:r>
      <w:proofErr w:type="spellStart"/>
      <w:r w:rsidRPr="00A51029">
        <w:rPr>
          <w:rFonts w:cs="Linux Libertine"/>
          <w:lang w:val="en-US"/>
        </w:rPr>
        <w:t>Meiliana's</w:t>
      </w:r>
      <w:proofErr w:type="spellEnd"/>
      <w:r w:rsidRPr="00A51029">
        <w:rPr>
          <w:rFonts w:cs="Linux Libertine"/>
          <w:lang w:val="en-US"/>
        </w:rPr>
        <w:t xml:space="preserve"> actions against the call to prayer were also declared by MUI as blasphemy. All acts of persecution against </w:t>
      </w:r>
      <w:r w:rsidRPr="00A51029">
        <w:rPr>
          <w:rFonts w:cs="Linux Libertine"/>
          <w:i/>
          <w:iCs/>
          <w:lang w:val="en-US"/>
        </w:rPr>
        <w:t>Ahmadiyya, Gafatar, and Meiliana</w:t>
      </w:r>
      <w:r w:rsidRPr="00A51029">
        <w:rPr>
          <w:rFonts w:cs="Linux Libertine"/>
          <w:lang w:val="en-US"/>
        </w:rPr>
        <w:t xml:space="preserve"> followers took place after the MUI Fatwa was issued.</w:t>
      </w:r>
    </w:p>
    <w:p w14:paraId="4A7C0642" w14:textId="77777777" w:rsidR="00EB123F" w:rsidRPr="00A51029" w:rsidRDefault="00EB123F" w:rsidP="009510D5">
      <w:pPr>
        <w:pStyle w:val="Heading4"/>
        <w:rPr>
          <w:rFonts w:cs="Linux Libertine"/>
        </w:rPr>
      </w:pPr>
    </w:p>
    <w:p w14:paraId="4C54B7CB" w14:textId="676356B6" w:rsidR="006F6B45" w:rsidRPr="00A51029" w:rsidRDefault="006F6B45" w:rsidP="006F6B45">
      <w:pPr>
        <w:pStyle w:val="Heading3"/>
        <w:rPr>
          <w:rFonts w:cs="Linux Libertine"/>
        </w:rPr>
      </w:pPr>
      <w:bookmarkStart w:id="2" w:name="_Toc118302780"/>
      <w:bookmarkStart w:id="3" w:name="_Toc121200589"/>
      <w:r w:rsidRPr="00A51029">
        <w:rPr>
          <w:rFonts w:cs="Linux Libertine"/>
        </w:rPr>
        <w:t>(ii) Continuing to strengthen the flawed ABL diminishing the rule of law</w:t>
      </w:r>
    </w:p>
    <w:p w14:paraId="1FA99A54" w14:textId="0CA24088" w:rsidR="006F6B45" w:rsidRPr="00A51029" w:rsidRDefault="006F6B45" w:rsidP="006F6B45">
      <w:pPr>
        <w:rPr>
          <w:rFonts w:cs="Linux Libertine"/>
          <w:color w:val="70AD47" w:themeColor="accent6"/>
        </w:rPr>
      </w:pPr>
      <w:r w:rsidRPr="00A51029">
        <w:rPr>
          <w:rFonts w:cs="Linux Libertine"/>
        </w:rPr>
        <w:tab/>
      </w:r>
      <w:r w:rsidR="005D7A02" w:rsidRPr="00A51029">
        <w:rPr>
          <w:rFonts w:cs="Linux Libertine"/>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A51029">
        <w:rPr>
          <w:rFonts w:cs="Linux Libertine"/>
          <w:color w:val="70AD47" w:themeColor="accent6"/>
        </w:rPr>
        <w:t xml:space="preserve"> </w:t>
      </w:r>
    </w:p>
    <w:p w14:paraId="4AB6C32A" w14:textId="77777777" w:rsidR="006F6B45" w:rsidRPr="00A51029" w:rsidRDefault="006F6B45" w:rsidP="006F6B45">
      <w:pPr>
        <w:rPr>
          <w:rFonts w:cs="Linux Libertine"/>
        </w:rPr>
      </w:pPr>
    </w:p>
    <w:p w14:paraId="5FD61BC6" w14:textId="77777777" w:rsidR="006F6B45" w:rsidRPr="00A51029" w:rsidRDefault="006F6B45" w:rsidP="006F6B45">
      <w:pPr>
        <w:rPr>
          <w:rFonts w:cs="Linux Libertine"/>
        </w:rPr>
      </w:pPr>
    </w:p>
    <w:p w14:paraId="42D193CB" w14:textId="77777777" w:rsidR="006F6B45" w:rsidRPr="00A51029" w:rsidRDefault="006F6B45" w:rsidP="006F6B45">
      <w:pPr>
        <w:rPr>
          <w:rFonts w:cs="Linux Libertine"/>
        </w:rPr>
      </w:pPr>
    </w:p>
    <w:p w14:paraId="080E8041" w14:textId="043E1C2B" w:rsidR="00601A07" w:rsidRPr="00A51029" w:rsidRDefault="006F6B45" w:rsidP="006F6B45">
      <w:pPr>
        <w:pStyle w:val="Heading3"/>
        <w:rPr>
          <w:rFonts w:cs="Linux Libertine"/>
        </w:rPr>
      </w:pPr>
      <w:r w:rsidRPr="00A51029">
        <w:rPr>
          <w:rFonts w:cs="Linux Libertine"/>
        </w:rPr>
        <w:t xml:space="preserve">(iii) </w:t>
      </w:r>
      <w:r w:rsidR="00EB123F" w:rsidRPr="00A51029">
        <w:rPr>
          <w:rFonts w:cs="Linux Libertine"/>
        </w:rPr>
        <w:t>The Government interference toward religio</w:t>
      </w:r>
      <w:bookmarkEnd w:id="2"/>
      <w:bookmarkEnd w:id="3"/>
      <w:r w:rsidRPr="00A51029">
        <w:rPr>
          <w:rFonts w:cs="Linux Libertine"/>
        </w:rPr>
        <w:t>n</w:t>
      </w:r>
    </w:p>
    <w:p w14:paraId="62A3CD0A" w14:textId="77777777" w:rsidR="006F6B45" w:rsidRPr="00A51029" w:rsidRDefault="006F6B45" w:rsidP="00EB123F">
      <w:pPr>
        <w:pStyle w:val="ParagraphafSubheader"/>
        <w:rPr>
          <w:rFonts w:cs="Linux Libertine"/>
          <w:lang w:val="en-US"/>
        </w:rPr>
      </w:pPr>
    </w:p>
    <w:p w14:paraId="41D269F3" w14:textId="7B540DD6" w:rsidR="00EB123F" w:rsidRPr="00A51029" w:rsidRDefault="00EB123F" w:rsidP="00EB123F">
      <w:pPr>
        <w:pStyle w:val="ParagraphafSubheader"/>
        <w:rPr>
          <w:rFonts w:cs="Linux Libertine"/>
          <w:lang w:val="en-US"/>
        </w:rPr>
      </w:pPr>
      <w:r w:rsidRPr="00A51029">
        <w:rPr>
          <w:rFonts w:cs="Linux Libertine"/>
          <w:lang w:val="en-US"/>
        </w:rPr>
        <w:t xml:space="preserve">Due to the lack of law enforcement to prevent vigilante justice,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xml:space="preserve"> adherents, as well as </w:t>
      </w:r>
      <w:r w:rsidRPr="00A51029">
        <w:rPr>
          <w:rFonts w:cs="Linux Libertine"/>
          <w:i/>
          <w:iCs/>
          <w:lang w:val="en-US"/>
        </w:rPr>
        <w:t>Meiliana</w:t>
      </w:r>
      <w:r w:rsidRPr="00A51029">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A51029" w:rsidRDefault="00EB123F" w:rsidP="00EB123F">
      <w:pPr>
        <w:pStyle w:val="Quote"/>
        <w:rPr>
          <w:rFonts w:cs="Linux Libertine"/>
          <w:lang w:val="en-US"/>
        </w:rPr>
      </w:pPr>
      <w:r w:rsidRPr="00A51029">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A51029" w:rsidRDefault="00EB123F" w:rsidP="00EB123F">
      <w:pPr>
        <w:pStyle w:val="ParagraphNormal"/>
        <w:rPr>
          <w:rFonts w:cs="Linux Libertine"/>
          <w:lang w:val="en-US"/>
        </w:rPr>
      </w:pPr>
      <w:r w:rsidRPr="00A51029">
        <w:rPr>
          <w:rFonts w:cs="Linux Libertine"/>
          <w:lang w:val="en-US"/>
        </w:rPr>
        <w:t>The Ahmadiyya experienced vigilantism in the form of persecution of Ahmadiyya followers, expulsions, burning of houses of worship, and other prohibitions.</w:t>
      </w:r>
      <w:r w:rsidRPr="00A51029">
        <w:rPr>
          <w:rStyle w:val="FootnoteReference"/>
          <w:rFonts w:cs="Linux Libertine"/>
          <w:lang w:val="en-US"/>
        </w:rPr>
        <w:footnoteReference w:id="80"/>
      </w:r>
      <w:r w:rsidRPr="00A51029">
        <w:rPr>
          <w:rFonts w:cs="Linux Libertine"/>
          <w:lang w:val="en-US"/>
        </w:rPr>
        <w:t xml:space="preserve"> This act of vigilantism cannot be separated from the government's policy during the reign of </w:t>
      </w:r>
      <w:proofErr w:type="spellStart"/>
      <w:r w:rsidRPr="00A51029">
        <w:rPr>
          <w:rFonts w:cs="Linux Libertine"/>
          <w:lang w:val="en-US"/>
        </w:rPr>
        <w:t>Soesilo</w:t>
      </w:r>
      <w:proofErr w:type="spellEnd"/>
      <w:r w:rsidRPr="00A51029">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w:t>
      </w:r>
      <w:r w:rsidRPr="00A51029">
        <w:rPr>
          <w:rFonts w:cs="Linux Libertine"/>
          <w:lang w:val="en-US"/>
        </w:rPr>
        <w:lastRenderedPageBreak/>
        <w:t>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A51029">
        <w:rPr>
          <w:rStyle w:val="FootnoteReference"/>
          <w:rFonts w:cs="Linux Libertine"/>
          <w:lang w:val="en-US"/>
        </w:rPr>
        <w:footnoteReference w:id="81"/>
      </w:r>
    </w:p>
    <w:p w14:paraId="5EF06FD7" w14:textId="77777777" w:rsidR="00EB123F" w:rsidRPr="00A51029" w:rsidRDefault="00EB123F" w:rsidP="00EB123F">
      <w:pPr>
        <w:pStyle w:val="ParagraphNormal"/>
        <w:rPr>
          <w:rFonts w:cs="Linux Libertine"/>
          <w:lang w:val="en-US"/>
        </w:rPr>
      </w:pPr>
      <w:r w:rsidRPr="00A51029">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A51029">
        <w:rPr>
          <w:rFonts w:cs="Linux Libertine"/>
          <w:lang w:val="en-US"/>
        </w:rPr>
        <w:t>interest</w:t>
      </w:r>
      <w:r w:rsidRPr="00A51029">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Islamist groups such as the FPI.</w:t>
      </w:r>
    </w:p>
    <w:p w14:paraId="48FF7F9E"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Joint Decrees 3 and 199 of 2008 say that the Ahmadiyya Mosque will be shut down.</w:t>
      </w:r>
    </w:p>
    <w:p w14:paraId="185AB9F6"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Governor's Regulation No. 12 of 2011 says that the Indonesian Ahmadiyya Congregation can't do anything in West Java.</w:t>
      </w:r>
    </w:p>
    <w:p w14:paraId="6B9CCC82"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A51029">
        <w:rPr>
          <w:rFonts w:cs="Linux Libertine"/>
          <w:lang w:val="en-US"/>
        </w:rPr>
        <w:t>.</w:t>
      </w:r>
      <w:r w:rsidRPr="00A51029">
        <w:rPr>
          <w:rStyle w:val="FootnoteReference"/>
          <w:rFonts w:cs="Linux Libertine"/>
          <w:lang w:val="en-US"/>
        </w:rPr>
        <w:footnoteReference w:id="82"/>
      </w:r>
    </w:p>
    <w:p w14:paraId="13EAA769" w14:textId="77777777" w:rsidR="00601A07" w:rsidRPr="00A51029" w:rsidRDefault="00601A07" w:rsidP="00601A07">
      <w:pPr>
        <w:pStyle w:val="Heading4"/>
        <w:rPr>
          <w:rFonts w:cs="Linux Libertine"/>
        </w:rPr>
      </w:pPr>
    </w:p>
    <w:p w14:paraId="04E42D02" w14:textId="5BA7B728"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1</w:t>
      </w:r>
      <w:r w:rsidR="009510D5" w:rsidRPr="00A51029">
        <w:rPr>
          <w:rFonts w:cs="Linux Libertine"/>
        </w:rPr>
        <w:t xml:space="preserve"> </w:t>
      </w:r>
      <w:r w:rsidRPr="00A51029">
        <w:rPr>
          <w:rFonts w:cs="Linux Libertine"/>
        </w:rPr>
        <w:tab/>
      </w:r>
      <w:r w:rsidR="009510D5" w:rsidRPr="00A51029">
        <w:rPr>
          <w:rFonts w:cs="Linux Libertine"/>
        </w:rPr>
        <w:t>Criminal Offense without strong evidence</w:t>
      </w:r>
      <w:r w:rsidR="00784A47" w:rsidRPr="00A51029">
        <w:rPr>
          <w:rFonts w:cs="Linux Libertine"/>
        </w:rPr>
        <w:t xml:space="preserve"> </w:t>
      </w:r>
    </w:p>
    <w:p w14:paraId="50D11AA7" w14:textId="77777777" w:rsidR="00601A07" w:rsidRPr="00A51029" w:rsidRDefault="00601A07" w:rsidP="00601A07">
      <w:pPr>
        <w:rPr>
          <w:rFonts w:cs="Linux Libertine"/>
        </w:rPr>
      </w:pPr>
    </w:p>
    <w:p w14:paraId="25E87E08" w14:textId="77777777" w:rsidR="00601A07" w:rsidRPr="00A51029" w:rsidRDefault="00601A07" w:rsidP="00601A07">
      <w:pPr>
        <w:pStyle w:val="Heading4"/>
        <w:rPr>
          <w:rFonts w:cs="Linux Libertine"/>
        </w:rPr>
      </w:pPr>
    </w:p>
    <w:p w14:paraId="409F505C" w14:textId="65DAD966"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2</w:t>
      </w:r>
      <w:r w:rsidR="009510D5" w:rsidRPr="00A51029">
        <w:rPr>
          <w:rFonts w:cs="Linux Libertine"/>
        </w:rPr>
        <w:t xml:space="preserve"> </w:t>
      </w:r>
      <w:r w:rsidRPr="00A51029">
        <w:rPr>
          <w:rFonts w:cs="Linux Libertine"/>
        </w:rPr>
        <w:tab/>
      </w:r>
      <w:r w:rsidR="009510D5" w:rsidRPr="00A51029">
        <w:rPr>
          <w:rFonts w:cs="Linux Libertine"/>
        </w:rPr>
        <w:t>Questioning Judiciary Independency</w:t>
      </w:r>
    </w:p>
    <w:p w14:paraId="28F93243" w14:textId="77777777" w:rsidR="00601A07" w:rsidRPr="00A51029" w:rsidRDefault="00601A07" w:rsidP="00601A07">
      <w:pPr>
        <w:rPr>
          <w:rFonts w:cs="Linux Libertine"/>
        </w:rPr>
      </w:pPr>
    </w:p>
    <w:p w14:paraId="759CFF52" w14:textId="77777777" w:rsidR="00C8473A" w:rsidRPr="00A51029" w:rsidRDefault="00C8473A" w:rsidP="00C8473A">
      <w:pPr>
        <w:pStyle w:val="ParagraphNormal"/>
        <w:rPr>
          <w:rFonts w:cs="Linux Libertine"/>
          <w:lang w:val="en-US"/>
        </w:rPr>
      </w:pPr>
      <w:r w:rsidRPr="00A51029">
        <w:rPr>
          <w:rFonts w:cs="Linux Libertine"/>
          <w:lang w:val="en-US"/>
        </w:rPr>
        <w:lastRenderedPageBreak/>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A51029">
        <w:rPr>
          <w:rFonts w:cs="Linux Libertine"/>
          <w:lang w:val="en-US"/>
        </w:rPr>
        <w:t>amok's</w:t>
      </w:r>
      <w:proofErr w:type="spellEnd"/>
      <w:r w:rsidRPr="00A51029">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A51029">
        <w:rPr>
          <w:rFonts w:cs="Linux Libertine"/>
          <w:lang w:val="en-US"/>
        </w:rPr>
        <w:t>Ahmadiyah</w:t>
      </w:r>
      <w:proofErr w:type="spellEnd"/>
      <w:r w:rsidRPr="00A51029">
        <w:rPr>
          <w:rFonts w:cs="Linux Libertine"/>
          <w:lang w:val="en-US"/>
        </w:rPr>
        <w:t xml:space="preserve"> and Gafatar teachings heretical long before a court decision was made. </w:t>
      </w:r>
    </w:p>
    <w:p w14:paraId="22FBF084" w14:textId="77777777" w:rsidR="00C8473A" w:rsidRPr="00A51029" w:rsidRDefault="00C8473A" w:rsidP="00C8473A">
      <w:pPr>
        <w:pStyle w:val="ParagraphafSubheader"/>
        <w:ind w:firstLine="480"/>
        <w:rPr>
          <w:rFonts w:cs="Linux Libertine"/>
          <w:lang w:val="en-US" w:eastAsia="en-GB" w:bidi="ar-SA"/>
        </w:rPr>
      </w:pPr>
      <w:r w:rsidRPr="00A51029">
        <w:rPr>
          <w:rFonts w:cs="Linux Libertine"/>
          <w:lang w:val="en-US" w:eastAsia="en-GB" w:bidi="ar-SA"/>
        </w:rPr>
        <w:t xml:space="preserve">The vigilante justice phenomenon against religious followers accused of being heretics shows the strengthening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Unfortunately, the violent actions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w:t>
      </w:r>
      <w:r w:rsidRPr="00A51029">
        <w:rPr>
          <w:rFonts w:cs="Linux Libertine"/>
          <w:lang w:val="en-US" w:eastAsia="en-GB" w:bidi="ar-SA"/>
        </w:rPr>
        <w:lastRenderedPageBreak/>
        <w:t xml:space="preserve">moderate Islamic groups such as NU or Muhammadiyah are on the same page with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 and the government to defend the law.</w:t>
      </w:r>
    </w:p>
    <w:p w14:paraId="520E56E8"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failure of democracy in Indonesia opens space for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Islamic populism is increasing, and the division of society between </w:t>
      </w:r>
      <w:proofErr w:type="spellStart"/>
      <w:r w:rsidRPr="00A51029">
        <w:rPr>
          <w:rFonts w:cs="Linux Libertine"/>
          <w:i/>
          <w:iCs/>
          <w:lang w:val="en-US" w:eastAsia="en-GB" w:bidi="ar-SA"/>
        </w:rPr>
        <w:t>hard-line</w:t>
      </w:r>
      <w:proofErr w:type="spellEnd"/>
      <w:r w:rsidRPr="00A51029">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This is the main reason for declaring </w:t>
      </w:r>
      <w:r w:rsidRPr="00A51029">
        <w:rPr>
          <w:rFonts w:cs="Linux Libertine"/>
          <w:i/>
          <w:iCs/>
          <w:lang w:val="en-US" w:eastAsia="en-GB" w:bidi="ar-SA"/>
        </w:rPr>
        <w:t xml:space="preserve">Ahmadiyya </w:t>
      </w:r>
      <w:r w:rsidRPr="00A51029">
        <w:rPr>
          <w:rFonts w:cs="Linux Libertine"/>
          <w:lang w:val="en-US" w:eastAsia="en-GB" w:bidi="ar-SA"/>
        </w:rPr>
        <w:t xml:space="preserve">and </w:t>
      </w:r>
      <w:r w:rsidRPr="00A51029">
        <w:rPr>
          <w:rFonts w:cs="Linux Libertine"/>
          <w:i/>
          <w:iCs/>
          <w:lang w:val="en-US" w:eastAsia="en-GB" w:bidi="ar-SA"/>
        </w:rPr>
        <w:t xml:space="preserve">Gafatar </w:t>
      </w:r>
      <w:r w:rsidRPr="00A51029">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w:t>
      </w:r>
      <w:r w:rsidRPr="00A51029">
        <w:rPr>
          <w:rFonts w:cs="Linux Libertine"/>
          <w:lang w:val="en-US" w:eastAsia="en-GB" w:bidi="ar-SA"/>
        </w:rPr>
        <w:lastRenderedPageBreak/>
        <w:t xml:space="preserve">the MUI shows that the state is adopting a concept known in Islam, namely the concept of heresy. According to </w:t>
      </w:r>
      <w:proofErr w:type="spellStart"/>
      <w:r w:rsidRPr="00A51029">
        <w:rPr>
          <w:rFonts w:cs="Linux Libertine"/>
          <w:lang w:val="en-US" w:eastAsia="en-GB" w:bidi="ar-SA"/>
        </w:rPr>
        <w:t>Assyaukanie</w:t>
      </w:r>
      <w:proofErr w:type="spellEnd"/>
      <w:r w:rsidRPr="00A51029">
        <w:rPr>
          <w:rFonts w:cs="Linux Libertine"/>
          <w:lang w:val="en-US" w:eastAsia="en-GB" w:bidi="ar-SA"/>
        </w:rPr>
        <w:t xml:space="preserve">, heresy is derived from theological terms. </w:t>
      </w:r>
      <w:proofErr w:type="spellStart"/>
      <w:r w:rsidRPr="00A51029">
        <w:rPr>
          <w:rFonts w:cs="Linux Libertine"/>
          <w:lang w:val="en-US" w:eastAsia="en-GB" w:bidi="ar-SA"/>
        </w:rPr>
        <w:t>Ma'ruf</w:t>
      </w:r>
      <w:proofErr w:type="spellEnd"/>
      <w:r w:rsidRPr="00A51029">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A51029">
        <w:rPr>
          <w:rFonts w:cs="Linux Libertine"/>
          <w:lang w:val="en-US" w:eastAsia="en-GB" w:bidi="ar-SA"/>
        </w:rPr>
        <w:t>dalil</w:t>
      </w:r>
      <w:proofErr w:type="spellEnd"/>
      <w:r w:rsidRPr="00A51029">
        <w:rPr>
          <w:rFonts w:cs="Linux Libertine"/>
          <w:lang w:val="en-US" w:eastAsia="en-GB" w:bidi="ar-SA"/>
        </w:rPr>
        <w:t xml:space="preserve"> </w:t>
      </w:r>
      <w:proofErr w:type="spellStart"/>
      <w:r w:rsidRPr="00A51029">
        <w:rPr>
          <w:rFonts w:cs="Linux Libertine"/>
          <w:lang w:val="en-US" w:eastAsia="en-GB" w:bidi="ar-SA"/>
        </w:rPr>
        <w:t>syar'i</w:t>
      </w:r>
      <w:proofErr w:type="spellEnd"/>
      <w:r w:rsidRPr="00A51029">
        <w:rPr>
          <w:rFonts w:cs="Linux Libertine"/>
          <w:lang w:val="en-US" w:eastAsia="en-GB" w:bidi="ar-SA"/>
        </w:rPr>
        <w:t>).</w:t>
      </w:r>
      <w:r w:rsidRPr="00A51029">
        <w:rPr>
          <w:rStyle w:val="FootnoteReference"/>
          <w:rFonts w:cs="Linux Libertine"/>
          <w:lang w:val="en-US"/>
        </w:rPr>
        <w:footnoteReference w:id="83"/>
      </w:r>
    </w:p>
    <w:p w14:paraId="2D4CDB7F" w14:textId="77777777" w:rsidR="00C8473A" w:rsidRPr="00A51029" w:rsidRDefault="00C8473A" w:rsidP="00C8473A">
      <w:pPr>
        <w:pStyle w:val="ParagraphNormal"/>
        <w:rPr>
          <w:rFonts w:cs="Linux Libertine"/>
          <w:lang w:val="en-US"/>
        </w:rPr>
      </w:pPr>
      <w:r w:rsidRPr="00A51029">
        <w:rPr>
          <w:rFonts w:cs="Linux Libertine"/>
          <w:lang w:val="en-US"/>
        </w:rPr>
        <w:t xml:space="preserve">In the case of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A51029" w:rsidRDefault="00601A07" w:rsidP="00601A07">
      <w:pPr>
        <w:rPr>
          <w:rFonts w:cs="Linux Libertine"/>
        </w:rPr>
      </w:pPr>
    </w:p>
    <w:p w14:paraId="68BFF7E1" w14:textId="77777777" w:rsidR="00C8473A" w:rsidRPr="00A51029" w:rsidRDefault="00C8473A" w:rsidP="00C8473A">
      <w:pPr>
        <w:pStyle w:val="Heading3"/>
        <w:numPr>
          <w:ilvl w:val="2"/>
          <w:numId w:val="330"/>
        </w:numPr>
        <w:tabs>
          <w:tab w:val="num" w:pos="1492"/>
        </w:tabs>
        <w:ind w:left="709" w:hanging="709"/>
        <w:rPr>
          <w:rFonts w:cs="Linux Libertine"/>
        </w:rPr>
      </w:pPr>
      <w:bookmarkStart w:id="4" w:name="_Toc118302784"/>
      <w:bookmarkStart w:id="5" w:name="_Toc121200593"/>
      <w:r w:rsidRPr="00A51029">
        <w:rPr>
          <w:rFonts w:cs="Linux Libertine"/>
        </w:rPr>
        <w:t>State actors</w:t>
      </w:r>
      <w:bookmarkEnd w:id="4"/>
      <w:bookmarkEnd w:id="5"/>
      <w:r w:rsidRPr="00A51029">
        <w:rPr>
          <w:rFonts w:cs="Linux Libertine"/>
        </w:rPr>
        <w:t xml:space="preserve"> </w:t>
      </w:r>
    </w:p>
    <w:p w14:paraId="27955DBD" w14:textId="77777777" w:rsidR="00C8473A" w:rsidRPr="00A51029" w:rsidRDefault="00C8473A" w:rsidP="00C8473A">
      <w:pPr>
        <w:pStyle w:val="ParagraphafSubheader"/>
        <w:rPr>
          <w:rFonts w:cs="Linux Libertine"/>
        </w:rPr>
      </w:pPr>
    </w:p>
    <w:p w14:paraId="2839DDD3" w14:textId="77777777" w:rsidR="00C8473A" w:rsidRPr="00A51029" w:rsidRDefault="00C8473A" w:rsidP="00C8473A">
      <w:pPr>
        <w:pStyle w:val="ParagraphafSubheader"/>
        <w:ind w:firstLine="540"/>
        <w:rPr>
          <w:rFonts w:cs="Linux Libertine"/>
          <w:color w:val="252525"/>
        </w:rPr>
      </w:pPr>
      <w:r w:rsidRPr="00A51029">
        <w:rPr>
          <w:rFonts w:cs="Linux Libertine"/>
        </w:rPr>
        <w:t>Studies conducted by USCIRF (2020) with the title “Violating Rights Enforcing the World’s Blasphemy Laws” observed the implementations of blasphemy laws around the world, including in Indonesia,</w:t>
      </w:r>
      <w:r w:rsidRPr="00A51029">
        <w:rPr>
          <w:rStyle w:val="FootnoteReference"/>
          <w:rFonts w:cs="Linux Libertine"/>
        </w:rPr>
        <w:footnoteReference w:id="84"/>
      </w:r>
      <w:r w:rsidRPr="00A51029">
        <w:rPr>
          <w:rFonts w:cs="Linux Libertine"/>
        </w:rPr>
        <w:t xml:space="preserve"> states that violence or threats of community violence that accompany accusations of blasphemy generally target the accused perpetrators or bystanders and are mobilized by non-state actors, either individually or in groups (p. 7).</w:t>
      </w:r>
      <w:r w:rsidRPr="00A51029">
        <w:rPr>
          <w:rStyle w:val="FootnoteReference"/>
          <w:rFonts w:cs="Linux Libertine"/>
        </w:rPr>
        <w:footnoteReference w:id="85"/>
      </w:r>
      <w:r w:rsidRPr="00A51029">
        <w:rPr>
          <w:rFonts w:cs="Linux Libertine"/>
        </w:rPr>
        <w:t xml:space="preserve"> </w:t>
      </w:r>
      <w:r w:rsidRPr="00A51029">
        <w:rPr>
          <w:rFonts w:cs="Linux Libertine"/>
          <w:color w:val="252525"/>
        </w:rPr>
        <w:t xml:space="preserve">However, in some cases, public officials tolerate civil unrest (p. 8). This chapter does not intend to refute USCIRF's findings but rather to </w:t>
      </w:r>
      <w:r w:rsidRPr="00A51029">
        <w:rPr>
          <w:rFonts w:cs="Linux Libertine"/>
          <w:color w:val="252525"/>
        </w:rPr>
        <w:lastRenderedPageBreak/>
        <w:t xml:space="preserve">provide a more accurate picture of the vigilantism actors accompanying accusations of blasphemy in Indonesia, particularly in the cases of </w:t>
      </w:r>
      <w:r w:rsidRPr="00A51029">
        <w:rPr>
          <w:rFonts w:cs="Linux Libertine"/>
          <w:i/>
          <w:iCs/>
          <w:color w:val="252525"/>
        </w:rPr>
        <w:t>Ahmadiyya, Gafatar, and Meiliana</w:t>
      </w:r>
      <w:r w:rsidRPr="00A51029">
        <w:rPr>
          <w:rFonts w:cs="Linux Libertine"/>
          <w:color w:val="252525"/>
        </w:rPr>
        <w:t>.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7777777" w:rsidR="00C8473A" w:rsidRPr="00A51029" w:rsidRDefault="00C8473A" w:rsidP="00C8473A">
      <w:pPr>
        <w:pStyle w:val="ParagraphNormal"/>
        <w:rPr>
          <w:rFonts w:cs="Linux Libertine"/>
          <w:color w:val="252525"/>
        </w:rPr>
      </w:pPr>
      <w:r w:rsidRPr="00A51029">
        <w:rPr>
          <w:rFonts w:cs="Linux Libertine"/>
        </w:rPr>
        <w:t xml:space="preserve">Learning from the tables above, this study finds that the perpetrators of vigilantism in blasphemy charges against the </w:t>
      </w:r>
      <w:r w:rsidRPr="00A51029">
        <w:rPr>
          <w:rFonts w:cs="Linux Libertine"/>
          <w:i/>
          <w:iCs/>
        </w:rPr>
        <w:t xml:space="preserve">Ahmadiyya group, the Gafatar group, </w:t>
      </w:r>
      <w:r w:rsidRPr="00A51029">
        <w:rPr>
          <w:rFonts w:cs="Linux Libertine"/>
        </w:rPr>
        <w:t>and</w:t>
      </w:r>
      <w:r w:rsidRPr="00A51029">
        <w:rPr>
          <w:rFonts w:cs="Linux Libertine"/>
          <w:i/>
          <w:iCs/>
        </w:rPr>
        <w:t xml:space="preserve"> the Meiliana</w:t>
      </w:r>
      <w:r w:rsidRPr="00A51029">
        <w:rPr>
          <w:rFonts w:cs="Linux Libertine"/>
        </w:rPr>
        <w:t xml:space="preserve"> are very diverse, as depicted in figure 6.</w:t>
      </w:r>
    </w:p>
    <w:p w14:paraId="412B18ED" w14:textId="77777777" w:rsidR="00C8473A" w:rsidRPr="00A51029" w:rsidRDefault="00C8473A" w:rsidP="00C8473A">
      <w:pPr>
        <w:rPr>
          <w:rFonts w:cs="Linux Libertine"/>
        </w:rPr>
      </w:pPr>
      <w:r w:rsidRPr="00A51029">
        <w:rPr>
          <w:rFonts w:cs="Linux Libertine"/>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A51029">
        <w:rPr>
          <w:rFonts w:cs="Linux Libertine"/>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A51029" w:rsidRDefault="00C8473A" w:rsidP="00C8473A">
      <w:pPr>
        <w:pStyle w:val="ParagraphNormal"/>
        <w:rPr>
          <w:rFonts w:cs="Linux Libertine"/>
        </w:rPr>
      </w:pPr>
      <w:r w:rsidRPr="00A51029">
        <w:rPr>
          <w:rFonts w:cs="Linux Libertine"/>
        </w:rPr>
        <w:t>Sources: Cited from various sources and analysed by the author.</w:t>
      </w:r>
    </w:p>
    <w:p w14:paraId="0AE26399" w14:textId="77777777" w:rsidR="00C8473A" w:rsidRPr="00A51029" w:rsidRDefault="00C8473A" w:rsidP="00C8473A">
      <w:pPr>
        <w:rPr>
          <w:rFonts w:cs="Linux Libertine"/>
          <w:b/>
          <w:bCs/>
        </w:rPr>
      </w:pPr>
    </w:p>
    <w:p w14:paraId="2A13A612" w14:textId="77777777" w:rsidR="00C8473A" w:rsidRPr="00A51029" w:rsidRDefault="00C8473A" w:rsidP="00C8473A">
      <w:pPr>
        <w:pStyle w:val="ParagraphafSubheader"/>
        <w:rPr>
          <w:rFonts w:cs="Linux Libertine"/>
          <w:color w:val="252525"/>
          <w:lang w:eastAsia="en-GB" w:bidi="ar-SA"/>
        </w:rPr>
      </w:pPr>
      <w:r w:rsidRPr="00A51029">
        <w:rPr>
          <w:rFonts w:cs="Linux Libertine"/>
          <w:lang w:eastAsia="en-GB" w:bidi="ar-SA"/>
        </w:rPr>
        <w:t xml:space="preserve">In general, what is meant by “state actors” are public apparatuses acting for and on behalf of the state, working for central government institutions, regional government institutions, and the judiciary. </w:t>
      </w:r>
      <w:r w:rsidRPr="00A51029">
        <w:rPr>
          <w:rFonts w:cs="Linux Libertine"/>
          <w:color w:val="252525"/>
          <w:lang w:eastAsia="en-GB" w:bidi="ar-SA"/>
        </w:rPr>
        <w:t xml:space="preserve">Based on the three innocent blasphemy cases against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at least three state institutions encourage the general public to perform the </w:t>
      </w:r>
      <w:r w:rsidRPr="00A51029">
        <w:rPr>
          <w:rFonts w:cs="Linux Libertine"/>
          <w:i/>
          <w:iCs/>
          <w:color w:val="252525"/>
          <w:lang w:eastAsia="en-GB" w:bidi="ar-SA"/>
        </w:rPr>
        <w:t xml:space="preserve">Main Hakim </w:t>
      </w:r>
      <w:proofErr w:type="spellStart"/>
      <w:r w:rsidRPr="00A51029">
        <w:rPr>
          <w:rFonts w:cs="Linux Libertine"/>
          <w:i/>
          <w:iCs/>
          <w:color w:val="252525"/>
          <w:lang w:eastAsia="en-GB" w:bidi="ar-SA"/>
        </w:rPr>
        <w:t>Sendiri</w:t>
      </w:r>
      <w:proofErr w:type="spellEnd"/>
      <w:r w:rsidRPr="00A51029">
        <w:rPr>
          <w:rFonts w:cs="Linux Libertine"/>
          <w:color w:val="252525"/>
          <w:lang w:eastAsia="en-GB" w:bidi="ar-SA"/>
        </w:rPr>
        <w:t xml:space="preserve">. The first is the police. The police are an institution that is trusted by the public when it receives complaints about cases of blasphemy. The police do not have a single understanding when dealing with </w:t>
      </w:r>
      <w:r w:rsidRPr="00A51029">
        <w:rPr>
          <w:rFonts w:cs="Linux Libertine"/>
          <w:color w:val="252525"/>
          <w:lang w:eastAsia="en-GB" w:bidi="ar-SA"/>
        </w:rPr>
        <w:lastRenderedPageBreak/>
        <w:t xml:space="preserve">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A51029">
        <w:rPr>
          <w:rFonts w:cs="Linux Libertine"/>
          <w:i/>
          <w:iCs/>
          <w:color w:val="252525"/>
          <w:lang w:eastAsia="en-GB" w:bidi="ar-SA"/>
        </w:rPr>
        <w:t>Ahmadiyya</w:t>
      </w:r>
      <w:r w:rsidRPr="00A51029">
        <w:rPr>
          <w:rFonts w:cs="Linux Libertine"/>
          <w:color w:val="252525"/>
          <w:lang w:eastAsia="en-GB" w:bidi="ar-SA"/>
        </w:rPr>
        <w:t xml:space="preserve">, from 2010 to 2021, there were at least six vigilante incidents that demonstrated the failure of the police to prevent the recurrence of such violence. In the </w:t>
      </w:r>
      <w:r w:rsidRPr="00A51029">
        <w:rPr>
          <w:rFonts w:cs="Linux Libertine"/>
          <w:i/>
          <w:iCs/>
          <w:color w:val="252525"/>
          <w:lang w:eastAsia="en-GB" w:bidi="ar-SA"/>
        </w:rPr>
        <w:t xml:space="preserve">Gafatar </w:t>
      </w:r>
      <w:r w:rsidRPr="00A51029">
        <w:rPr>
          <w:rFonts w:cs="Linux Libertine"/>
          <w:color w:val="252525"/>
          <w:lang w:eastAsia="en-GB" w:bidi="ar-SA"/>
        </w:rPr>
        <w:t xml:space="preserve">case, the police failed to prevent violence against </w:t>
      </w:r>
      <w:r w:rsidRPr="00A51029">
        <w:rPr>
          <w:rFonts w:cs="Linux Libertine"/>
          <w:i/>
          <w:iCs/>
          <w:color w:val="252525"/>
          <w:lang w:eastAsia="en-GB" w:bidi="ar-SA"/>
        </w:rPr>
        <w:t xml:space="preserve">Gafatar </w:t>
      </w:r>
      <w:r w:rsidRPr="00A51029">
        <w:rPr>
          <w:rFonts w:cs="Linux Libertine"/>
          <w:color w:val="252525"/>
          <w:lang w:eastAsia="en-GB" w:bidi="ar-SA"/>
        </w:rPr>
        <w:t xml:space="preserve">members, including the expulsion of </w:t>
      </w:r>
      <w:r w:rsidRPr="00A51029">
        <w:rPr>
          <w:rFonts w:cs="Linux Libertine"/>
          <w:i/>
          <w:iCs/>
          <w:color w:val="252525"/>
          <w:lang w:eastAsia="en-GB" w:bidi="ar-SA"/>
        </w:rPr>
        <w:t xml:space="preserve">Gafatar </w:t>
      </w:r>
      <w:r w:rsidRPr="00A51029">
        <w:rPr>
          <w:rFonts w:cs="Linux Libertine"/>
          <w:color w:val="252525"/>
          <w:lang w:eastAsia="en-GB" w:bidi="ar-SA"/>
        </w:rPr>
        <w:t xml:space="preserve">residents and the burning of their homes in Kalimantan. In the case of </w:t>
      </w:r>
      <w:r w:rsidRPr="00A51029">
        <w:rPr>
          <w:rFonts w:cs="Linux Libertine"/>
          <w:i/>
          <w:iCs/>
          <w:color w:val="252525"/>
          <w:lang w:eastAsia="en-GB" w:bidi="ar-SA"/>
        </w:rPr>
        <w:t>Meiliana,</w:t>
      </w:r>
      <w:r w:rsidRPr="00A51029">
        <w:rPr>
          <w:rFonts w:cs="Linux Libertine"/>
          <w:color w:val="252525"/>
          <w:lang w:eastAsia="en-GB" w:bidi="ar-SA"/>
        </w:rPr>
        <w:t xml:space="preserve"> the mediation initiated by the police to conduct a dialogue between residents and </w:t>
      </w:r>
      <w:r w:rsidRPr="00A51029">
        <w:rPr>
          <w:rFonts w:cs="Linux Libertine"/>
          <w:i/>
          <w:iCs/>
          <w:color w:val="252525"/>
          <w:lang w:eastAsia="en-GB" w:bidi="ar-SA"/>
        </w:rPr>
        <w:t>Meiliana</w:t>
      </w:r>
      <w:r w:rsidRPr="00A51029">
        <w:rPr>
          <w:rFonts w:cs="Linux Libertine"/>
          <w:color w:val="252525"/>
          <w:lang w:eastAsia="en-GB" w:bidi="ar-SA"/>
        </w:rPr>
        <w:t xml:space="preserve"> was unsuccessful, and the police failed to prevent a mob rage that took the form of burning down </w:t>
      </w:r>
      <w:proofErr w:type="spellStart"/>
      <w:r w:rsidRPr="00A51029">
        <w:rPr>
          <w:rFonts w:cs="Linux Libertine"/>
          <w:i/>
          <w:iCs/>
          <w:color w:val="252525"/>
          <w:lang w:eastAsia="en-GB" w:bidi="ar-SA"/>
        </w:rPr>
        <w:t>Meiliana</w:t>
      </w:r>
      <w:r w:rsidRPr="00A51029">
        <w:rPr>
          <w:rFonts w:cs="Linux Libertine"/>
          <w:color w:val="252525"/>
          <w:lang w:eastAsia="en-GB" w:bidi="ar-SA"/>
        </w:rPr>
        <w:t>'s</w:t>
      </w:r>
      <w:proofErr w:type="spellEnd"/>
      <w:r w:rsidRPr="00A51029">
        <w:rPr>
          <w:rFonts w:cs="Linux Libertine"/>
          <w:color w:val="252525"/>
          <w:lang w:eastAsia="en-GB" w:bidi="ar-SA"/>
        </w:rPr>
        <w:t xml:space="preserve"> house and even several temples. The failure of the police to prevent violence against the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groups is a form of allowing vigilante justice to occur.</w:t>
      </w:r>
    </w:p>
    <w:p w14:paraId="4ED6D0F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A51029">
        <w:rPr>
          <w:rFonts w:cs="Linux Libertine"/>
        </w:rPr>
        <w:t xml:space="preserve">Joint Decree of the Minister of Religion, the Attorney General, and the Minister of Home Affairs of the Republic of Indonesia, Number 3 of 2008, </w:t>
      </w:r>
      <w:proofErr w:type="spellStart"/>
      <w:r w:rsidRPr="00A51029">
        <w:rPr>
          <w:rFonts w:cs="Linux Libertine"/>
        </w:rPr>
        <w:t>Kep</w:t>
      </w:r>
      <w:proofErr w:type="spellEnd"/>
      <w:r w:rsidRPr="00A51029">
        <w:rPr>
          <w:rFonts w:cs="Linux Libertine"/>
        </w:rPr>
        <w:t>. 033/a/</w:t>
      </w:r>
      <w:proofErr w:type="spellStart"/>
      <w:r w:rsidRPr="00A51029">
        <w:rPr>
          <w:rFonts w:cs="Linux Libertine"/>
        </w:rPr>
        <w:t>ja</w:t>
      </w:r>
      <w:proofErr w:type="spellEnd"/>
      <w:r w:rsidRPr="00A51029">
        <w:rPr>
          <w:rFonts w:cs="Linux Libertine"/>
        </w:rPr>
        <w:t>/6/2008, concerning warnings and orders to adherents, members, and/or community members of the Indonesian Ahmadiyya Muslim Community (JAI)</w:t>
      </w:r>
      <w:r w:rsidRPr="00A51029">
        <w:rPr>
          <w:rFonts w:cs="Linux Libertine"/>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A51029">
        <w:rPr>
          <w:rFonts w:cs="Linux Libertine"/>
          <w:i/>
          <w:iCs/>
          <w:lang w:eastAsia="en-GB" w:bidi="ar-SA"/>
        </w:rPr>
        <w:t xml:space="preserve">Ahmadiyya </w:t>
      </w:r>
      <w:r w:rsidRPr="00A51029">
        <w:rPr>
          <w:rFonts w:cs="Linux Libertine"/>
          <w:lang w:eastAsia="en-GB" w:bidi="ar-SA"/>
        </w:rPr>
        <w:t>and</w:t>
      </w:r>
      <w:r w:rsidRPr="00A51029">
        <w:rPr>
          <w:rFonts w:cs="Linux Libertine"/>
          <w:i/>
          <w:iCs/>
          <w:lang w:eastAsia="en-GB" w:bidi="ar-SA"/>
        </w:rPr>
        <w:t xml:space="preserve"> Gafatar</w:t>
      </w:r>
      <w:r w:rsidRPr="00A51029">
        <w:rPr>
          <w:rFonts w:cs="Linux Libertine"/>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w:t>
      </w:r>
      <w:r w:rsidRPr="00A51029">
        <w:rPr>
          <w:rFonts w:cs="Linux Libertine"/>
          <w:lang w:eastAsia="en-GB" w:bidi="ar-SA"/>
        </w:rPr>
        <w:lastRenderedPageBreak/>
        <w:t>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7</w:t>
      </w:r>
      <w:r w:rsidRPr="00A51029">
        <w:rPr>
          <w:rFonts w:cs="Linux Libertine"/>
        </w:rPr>
        <w:fldChar w:fldCharType="end"/>
      </w:r>
      <w:r w:rsidRPr="00A51029">
        <w:rPr>
          <w:rFonts w:cs="Linux Libertine"/>
        </w:rPr>
        <w:t xml:space="preserve">. State Actors Encourage Vigilantism Actions (Main Hakim </w:t>
      </w:r>
      <w:proofErr w:type="spellStart"/>
      <w:r w:rsidRPr="00A51029">
        <w:rPr>
          <w:rFonts w:cs="Linux Libertine"/>
        </w:rPr>
        <w:t>Sendiri</w:t>
      </w:r>
      <w:proofErr w:type="spellEnd"/>
      <w:r w:rsidRPr="00A51029">
        <w:rPr>
          <w:rFonts w:cs="Linux Libertine"/>
        </w:rPr>
        <w:t>)</w:t>
      </w:r>
    </w:p>
    <w:tbl>
      <w:tblPr>
        <w:tblStyle w:val="GridTable2-Accent3"/>
        <w:tblW w:w="0" w:type="auto"/>
        <w:tblLook w:val="04A0" w:firstRow="1" w:lastRow="0" w:firstColumn="1" w:lastColumn="0" w:noHBand="0" w:noVBand="1"/>
      </w:tblPr>
      <w:tblGrid>
        <w:gridCol w:w="570"/>
        <w:gridCol w:w="2686"/>
        <w:gridCol w:w="3402"/>
        <w:gridCol w:w="1671"/>
      </w:tblGrid>
      <w:tr w:rsidR="00C8473A" w:rsidRPr="00A51029"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A51029" w:rsidRDefault="00C8473A" w:rsidP="00ED0FE2">
            <w:pPr>
              <w:jc w:val="center"/>
              <w:rPr>
                <w:rFonts w:cs="Linux Libertine"/>
                <w:color w:val="252525"/>
                <w:lang w:eastAsia="en-GB"/>
                <w14:ligatures w14:val="none"/>
              </w:rPr>
            </w:pPr>
            <w:r w:rsidRPr="00A51029">
              <w:rPr>
                <w:rFonts w:cs="Linux Libertine"/>
                <w:color w:val="252525"/>
                <w:lang w:eastAsia="en-GB"/>
                <w14:ligatures w14:val="none"/>
              </w:rPr>
              <w:t>No.</w:t>
            </w:r>
          </w:p>
        </w:tc>
        <w:tc>
          <w:tcPr>
            <w:tcW w:w="2686" w:type="dxa"/>
          </w:tcPr>
          <w:p w14:paraId="255ECDF3"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State Actors</w:t>
            </w:r>
          </w:p>
        </w:tc>
        <w:tc>
          <w:tcPr>
            <w:tcW w:w="3402" w:type="dxa"/>
          </w:tcPr>
          <w:p w14:paraId="410F9E65"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Name of Regulations</w:t>
            </w:r>
          </w:p>
        </w:tc>
        <w:tc>
          <w:tcPr>
            <w:tcW w:w="1671" w:type="dxa"/>
          </w:tcPr>
          <w:p w14:paraId="0F3C6E99"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Area</w:t>
            </w:r>
          </w:p>
        </w:tc>
      </w:tr>
      <w:tr w:rsidR="00C8473A" w:rsidRPr="00A51029"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1</w:t>
            </w:r>
          </w:p>
        </w:tc>
        <w:tc>
          <w:tcPr>
            <w:tcW w:w="2686" w:type="dxa"/>
          </w:tcPr>
          <w:p w14:paraId="786BD8E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Minister of Religion, the Attorney General and the Minister of </w:t>
            </w:r>
            <w:proofErr w:type="spellStart"/>
            <w:r w:rsidRPr="00A51029">
              <w:rPr>
                <w:rFonts w:cs="Linux Libertine"/>
                <w:color w:val="252525"/>
                <w:lang w:eastAsia="en-GB"/>
                <w14:ligatures w14:val="none"/>
              </w:rPr>
              <w:t>Homa</w:t>
            </w:r>
            <w:proofErr w:type="spellEnd"/>
            <w:r w:rsidRPr="00A51029">
              <w:rPr>
                <w:rFonts w:cs="Linux Libertine"/>
                <w:color w:val="252525"/>
                <w:lang w:eastAsia="en-GB"/>
                <w14:ligatures w14:val="none"/>
              </w:rPr>
              <w:t xml:space="preserve"> Affairs of </w:t>
            </w:r>
            <w:r w:rsidRPr="00A51029">
              <w:rPr>
                <w:rFonts w:cs="Linux Libertine"/>
                <w:color w:val="252525"/>
              </w:rPr>
              <w:t>the Republic of Indonesia.</w:t>
            </w:r>
          </w:p>
        </w:tc>
        <w:tc>
          <w:tcPr>
            <w:tcW w:w="3402" w:type="dxa"/>
          </w:tcPr>
          <w:p w14:paraId="5C6CEA23" w14:textId="77777777" w:rsidR="00C8473A" w:rsidRPr="00A51029"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A51029">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A51029">
              <w:rPr>
                <w:rFonts w:ascii="Linux Libertine" w:hAnsi="Linux Libertine" w:cs="Linux Libertine"/>
                <w:color w:val="252525"/>
                <w:sz w:val="20"/>
                <w:szCs w:val="20"/>
              </w:rPr>
              <w:t>Kep</w:t>
            </w:r>
            <w:proofErr w:type="spellEnd"/>
            <w:r w:rsidRPr="00A51029">
              <w:rPr>
                <w:rFonts w:ascii="Linux Libertine" w:hAnsi="Linux Libertine" w:cs="Linux Libertine"/>
                <w:color w:val="252525"/>
                <w:sz w:val="20"/>
                <w:szCs w:val="20"/>
              </w:rPr>
              <w:t>. 033/a/</w:t>
            </w:r>
            <w:proofErr w:type="spellStart"/>
            <w:r w:rsidRPr="00A51029">
              <w:rPr>
                <w:rFonts w:ascii="Linux Libertine" w:hAnsi="Linux Libertine" w:cs="Linux Libertine"/>
                <w:color w:val="252525"/>
                <w:sz w:val="20"/>
                <w:szCs w:val="20"/>
              </w:rPr>
              <w:t>ja</w:t>
            </w:r>
            <w:proofErr w:type="spellEnd"/>
            <w:r w:rsidRPr="00A51029">
              <w:rPr>
                <w:rFonts w:ascii="Linux Libertine" w:hAnsi="Linux Libertine" w:cs="Linux Libertine"/>
                <w:color w:val="252525"/>
                <w:sz w:val="20"/>
                <w:szCs w:val="20"/>
              </w:rPr>
              <w:t>/6/2008, concerning warnings and orders to adherents, members, and/or community members of the Indonesian Ahmadiyya Muslim Community (JAI).</w:t>
            </w:r>
          </w:p>
          <w:p w14:paraId="595F20D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2</w:t>
            </w:r>
          </w:p>
        </w:tc>
        <w:tc>
          <w:tcPr>
            <w:tcW w:w="2686" w:type="dxa"/>
          </w:tcPr>
          <w:p w14:paraId="702EC99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w:t>
            </w:r>
          </w:p>
          <w:p w14:paraId="4DF9C69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General of the Ministry of Religion, Attorney General</w:t>
            </w:r>
          </w:p>
          <w:p w14:paraId="0245242B"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Young Intelligence, and Director General of National Unity and Interior Ministry Politics.</w:t>
            </w:r>
          </w:p>
          <w:p w14:paraId="318942C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A51029">
              <w:rPr>
                <w:rFonts w:cs="Linux Libertine"/>
                <w:color w:val="252525"/>
                <w:lang w:eastAsia="en-GB"/>
                <w14:ligatures w14:val="none"/>
              </w:rPr>
              <w:t>DDsp</w:t>
            </w:r>
            <w:proofErr w:type="spellEnd"/>
            <w:r w:rsidRPr="00A51029">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3.</w:t>
            </w:r>
          </w:p>
        </w:tc>
        <w:tc>
          <w:tcPr>
            <w:tcW w:w="2686" w:type="dxa"/>
          </w:tcPr>
          <w:p w14:paraId="05A47C3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Province.</w:t>
            </w:r>
          </w:p>
        </w:tc>
        <w:tc>
          <w:tcPr>
            <w:tcW w:w="3402" w:type="dxa"/>
          </w:tcPr>
          <w:p w14:paraId="123E561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Java Decree Number 188/94/KPTS/013/2011regarding the Prohibition of the Activities of the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 (abbreviated as JAI).</w:t>
            </w:r>
          </w:p>
        </w:tc>
        <w:tc>
          <w:tcPr>
            <w:tcW w:w="1671" w:type="dxa"/>
          </w:tcPr>
          <w:p w14:paraId="7C79CA2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East Java.</w:t>
            </w:r>
          </w:p>
        </w:tc>
      </w:tr>
      <w:tr w:rsidR="00C8473A" w:rsidRPr="00A51029"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4.</w:t>
            </w:r>
          </w:p>
        </w:tc>
        <w:tc>
          <w:tcPr>
            <w:tcW w:w="2686" w:type="dxa"/>
          </w:tcPr>
          <w:p w14:paraId="784D8BB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West Java Province.</w:t>
            </w:r>
          </w:p>
        </w:tc>
        <w:tc>
          <w:tcPr>
            <w:tcW w:w="3402" w:type="dxa"/>
          </w:tcPr>
          <w:p w14:paraId="51F6B4A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West Java.</w:t>
            </w:r>
          </w:p>
        </w:tc>
      </w:tr>
      <w:tr w:rsidR="00C8473A" w:rsidRPr="00A51029"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5.</w:t>
            </w:r>
          </w:p>
        </w:tc>
        <w:tc>
          <w:tcPr>
            <w:tcW w:w="2686" w:type="dxa"/>
          </w:tcPr>
          <w:p w14:paraId="7EBF40AC"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Depot City.</w:t>
            </w:r>
          </w:p>
        </w:tc>
        <w:tc>
          <w:tcPr>
            <w:tcW w:w="3402" w:type="dxa"/>
          </w:tcPr>
          <w:p w14:paraId="0A20F24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Depok City Regulation No. 09</w:t>
            </w:r>
          </w:p>
          <w:p w14:paraId="2CFB12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2011 concerning the Prohibition of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Congregational Activities in Cities Depok.</w:t>
            </w:r>
          </w:p>
        </w:tc>
        <w:tc>
          <w:tcPr>
            <w:tcW w:w="1671" w:type="dxa"/>
          </w:tcPr>
          <w:p w14:paraId="371355A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Local Government in </w:t>
            </w:r>
            <w:proofErr w:type="spellStart"/>
            <w:r w:rsidRPr="00A51029">
              <w:rPr>
                <w:rFonts w:cs="Linux Libertine"/>
                <w:color w:val="252525"/>
                <w:lang w:eastAsia="en-GB"/>
                <w14:ligatures w14:val="none"/>
              </w:rPr>
              <w:t>Deok</w:t>
            </w:r>
            <w:proofErr w:type="spellEnd"/>
            <w:r w:rsidRPr="00A51029">
              <w:rPr>
                <w:rFonts w:cs="Linux Libertine"/>
                <w:color w:val="252525"/>
                <w:lang w:eastAsia="en-GB"/>
                <w14:ligatures w14:val="none"/>
              </w:rPr>
              <w:t xml:space="preserve"> City.</w:t>
            </w:r>
          </w:p>
        </w:tc>
      </w:tr>
      <w:tr w:rsidR="00C8473A" w:rsidRPr="00A51029"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6.</w:t>
            </w:r>
          </w:p>
        </w:tc>
        <w:tc>
          <w:tcPr>
            <w:tcW w:w="2686" w:type="dxa"/>
          </w:tcPr>
          <w:p w14:paraId="338F712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Lombok </w:t>
            </w:r>
          </w:p>
        </w:tc>
        <w:tc>
          <w:tcPr>
            <w:tcW w:w="3402" w:type="dxa"/>
          </w:tcPr>
          <w:p w14:paraId="20F4497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Lombok Decree Kep.11/IPK.32.2/L-2.III.3/11/1983 concerning prohibition</w:t>
            </w:r>
          </w:p>
          <w:p w14:paraId="56B26C4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towards the activities of the Ahmadiyya Congregation, East </w:t>
            </w:r>
            <w:r w:rsidRPr="00A51029">
              <w:rPr>
                <w:rFonts w:cs="Linux Libertine"/>
                <w:color w:val="252525"/>
                <w:lang w:eastAsia="en-GB"/>
                <w14:ligatures w14:val="none"/>
              </w:rPr>
              <w:lastRenderedPageBreak/>
              <w:t xml:space="preserve">Lombok </w:t>
            </w:r>
            <w:proofErr w:type="spellStart"/>
            <w:r w:rsidRPr="00A51029">
              <w:rPr>
                <w:rFonts w:cs="Linux Libertine"/>
                <w:color w:val="252525"/>
                <w:lang w:eastAsia="en-GB"/>
                <w14:ligatures w14:val="none"/>
              </w:rPr>
              <w:t>Pancor</w:t>
            </w:r>
            <w:proofErr w:type="spellEnd"/>
            <w:r w:rsidRPr="00A51029">
              <w:rPr>
                <w:rFonts w:cs="Linux Libertine"/>
                <w:color w:val="252525"/>
                <w:lang w:eastAsia="en-GB"/>
                <w14:ligatures w14:val="none"/>
              </w:rPr>
              <w:t xml:space="preserve"> Branch dated 21 November 1983.</w:t>
            </w:r>
          </w:p>
          <w:p w14:paraId="15F200F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lastRenderedPageBreak/>
              <w:t xml:space="preserve">Province Government in East Lombok </w:t>
            </w:r>
          </w:p>
        </w:tc>
      </w:tr>
      <w:tr w:rsidR="00C8473A" w:rsidRPr="00A51029"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7.</w:t>
            </w:r>
          </w:p>
        </w:tc>
        <w:tc>
          <w:tcPr>
            <w:tcW w:w="2686" w:type="dxa"/>
          </w:tcPr>
          <w:p w14:paraId="38C7AB8F"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Sumatera</w:t>
            </w:r>
          </w:p>
          <w:p w14:paraId="5F0D6942"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4712643D"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Governor in South Sumatera.</w:t>
            </w:r>
          </w:p>
        </w:tc>
      </w:tr>
      <w:tr w:rsidR="00C8473A" w:rsidRPr="00A51029"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8.</w:t>
            </w:r>
          </w:p>
        </w:tc>
        <w:tc>
          <w:tcPr>
            <w:tcW w:w="2686" w:type="dxa"/>
          </w:tcPr>
          <w:p w14:paraId="1444F7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Sulawesi</w:t>
            </w:r>
          </w:p>
        </w:tc>
        <w:tc>
          <w:tcPr>
            <w:tcW w:w="3402" w:type="dxa"/>
          </w:tcPr>
          <w:p w14:paraId="34C73C7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Letter Governor of South Sulawesi Circular No. 223.2/803/</w:t>
            </w:r>
            <w:proofErr w:type="spellStart"/>
            <w:r w:rsidRPr="00A51029">
              <w:rPr>
                <w:rFonts w:cs="Linux Libertine"/>
                <w:color w:val="252525"/>
                <w:lang w:eastAsia="en-GB"/>
                <w14:ligatures w14:val="none"/>
              </w:rPr>
              <w:t>Kesbang</w:t>
            </w:r>
            <w:proofErr w:type="spellEnd"/>
          </w:p>
          <w:p w14:paraId="5A6678CA"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on February 10, 2011, concerning prohibition</w:t>
            </w:r>
          </w:p>
          <w:p w14:paraId="2834D100"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0D42AAE5"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South Sulawesi.</w:t>
            </w:r>
          </w:p>
        </w:tc>
      </w:tr>
      <w:tr w:rsidR="00C8473A" w:rsidRPr="00A51029"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9.</w:t>
            </w:r>
          </w:p>
        </w:tc>
        <w:tc>
          <w:tcPr>
            <w:tcW w:w="2686" w:type="dxa"/>
          </w:tcPr>
          <w:p w14:paraId="6CD73A2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w:t>
            </w:r>
          </w:p>
        </w:tc>
        <w:tc>
          <w:tcPr>
            <w:tcW w:w="3402" w:type="dxa"/>
          </w:tcPr>
          <w:p w14:paraId="17DF58AB"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Regulation No</w:t>
            </w:r>
          </w:p>
          <w:p w14:paraId="6E5951E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188/94/KPTS/013/2011 concerning Prohibition of Ahmadiyya Congregational Activities</w:t>
            </w:r>
          </w:p>
          <w:p w14:paraId="73A7736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Indonesia in East Java</w:t>
            </w:r>
          </w:p>
        </w:tc>
        <w:tc>
          <w:tcPr>
            <w:tcW w:w="1671" w:type="dxa"/>
          </w:tcPr>
          <w:p w14:paraId="7A029B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East Java.</w:t>
            </w:r>
          </w:p>
        </w:tc>
      </w:tr>
    </w:tbl>
    <w:p w14:paraId="459BF455" w14:textId="77777777" w:rsidR="00C8473A" w:rsidRPr="00A51029" w:rsidRDefault="00C8473A" w:rsidP="00C8473A">
      <w:pPr>
        <w:spacing w:line="360" w:lineRule="auto"/>
        <w:ind w:firstLine="709"/>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Sources: Cited by the Author from various resources.</w:t>
      </w:r>
    </w:p>
    <w:p w14:paraId="0AF92BF6" w14:textId="77777777" w:rsidR="00C8473A" w:rsidRPr="00A51029" w:rsidRDefault="00C8473A" w:rsidP="00C8473A">
      <w:pPr>
        <w:rPr>
          <w:rFonts w:cs="Linux Libertine"/>
          <w:b/>
          <w:bCs/>
        </w:rPr>
      </w:pPr>
    </w:p>
    <w:p w14:paraId="14182FFF" w14:textId="77777777" w:rsidR="00C8473A" w:rsidRPr="00A51029" w:rsidRDefault="00C8473A" w:rsidP="00C8473A">
      <w:pPr>
        <w:pStyle w:val="Heading3"/>
        <w:numPr>
          <w:ilvl w:val="2"/>
          <w:numId w:val="330"/>
        </w:numPr>
        <w:tabs>
          <w:tab w:val="num" w:pos="1492"/>
        </w:tabs>
        <w:ind w:left="709" w:hanging="360"/>
        <w:rPr>
          <w:rFonts w:cs="Linux Libertine"/>
        </w:rPr>
      </w:pPr>
      <w:bookmarkStart w:id="6" w:name="_Toc121200594"/>
      <w:bookmarkStart w:id="7" w:name="_Toc118302786"/>
      <w:bookmarkStart w:id="8" w:name="_Toc121200595"/>
      <w:r w:rsidRPr="00A51029">
        <w:rPr>
          <w:rFonts w:cs="Linux Libertine"/>
        </w:rPr>
        <w:t>Semi-state actors</w:t>
      </w:r>
      <w:bookmarkEnd w:id="6"/>
      <w:r w:rsidRPr="00A51029">
        <w:rPr>
          <w:rFonts w:cs="Linux Libertine"/>
        </w:rPr>
        <w:t xml:space="preserve"> </w:t>
      </w:r>
    </w:p>
    <w:p w14:paraId="7EF602E1" w14:textId="77777777" w:rsidR="00C8473A" w:rsidRPr="00A51029" w:rsidRDefault="00C8473A" w:rsidP="00C8473A">
      <w:pPr>
        <w:pStyle w:val="ParagraphafSubheader"/>
        <w:rPr>
          <w:rFonts w:cs="Linux Libertine"/>
          <w:lang w:eastAsia="en-GB" w:bidi="ar-SA"/>
        </w:rPr>
      </w:pPr>
      <w:r w:rsidRPr="00A51029">
        <w:rPr>
          <w:rFonts w:cs="Linux Libertine"/>
          <w:lang w:eastAsia="en-GB" w:bidi="ar-SA"/>
        </w:rPr>
        <w:t>MUI stands for the Ulema Council of Indonesia. At the time of its founding during the Soeharto era, on July 26</w:t>
      </w:r>
      <w:r w:rsidRPr="00A51029">
        <w:rPr>
          <w:rFonts w:cs="Linux Libertine"/>
          <w:vertAlign w:val="superscript"/>
          <w:lang w:eastAsia="en-GB" w:bidi="ar-SA"/>
        </w:rPr>
        <w:t>th</w:t>
      </w:r>
      <w:r w:rsidRPr="00A51029">
        <w:rPr>
          <w:rFonts w:cs="Linux Libertine"/>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A51029">
        <w:rPr>
          <w:rFonts w:cs="Linux Libertine"/>
          <w:lang w:eastAsia="en-GB" w:bidi="ar-SA"/>
        </w:rPr>
        <w:t>Fajar</w:t>
      </w:r>
      <w:proofErr w:type="spellEnd"/>
      <w:r w:rsidRPr="00A51029">
        <w:rPr>
          <w:rFonts w:cs="Linux Libertine"/>
          <w:lang w:eastAsia="en-GB" w:bidi="ar-SA"/>
        </w:rPr>
        <w:t xml:space="preserve"> Nusantara Movement (Gafatar). KH. </w:t>
      </w:r>
      <w:proofErr w:type="spellStart"/>
      <w:r w:rsidRPr="00A51029">
        <w:rPr>
          <w:rFonts w:cs="Linux Libertine"/>
          <w:lang w:eastAsia="en-GB" w:bidi="ar-SA"/>
        </w:rPr>
        <w:t>Ma'ruf</w:t>
      </w:r>
      <w:proofErr w:type="spellEnd"/>
      <w:r w:rsidRPr="00A51029">
        <w:rPr>
          <w:rFonts w:cs="Linux Libertine"/>
          <w:lang w:eastAsia="en-GB" w:bidi="ar-SA"/>
        </w:rPr>
        <w:t xml:space="preserve"> Amin, former chairman of the MUI, claimed that Gafatar was deemed heretical because: </w:t>
      </w:r>
    </w:p>
    <w:p w14:paraId="35A78B4D" w14:textId="77777777" w:rsidR="00C8473A" w:rsidRPr="00A51029" w:rsidRDefault="00C8473A" w:rsidP="00C8473A">
      <w:pPr>
        <w:pStyle w:val="Quote"/>
        <w:rPr>
          <w:rFonts w:cs="Linux Libertine"/>
          <w:color w:val="252525"/>
          <w:lang w:eastAsia="en-GB" w:bidi="ar-SA"/>
        </w:rPr>
      </w:pPr>
      <w:r w:rsidRPr="00A51029">
        <w:rPr>
          <w:rFonts w:cs="Linux Libertine"/>
          <w:color w:val="252525"/>
          <w:lang w:eastAsia="en-GB" w:bidi="ar-SA"/>
        </w:rPr>
        <w:lastRenderedPageBreak/>
        <w:t>“They went wrong because it was a transformation of Al-</w:t>
      </w:r>
      <w:proofErr w:type="spellStart"/>
      <w:r w:rsidRPr="00A51029">
        <w:rPr>
          <w:rFonts w:cs="Linux Libertine"/>
          <w:color w:val="252525"/>
          <w:lang w:eastAsia="en-GB" w:bidi="ar-SA"/>
        </w:rPr>
        <w:t>Qiyadah</w:t>
      </w:r>
      <w:proofErr w:type="spellEnd"/>
      <w:r w:rsidRPr="00A51029">
        <w:rPr>
          <w:rFonts w:cs="Linux Libertine"/>
          <w:color w:val="252525"/>
          <w:lang w:eastAsia="en-GB" w:bidi="ar-SA"/>
        </w:rPr>
        <w:t xml:space="preserve"> Al-Islamiyah and Ahmad </w:t>
      </w:r>
      <w:proofErr w:type="spellStart"/>
      <w:r w:rsidRPr="00A51029">
        <w:rPr>
          <w:rFonts w:cs="Linux Libertine"/>
          <w:color w:val="252525"/>
          <w:lang w:eastAsia="en-GB" w:bidi="ar-SA"/>
        </w:rPr>
        <w:t>Musadeq</w:t>
      </w:r>
      <w:proofErr w:type="spellEnd"/>
      <w:r w:rsidRPr="00A51029">
        <w:rPr>
          <w:rFonts w:cs="Linux Libertine"/>
          <w:color w:val="252525"/>
          <w:lang w:eastAsia="en-GB" w:bidi="ar-SA"/>
        </w:rPr>
        <w:t xml:space="preserve"> was its head.</w:t>
      </w:r>
      <w:r w:rsidRPr="00A51029">
        <w:rPr>
          <w:rFonts w:cs="Linux Libertine"/>
        </w:rPr>
        <w:t xml:space="preserve"> </w:t>
      </w:r>
      <w:proofErr w:type="spellStart"/>
      <w:r w:rsidRPr="00A51029">
        <w:rPr>
          <w:rFonts w:cs="Linux Libertine"/>
          <w:lang w:eastAsia="en-GB" w:bidi="ar-SA"/>
        </w:rPr>
        <w:t>Millah</w:t>
      </w:r>
      <w:proofErr w:type="spellEnd"/>
      <w:r w:rsidRPr="00A51029">
        <w:rPr>
          <w:rFonts w:cs="Linux Libertine"/>
          <w:lang w:eastAsia="en-GB" w:bidi="ar-SA"/>
        </w:rPr>
        <w:t xml:space="preserve"> Abraham mixes Islam, Christianity, and Judaism. If you go against that belief, you will be declared an apostate and leave the teachings of Islam.</w:t>
      </w:r>
      <w:r w:rsidRPr="00A51029">
        <w:rPr>
          <w:rFonts w:cs="Linux Libertine"/>
          <w:color w:val="252525"/>
          <w:lang w:eastAsia="en-GB" w:bidi="ar-SA"/>
        </w:rPr>
        <w:t>”</w:t>
      </w:r>
      <w:r w:rsidRPr="00A51029">
        <w:rPr>
          <w:rStyle w:val="FootnoteReference"/>
          <w:rFonts w:cs="Linux Libertine"/>
        </w:rPr>
        <w:footnoteReference w:id="86"/>
      </w:r>
    </w:p>
    <w:p w14:paraId="7797D4A6"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MUI is a semi-state institution,</w:t>
      </w:r>
      <w:r w:rsidRPr="00A51029">
        <w:rPr>
          <w:rFonts w:cs="Linux Libertine"/>
        </w:rPr>
        <w:t xml:space="preserve"> </w:t>
      </w:r>
      <w:r w:rsidRPr="00A51029">
        <w:rPr>
          <w:rFonts w:cs="Linux Libertine"/>
          <w:lang w:eastAsia="en-GB" w:bidi="ar-SA"/>
        </w:rPr>
        <w:t xml:space="preserve">in the meantime, </w:t>
      </w:r>
      <w:proofErr w:type="spellStart"/>
      <w:r w:rsidRPr="00A51029">
        <w:rPr>
          <w:rFonts w:cs="Linux Libertine"/>
          <w:lang w:eastAsia="en-GB" w:bidi="ar-SA"/>
        </w:rPr>
        <w:t>Mahful</w:t>
      </w:r>
      <w:proofErr w:type="spellEnd"/>
      <w:r w:rsidRPr="00A51029">
        <w:rPr>
          <w:rFonts w:cs="Linux Libertine"/>
          <w:lang w:eastAsia="en-GB" w:bidi="ar-SA"/>
        </w:rPr>
        <w:t xml:space="preserve"> M. </w:t>
      </w:r>
      <w:proofErr w:type="spellStart"/>
      <w:r w:rsidRPr="00A51029">
        <w:rPr>
          <w:rFonts w:cs="Linux Libertine"/>
          <w:lang w:eastAsia="en-GB" w:bidi="ar-SA"/>
        </w:rPr>
        <w:t>Tumurung</w:t>
      </w:r>
      <w:proofErr w:type="spellEnd"/>
      <w:r w:rsidRPr="00A51029">
        <w:rPr>
          <w:rFonts w:cs="Linux Libertine"/>
          <w:lang w:eastAsia="en-GB" w:bidi="ar-SA"/>
        </w:rPr>
        <w:t xml:space="preserve">, the previous head of Gafatar, stated: </w:t>
      </w:r>
    </w:p>
    <w:p w14:paraId="16C5CFAE" w14:textId="77777777" w:rsidR="00C8473A" w:rsidRPr="00A51029" w:rsidRDefault="00C8473A" w:rsidP="00C8473A">
      <w:pPr>
        <w:pStyle w:val="Quote"/>
        <w:rPr>
          <w:rFonts w:cs="Linux Libertine"/>
          <w:lang w:eastAsia="en-GB" w:bidi="ar-SA"/>
        </w:rPr>
      </w:pPr>
      <w:r w:rsidRPr="00A51029">
        <w:rPr>
          <w:rFonts w:cs="Linux Libertine"/>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A51029">
        <w:rPr>
          <w:rFonts w:cs="Linux Libertine"/>
          <w:lang w:eastAsia="en-GB" w:bidi="ar-SA"/>
        </w:rPr>
        <w:t>Milah</w:t>
      </w:r>
      <w:proofErr w:type="spellEnd"/>
      <w:r w:rsidRPr="00A51029">
        <w:rPr>
          <w:rFonts w:cs="Linux Libertine"/>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A51029">
        <w:rPr>
          <w:rStyle w:val="FootnoteReference"/>
          <w:rFonts w:cs="Linux Libertine"/>
          <w:color w:val="252525"/>
          <w:szCs w:val="24"/>
          <w:lang w:eastAsia="en-GB" w:bidi="ar-SA"/>
          <w14:ligatures w14:val="none"/>
          <w14:numSpacing w14:val="default"/>
        </w:rPr>
        <w:t xml:space="preserve"> </w:t>
      </w:r>
      <w:r w:rsidRPr="00A51029">
        <w:rPr>
          <w:rStyle w:val="FootnoteReference"/>
          <w:rFonts w:cs="Linux Libertine"/>
        </w:rPr>
        <w:footnoteReference w:id="87"/>
      </w:r>
    </w:p>
    <w:p w14:paraId="3DBD04ED"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Briefly, the primary reason the MUI considers </w:t>
      </w:r>
      <w:r w:rsidRPr="00A51029">
        <w:rPr>
          <w:rFonts w:cs="Linux Libertine"/>
          <w:i/>
          <w:iCs/>
          <w:lang w:eastAsia="en-GB" w:bidi="ar-SA"/>
        </w:rPr>
        <w:t xml:space="preserve">Gafatar </w:t>
      </w:r>
      <w:r w:rsidRPr="00A51029">
        <w:rPr>
          <w:rFonts w:cs="Linux Libertine"/>
          <w:lang w:eastAsia="en-GB" w:bidi="ar-SA"/>
        </w:rPr>
        <w:t xml:space="preserve">to be a false religion is because, according to the MUI's mistaken viewpoint, </w:t>
      </w:r>
      <w:r w:rsidRPr="00A51029">
        <w:rPr>
          <w:rFonts w:cs="Linux Libertine"/>
          <w:i/>
          <w:iCs/>
          <w:lang w:eastAsia="en-GB" w:bidi="ar-SA"/>
        </w:rPr>
        <w:t>Gafatar</w:t>
      </w:r>
      <w:r w:rsidRPr="00A51029">
        <w:rPr>
          <w:rFonts w:cs="Linux Libertine"/>
          <w:lang w:eastAsia="en-GB" w:bidi="ar-SA"/>
        </w:rPr>
        <w:t xml:space="preserve"> denies Muhammad's status as the last prophet by appointing </w:t>
      </w:r>
      <w:proofErr w:type="spellStart"/>
      <w:r w:rsidRPr="00A51029">
        <w:rPr>
          <w:rFonts w:cs="Linux Libertine"/>
          <w:lang w:eastAsia="en-GB" w:bidi="ar-SA"/>
        </w:rPr>
        <w:t>Musadeq</w:t>
      </w:r>
      <w:proofErr w:type="spellEnd"/>
      <w:r w:rsidRPr="00A51029">
        <w:rPr>
          <w:rFonts w:cs="Linux Libertine"/>
          <w:lang w:eastAsia="en-GB" w:bidi="ar-SA"/>
        </w:rPr>
        <w:t xml:space="preserve"> as its head. In the meanwhile, the MUI alleged that </w:t>
      </w:r>
      <w:r w:rsidRPr="00A51029">
        <w:rPr>
          <w:rFonts w:cs="Linux Libertine"/>
          <w:i/>
          <w:iCs/>
          <w:lang w:eastAsia="en-GB" w:bidi="ar-SA"/>
        </w:rPr>
        <w:t>Gafatar</w:t>
      </w:r>
      <w:r w:rsidRPr="00A51029">
        <w:rPr>
          <w:rFonts w:cs="Linux Libertine"/>
          <w:lang w:eastAsia="en-GB" w:bidi="ar-SA"/>
        </w:rPr>
        <w:t xml:space="preserve"> disregarded commands for prayer, Ramadan fasting, and hajj, as well as blended Islamic, Christian, and Jewish beliefs.</w:t>
      </w:r>
    </w:p>
    <w:p w14:paraId="1772D337"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A51029" w:rsidRDefault="00C8473A" w:rsidP="00C8473A">
      <w:pPr>
        <w:pStyle w:val="ParagraphNormal"/>
        <w:rPr>
          <w:rFonts w:cs="Linux Libertine"/>
        </w:rPr>
      </w:pPr>
      <w:r w:rsidRPr="00A51029">
        <w:rPr>
          <w:rFonts w:cs="Linux Libertine"/>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A51029" w:rsidRDefault="00C8473A" w:rsidP="00C8473A">
      <w:pPr>
        <w:pStyle w:val="ParagraphNormal"/>
        <w:rPr>
          <w:rFonts w:cs="Linux Libertine"/>
        </w:rPr>
      </w:pPr>
      <w:r w:rsidRPr="00A51029">
        <w:rPr>
          <w:rFonts w:cs="Linux Libertine"/>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A51029" w:rsidRDefault="00C8473A" w:rsidP="00C8473A">
      <w:pPr>
        <w:pStyle w:val="ParagraphNormal"/>
        <w:rPr>
          <w:rFonts w:cs="Linux Libertine"/>
        </w:rPr>
      </w:pPr>
      <w:r w:rsidRPr="00A51029">
        <w:rPr>
          <w:rFonts w:cs="Linux Libertine"/>
        </w:rPr>
        <w:t xml:space="preserve">The Main Hakim </w:t>
      </w:r>
      <w:proofErr w:type="spellStart"/>
      <w:r w:rsidRPr="00A51029">
        <w:rPr>
          <w:rFonts w:cs="Linux Libertine"/>
        </w:rPr>
        <w:t>Sendiri</w:t>
      </w:r>
      <w:proofErr w:type="spellEnd"/>
      <w:r w:rsidRPr="00A51029">
        <w:rPr>
          <w:rFonts w:cs="Linux Libertine"/>
        </w:rPr>
        <w:t xml:space="preserve"> does not only attack perpetrators who are accused of blaspheming religion, as in the three cases above, but the violence even extends to the destruction of property of a certain religion which is partly responsible for the </w:t>
      </w:r>
      <w:r w:rsidRPr="00A51029">
        <w:rPr>
          <w:rFonts w:cs="Linux Libertine"/>
        </w:rPr>
        <w:lastRenderedPageBreak/>
        <w:t xml:space="preserve">blasphemy committed by its follower. This is as illustrated in the Meiliana case, where not only </w:t>
      </w:r>
      <w:proofErr w:type="spellStart"/>
      <w:r w:rsidRPr="00A51029">
        <w:rPr>
          <w:rFonts w:cs="Linux Libertine"/>
        </w:rPr>
        <w:t>Meiliana's</w:t>
      </w:r>
      <w:proofErr w:type="spellEnd"/>
      <w:r w:rsidRPr="00A51029">
        <w:rPr>
          <w:rFonts w:cs="Linux Libertine"/>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A51029">
        <w:rPr>
          <w:rFonts w:cs="Linux Libertine"/>
        </w:rPr>
        <w:t>Sendiri</w:t>
      </w:r>
      <w:proofErr w:type="spellEnd"/>
      <w:r w:rsidRPr="00A51029">
        <w:rPr>
          <w:rFonts w:cs="Linux Libertine"/>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after the MUI issued the Fatwa of The Indonesian Ulama Assembly (Mui) North Sumatera Province Decree Number: 001/KF/MUI-SU/I/2017 dated January 24, 2017, regarding blasphemy of Islam by Meiliana </w:t>
      </w:r>
      <w:proofErr w:type="spellStart"/>
      <w:r w:rsidRPr="00A51029">
        <w:rPr>
          <w:rFonts w:cs="Linux Libertine"/>
        </w:rPr>
        <w:t>Saudari</w:t>
      </w:r>
      <w:proofErr w:type="spellEnd"/>
      <w:r w:rsidRPr="00A51029">
        <w:rPr>
          <w:rFonts w:cs="Linux Libertine"/>
        </w:rPr>
        <w:t xml:space="preserve"> in the City of </w:t>
      </w:r>
      <w:proofErr w:type="spellStart"/>
      <w:r w:rsidRPr="00A51029">
        <w:rPr>
          <w:rFonts w:cs="Linux Libertine"/>
        </w:rPr>
        <w:t>Tanjungbalai</w:t>
      </w:r>
      <w:proofErr w:type="spellEnd"/>
      <w:r w:rsidRPr="00A51029">
        <w:rPr>
          <w:rFonts w:cs="Linux Libertine"/>
        </w:rPr>
        <w:t xml:space="preserve"> and recommended law enforcement to punish Meiliana. Mediation that has been initiated by local police has been discontinued without any agreement.</w:t>
      </w:r>
    </w:p>
    <w:p w14:paraId="1E3790E9" w14:textId="77777777" w:rsidR="00C8473A" w:rsidRPr="00A51029" w:rsidRDefault="00C8473A" w:rsidP="00C8473A">
      <w:pPr>
        <w:pStyle w:val="ParagraphNormal"/>
        <w:rPr>
          <w:rFonts w:cs="Linux Libertine"/>
        </w:rPr>
      </w:pPr>
      <w:r w:rsidRPr="00A51029">
        <w:rPr>
          <w:rFonts w:cs="Linux Libertine"/>
        </w:rPr>
        <w:t xml:space="preserve">Moreover, the 1945 Indonesian Constitution guarantees the right of everyone to legal protection and a sense of security. Main Hakim </w:t>
      </w:r>
      <w:proofErr w:type="spellStart"/>
      <w:r w:rsidRPr="00A51029">
        <w:rPr>
          <w:rFonts w:cs="Linux Libertine"/>
        </w:rPr>
        <w:t>Sendiri</w:t>
      </w:r>
      <w:proofErr w:type="spellEnd"/>
      <w:r w:rsidRPr="00A51029">
        <w:rPr>
          <w:rFonts w:cs="Linux Libertine"/>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A51029" w:rsidRDefault="00C8473A" w:rsidP="00C8473A">
      <w:pPr>
        <w:pStyle w:val="ParagraphNormal"/>
        <w:rPr>
          <w:rFonts w:cs="Linux Libertine"/>
        </w:rPr>
      </w:pPr>
      <w:r w:rsidRPr="00A51029">
        <w:rPr>
          <w:rFonts w:cs="Linux Libertine"/>
        </w:rPr>
        <w:t xml:space="preserve">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w:t>
      </w:r>
      <w:r w:rsidRPr="00A51029">
        <w:rPr>
          <w:rFonts w:cs="Linux Libertine"/>
        </w:rPr>
        <w:lastRenderedPageBreak/>
        <w:t>spread so quickly among ordinary people with different narratives and sparked anger, “That Chinese forbids the call of prayer.”</w:t>
      </w:r>
    </w:p>
    <w:p w14:paraId="3EAD59B2" w14:textId="77777777" w:rsidR="00C8473A" w:rsidRPr="00A51029" w:rsidRDefault="00C8473A" w:rsidP="00C8473A">
      <w:pPr>
        <w:pStyle w:val="ParagraphNormal"/>
        <w:rPr>
          <w:rFonts w:cs="Linux Libertine"/>
        </w:rPr>
      </w:pPr>
      <w:r w:rsidRPr="00A51029">
        <w:rPr>
          <w:rFonts w:cs="Linux Libertine"/>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A51029">
        <w:rPr>
          <w:rFonts w:cs="Linux Libertine"/>
        </w:rPr>
        <w:t>Sendiri</w:t>
      </w:r>
      <w:proofErr w:type="spellEnd"/>
      <w:r w:rsidRPr="00A51029">
        <w:rPr>
          <w:rFonts w:cs="Linux Libertine"/>
        </w:rPr>
        <w:t xml:space="preserve"> During Blasphemy Allegations of Meiliana, Gafatar and Ahmadiyya. The second section examines Main Hakim </w:t>
      </w:r>
      <w:proofErr w:type="spellStart"/>
      <w:r w:rsidRPr="00A51029">
        <w:rPr>
          <w:rFonts w:cs="Linux Libertine"/>
        </w:rPr>
        <w:t>Sendiri</w:t>
      </w:r>
      <w:proofErr w:type="spellEnd"/>
      <w:r w:rsidRPr="00A51029">
        <w:rPr>
          <w:rFonts w:cs="Linux Libertine"/>
        </w:rPr>
        <w:t xml:space="preserve"> Sparked by Islamic Populism in Indonesia. In the third section analyse Various Factors Influence the Occurrence of Main Hakim </w:t>
      </w:r>
      <w:proofErr w:type="spellStart"/>
      <w:r w:rsidRPr="00A51029">
        <w:rPr>
          <w:rFonts w:cs="Linux Libertine"/>
        </w:rPr>
        <w:t>Sendiri</w:t>
      </w:r>
      <w:proofErr w:type="spellEnd"/>
      <w:r w:rsidRPr="00A51029">
        <w:rPr>
          <w:rFonts w:cs="Linux Libertine"/>
        </w:rPr>
        <w:t xml:space="preserve">. The last section discusses the extent to which Main Hakim </w:t>
      </w:r>
      <w:proofErr w:type="spellStart"/>
      <w:r w:rsidRPr="00A51029">
        <w:rPr>
          <w:rFonts w:cs="Linux Libertine"/>
        </w:rPr>
        <w:t>Sendiri</w:t>
      </w:r>
      <w:proofErr w:type="spellEnd"/>
      <w:r w:rsidRPr="00A51029">
        <w:rPr>
          <w:rFonts w:cs="Linux Libertine"/>
        </w:rPr>
        <w:t xml:space="preserve"> Threaten the Principle of Presumption of Innocence and Religious Freedoms.</w:t>
      </w:r>
    </w:p>
    <w:p w14:paraId="1B56D8F5" w14:textId="77777777" w:rsidR="00C8473A" w:rsidRPr="00A51029" w:rsidRDefault="00C8473A" w:rsidP="00C8473A">
      <w:pPr>
        <w:pStyle w:val="Heading3"/>
        <w:numPr>
          <w:ilvl w:val="2"/>
          <w:numId w:val="330"/>
        </w:numPr>
        <w:tabs>
          <w:tab w:val="num" w:pos="1492"/>
        </w:tabs>
        <w:ind w:left="709" w:hanging="360"/>
        <w:rPr>
          <w:rFonts w:cs="Linux Libertine"/>
        </w:rPr>
      </w:pPr>
      <w:r w:rsidRPr="00A51029">
        <w:rPr>
          <w:rFonts w:cs="Linux Libertine"/>
        </w:rPr>
        <w:t>Non-state actors</w:t>
      </w:r>
      <w:bookmarkEnd w:id="7"/>
      <w:bookmarkEnd w:id="8"/>
      <w:r w:rsidRPr="00A51029">
        <w:rPr>
          <w:rFonts w:cs="Linux Libertine"/>
        </w:rPr>
        <w:t xml:space="preserve"> </w:t>
      </w:r>
    </w:p>
    <w:p w14:paraId="07123C9C" w14:textId="22A42B4E" w:rsidR="00C8473A" w:rsidRPr="00A51029" w:rsidRDefault="00C8473A" w:rsidP="00C8473A">
      <w:pPr>
        <w:pStyle w:val="ParagraphafSubheader"/>
        <w:rPr>
          <w:rFonts w:cs="Linux Libertine"/>
        </w:rPr>
      </w:pPr>
      <w:r w:rsidRPr="00A51029">
        <w:rPr>
          <w:rFonts w:cs="Linux Libertine"/>
        </w:rPr>
        <w:t xml:space="preserve">Non-state actors are community leaders or religious leaders who support vigilante justice because they fail to prevent their followers from doing self-judgment or even participate in provoking the causes of their followers. </w:t>
      </w:r>
      <w:r w:rsidRPr="00A51029">
        <w:rPr>
          <w:rFonts w:cs="Linux Libertine"/>
          <w:color w:val="252525"/>
          <w:szCs w:val="24"/>
          <w:lang w:eastAsia="en-GB" w:bidi="ar-SA"/>
          <w14:ligatures w14:val="none"/>
          <w14:numSpacing w14:val="default"/>
        </w:rPr>
        <w:t xml:space="preserve">After the MUI issued its “deviant fatwa,” hard-line Islamic groups pushed take the actions of </w:t>
      </w:r>
      <w:r w:rsidRPr="00A51029">
        <w:rPr>
          <w:rFonts w:cs="Linux Libertine"/>
          <w:i/>
          <w:iCs/>
          <w:color w:val="252525"/>
          <w:szCs w:val="24"/>
          <w:lang w:eastAsia="en-GB" w:bidi="ar-SA"/>
          <w14:ligatures w14:val="none"/>
          <w14:numSpacing w14:val="default"/>
        </w:rPr>
        <w:t xml:space="preserve">Main Hakim </w:t>
      </w:r>
      <w:proofErr w:type="spellStart"/>
      <w:r w:rsidRPr="00A51029">
        <w:rPr>
          <w:rFonts w:cs="Linux Libertine"/>
          <w:i/>
          <w:iCs/>
          <w:color w:val="252525"/>
          <w:szCs w:val="24"/>
          <w:lang w:eastAsia="en-GB" w:bidi="ar-SA"/>
          <w14:ligatures w14:val="none"/>
          <w14:numSpacing w14:val="default"/>
        </w:rPr>
        <w:t>Sendiri</w:t>
      </w:r>
      <w:proofErr w:type="spellEnd"/>
      <w:r w:rsidRPr="00A51029">
        <w:rPr>
          <w:rFonts w:cs="Linux Libertine"/>
          <w:color w:val="252525"/>
          <w:szCs w:val="24"/>
          <w:lang w:eastAsia="en-GB" w:bidi="ar-SA"/>
          <w14:ligatures w14:val="none"/>
          <w14:numSpacing w14:val="default"/>
        </w:rPr>
        <w:t xml:space="preserve"> to attack the </w:t>
      </w:r>
      <w:r w:rsidRPr="00A51029">
        <w:rPr>
          <w:rFonts w:cs="Linux Libertine"/>
          <w:i/>
          <w:iCs/>
          <w:color w:val="252525"/>
          <w:szCs w:val="24"/>
          <w:lang w:eastAsia="en-GB" w:bidi="ar-SA"/>
          <w14:ligatures w14:val="none"/>
          <w14:numSpacing w14:val="default"/>
        </w:rPr>
        <w:t xml:space="preserve">Ahmadiyya </w:t>
      </w:r>
      <w:r w:rsidRPr="00A51029">
        <w:rPr>
          <w:rFonts w:cs="Linux Libertine"/>
          <w:color w:val="252525"/>
          <w:szCs w:val="24"/>
          <w:lang w:eastAsia="en-GB" w:bidi="ar-SA"/>
          <w14:ligatures w14:val="none"/>
          <w14:numSpacing w14:val="default"/>
        </w:rPr>
        <w:t xml:space="preserve">and </w:t>
      </w:r>
      <w:r w:rsidRPr="00A51029">
        <w:rPr>
          <w:rFonts w:cs="Linux Libertine"/>
          <w:i/>
          <w:iCs/>
          <w:color w:val="252525"/>
          <w:szCs w:val="24"/>
          <w:lang w:eastAsia="en-GB" w:bidi="ar-SA"/>
          <w14:ligatures w14:val="none"/>
          <w14:numSpacing w14:val="default"/>
        </w:rPr>
        <w:t>Gafatar</w:t>
      </w:r>
      <w:r w:rsidRPr="00A51029">
        <w:rPr>
          <w:rFonts w:cs="Linux Libertine"/>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A51029">
        <w:rPr>
          <w:rFonts w:cs="Linux Libertine"/>
        </w:rPr>
        <w:t xml:space="preserve"> In fact, the practice of violence by the FPI has not received solid response by law enforcers (the police), even though the principal of action of </w:t>
      </w:r>
      <w:r w:rsidRPr="00A51029">
        <w:rPr>
          <w:rFonts w:cs="Linux Libertine"/>
          <w:i/>
          <w:iCs/>
        </w:rPr>
        <w:t xml:space="preserve">Main Hakim </w:t>
      </w:r>
      <w:proofErr w:type="spellStart"/>
      <w:r w:rsidRPr="00A51029">
        <w:rPr>
          <w:rFonts w:cs="Linux Libertine"/>
          <w:i/>
          <w:iCs/>
        </w:rPr>
        <w:t>Sendiri</w:t>
      </w:r>
      <w:proofErr w:type="spellEnd"/>
      <w:r w:rsidRPr="00A51029">
        <w:rPr>
          <w:rFonts w:cs="Linux Libertine"/>
        </w:rPr>
        <w:t xml:space="preserve"> is regular criminal act where the police do not need to wait for reports from victims or the public to punish the culprits. But this did not happen. The police tend to accept acts of violence perpetrated by the FPI.</w:t>
      </w:r>
    </w:p>
    <w:p w14:paraId="73CF9EF8" w14:textId="77777777" w:rsidR="00C8473A" w:rsidRPr="00A51029" w:rsidRDefault="00C8473A" w:rsidP="00C8473A">
      <w:pPr>
        <w:pStyle w:val="Heading2"/>
        <w:rPr>
          <w:rFonts w:cs="Linux Libertine"/>
        </w:rPr>
      </w:pPr>
      <w:r w:rsidRPr="00A51029">
        <w:rPr>
          <w:rFonts w:cs="Linux Libertine"/>
        </w:rPr>
        <w:t xml:space="preserve">5.2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 xml:space="preserve">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w:t>
      </w:r>
      <w:r w:rsidRPr="00A51029">
        <w:rPr>
          <w:rFonts w:cs="Linux Libertine"/>
        </w:rPr>
        <w:lastRenderedPageBreak/>
        <w:t>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8"/>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lastRenderedPageBreak/>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9"/>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90"/>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91"/>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lastRenderedPageBreak/>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proofErr w:type="spellStart"/>
            <w:r w:rsidRPr="00A51029">
              <w:rPr>
                <w:rFonts w:eastAsia="Arial Nova Cond Light" w:cs="Linux Libertine"/>
                <w:sz w:val="18"/>
                <w:szCs w:val="18"/>
              </w:rPr>
              <w:t>uak</w:t>
            </w:r>
            <w:proofErr w:type="spellEnd"/>
            <w:r w:rsidRPr="00A51029">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t>
            </w:r>
            <w:r w:rsidRPr="00A51029">
              <w:rPr>
                <w:rFonts w:eastAsia="Arial Nova Cond Light" w:cs="Linux Libertine"/>
                <w:color w:val="000000"/>
                <w:sz w:val="18"/>
                <w:szCs w:val="18"/>
              </w:rPr>
              <w:lastRenderedPageBreak/>
              <w:t>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92"/>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93"/>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/BI/IX/2018 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4"/>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5"/>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6"/>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w:t>
      </w:r>
      <w:r w:rsidRPr="00A51029">
        <w:rPr>
          <w:rFonts w:cs="Linux Libertine"/>
        </w:rPr>
        <w:lastRenderedPageBreak/>
        <w:t xml:space="preserve">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7"/>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8"/>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w:t>
      </w:r>
      <w:r w:rsidRPr="00A51029">
        <w:rPr>
          <w:rFonts w:cs="Linux Libertine"/>
        </w:rPr>
        <w:lastRenderedPageBreak/>
        <w:t>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Pr="00A51029" w:rsidRDefault="00C8473A" w:rsidP="00C8473A">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A51029" w:rsidRDefault="00C8473A" w:rsidP="00C8473A">
      <w:pPr>
        <w:pStyle w:val="ParagraphNormal"/>
        <w:rPr>
          <w:rFonts w:cs="Linux Libertine"/>
        </w:rPr>
      </w:pPr>
    </w:p>
    <w:p w14:paraId="1DBB86BA" w14:textId="2F71B2D5" w:rsidR="00601A07" w:rsidRPr="00A51029" w:rsidRDefault="00C8473A" w:rsidP="00601A07">
      <w:pPr>
        <w:pStyle w:val="Heading3"/>
        <w:rPr>
          <w:rFonts w:cs="Linux Libertine"/>
        </w:rPr>
      </w:pPr>
      <w:r w:rsidRPr="00A51029">
        <w:rPr>
          <w:rFonts w:cs="Linux Libertine"/>
        </w:rPr>
        <w:t>5.3.2. Politization of Blasphemy Cases</w:t>
      </w:r>
    </w:p>
    <w:p w14:paraId="4B8C59BD" w14:textId="77777777" w:rsidR="00C6591A" w:rsidRPr="00A51029" w:rsidRDefault="00C6591A" w:rsidP="00C6591A">
      <w:pPr>
        <w:pStyle w:val="ParagraphNormal"/>
        <w:rPr>
          <w:rFonts w:cs="Linux Libertine"/>
        </w:rPr>
      </w:pPr>
      <w:r w:rsidRPr="00A51029">
        <w:rPr>
          <w:rFonts w:cs="Linux Libertine"/>
        </w:rPr>
        <w:t xml:space="preserve">The politicization of the Ahok case strengthened, when the law enforcement process continued to be intervened with various demonstrations urging the court to punish Ahok. The politicization of </w:t>
      </w:r>
      <w:proofErr w:type="spellStart"/>
      <w:r w:rsidRPr="00A51029">
        <w:rPr>
          <w:rFonts w:cs="Linux Libertine"/>
        </w:rPr>
        <w:t>Ahok's</w:t>
      </w:r>
      <w:proofErr w:type="spellEnd"/>
      <w:r w:rsidRPr="00A51029">
        <w:rPr>
          <w:rFonts w:cs="Linux Libertine"/>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A51029" w:rsidRDefault="00C6591A" w:rsidP="00C6591A">
      <w:pPr>
        <w:pStyle w:val="Quote"/>
        <w:rPr>
          <w:rFonts w:cs="Linux Libertine"/>
        </w:rPr>
      </w:pPr>
      <w:r w:rsidRPr="00A51029">
        <w:rPr>
          <w:rFonts w:cs="Linux Libertine"/>
        </w:rPr>
        <w:t>“PB NU institutionally did not participate in this movement. This means that all NU members (</w:t>
      </w:r>
      <w:proofErr w:type="spellStart"/>
      <w:r w:rsidRPr="00A51029">
        <w:rPr>
          <w:rFonts w:cs="Linux Libertine"/>
        </w:rPr>
        <w:t>nahdlyin</w:t>
      </w:r>
      <w:proofErr w:type="spellEnd"/>
      <w:r w:rsidRPr="00A51029">
        <w:rPr>
          <w:rFonts w:cs="Linux Libertine"/>
        </w:rPr>
        <w:t>) remain calm and do not participate in this movement. We have our way (own).”</w:t>
      </w:r>
      <w:r w:rsidRPr="00A51029">
        <w:rPr>
          <w:rStyle w:val="FootnoteReference"/>
          <w:rFonts w:cs="Linux Libertine"/>
        </w:rPr>
        <w:footnoteReference w:id="99"/>
      </w:r>
    </w:p>
    <w:p w14:paraId="6E3E5DBE" w14:textId="77777777" w:rsidR="00C6591A" w:rsidRPr="00A51029" w:rsidRDefault="00C6591A" w:rsidP="00C6591A">
      <w:pPr>
        <w:pStyle w:val="ParagraphNormal"/>
        <w:rPr>
          <w:rFonts w:cs="Linux Libertine"/>
        </w:rPr>
      </w:pPr>
      <w:r w:rsidRPr="00A51029">
        <w:rPr>
          <w:rFonts w:cs="Linux Libertine"/>
        </w:rPr>
        <w:t xml:space="preserve">Second, in the case of Meiliana, the conflict between religions depicted is between Buddhism as a representation of Meiliana and Islam. </w:t>
      </w:r>
      <w:proofErr w:type="spellStart"/>
      <w:r w:rsidRPr="00A51029">
        <w:rPr>
          <w:rFonts w:cs="Linux Libertine"/>
        </w:rPr>
        <w:t>Meiliana's</w:t>
      </w:r>
      <w:proofErr w:type="spellEnd"/>
      <w:r w:rsidRPr="00A51029">
        <w:rPr>
          <w:rFonts w:cs="Linux Libertine"/>
        </w:rPr>
        <w:t xml:space="preserve"> case emerged when Meiliana was accused of blasphemy against Islam after she complained about the loud sound of the Adhan coming out of the prayer room in front of her house. </w:t>
      </w:r>
      <w:r w:rsidRPr="00A51029">
        <w:rPr>
          <w:rFonts w:cs="Linux Libertine"/>
        </w:rPr>
        <w:lastRenderedPageBreak/>
        <w:t xml:space="preserve">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A51029" w:rsidRDefault="00C6591A" w:rsidP="00C6591A">
      <w:pPr>
        <w:pStyle w:val="ParagraphNormal"/>
        <w:rPr>
          <w:rFonts w:cs="Linux Libertine"/>
        </w:rPr>
      </w:pPr>
      <w:r w:rsidRPr="00A51029">
        <w:rPr>
          <w:rFonts w:cs="Linux Libertine"/>
        </w:rPr>
        <w:t>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Pr="00A51029" w:rsidRDefault="00C6591A" w:rsidP="00C6591A">
      <w:pPr>
        <w:pStyle w:val="ParagraphNormal"/>
        <w:rPr>
          <w:rFonts w:cs="Linux Libertine"/>
        </w:rPr>
      </w:pPr>
      <w:r w:rsidRPr="00A51029">
        <w:rPr>
          <w:rFonts w:cs="Linux Libertine"/>
        </w:rPr>
        <w:t xml:space="preserve">Political dimension appeared when the Meiliana case coincided with the local election agenda.  </w:t>
      </w:r>
      <w:proofErr w:type="spellStart"/>
      <w:r w:rsidRPr="00A51029">
        <w:rPr>
          <w:rFonts w:cs="Linux Libertine"/>
        </w:rPr>
        <w:t>Meiliana's</w:t>
      </w:r>
      <w:proofErr w:type="spellEnd"/>
      <w:r w:rsidRPr="00A51029">
        <w:rPr>
          <w:rFonts w:cs="Linux Libertine"/>
        </w:rPr>
        <w:t xml:space="preserve"> protest because of the loudly volume of </w:t>
      </w:r>
      <w:proofErr w:type="spellStart"/>
      <w:r w:rsidRPr="00A51029">
        <w:rPr>
          <w:rFonts w:cs="Linux Libertine"/>
        </w:rPr>
        <w:t>Adzan</w:t>
      </w:r>
      <w:proofErr w:type="spellEnd"/>
      <w:r w:rsidRPr="00A51029">
        <w:rPr>
          <w:rFonts w:cs="Linux Libertine"/>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A51029" w:rsidRDefault="00C6591A" w:rsidP="00C6591A">
      <w:pPr>
        <w:pStyle w:val="ParagraphNormal"/>
        <w:rPr>
          <w:rFonts w:cs="Linux Libertine"/>
        </w:rPr>
      </w:pPr>
    </w:p>
    <w:p w14:paraId="5D3E5AC5" w14:textId="77777777" w:rsidR="00C6591A" w:rsidRPr="00A51029" w:rsidRDefault="00C6591A" w:rsidP="00C6591A">
      <w:pPr>
        <w:pStyle w:val="Quote"/>
        <w:rPr>
          <w:rFonts w:cs="Linux Libertine"/>
        </w:rPr>
      </w:pPr>
      <w:r w:rsidRPr="00A51029">
        <w:rPr>
          <w:rFonts w:cs="Linux Libertine"/>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w:t>
      </w:r>
      <w:r w:rsidRPr="00A51029">
        <w:rPr>
          <w:rFonts w:cs="Linux Libertine"/>
        </w:rPr>
        <w:lastRenderedPageBreak/>
        <w:t xml:space="preserve">gave the view that when </w:t>
      </w:r>
      <w:proofErr w:type="spellStart"/>
      <w:r w:rsidRPr="00A51029">
        <w:rPr>
          <w:rFonts w:cs="Linux Libertine"/>
        </w:rPr>
        <w:t>Meiliana's</w:t>
      </w:r>
      <w:proofErr w:type="spellEnd"/>
      <w:r w:rsidRPr="00A51029">
        <w:rPr>
          <w:rFonts w:cs="Linux Libertine"/>
        </w:rPr>
        <w:t xml:space="preserve"> case had gone to court, then Muhammadiyah would respect whatever the court's decision was.”</w:t>
      </w:r>
    </w:p>
    <w:p w14:paraId="3C2D135B" w14:textId="77777777" w:rsidR="00C6591A" w:rsidRPr="00A51029" w:rsidRDefault="00C6591A" w:rsidP="00C6591A">
      <w:pPr>
        <w:pStyle w:val="ParagraphNormal"/>
        <w:rPr>
          <w:rFonts w:cs="Linux Libertine"/>
        </w:rPr>
      </w:pPr>
      <w:r w:rsidRPr="00A51029">
        <w:rPr>
          <w:rFonts w:cs="Linux Libertine"/>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A51029">
        <w:rPr>
          <w:rFonts w:cs="Linux Libertine"/>
        </w:rPr>
        <w:t>Meiliana's</w:t>
      </w:r>
      <w:proofErr w:type="spellEnd"/>
      <w:r w:rsidRPr="00A51029">
        <w:rPr>
          <w:rFonts w:cs="Linux Libertine"/>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In addition to the hate-spin, the Court is also trapped in identity politics, where apart from the Court not having strong evidence about </w:t>
      </w:r>
      <w:proofErr w:type="spellStart"/>
      <w:r w:rsidRPr="00A51029">
        <w:rPr>
          <w:rFonts w:cs="Linux Libertine"/>
        </w:rPr>
        <w:t>Meiliana's</w:t>
      </w:r>
      <w:proofErr w:type="spellEnd"/>
      <w:r w:rsidRPr="00A51029">
        <w:rPr>
          <w:rFonts w:cs="Linux Libertine"/>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A51029" w:rsidRDefault="00C6591A" w:rsidP="00C6591A">
      <w:pPr>
        <w:pStyle w:val="ParagraphNormal"/>
        <w:rPr>
          <w:rFonts w:cs="Linux Libertine"/>
        </w:rPr>
      </w:pPr>
      <w:r w:rsidRPr="00A51029">
        <w:rPr>
          <w:rFonts w:cs="Linux Libertine"/>
        </w:rPr>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A51029">
        <w:rPr>
          <w:rFonts w:cs="Linux Libertine"/>
        </w:rPr>
        <w:t>A'yun</w:t>
      </w:r>
      <w:proofErr w:type="spellEnd"/>
      <w:r w:rsidRPr="00A51029">
        <w:rPr>
          <w:rFonts w:cs="Linux Libertine"/>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A51029" w:rsidRDefault="00C6591A" w:rsidP="00C8473A">
      <w:pPr>
        <w:pStyle w:val="ParagraphNormal"/>
        <w:rPr>
          <w:rFonts w:cs="Linux Libertine"/>
        </w:rPr>
      </w:pPr>
      <w:r w:rsidRPr="00A51029">
        <w:rPr>
          <w:rFonts w:cs="Linux Libertine"/>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A51029">
        <w:rPr>
          <w:rFonts w:cs="Linux Libertine"/>
        </w:rPr>
        <w:t>Meiliana's</w:t>
      </w:r>
      <w:proofErr w:type="spellEnd"/>
      <w:r w:rsidRPr="00A51029">
        <w:rPr>
          <w:rFonts w:cs="Linux Libertine"/>
        </w:rPr>
        <w:t xml:space="preserve"> rivalry in </w:t>
      </w:r>
      <w:r w:rsidRPr="00A51029">
        <w:rPr>
          <w:rFonts w:cs="Linux Libertine"/>
        </w:rPr>
        <w:lastRenderedPageBreak/>
        <w:t>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A51029" w:rsidRDefault="00C6591A" w:rsidP="00C6591A">
      <w:pPr>
        <w:rPr>
          <w:rFonts w:cs="Linux Libertine"/>
        </w:rPr>
      </w:pPr>
    </w:p>
    <w:p w14:paraId="26EC8A99" w14:textId="4C8FF3FD" w:rsidR="00340465" w:rsidRPr="00A51029" w:rsidRDefault="00340465" w:rsidP="009510D5">
      <w:pPr>
        <w:rPr>
          <w:rFonts w:cs="Linux Libertine"/>
        </w:rPr>
      </w:pPr>
    </w:p>
    <w:p w14:paraId="58475B26" w14:textId="77777777" w:rsidR="00601A07" w:rsidRPr="00A51029" w:rsidRDefault="00601A07" w:rsidP="009510D5">
      <w:pPr>
        <w:rPr>
          <w:rFonts w:cs="Linux Libertine"/>
        </w:rPr>
      </w:pPr>
    </w:p>
    <w:p w14:paraId="59886D99" w14:textId="77777777" w:rsidR="00601A07" w:rsidRPr="00A51029" w:rsidRDefault="00601A07" w:rsidP="009510D5">
      <w:pPr>
        <w:rPr>
          <w:rFonts w:cs="Linux Libertine"/>
        </w:rPr>
      </w:pPr>
    </w:p>
    <w:p w14:paraId="2EE87627" w14:textId="48E986CB" w:rsidR="009510D5" w:rsidRPr="00A51029" w:rsidRDefault="00601A07" w:rsidP="00601A07">
      <w:pPr>
        <w:pStyle w:val="Heading3"/>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 </w:t>
      </w:r>
      <w:r w:rsidRPr="00A51029">
        <w:rPr>
          <w:rFonts w:cs="Linux Libertine"/>
        </w:rPr>
        <w:tab/>
      </w:r>
      <w:r w:rsidR="00C8473A" w:rsidRPr="00A51029">
        <w:rPr>
          <w:rFonts w:cs="Linux Libertine"/>
        </w:rPr>
        <w:t xml:space="preserve">Blasphemy </w:t>
      </w:r>
      <w:r w:rsidR="009510D5" w:rsidRPr="00A51029">
        <w:rPr>
          <w:rFonts w:cs="Linux Libertine"/>
        </w:rPr>
        <w:t xml:space="preserve">Law Enforcement </w:t>
      </w:r>
      <w:r w:rsidR="00C8473A" w:rsidRPr="00A51029">
        <w:rPr>
          <w:rFonts w:cs="Linux Libertine"/>
        </w:rPr>
        <w:t>Prevent to Preserve Justice</w:t>
      </w:r>
    </w:p>
    <w:p w14:paraId="270980B9" w14:textId="2C9F328F"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.1 </w:t>
      </w:r>
      <w:r w:rsidRPr="00A51029">
        <w:rPr>
          <w:rFonts w:cs="Linux Libertine"/>
        </w:rPr>
        <w:tab/>
      </w:r>
      <w:r w:rsidR="00C8473A" w:rsidRPr="00A51029">
        <w:rPr>
          <w:rFonts w:cs="Linux Libertine"/>
        </w:rPr>
        <w:t>Continuing Public Disorder</w:t>
      </w:r>
      <w:r w:rsidR="009510D5" w:rsidRPr="00A51029">
        <w:rPr>
          <w:rFonts w:cs="Linux Libertine"/>
        </w:rPr>
        <w:t xml:space="preserve"> </w:t>
      </w:r>
    </w:p>
    <w:p w14:paraId="7BFA59D0" w14:textId="77777777" w:rsidR="00601A07" w:rsidRPr="00A51029" w:rsidRDefault="00601A07" w:rsidP="00601A07">
      <w:pPr>
        <w:rPr>
          <w:rFonts w:cs="Linux Libertine"/>
        </w:rPr>
      </w:pPr>
    </w:p>
    <w:p w14:paraId="6C9CA48C" w14:textId="650C11A3" w:rsidR="00C8473A" w:rsidRPr="00A51029" w:rsidRDefault="00C120A6" w:rsidP="00C8473A">
      <w:pPr>
        <w:spacing w:line="360" w:lineRule="auto"/>
        <w:jc w:val="both"/>
        <w:rPr>
          <w:rFonts w:cs="Linux Libertine"/>
          <w:color w:val="FF0000"/>
        </w:rPr>
      </w:pPr>
      <w:r w:rsidRPr="00A51029">
        <w:rPr>
          <w:rFonts w:cs="Linux Libertine"/>
          <w:color w:val="FF0000"/>
        </w:rPr>
        <w:t xml:space="preserve">The increasing actions of </w:t>
      </w:r>
      <w:r w:rsidR="00660AB6">
        <w:rPr>
          <w:rFonts w:cs="Linux Libertine"/>
          <w:color w:val="FF0000"/>
        </w:rPr>
        <w:t>vigilante hostility</w:t>
      </w:r>
      <w:r w:rsidRPr="00A51029">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A51029" w:rsidRDefault="00C8473A" w:rsidP="00C8473A">
      <w:pPr>
        <w:pStyle w:val="ParagraphNormal"/>
        <w:rPr>
          <w:rFonts w:cs="Linux Libertine"/>
          <w:lang w:val="en-US"/>
        </w:rPr>
      </w:pPr>
      <w:r w:rsidRPr="00A51029">
        <w:rPr>
          <w:rFonts w:cs="Linux Libertine"/>
          <w:color w:val="FF0000"/>
        </w:rPr>
        <w:tab/>
      </w:r>
      <w:r w:rsidRPr="00A51029">
        <w:rPr>
          <w:rFonts w:cs="Linux Libertine"/>
          <w:lang w:val="en-US"/>
        </w:rPr>
        <w:t xml:space="preserve">Furthermore, in the instance of </w:t>
      </w:r>
      <w:r w:rsidRPr="00A51029">
        <w:rPr>
          <w:rFonts w:cs="Linux Libertine"/>
          <w:i/>
          <w:iCs/>
          <w:lang w:val="en-US"/>
        </w:rPr>
        <w:t>Meiliana,</w:t>
      </w:r>
      <w:r w:rsidRPr="00A51029">
        <w:rPr>
          <w:rFonts w:cs="Linux Libertine"/>
          <w:lang w:val="en-US"/>
        </w:rPr>
        <w:t xml:space="preserve"> the court's concluded that Meiliana had insulted Islamic religion.  Without backed by adequate evidence and witnesses, the court construed </w:t>
      </w:r>
      <w:proofErr w:type="spellStart"/>
      <w:r w:rsidRPr="00A51029">
        <w:rPr>
          <w:rFonts w:cs="Linux Libertine"/>
          <w:i/>
          <w:iCs/>
          <w:lang w:val="en-US"/>
        </w:rPr>
        <w:t>Meiliana</w:t>
      </w:r>
      <w:r w:rsidRPr="00A51029">
        <w:rPr>
          <w:rFonts w:cs="Linux Libertine"/>
          <w:lang w:val="en-US"/>
        </w:rPr>
        <w:t>'s</w:t>
      </w:r>
      <w:proofErr w:type="spellEnd"/>
      <w:r w:rsidRPr="00A51029">
        <w:rPr>
          <w:rFonts w:cs="Linux Libertine"/>
          <w:lang w:val="en-US"/>
        </w:rPr>
        <w:t xml:space="preserve"> criticism of the loudness of the mosque's loudspeaker, which was excessively loud, as blasphemy. Various </w:t>
      </w:r>
      <w:proofErr w:type="spellStart"/>
      <w:r w:rsidRPr="00A51029">
        <w:rPr>
          <w:rFonts w:cs="Linux Libertine"/>
          <w:lang w:val="en-US"/>
        </w:rPr>
        <w:t>defences</w:t>
      </w:r>
      <w:proofErr w:type="spellEnd"/>
      <w:r w:rsidRPr="00A51029">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A51029">
        <w:rPr>
          <w:rStyle w:val="FootnoteReference"/>
          <w:rFonts w:cs="Linux Libertine"/>
          <w:lang w:val="en-US"/>
        </w:rPr>
        <w:footnoteReference w:id="100"/>
      </w:r>
    </w:p>
    <w:p w14:paraId="5BEDC8CE"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rPr>
        <w:lastRenderedPageBreak/>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A51029">
        <w:rPr>
          <w:rFonts w:cs="Linux Libertine"/>
          <w:i/>
          <w:iCs/>
        </w:rPr>
        <w:t>Adhan</w:t>
      </w:r>
      <w:r w:rsidRPr="00A51029">
        <w:rPr>
          <w:rFonts w:cs="Linux Libertine"/>
        </w:rPr>
        <w:t xml:space="preserve">,” thereby causing their anger. In contrast, in a </w:t>
      </w:r>
      <w:proofErr w:type="spellStart"/>
      <w:r w:rsidRPr="00A51029">
        <w:rPr>
          <w:rStyle w:val="Emphasis"/>
          <w:rFonts w:cs="Linux Libertine"/>
          <w:color w:val="252525"/>
        </w:rPr>
        <w:t>pledoi</w:t>
      </w:r>
      <w:proofErr w:type="spellEnd"/>
      <w:r w:rsidRPr="00A51029">
        <w:rPr>
          <w:rFonts w:cs="Linux Libertine"/>
        </w:rPr>
        <w:t xml:space="preserve"> delivered by </w:t>
      </w:r>
      <w:proofErr w:type="spellStart"/>
      <w:r w:rsidRPr="00A51029">
        <w:rPr>
          <w:rFonts w:cs="Linux Libertine"/>
          <w:i/>
          <w:iCs/>
        </w:rPr>
        <w:t>Meiliana's</w:t>
      </w:r>
      <w:proofErr w:type="spellEnd"/>
      <w:r w:rsidRPr="00A51029">
        <w:rPr>
          <w:rFonts w:cs="Linux Libertine"/>
        </w:rPr>
        <w:t xml:space="preserve"> attorney, who said that </w:t>
      </w:r>
      <w:r w:rsidRPr="00A51029">
        <w:rPr>
          <w:rFonts w:cs="Linux Libertine"/>
          <w:i/>
          <w:iCs/>
        </w:rPr>
        <w:t xml:space="preserve">Meiliana </w:t>
      </w:r>
      <w:r w:rsidRPr="00A51029">
        <w:rPr>
          <w:rFonts w:cs="Linux Libertine"/>
        </w:rPr>
        <w:t xml:space="preserve">had never banned the call to prayer, she conveyed to the shop owner in a low tone on July 22, 2016, that: </w:t>
      </w:r>
      <w:r w:rsidRPr="00A51029">
        <w:rPr>
          <w:rFonts w:cs="Linux Libertine"/>
          <w:i/>
          <w:iCs/>
        </w:rPr>
        <w:t>“Sis, the voice of our mosque was not that big, now it's a bit bigger, right?”</w:t>
      </w:r>
      <w:r w:rsidRPr="00A51029">
        <w:rPr>
          <w:rStyle w:val="FootnoteReference"/>
          <w:rFonts w:cs="Linux Libertine"/>
        </w:rPr>
        <w:footnoteReference w:id="101"/>
      </w:r>
      <w:r w:rsidRPr="00A51029">
        <w:rPr>
          <w:rFonts w:cs="Linux Libertine"/>
        </w:rPr>
        <w:t xml:space="preserve">  </w:t>
      </w:r>
      <w:r w:rsidRPr="00A51029">
        <w:rPr>
          <w:rFonts w:cs="Linux Libertine"/>
          <w:szCs w:val="24"/>
          <w:lang w:eastAsia="en-GB" w:bidi="ar-SA"/>
          <w14:ligatures w14:val="none"/>
          <w14:numSpacing w14:val="default"/>
        </w:rPr>
        <w:t xml:space="preserve">The twists of hatred against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A51029">
        <w:rPr>
          <w:rFonts w:cs="Linux Libertine"/>
          <w:i/>
          <w:iCs/>
          <w:szCs w:val="24"/>
          <w:lang w:eastAsia="en-GB" w:bidi="ar-SA"/>
          <w14:ligatures w14:val="none"/>
          <w14:numSpacing w14:val="default"/>
        </w:rPr>
        <w:t xml:space="preserve">Ahmadiyya </w:t>
      </w:r>
      <w:r w:rsidRPr="00A51029">
        <w:rPr>
          <w:rFonts w:cs="Linux Libertine"/>
          <w:szCs w:val="24"/>
          <w:lang w:eastAsia="en-GB" w:bidi="ar-SA"/>
          <w14:ligatures w14:val="none"/>
          <w14:numSpacing w14:val="default"/>
        </w:rPr>
        <w:t>and</w:t>
      </w:r>
      <w:r w:rsidRPr="00A51029">
        <w:rPr>
          <w:rFonts w:cs="Linux Libertine"/>
          <w:i/>
          <w:iCs/>
          <w:szCs w:val="24"/>
          <w:lang w:eastAsia="en-GB" w:bidi="ar-SA"/>
          <w14:ligatures w14:val="none"/>
          <w14:numSpacing w14:val="default"/>
        </w:rPr>
        <w:t xml:space="preserve"> Gafatar</w:t>
      </w:r>
      <w:r w:rsidRPr="00A51029">
        <w:rPr>
          <w:rFonts w:cs="Linux Libertine"/>
          <w:szCs w:val="24"/>
          <w:lang w:eastAsia="en-GB" w:bidi="ar-SA"/>
          <w14:ligatures w14:val="none"/>
          <w14:numSpacing w14:val="default"/>
        </w:rPr>
        <w:t xml:space="preserve">, followers of minority Buddhist religions like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are very vulnerable to becoming victims of hate crimes.</w:t>
      </w:r>
    </w:p>
    <w:p w14:paraId="4C3D798D"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szCs w:val="24"/>
          <w:lang w:eastAsia="en-GB" w:bidi="ar-SA"/>
          <w14:ligatures w14:val="none"/>
          <w14:numSpacing w14:val="default"/>
        </w:rPr>
        <w:t xml:space="preserve">The Muslim community where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lives ended up taking vigilante action. They not only damaged </w:t>
      </w:r>
      <w:proofErr w:type="spellStart"/>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's</w:t>
      </w:r>
      <w:proofErr w:type="spellEnd"/>
      <w:r w:rsidRPr="00A51029">
        <w:rPr>
          <w:rFonts w:cs="Linux Libertine"/>
          <w:szCs w:val="24"/>
          <w:lang w:eastAsia="en-GB" w:bidi="ar-SA"/>
          <w14:ligatures w14:val="none"/>
          <w14:numSpacing w14:val="default"/>
        </w:rPr>
        <w:t xml:space="preserve"> house but destroyed a Buddhist place of worship. The vigilante acts carried out by mobs have damaged the Tri </w:t>
      </w:r>
      <w:proofErr w:type="spellStart"/>
      <w:r w:rsidRPr="00A51029">
        <w:rPr>
          <w:rFonts w:cs="Linux Libertine"/>
          <w:szCs w:val="24"/>
          <w:lang w:eastAsia="en-GB" w:bidi="ar-SA"/>
          <w14:ligatures w14:val="none"/>
          <w14:numSpacing w14:val="default"/>
        </w:rPr>
        <w:t>Ratna</w:t>
      </w:r>
      <w:proofErr w:type="spellEnd"/>
      <w:r w:rsidRPr="00A51029">
        <w:rPr>
          <w:rFonts w:cs="Linux Libertine"/>
          <w:szCs w:val="24"/>
          <w:lang w:eastAsia="en-GB" w:bidi="ar-SA"/>
          <w14:ligatures w14:val="none"/>
          <w14:numSpacing w14:val="default"/>
        </w:rPr>
        <w:t xml:space="preserve"> Temple and the </w:t>
      </w:r>
      <w:proofErr w:type="spellStart"/>
      <w:r w:rsidRPr="00A51029">
        <w:rPr>
          <w:rFonts w:cs="Linux Libertine"/>
          <w:szCs w:val="24"/>
          <w:lang w:eastAsia="en-GB" w:bidi="ar-SA"/>
          <w14:ligatures w14:val="none"/>
          <w14:numSpacing w14:val="default"/>
        </w:rPr>
        <w:t>Dewi</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Samudera</w:t>
      </w:r>
      <w:proofErr w:type="spellEnd"/>
      <w:r w:rsidRPr="00A51029">
        <w:rPr>
          <w:rFonts w:cs="Linux Libertine"/>
          <w:szCs w:val="24"/>
          <w:lang w:eastAsia="en-GB" w:bidi="ar-SA"/>
          <w14:ligatures w14:val="none"/>
          <w14:numSpacing w14:val="default"/>
        </w:rPr>
        <w:t xml:space="preserve"> Temple on the banks of the </w:t>
      </w:r>
      <w:proofErr w:type="spellStart"/>
      <w:r w:rsidRPr="00A51029">
        <w:rPr>
          <w:rFonts w:cs="Linux Libertine"/>
          <w:szCs w:val="24"/>
          <w:lang w:eastAsia="en-GB" w:bidi="ar-SA"/>
          <w14:ligatures w14:val="none"/>
          <w14:numSpacing w14:val="default"/>
        </w:rPr>
        <w:t>Asahan</w:t>
      </w:r>
      <w:proofErr w:type="spellEnd"/>
      <w:r w:rsidRPr="00A51029">
        <w:rPr>
          <w:rFonts w:cs="Linux Libertine"/>
          <w:szCs w:val="24"/>
          <w:lang w:eastAsia="en-GB" w:bidi="ar-SA"/>
          <w14:ligatures w14:val="none"/>
          <w14:numSpacing w14:val="default"/>
        </w:rPr>
        <w:t xml:space="preserve"> River. At least three monasteries, eight temples, two Chinese foundations, a medical </w:t>
      </w:r>
      <w:proofErr w:type="spellStart"/>
      <w:r w:rsidRPr="00A51029">
        <w:rPr>
          <w:rFonts w:cs="Linux Libertine"/>
          <w:szCs w:val="24"/>
          <w:lang w:eastAsia="en-GB" w:bidi="ar-SA"/>
          <w14:ligatures w14:val="none"/>
          <w14:numSpacing w14:val="default"/>
        </w:rPr>
        <w:t>center</w:t>
      </w:r>
      <w:proofErr w:type="spellEnd"/>
      <w:r w:rsidRPr="00A51029">
        <w:rPr>
          <w:rFonts w:cs="Linux Libertine"/>
          <w:szCs w:val="24"/>
          <w:lang w:eastAsia="en-GB" w:bidi="ar-SA"/>
          <w14:ligatures w14:val="none"/>
          <w14:numSpacing w14:val="default"/>
        </w:rPr>
        <w:t>, and</w:t>
      </w:r>
      <w:r w:rsidRPr="00A51029">
        <w:rPr>
          <w:rFonts w:cs="Linux Libertine"/>
          <w:i/>
          <w:iCs/>
          <w:szCs w:val="24"/>
          <w:lang w:eastAsia="en-GB" w:bidi="ar-SA"/>
          <w14:ligatures w14:val="none"/>
          <w14:numSpacing w14:val="default"/>
        </w:rPr>
        <w:t xml:space="preserve"> </w:t>
      </w:r>
      <w:proofErr w:type="spellStart"/>
      <w:r w:rsidRPr="00A51029">
        <w:rPr>
          <w:rFonts w:cs="Linux Libertine"/>
          <w:i/>
          <w:iCs/>
          <w:szCs w:val="24"/>
          <w:lang w:eastAsia="en-GB" w:bidi="ar-SA"/>
          <w14:ligatures w14:val="none"/>
          <w14:numSpacing w14:val="default"/>
        </w:rPr>
        <w:t>Meiliana's</w:t>
      </w:r>
      <w:proofErr w:type="spellEnd"/>
      <w:r w:rsidRPr="00A51029">
        <w:rPr>
          <w:rFonts w:cs="Linux Libertine"/>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A51029">
        <w:rPr>
          <w:rFonts w:cs="Linux Libertine"/>
          <w:szCs w:val="24"/>
          <w:lang w:eastAsia="en-GB" w:bidi="ar-SA"/>
          <w14:ligatures w14:val="none"/>
          <w14:numSpacing w14:val="default"/>
        </w:rPr>
        <w:t>Tanjung</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Balai</w:t>
      </w:r>
      <w:proofErr w:type="spellEnd"/>
      <w:r w:rsidRPr="00A51029">
        <w:rPr>
          <w:rFonts w:cs="Linux Libertine"/>
          <w:szCs w:val="24"/>
          <w:lang w:eastAsia="en-GB" w:bidi="ar-SA"/>
          <w14:ligatures w14:val="none"/>
          <w14:numSpacing w14:val="default"/>
        </w:rPr>
        <w:t xml:space="preserve"> Court with the head of the Panel of Judges, </w:t>
      </w:r>
      <w:proofErr w:type="spellStart"/>
      <w:r w:rsidRPr="00A51029">
        <w:rPr>
          <w:rFonts w:cs="Linux Libertine"/>
          <w:szCs w:val="24"/>
          <w:lang w:eastAsia="en-GB" w:bidi="ar-SA"/>
          <w14:ligatures w14:val="none"/>
          <w14:numSpacing w14:val="default"/>
        </w:rPr>
        <w:t>Ullina</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Marbun</w:t>
      </w:r>
      <w:proofErr w:type="spellEnd"/>
      <w:r w:rsidRPr="00A51029">
        <w:rPr>
          <w:rFonts w:cs="Linux Libertine"/>
          <w:szCs w:val="24"/>
          <w:lang w:eastAsia="en-GB" w:bidi="ar-SA"/>
          <w14:ligatures w14:val="none"/>
          <w14:numSpacing w14:val="default"/>
        </w:rPr>
        <w:t>, and in the end they were sentenced to a very light sentence, namely 1.5 months in prison, deducted from the prison term</w:t>
      </w:r>
      <w:r w:rsidRPr="00A51029">
        <w:rPr>
          <w:rFonts w:cs="Linux Libertine"/>
        </w:rPr>
        <w:t>.</w:t>
      </w:r>
      <w:r w:rsidRPr="00A51029">
        <w:rPr>
          <w:rStyle w:val="FootnoteReference"/>
          <w:rFonts w:cs="Linux Libertine"/>
        </w:rPr>
        <w:footnoteReference w:id="102"/>
      </w:r>
      <w:r w:rsidRPr="00A51029">
        <w:rPr>
          <w:rFonts w:cs="Linux Libertine"/>
        </w:rPr>
        <w:t xml:space="preserve"> Meanwhile, Meiliana herself was sentenced to 18 months in prison.</w:t>
      </w:r>
    </w:p>
    <w:p w14:paraId="5D33AE84" w14:textId="1B0D8571" w:rsidR="00C8473A" w:rsidRPr="00660AB6" w:rsidRDefault="00C8473A" w:rsidP="00660AB6">
      <w:pPr>
        <w:pStyle w:val="ParagraphNormal"/>
        <w:rPr>
          <w:rFonts w:cs="Linux Libertine"/>
          <w:color w:val="252525"/>
          <w:lang w:val="en-US"/>
        </w:rPr>
      </w:pPr>
      <w:r w:rsidRPr="00A51029">
        <w:rPr>
          <w:rFonts w:cs="Linux Libertine"/>
          <w:color w:val="252525"/>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w:t>
      </w:r>
      <w:r w:rsidRPr="00A51029">
        <w:rPr>
          <w:rFonts w:cs="Linux Libertine"/>
          <w:color w:val="252525"/>
          <w:lang w:val="en-US"/>
        </w:rPr>
        <w:lastRenderedPageBreak/>
        <w:t xml:space="preserve">of these groups with prison sentences. The state covertly supports </w:t>
      </w:r>
      <w:r w:rsidRPr="00A51029">
        <w:rPr>
          <w:rStyle w:val="Emphasis"/>
          <w:rFonts w:cs="Linux Libertine"/>
          <w:color w:val="252525"/>
          <w:lang w:val="en-US"/>
        </w:rPr>
        <w:t xml:space="preserve">MHS </w:t>
      </w:r>
      <w:r w:rsidRPr="00A51029">
        <w:rPr>
          <w:rFonts w:cs="Linux Libertine"/>
          <w:color w:val="252525"/>
          <w:lang w:val="en-US"/>
        </w:rPr>
        <w:t>due to its inability to dissuade and prevent vigilante justice.</w:t>
      </w:r>
    </w:p>
    <w:p w14:paraId="570BC8BD" w14:textId="2B942002" w:rsidR="00C8473A" w:rsidRPr="00A51029" w:rsidRDefault="00C8473A" w:rsidP="00C8473A">
      <w:pPr>
        <w:spacing w:line="360" w:lineRule="auto"/>
        <w:ind w:firstLine="720"/>
        <w:jc w:val="both"/>
        <w:rPr>
          <w:rFonts w:cs="Linux Libertine"/>
          <w:b/>
          <w:bCs/>
        </w:rPr>
      </w:pPr>
      <w:r w:rsidRPr="00A51029">
        <w:rPr>
          <w:rFonts w:cs="Linux Libertine"/>
        </w:rPr>
        <w:t xml:space="preserve">The act of vigilantism is a criminal act that is prohibited by the Indonesia Criminal Code, especially in Article 170 as follow: </w:t>
      </w:r>
    </w:p>
    <w:p w14:paraId="7A20E85A" w14:textId="77777777" w:rsidR="00C8473A" w:rsidRPr="00A51029" w:rsidRDefault="00C8473A" w:rsidP="00C8473A">
      <w:pPr>
        <w:pStyle w:val="Quote"/>
        <w:rPr>
          <w:rFonts w:cs="Linux Libertine"/>
          <w:lang w:val="en-US"/>
        </w:rPr>
      </w:pPr>
      <w:r w:rsidRPr="00A51029">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A51029">
        <w:rPr>
          <w:rFonts w:cs="Linux Libertine"/>
          <w:i/>
          <w:iCs/>
          <w:lang w:val="en-US" w:eastAsia="en-GB" w:bidi="ar-SA"/>
        </w:rPr>
        <w:t>Ahmadiyya</w:t>
      </w:r>
      <w:r w:rsidRPr="00A51029">
        <w:rPr>
          <w:rFonts w:cs="Linux Libertine"/>
          <w:lang w:val="en-US" w:eastAsia="en-GB" w:bidi="ar-SA"/>
        </w:rPr>
        <w:t xml:space="preserve"> or </w:t>
      </w:r>
      <w:r w:rsidRPr="00A51029">
        <w:rPr>
          <w:rFonts w:cs="Linux Libertine"/>
          <w:i/>
          <w:iCs/>
          <w:lang w:val="en-US" w:eastAsia="en-GB" w:bidi="ar-SA"/>
        </w:rPr>
        <w:t>Gafatar</w:t>
      </w:r>
      <w:r w:rsidRPr="00A51029">
        <w:rPr>
          <w:rFonts w:cs="Linux Libertine"/>
          <w:lang w:val="en-US" w:eastAsia="en-GB" w:bidi="ar-SA"/>
        </w:rPr>
        <w:t xml:space="preserve"> followers has been passive or one of omission. The vigilante justice experienced by </w:t>
      </w:r>
      <w:r w:rsidRPr="00A51029">
        <w:rPr>
          <w:rFonts w:cs="Linux Libertine"/>
          <w:i/>
          <w:iCs/>
          <w:lang w:val="en-US" w:eastAsia="en-GB" w:bidi="ar-SA"/>
        </w:rPr>
        <w:t xml:space="preserve">Ahmadiyya </w:t>
      </w:r>
      <w:r w:rsidRPr="00A51029">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A51029">
        <w:rPr>
          <w:rFonts w:cs="Linux Libertine"/>
          <w:lang w:val="en-US"/>
        </w:rPr>
        <w:t>.</w:t>
      </w:r>
      <w:r w:rsidRPr="00A51029">
        <w:rPr>
          <w:rStyle w:val="FootnoteReference"/>
          <w:rFonts w:cs="Linux Libertine"/>
          <w:lang w:val="en-US"/>
        </w:rPr>
        <w:footnoteReference w:id="103"/>
      </w:r>
      <w:r w:rsidRPr="00A51029">
        <w:rPr>
          <w:rFonts w:cs="Linux Libertine"/>
          <w:lang w:val="en-US"/>
        </w:rPr>
        <w:t xml:space="preserve"> The West Kalimantan Police Chief, Inspector General Remigius </w:t>
      </w:r>
      <w:proofErr w:type="spellStart"/>
      <w:r w:rsidRPr="00A51029">
        <w:rPr>
          <w:rFonts w:cs="Linux Libertine"/>
          <w:lang w:val="en-US"/>
        </w:rPr>
        <w:t>Sigid</w:t>
      </w:r>
      <w:proofErr w:type="spellEnd"/>
      <w:r w:rsidRPr="00A51029">
        <w:rPr>
          <w:rFonts w:cs="Linux Libertine"/>
          <w:lang w:val="en-US"/>
        </w:rPr>
        <w:t xml:space="preserve"> Tri </w:t>
      </w:r>
      <w:proofErr w:type="spellStart"/>
      <w:r w:rsidRPr="00A51029">
        <w:rPr>
          <w:rFonts w:cs="Linux Libertine"/>
          <w:lang w:val="en-US"/>
        </w:rPr>
        <w:t>Hardjanto</w:t>
      </w:r>
      <w:proofErr w:type="spellEnd"/>
      <w:r w:rsidRPr="00A51029">
        <w:rPr>
          <w:rFonts w:cs="Linux Libertine"/>
          <w:lang w:val="en-US"/>
        </w:rPr>
        <w:t>, explained that:</w:t>
      </w:r>
    </w:p>
    <w:p w14:paraId="28E1827A" w14:textId="77777777" w:rsidR="00C8473A" w:rsidRPr="00A51029" w:rsidRDefault="00C8473A" w:rsidP="00C8473A">
      <w:pPr>
        <w:pStyle w:val="Quote"/>
        <w:rPr>
          <w:rFonts w:cs="Linux Libertine"/>
          <w:lang w:val="en-US"/>
        </w:rPr>
      </w:pPr>
      <w:r w:rsidRPr="00A51029">
        <w:rPr>
          <w:rFonts w:cs="Linux Libertine"/>
          <w:lang w:val="en-US"/>
        </w:rPr>
        <w:lastRenderedPageBreak/>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A51029">
        <w:rPr>
          <w:rStyle w:val="FootnoteReference"/>
          <w:rFonts w:cs="Linux Libertine"/>
          <w:lang w:val="en-US"/>
        </w:rPr>
        <w:footnoteReference w:id="104"/>
      </w:r>
    </w:p>
    <w:p w14:paraId="6E5747B4"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the case of vigilante justice against Gafatar, there were 21 defendants in the destruction of the </w:t>
      </w:r>
      <w:proofErr w:type="spellStart"/>
      <w:r w:rsidRPr="00A51029">
        <w:rPr>
          <w:rFonts w:cs="Linux Libertine"/>
          <w:lang w:val="en-US" w:eastAsia="en-GB" w:bidi="ar-SA"/>
        </w:rPr>
        <w:t>Miftahul</w:t>
      </w:r>
      <w:proofErr w:type="spellEnd"/>
      <w:r w:rsidRPr="00A51029">
        <w:rPr>
          <w:rFonts w:cs="Linux Libertine"/>
          <w:lang w:val="en-US" w:eastAsia="en-GB" w:bidi="ar-SA"/>
        </w:rPr>
        <w:t xml:space="preserve"> Huda Mosque in Bale Harapan Village, </w:t>
      </w:r>
      <w:proofErr w:type="spellStart"/>
      <w:r w:rsidRPr="00A51029">
        <w:rPr>
          <w:rFonts w:cs="Linux Libertine"/>
          <w:lang w:val="en-US" w:eastAsia="en-GB" w:bidi="ar-SA"/>
        </w:rPr>
        <w:t>Sintang</w:t>
      </w:r>
      <w:proofErr w:type="spellEnd"/>
      <w:r w:rsidRPr="00A51029">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Islamic Defenders Front, or FPI, is the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A51029">
        <w:rPr>
          <w:rFonts w:cs="Linux Libertine"/>
          <w:i/>
          <w:iCs/>
          <w:lang w:val="en-US" w:eastAsia="en-GB" w:bidi="ar-SA"/>
        </w:rPr>
        <w:t>Ahmadiyah</w:t>
      </w:r>
      <w:proofErr w:type="spellEnd"/>
      <w:r w:rsidRPr="00A51029">
        <w:rPr>
          <w:rFonts w:cs="Linux Libertine"/>
          <w:i/>
          <w:iCs/>
          <w:lang w:val="en-US" w:eastAsia="en-GB" w:bidi="ar-SA"/>
        </w:rPr>
        <w:t xml:space="preserve"> </w:t>
      </w:r>
      <w:r w:rsidRPr="00A51029">
        <w:rPr>
          <w:rFonts w:cs="Linux Libertine"/>
          <w:lang w:val="en-US" w:eastAsia="en-GB" w:bidi="ar-SA"/>
        </w:rPr>
        <w:t xml:space="preserve">residents, </w:t>
      </w:r>
      <w:r w:rsidRPr="00A51029">
        <w:rPr>
          <w:rFonts w:cs="Linux Libertine"/>
          <w:i/>
          <w:iCs/>
          <w:lang w:val="en-US" w:eastAsia="en-GB" w:bidi="ar-SA"/>
        </w:rPr>
        <w:t>Gafatar,</w:t>
      </w:r>
      <w:r w:rsidRPr="00A51029">
        <w:rPr>
          <w:rFonts w:cs="Linux Libertine"/>
          <w:lang w:val="en-US" w:eastAsia="en-GB" w:bidi="ar-SA"/>
        </w:rPr>
        <w:t xml:space="preserve"> destroying </w:t>
      </w:r>
      <w:proofErr w:type="spellStart"/>
      <w:r w:rsidRPr="00A51029">
        <w:rPr>
          <w:rFonts w:cs="Linux Libertine"/>
          <w:i/>
          <w:iCs/>
          <w:lang w:val="en-US" w:eastAsia="en-GB" w:bidi="ar-SA"/>
        </w:rPr>
        <w:t>Meiliana</w:t>
      </w:r>
      <w:r w:rsidRPr="00A51029">
        <w:rPr>
          <w:rFonts w:cs="Linux Libertine"/>
          <w:lang w:val="en-US" w:eastAsia="en-GB" w:bidi="ar-SA"/>
        </w:rPr>
        <w:t>'s</w:t>
      </w:r>
      <w:proofErr w:type="spellEnd"/>
      <w:r w:rsidRPr="00A51029">
        <w:rPr>
          <w:rFonts w:cs="Linux Libertine"/>
          <w:lang w:val="en-US" w:eastAsia="en-GB" w:bidi="ar-SA"/>
        </w:rPr>
        <w:t xml:space="preserve"> house, and mobilizing large numbers of people in the </w:t>
      </w:r>
      <w:r w:rsidRPr="00A51029">
        <w:rPr>
          <w:rFonts w:cs="Linux Libertine"/>
          <w:i/>
          <w:iCs/>
          <w:lang w:val="en-US" w:eastAsia="en-GB" w:bidi="ar-SA"/>
        </w:rPr>
        <w:t xml:space="preserve">Ahok </w:t>
      </w:r>
      <w:r w:rsidRPr="00A51029">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10</w:t>
      </w:r>
      <w:r w:rsidRPr="00A51029">
        <w:rPr>
          <w:rFonts w:cs="Linux Libertine"/>
          <w:lang w:val="en-US"/>
        </w:rPr>
        <w:fldChar w:fldCharType="end"/>
      </w:r>
      <w:r w:rsidRPr="00A51029">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A51029"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A51029"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A51029">
              <w:rPr>
                <w:rFonts w:cs="Linux Libertine"/>
                <w:b w:val="0"/>
                <w:bCs w:val="0"/>
                <w:color w:val="252525"/>
                <w:lang w:eastAsia="en-GB"/>
                <w14:ligatures w14:val="none"/>
              </w:rPr>
              <w:t>No</w:t>
            </w:r>
          </w:p>
        </w:tc>
        <w:tc>
          <w:tcPr>
            <w:tcW w:w="1836" w:type="dxa"/>
          </w:tcPr>
          <w:p w14:paraId="2A1BC954"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Date</w:t>
            </w:r>
          </w:p>
        </w:tc>
        <w:tc>
          <w:tcPr>
            <w:tcW w:w="6057" w:type="dxa"/>
          </w:tcPr>
          <w:p w14:paraId="070759B6"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 xml:space="preserve">The Forms of </w:t>
            </w:r>
            <w:r w:rsidRPr="00A51029">
              <w:rPr>
                <w:rFonts w:cs="Linux Libertine"/>
                <w:b w:val="0"/>
                <w:bCs w:val="0"/>
                <w:i/>
                <w:iCs/>
                <w:color w:val="252525"/>
                <w:lang w:eastAsia="en-GB"/>
                <w14:ligatures w14:val="none"/>
              </w:rPr>
              <w:t>MHS</w:t>
            </w:r>
          </w:p>
        </w:tc>
      </w:tr>
      <w:tr w:rsidR="00C8473A" w:rsidRPr="00A51029"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w:t>
            </w:r>
          </w:p>
        </w:tc>
        <w:tc>
          <w:tcPr>
            <w:tcW w:w="1836" w:type="dxa"/>
          </w:tcPr>
          <w:p w14:paraId="0A03038F"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February 10, 2011</w:t>
            </w:r>
          </w:p>
        </w:tc>
        <w:tc>
          <w:tcPr>
            <w:tcW w:w="6057" w:type="dxa"/>
          </w:tcPr>
          <w:p w14:paraId="30AC4BD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FPI's attack on the Ahmadiyya Congregation in </w:t>
            </w:r>
            <w:proofErr w:type="spellStart"/>
            <w:r w:rsidRPr="00A51029">
              <w:rPr>
                <w:rFonts w:cs="Linux Libertine"/>
                <w:color w:val="252525"/>
                <w:lang w:eastAsia="en-GB"/>
                <w14:ligatures w14:val="none"/>
              </w:rPr>
              <w:t>Cikeusik</w:t>
            </w:r>
            <w:proofErr w:type="spellEnd"/>
            <w:r w:rsidRPr="00A51029">
              <w:rPr>
                <w:rFonts w:cs="Linux Libertine"/>
                <w:color w:val="252525"/>
                <w:lang w:eastAsia="en-GB"/>
                <w14:ligatures w14:val="none"/>
              </w:rPr>
              <w:t>, Banten</w:t>
            </w:r>
          </w:p>
        </w:tc>
      </w:tr>
      <w:tr w:rsidR="00C8473A" w:rsidRPr="00A51029"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2</w:t>
            </w:r>
          </w:p>
        </w:tc>
        <w:tc>
          <w:tcPr>
            <w:tcW w:w="1836" w:type="dxa"/>
          </w:tcPr>
          <w:p w14:paraId="49ABA23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28, 2011</w:t>
            </w:r>
          </w:p>
        </w:tc>
        <w:tc>
          <w:tcPr>
            <w:tcW w:w="6057" w:type="dxa"/>
          </w:tcPr>
          <w:p w14:paraId="587C1F5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raided the Ahmadiyya An-</w:t>
            </w:r>
            <w:proofErr w:type="spellStart"/>
            <w:r w:rsidRPr="00A51029">
              <w:rPr>
                <w:rFonts w:cs="Linux Libertine"/>
                <w:color w:val="252525"/>
                <w:lang w:eastAsia="en-GB"/>
                <w14:ligatures w14:val="none"/>
              </w:rPr>
              <w:t>Nushrat</w:t>
            </w:r>
            <w:proofErr w:type="spellEnd"/>
            <w:r w:rsidRPr="00A51029">
              <w:rPr>
                <w:rFonts w:cs="Linux Libertine"/>
                <w:color w:val="252525"/>
                <w:lang w:eastAsia="en-GB"/>
                <w14:ligatures w14:val="none"/>
              </w:rPr>
              <w:t xml:space="preserve"> Mosque in Makassar, South Sulawesi, to attack and destroy the mosque's nameplate and furniture.</w:t>
            </w:r>
          </w:p>
        </w:tc>
      </w:tr>
      <w:tr w:rsidR="00C8473A" w:rsidRPr="00A51029"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3</w:t>
            </w:r>
          </w:p>
        </w:tc>
        <w:tc>
          <w:tcPr>
            <w:tcW w:w="1836" w:type="dxa"/>
          </w:tcPr>
          <w:p w14:paraId="1D22B4A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29, 2011</w:t>
            </w:r>
          </w:p>
        </w:tc>
        <w:tc>
          <w:tcPr>
            <w:tcW w:w="6057" w:type="dxa"/>
          </w:tcPr>
          <w:p w14:paraId="57788DFB"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held a demonstration to force the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congregation to leave Makassar</w:t>
            </w:r>
          </w:p>
        </w:tc>
      </w:tr>
      <w:tr w:rsidR="00C8473A" w:rsidRPr="00A51029"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4</w:t>
            </w:r>
          </w:p>
        </w:tc>
        <w:tc>
          <w:tcPr>
            <w:tcW w:w="1836" w:type="dxa"/>
          </w:tcPr>
          <w:p w14:paraId="760BF43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43A42BF5"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FPI mob caused trouble and set fire to the Ahmadiyya headquarters in </w:t>
            </w:r>
            <w:proofErr w:type="spellStart"/>
            <w:r w:rsidRPr="00A51029">
              <w:rPr>
                <w:rFonts w:cs="Linux Libertine"/>
                <w:color w:val="252525"/>
                <w:lang w:eastAsia="en-GB"/>
                <w14:ligatures w14:val="none"/>
              </w:rPr>
              <w:t>Lubuk</w:t>
            </w:r>
            <w:proofErr w:type="spellEnd"/>
            <w:r w:rsidRPr="00A51029">
              <w:rPr>
                <w:rFonts w:cs="Linux Libertine"/>
                <w:color w:val="252525"/>
                <w:lang w:eastAsia="en-GB"/>
                <w14:ligatures w14:val="none"/>
              </w:rPr>
              <w:t xml:space="preserve"> Pinang District, </w:t>
            </w:r>
            <w:proofErr w:type="spellStart"/>
            <w:r w:rsidRPr="00A51029">
              <w:rPr>
                <w:rFonts w:cs="Linux Libertine"/>
                <w:color w:val="252525"/>
                <w:lang w:eastAsia="en-GB"/>
                <w14:ligatures w14:val="none"/>
              </w:rPr>
              <w:t>Muko-Muko</w:t>
            </w:r>
            <w:proofErr w:type="spellEnd"/>
            <w:r w:rsidRPr="00A51029">
              <w:rPr>
                <w:rFonts w:cs="Linux Libertine"/>
                <w:color w:val="252525"/>
                <w:lang w:eastAsia="en-GB"/>
                <w14:ligatures w14:val="none"/>
              </w:rPr>
              <w:t xml:space="preserve"> Regency, Bengkulu.</w:t>
            </w:r>
          </w:p>
        </w:tc>
      </w:tr>
      <w:tr w:rsidR="00C8473A" w:rsidRPr="00A51029"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5</w:t>
            </w:r>
          </w:p>
        </w:tc>
        <w:tc>
          <w:tcPr>
            <w:tcW w:w="1836" w:type="dxa"/>
          </w:tcPr>
          <w:p w14:paraId="3323DB4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01A02EE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burn down a food stall belonging to members of the Ahmadiyya Congregation in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City,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Mandar Regency, West Sulawesi.</w:t>
            </w:r>
          </w:p>
        </w:tc>
      </w:tr>
      <w:tr w:rsidR="00C8473A" w:rsidRPr="00A51029"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6</w:t>
            </w:r>
          </w:p>
        </w:tc>
        <w:tc>
          <w:tcPr>
            <w:tcW w:w="1836" w:type="dxa"/>
          </w:tcPr>
          <w:p w14:paraId="4CED42F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11, 2011</w:t>
            </w:r>
          </w:p>
        </w:tc>
        <w:tc>
          <w:tcPr>
            <w:tcW w:w="6057" w:type="dxa"/>
          </w:tcPr>
          <w:p w14:paraId="452EF0AC"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Dozens of mobs from the FPI occupy the Al </w:t>
            </w:r>
            <w:proofErr w:type="spellStart"/>
            <w:r w:rsidRPr="00A51029">
              <w:rPr>
                <w:rFonts w:cs="Linux Libertine"/>
                <w:color w:val="252525"/>
                <w:lang w:eastAsia="en-GB"/>
                <w14:ligatures w14:val="none"/>
              </w:rPr>
              <w:t>Ghofur</w:t>
            </w:r>
            <w:proofErr w:type="spellEnd"/>
            <w:r w:rsidRPr="00A51029">
              <w:rPr>
                <w:rFonts w:cs="Linux Libertine"/>
                <w:color w:val="252525"/>
                <w:lang w:eastAsia="en-GB"/>
                <w14:ligatures w14:val="none"/>
              </w:rPr>
              <w:t xml:space="preserve"> Mosque belonging to the Indonesian Ahmadiyya Muslim Community (JAI) in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w:t>
            </w:r>
          </w:p>
        </w:tc>
      </w:tr>
      <w:tr w:rsidR="00C8473A" w:rsidRPr="00A51029"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7</w:t>
            </w:r>
          </w:p>
        </w:tc>
        <w:tc>
          <w:tcPr>
            <w:tcW w:w="1836" w:type="dxa"/>
          </w:tcPr>
          <w:p w14:paraId="1EB475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13, 2011</w:t>
            </w:r>
          </w:p>
        </w:tc>
        <w:tc>
          <w:tcPr>
            <w:tcW w:w="6057" w:type="dxa"/>
          </w:tcPr>
          <w:p w14:paraId="0C07DF8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Ahmadiyya Mosque in </w:t>
            </w:r>
            <w:proofErr w:type="spellStart"/>
            <w:r w:rsidRPr="00A51029">
              <w:rPr>
                <w:rFonts w:cs="Linux Libertine"/>
                <w:color w:val="252525"/>
                <w:lang w:eastAsia="en-GB"/>
                <w14:ligatures w14:val="none"/>
              </w:rPr>
              <w:t>Cisaar</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Cipeuyeum</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Haurwangi</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books and books. A house belonging to an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figure in </w:t>
            </w:r>
            <w:proofErr w:type="spellStart"/>
            <w:r w:rsidRPr="00A51029">
              <w:rPr>
                <w:rFonts w:cs="Linux Libertine"/>
                <w:color w:val="252525"/>
                <w:lang w:eastAsia="en-GB"/>
                <w14:ligatures w14:val="none"/>
              </w:rPr>
              <w:t>Tolenjeng</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Sukagalih</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Sukaratu</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Tasikmalaya</w:t>
            </w:r>
            <w:proofErr w:type="spellEnd"/>
            <w:r w:rsidRPr="00A51029">
              <w:rPr>
                <w:rFonts w:cs="Linux Libertine"/>
                <w:color w:val="252525"/>
                <w:lang w:eastAsia="en-GB"/>
                <w14:ligatures w14:val="none"/>
              </w:rPr>
              <w:t xml:space="preserve"> Regency, was damaged.</w:t>
            </w:r>
          </w:p>
        </w:tc>
      </w:tr>
      <w:tr w:rsidR="00C8473A" w:rsidRPr="00A51029"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8</w:t>
            </w:r>
          </w:p>
        </w:tc>
        <w:tc>
          <w:tcPr>
            <w:tcW w:w="1836" w:type="dxa"/>
          </w:tcPr>
          <w:p w14:paraId="5FD1339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 2, 2011</w:t>
            </w:r>
          </w:p>
        </w:tc>
        <w:tc>
          <w:tcPr>
            <w:tcW w:w="6057" w:type="dxa"/>
          </w:tcPr>
          <w:p w14:paraId="77B63D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Jakarta demands the termination of the film </w:t>
            </w:r>
            <w:proofErr w:type="spellStart"/>
            <w:r w:rsidRPr="00A51029">
              <w:rPr>
                <w:rFonts w:cs="Linux Libertine"/>
                <w:color w:val="252525"/>
                <w:lang w:eastAsia="en-GB"/>
                <w14:ligatures w14:val="none"/>
              </w:rPr>
              <w:t>Pocong</w:t>
            </w:r>
            <w:proofErr w:type="spellEnd"/>
            <w:r w:rsidRPr="00A51029">
              <w:rPr>
                <w:rFonts w:cs="Linux Libertine"/>
                <w:color w:val="252525"/>
                <w:lang w:eastAsia="en-GB"/>
                <w14:ligatures w14:val="none"/>
              </w:rPr>
              <w:t xml:space="preserve"> Mandi </w:t>
            </w:r>
            <w:proofErr w:type="spellStart"/>
            <w:r w:rsidRPr="00A51029">
              <w:rPr>
                <w:rFonts w:cs="Linux Libertine"/>
                <w:color w:val="252525"/>
                <w:lang w:eastAsia="en-GB"/>
                <w14:ligatures w14:val="none"/>
              </w:rPr>
              <w:t>Goyang</w:t>
            </w:r>
            <w:proofErr w:type="spellEnd"/>
            <w:r w:rsidRPr="00A51029">
              <w:rPr>
                <w:rFonts w:cs="Linux Libertine"/>
                <w:color w:val="252525"/>
                <w:lang w:eastAsia="en-GB"/>
                <w14:ligatures w14:val="none"/>
              </w:rPr>
              <w:t xml:space="preserve"> Hip, starring Hollywood porn actress, Sasha Grey.</w:t>
            </w:r>
          </w:p>
        </w:tc>
      </w:tr>
      <w:tr w:rsidR="00C8473A" w:rsidRPr="00A51029"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lastRenderedPageBreak/>
              <w:t>9</w:t>
            </w:r>
          </w:p>
        </w:tc>
        <w:tc>
          <w:tcPr>
            <w:tcW w:w="1836" w:type="dxa"/>
          </w:tcPr>
          <w:p w14:paraId="213EBA9C"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July 26, 2011</w:t>
            </w:r>
          </w:p>
        </w:tc>
        <w:tc>
          <w:tcPr>
            <w:tcW w:w="6057" w:type="dxa"/>
          </w:tcPr>
          <w:p w14:paraId="7E89BD39"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vandalize a transgender meeting place in </w:t>
            </w:r>
            <w:proofErr w:type="spellStart"/>
            <w:r w:rsidRPr="00A51029">
              <w:rPr>
                <w:rFonts w:cs="Linux Libertine"/>
                <w:color w:val="252525"/>
                <w:lang w:eastAsia="en-GB"/>
                <w14:ligatures w14:val="none"/>
              </w:rPr>
              <w:t>Purwokerto</w:t>
            </w:r>
            <w:proofErr w:type="spellEnd"/>
            <w:r w:rsidRPr="00A51029">
              <w:rPr>
                <w:rFonts w:cs="Linux Libertine"/>
                <w:color w:val="252525"/>
                <w:lang w:eastAsia="en-GB"/>
                <w14:ligatures w14:val="none"/>
              </w:rPr>
              <w:t>, Central Java.</w:t>
            </w:r>
          </w:p>
        </w:tc>
      </w:tr>
      <w:tr w:rsidR="00C8473A" w:rsidRPr="00A51029"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10</w:t>
            </w:r>
          </w:p>
        </w:tc>
        <w:tc>
          <w:tcPr>
            <w:tcW w:w="1836" w:type="dxa"/>
          </w:tcPr>
          <w:p w14:paraId="09D3688A"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8, 2011</w:t>
            </w:r>
          </w:p>
        </w:tc>
        <w:tc>
          <w:tcPr>
            <w:tcW w:w="6057" w:type="dxa"/>
          </w:tcPr>
          <w:p w14:paraId="0E5E2F2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members ransacked the </w:t>
            </w:r>
            <w:proofErr w:type="spellStart"/>
            <w:r w:rsidRPr="00A51029">
              <w:rPr>
                <w:rFonts w:cs="Linux Libertine"/>
                <w:color w:val="252525"/>
                <w:lang w:eastAsia="en-GB"/>
                <w14:ligatures w14:val="none"/>
              </w:rPr>
              <w:t>Coto</w:t>
            </w:r>
            <w:proofErr w:type="spellEnd"/>
            <w:r w:rsidRPr="00A51029">
              <w:rPr>
                <w:rFonts w:cs="Linux Libertine"/>
                <w:color w:val="252525"/>
                <w:lang w:eastAsia="en-GB"/>
                <w14:ligatures w14:val="none"/>
              </w:rPr>
              <w:t xml:space="preserve"> Makassar shop on Jl. AP </w:t>
            </w:r>
            <w:proofErr w:type="spellStart"/>
            <w:r w:rsidRPr="00A51029">
              <w:rPr>
                <w:rFonts w:cs="Linux Libertine"/>
                <w:color w:val="252525"/>
                <w:lang w:eastAsia="en-GB"/>
                <w14:ligatures w14:val="none"/>
              </w:rPr>
              <w:t>Pettarani</w:t>
            </w:r>
            <w:proofErr w:type="spellEnd"/>
            <w:r w:rsidRPr="00A51029">
              <w:rPr>
                <w:rFonts w:cs="Linux Libertine"/>
                <w:color w:val="252525"/>
                <w:lang w:eastAsia="en-GB"/>
                <w14:ligatures w14:val="none"/>
              </w:rPr>
              <w:t xml:space="preserve">, Makassar for remaining open during the day during the fasting month. August 8 FPI mob destroys Rudi and </w:t>
            </w:r>
            <w:proofErr w:type="spellStart"/>
            <w:r w:rsidRPr="00A51029">
              <w:rPr>
                <w:rFonts w:cs="Linux Libertine"/>
                <w:color w:val="252525"/>
                <w:lang w:eastAsia="en-GB"/>
                <w14:ligatures w14:val="none"/>
              </w:rPr>
              <w:t>Hajjah</w:t>
            </w:r>
            <w:proofErr w:type="spellEnd"/>
            <w:r w:rsidRPr="00A51029">
              <w:rPr>
                <w:rFonts w:cs="Linux Libertine"/>
                <w:color w:val="252525"/>
                <w:lang w:eastAsia="en-GB"/>
                <w14:ligatures w14:val="none"/>
              </w:rPr>
              <w:t xml:space="preserve"> </w:t>
            </w:r>
            <w:proofErr w:type="spellStart"/>
            <w:r w:rsidRPr="00A51029">
              <w:rPr>
                <w:rFonts w:cs="Linux Libertine"/>
                <w:color w:val="252525"/>
                <w:lang w:eastAsia="en-GB"/>
                <w14:ligatures w14:val="none"/>
              </w:rPr>
              <w:t>Adriani's</w:t>
            </w:r>
            <w:proofErr w:type="spellEnd"/>
            <w:r w:rsidRPr="00A51029">
              <w:rPr>
                <w:rFonts w:cs="Linux Libertine"/>
                <w:color w:val="252525"/>
                <w:lang w:eastAsia="en-GB"/>
                <w14:ligatures w14:val="none"/>
              </w:rPr>
              <w:t xml:space="preserve"> food stall.</w:t>
            </w:r>
          </w:p>
        </w:tc>
      </w:tr>
      <w:tr w:rsidR="00C8473A" w:rsidRPr="00A51029"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11</w:t>
            </w:r>
          </w:p>
        </w:tc>
        <w:tc>
          <w:tcPr>
            <w:tcW w:w="1836" w:type="dxa"/>
          </w:tcPr>
          <w:p w14:paraId="3E291AA7"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12, 2011</w:t>
            </w:r>
          </w:p>
        </w:tc>
        <w:tc>
          <w:tcPr>
            <w:tcW w:w="6057" w:type="dxa"/>
          </w:tcPr>
          <w:p w14:paraId="49F04C5D"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destroy a food stall owned by Topaz Makassar Restaurant.[3]</w:t>
            </w:r>
          </w:p>
        </w:tc>
      </w:tr>
      <w:tr w:rsidR="00C8473A" w:rsidRPr="00A51029"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12</w:t>
            </w:r>
          </w:p>
        </w:tc>
        <w:tc>
          <w:tcPr>
            <w:tcW w:w="1836" w:type="dxa"/>
          </w:tcPr>
          <w:p w14:paraId="1308B7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13, 2011</w:t>
            </w:r>
          </w:p>
        </w:tc>
        <w:tc>
          <w:tcPr>
            <w:tcW w:w="6057" w:type="dxa"/>
          </w:tcPr>
          <w:p w14:paraId="5074FC93"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create trouble and burn the Ahmadiyya headquarters in Makassar.</w:t>
            </w:r>
          </w:p>
        </w:tc>
      </w:tr>
      <w:tr w:rsidR="00C8473A" w:rsidRPr="00A51029"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13</w:t>
            </w:r>
          </w:p>
        </w:tc>
        <w:tc>
          <w:tcPr>
            <w:tcW w:w="1836" w:type="dxa"/>
          </w:tcPr>
          <w:p w14:paraId="1C17AC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14, 2011</w:t>
            </w:r>
          </w:p>
        </w:tc>
        <w:tc>
          <w:tcPr>
            <w:tcW w:w="6057" w:type="dxa"/>
          </w:tcPr>
          <w:p w14:paraId="533CBCC2"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 destroys a mother's food stall in </w:t>
            </w:r>
            <w:proofErr w:type="spellStart"/>
            <w:r w:rsidRPr="00A51029">
              <w:rPr>
                <w:rFonts w:cs="Linux Libertine"/>
                <w:color w:val="252525"/>
                <w:lang w:eastAsia="en-GB"/>
                <w14:ligatures w14:val="none"/>
              </w:rPr>
              <w:t>Ciamis</w:t>
            </w:r>
            <w:proofErr w:type="spellEnd"/>
            <w:r w:rsidRPr="00A51029">
              <w:rPr>
                <w:rFonts w:cs="Linux Libertine"/>
                <w:color w:val="252525"/>
                <w:lang w:eastAsia="en-GB"/>
                <w14:ligatures w14:val="none"/>
              </w:rPr>
              <w:t>.[3]</w:t>
            </w:r>
          </w:p>
        </w:tc>
      </w:tr>
      <w:tr w:rsidR="00C8473A" w:rsidRPr="00A51029"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14</w:t>
            </w:r>
          </w:p>
        </w:tc>
        <w:tc>
          <w:tcPr>
            <w:tcW w:w="1836" w:type="dxa"/>
          </w:tcPr>
          <w:p w14:paraId="6B99BA1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20, 2011</w:t>
            </w:r>
          </w:p>
        </w:tc>
        <w:tc>
          <w:tcPr>
            <w:tcW w:w="6057" w:type="dxa"/>
          </w:tcPr>
          <w:p w14:paraId="03862B0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sweep a food stall selling their wares during the day in the </w:t>
            </w:r>
            <w:proofErr w:type="spellStart"/>
            <w:r w:rsidRPr="00A51029">
              <w:rPr>
                <w:rFonts w:cs="Linux Libertine"/>
                <w:color w:val="252525"/>
                <w:lang w:eastAsia="en-GB"/>
                <w14:ligatures w14:val="none"/>
              </w:rPr>
              <w:t>Puncak</w:t>
            </w:r>
            <w:proofErr w:type="spellEnd"/>
            <w:r w:rsidRPr="00A51029">
              <w:rPr>
                <w:rFonts w:cs="Linux Libertine"/>
                <w:color w:val="252525"/>
                <w:lang w:eastAsia="en-GB"/>
                <w14:ligatures w14:val="none"/>
              </w:rPr>
              <w:t xml:space="preserve"> Bogor area, West Java. The action</w:t>
            </w:r>
          </w:p>
        </w:tc>
      </w:tr>
      <w:tr w:rsidR="00C8473A" w:rsidRPr="00A51029"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15</w:t>
            </w:r>
          </w:p>
        </w:tc>
        <w:tc>
          <w:tcPr>
            <w:tcW w:w="1836" w:type="dxa"/>
          </w:tcPr>
          <w:p w14:paraId="5900B12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22, 2015</w:t>
            </w:r>
          </w:p>
        </w:tc>
        <w:tc>
          <w:tcPr>
            <w:tcW w:w="6057" w:type="dxa"/>
          </w:tcPr>
          <w:p w14:paraId="0A9920CE"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demonstrates pressure on court when Ahok is in the Appeal court of East Jakarta.</w:t>
            </w:r>
          </w:p>
        </w:tc>
      </w:tr>
      <w:tr w:rsidR="00C8473A" w:rsidRPr="00A51029"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16</w:t>
            </w:r>
          </w:p>
        </w:tc>
        <w:tc>
          <w:tcPr>
            <w:tcW w:w="1836" w:type="dxa"/>
          </w:tcPr>
          <w:p w14:paraId="287B1217"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24, 2015</w:t>
            </w:r>
          </w:p>
        </w:tc>
        <w:tc>
          <w:tcPr>
            <w:tcW w:w="6057" w:type="dxa"/>
          </w:tcPr>
          <w:p w14:paraId="1471B8C0"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Reject Ahok, Jakarta Community Movement and FPI Front Siege DKI DPRD Office.</w:t>
            </w:r>
          </w:p>
        </w:tc>
      </w:tr>
      <w:tr w:rsidR="00C8473A" w:rsidRPr="00A51029"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17</w:t>
            </w:r>
          </w:p>
        </w:tc>
        <w:tc>
          <w:tcPr>
            <w:tcW w:w="1836" w:type="dxa"/>
          </w:tcPr>
          <w:p w14:paraId="7ECC5AE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April 8, 2015</w:t>
            </w:r>
          </w:p>
        </w:tc>
        <w:tc>
          <w:tcPr>
            <w:tcW w:w="6057" w:type="dxa"/>
          </w:tcPr>
          <w:p w14:paraId="00C7AB9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runs public pressure that GAFATAR Members Should Be Sentenced to Death.</w:t>
            </w:r>
          </w:p>
        </w:tc>
      </w:tr>
      <w:tr w:rsidR="00C8473A" w:rsidRPr="00A51029"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18</w:t>
            </w:r>
          </w:p>
        </w:tc>
        <w:tc>
          <w:tcPr>
            <w:tcW w:w="1836" w:type="dxa"/>
          </w:tcPr>
          <w:p w14:paraId="79E27C5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June 12, 2015</w:t>
            </w:r>
          </w:p>
        </w:tc>
        <w:tc>
          <w:tcPr>
            <w:tcW w:w="6057" w:type="dxa"/>
          </w:tcPr>
          <w:p w14:paraId="00C84716"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Residents to raid Ahmadiyya Congregation in </w:t>
            </w:r>
            <w:proofErr w:type="spellStart"/>
            <w:r w:rsidRPr="00A51029">
              <w:rPr>
                <w:rFonts w:cs="Linux Libertine"/>
                <w:color w:val="252525"/>
                <w:lang w:eastAsia="en-GB"/>
                <w14:ligatures w14:val="none"/>
              </w:rPr>
              <w:t>Tebet</w:t>
            </w:r>
            <w:proofErr w:type="spellEnd"/>
            <w:r w:rsidRPr="00A51029">
              <w:rPr>
                <w:rFonts w:cs="Linux Libertine"/>
                <w:color w:val="252525"/>
                <w:lang w:eastAsia="en-GB"/>
                <w14:ligatures w14:val="none"/>
              </w:rPr>
              <w:t>.</w:t>
            </w:r>
          </w:p>
        </w:tc>
      </w:tr>
    </w:tbl>
    <w:p w14:paraId="40624710" w14:textId="77777777" w:rsidR="00C8473A" w:rsidRPr="00A51029" w:rsidRDefault="00C8473A" w:rsidP="00C8473A">
      <w:pPr>
        <w:jc w:val="both"/>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 collected by the author from various sources.</w:t>
      </w:r>
    </w:p>
    <w:p w14:paraId="154D0CB7" w14:textId="77777777" w:rsidR="00C8473A" w:rsidRPr="00A51029" w:rsidRDefault="00C8473A" w:rsidP="00C8473A">
      <w:pPr>
        <w:pStyle w:val="ParagraphNormal"/>
        <w:rPr>
          <w:rFonts w:cs="Linux Libertine"/>
          <w:lang w:val="en-US" w:eastAsia="en-GB" w:bidi="ar-SA"/>
        </w:rPr>
      </w:pPr>
    </w:p>
    <w:p w14:paraId="47ED86D2"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w:t>
      </w:r>
      <w:r w:rsidRPr="00A51029">
        <w:rPr>
          <w:rFonts w:cs="Linux Libertine"/>
          <w:lang w:val="en-US" w:eastAsia="en-GB" w:bidi="ar-SA"/>
        </w:rPr>
        <w:lastRenderedPageBreak/>
        <w:t>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4E35E23D" w14:textId="0177A813" w:rsidR="00441CCC" w:rsidRPr="00A51029" w:rsidRDefault="00601A07" w:rsidP="00A16CBB">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077000F0" w14:textId="77777777" w:rsidR="00441CCC" w:rsidRPr="00A51029" w:rsidRDefault="00441CCC" w:rsidP="00441CCC">
      <w:pPr>
        <w:rPr>
          <w:rFonts w:cs="Linux Libertine"/>
        </w:rPr>
      </w:pPr>
    </w:p>
    <w:p w14:paraId="4EA24988" w14:textId="77777777" w:rsidR="00C8473A" w:rsidRPr="00A51029" w:rsidRDefault="00C8473A" w:rsidP="00C8473A">
      <w:pPr>
        <w:pStyle w:val="ParagraphafSubheader"/>
        <w:ind w:firstLine="540"/>
        <w:rPr>
          <w:rFonts w:cs="Linux Libertine"/>
          <w:lang w:eastAsia="en-GB" w:bidi="ar-SA"/>
        </w:rPr>
      </w:pPr>
      <w:r w:rsidRPr="00A51029">
        <w:rPr>
          <w:rFonts w:cs="Linux Libertine"/>
          <w:lang w:eastAsia="en-GB" w:bidi="ar-SA"/>
        </w:rPr>
        <w:t>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A51029">
        <w:rPr>
          <w:rFonts w:cs="Linux Libertine"/>
          <w:lang w:eastAsia="en-GB" w:bidi="ar-SA"/>
        </w:rPr>
        <w:t>hardline</w:t>
      </w:r>
      <w:proofErr w:type="spellEnd"/>
      <w:r w:rsidRPr="00A51029">
        <w:rPr>
          <w:rFonts w:cs="Linux Libertine"/>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Unlike the Ahok case, which has a political undertone, the Ahmadiyya case is distinct from other blasphemy cases in Indonesia. The Ahmadiyya can be classified as a splinter Islamic group. In the case of Ahok, Ahok is a member of the Christian </w:t>
      </w:r>
      <w:r w:rsidRPr="00A51029">
        <w:rPr>
          <w:rFonts w:cs="Linux Libertine"/>
          <w:lang w:eastAsia="en-GB" w:bidi="ar-SA"/>
        </w:rPr>
        <w:lastRenderedPageBreak/>
        <w:t>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6B953DD4"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The growth of the </w:t>
      </w:r>
      <w:r w:rsidR="00660AB6">
        <w:rPr>
          <w:rFonts w:cs="Linux Libertine"/>
          <w:i/>
          <w:iCs/>
          <w:lang w:eastAsia="en-GB" w:bidi="ar-SA"/>
        </w:rPr>
        <w:t>vigilantism</w:t>
      </w:r>
      <w:r w:rsidRPr="00A51029">
        <w:rPr>
          <w:rFonts w:cs="Linux Libertine"/>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 </w:t>
      </w:r>
    </w:p>
    <w:p w14:paraId="3CDD6379" w14:textId="0580F9AF" w:rsidR="00441CCC" w:rsidRPr="00A51029" w:rsidRDefault="00C8473A" w:rsidP="00C8473A">
      <w:pPr>
        <w:rPr>
          <w:rFonts w:cs="Linux Libertine"/>
        </w:rPr>
      </w:pPr>
      <w:r w:rsidRPr="00A51029">
        <w:rPr>
          <w:rFonts w:cs="Linux Libertine"/>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A51029">
        <w:rPr>
          <w:rFonts w:cs="Linux Libertine"/>
        </w:rPr>
        <w:t>community</w:t>
      </w:r>
    </w:p>
    <w:p w14:paraId="25FA6068" w14:textId="77777777" w:rsidR="00441CCC" w:rsidRPr="00A51029" w:rsidRDefault="00441CCC" w:rsidP="00441CCC">
      <w:pPr>
        <w:rPr>
          <w:rFonts w:cs="Linux Libertine"/>
        </w:rPr>
      </w:pPr>
    </w:p>
    <w:p w14:paraId="74493C62" w14:textId="77777777" w:rsidR="00441CCC" w:rsidRPr="00A51029" w:rsidRDefault="00441CCC" w:rsidP="00441CCC">
      <w:pPr>
        <w:rPr>
          <w:rFonts w:cs="Linux Libertine"/>
        </w:rPr>
      </w:pPr>
    </w:p>
    <w:p w14:paraId="3225E96A" w14:textId="77777777" w:rsidR="00441CCC" w:rsidRPr="00A51029" w:rsidRDefault="00441CCC" w:rsidP="00441CCC">
      <w:pPr>
        <w:rPr>
          <w:rFonts w:cs="Linux Libertine"/>
        </w:rPr>
      </w:pPr>
    </w:p>
    <w:p w14:paraId="6867311A" w14:textId="77777777" w:rsidR="00441CCC" w:rsidRPr="00A51029" w:rsidRDefault="00441CCC" w:rsidP="00441CCC">
      <w:pPr>
        <w:rPr>
          <w:rFonts w:cs="Linux Libertine"/>
        </w:rPr>
      </w:pPr>
    </w:p>
    <w:p w14:paraId="274BB511" w14:textId="77777777" w:rsidR="00441CCC" w:rsidRPr="00A51029" w:rsidRDefault="00441CCC" w:rsidP="00441CCC">
      <w:pPr>
        <w:rPr>
          <w:rFonts w:cs="Linux Libertine"/>
        </w:rPr>
      </w:pPr>
    </w:p>
    <w:p w14:paraId="01DEA182" w14:textId="77777777" w:rsidR="00441CCC" w:rsidRPr="00A51029" w:rsidRDefault="00441CCC" w:rsidP="00441CCC">
      <w:pPr>
        <w:rPr>
          <w:rFonts w:cs="Linux Libertine"/>
        </w:rPr>
      </w:pPr>
    </w:p>
    <w:p w14:paraId="32DF8CD7" w14:textId="77777777" w:rsidR="00441CCC" w:rsidRPr="00A51029" w:rsidRDefault="00441CCC" w:rsidP="00441CCC">
      <w:pPr>
        <w:rPr>
          <w:rFonts w:cs="Linux Libertine"/>
        </w:rPr>
      </w:pP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1E025C4A" w14:textId="77777777" w:rsidR="00B84201" w:rsidRPr="00A51029" w:rsidRDefault="000865BE" w:rsidP="00CC45BD">
      <w:pPr>
        <w:pStyle w:val="Heading1"/>
        <w:rPr>
          <w:rFonts w:cs="Linux Libertine"/>
        </w:rPr>
      </w:pPr>
      <w:r w:rsidRPr="00A51029">
        <w:rPr>
          <w:rFonts w:cs="Linux Libertine"/>
        </w:rPr>
        <w:t xml:space="preserve">EXAMINATION OF STATE AND RELIGION RELATIONSHIP IN INDONESIA </w:t>
      </w:r>
      <w:r w:rsidR="00B84201" w:rsidRPr="00A51029">
        <w:rPr>
          <w:rFonts w:cs="Linux Libertine"/>
        </w:rPr>
        <w:t>FOLLOWING</w:t>
      </w:r>
      <w:r w:rsidRPr="00A51029">
        <w:rPr>
          <w:rFonts w:cs="Linux Libertine"/>
        </w:rPr>
        <w:t xml:space="preserve"> </w:t>
      </w:r>
    </w:p>
    <w:p w14:paraId="635181B0" w14:textId="6EDFE288" w:rsidR="00441CCC" w:rsidRPr="00A51029" w:rsidRDefault="000865BE" w:rsidP="00CC45BD">
      <w:pPr>
        <w:pStyle w:val="Heading1"/>
        <w:rPr>
          <w:rFonts w:cs="Linux Libertine"/>
        </w:rPr>
      </w:pPr>
      <w:r w:rsidRPr="00A51029">
        <w:rPr>
          <w:rFonts w:cs="Linux Libertine"/>
        </w:rPr>
        <w:t>THE ENFORCEMENT OF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77777777" w:rsidR="00C1240E" w:rsidRPr="00A51029" w:rsidRDefault="00C1240E" w:rsidP="00C1240E">
      <w:pPr>
        <w:rPr>
          <w:rFonts w:cs="Linux Libertine"/>
        </w:rPr>
      </w:pPr>
    </w:p>
    <w:p w14:paraId="5722E062" w14:textId="77777777"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w:t>
      </w:r>
      <w:r w:rsidRPr="00A51029">
        <w:rPr>
          <w:rFonts w:cs="Linux Libertine"/>
        </w:rPr>
        <w:lastRenderedPageBreak/>
        <w:t>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A51029">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 xml:space="preserve">The connection between </w:t>
      </w:r>
      <w:r w:rsidRPr="00A51029">
        <w:rPr>
          <w:rFonts w:cs="Linux Libertine"/>
        </w:rPr>
        <w:lastRenderedPageBreak/>
        <w:t>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1BE50064" w:rsidR="00C1240E" w:rsidRPr="00A51029" w:rsidRDefault="00C1240E" w:rsidP="00C1240E">
      <w:pPr>
        <w:pStyle w:val="Heading2"/>
        <w:rPr>
          <w:rFonts w:cs="Linux Libertine"/>
        </w:rPr>
      </w:pPr>
      <w:r w:rsidRPr="00A51029">
        <w:rPr>
          <w:rFonts w:cs="Linux Libertine"/>
        </w:rPr>
        <w:t xml:space="preserve">6.2 </w:t>
      </w:r>
      <w:r w:rsidRPr="00A51029">
        <w:rPr>
          <w:rFonts w:cs="Linux Libertine"/>
        </w:rPr>
        <w:tab/>
        <w:t>State and Religion Relationship</w:t>
      </w:r>
      <w:r w:rsidR="00B84201" w:rsidRPr="00A51029">
        <w:rPr>
          <w:rFonts w:cs="Linux Libertine"/>
        </w:rPr>
        <w:t xml:space="preserve"> and its types</w:t>
      </w:r>
    </w:p>
    <w:p w14:paraId="0823C1F6" w14:textId="0B663D5A"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496D7D" w:rsidRPr="00A51029">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F6E03" w:rsidRPr="00A51029">
        <w:rPr>
          <w:rFonts w:cs="Linux Libertine"/>
        </w:rPr>
        <w:t>(An-Naim 2008; C.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lastRenderedPageBreak/>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A51029">
        <w:rPr>
          <w:rFonts w:cs="Linux Libertine"/>
        </w:rPr>
        <w:fldChar w:fldCharType="begin"/>
      </w:r>
      <w:r w:rsidR="00496D7D" w:rsidRPr="00A51029">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A51029">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5"/>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6"/>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7"/>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8"/>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9"/>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11"/>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13"/>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5"/>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7"/>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8"/>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9"/>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20"/>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21"/>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22"/>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23"/>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4"/>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5"/>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6"/>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6CE5EB53"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496D7D" w:rsidRPr="00A51029">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1C0DD5FE" w:rsidR="0025471E" w:rsidRPr="00A51029" w:rsidRDefault="00852047" w:rsidP="00852047">
      <w:pPr>
        <w:pStyle w:val="Heading2"/>
        <w:spacing w:line="360" w:lineRule="auto"/>
        <w:rPr>
          <w:rFonts w:cs="Linux Libertine"/>
        </w:rPr>
      </w:pPr>
      <w:r w:rsidRPr="00A51029">
        <w:rPr>
          <w:rFonts w:cs="Linux Libertine"/>
        </w:rPr>
        <w:t xml:space="preserve">7.2. </w:t>
      </w:r>
      <w:r w:rsidR="00B711DE" w:rsidRPr="00A51029">
        <w:rPr>
          <w:rFonts w:cs="Linux Libertine"/>
        </w:rPr>
        <w:t>Upholding the Rule of Law to Fully Protect the Right to FoRB</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A51029" w:rsidRDefault="00257C00" w:rsidP="00257C00">
      <w:pPr>
        <w:spacing w:line="360" w:lineRule="auto"/>
        <w:jc w:val="both"/>
        <w:rPr>
          <w:rFonts w:cs="Linux Libertine"/>
          <w:color w:val="70AD47" w:themeColor="accent6"/>
        </w:rPr>
      </w:pPr>
    </w:p>
    <w:p w14:paraId="6DF8ABA8" w14:textId="592E5185" w:rsidR="0025471E" w:rsidRPr="00A51029" w:rsidRDefault="00257C00" w:rsidP="00257C00">
      <w:pPr>
        <w:spacing w:line="360" w:lineRule="auto"/>
        <w:jc w:val="both"/>
        <w:rPr>
          <w:rFonts w:cs="Linux Libertine"/>
          <w:color w:val="70AD47" w:themeColor="accent6"/>
        </w:rPr>
      </w:pPr>
      <w:r w:rsidRPr="00A51029">
        <w:rPr>
          <w:rFonts w:cs="Linux Libertine"/>
          <w:color w:val="70AD47" w:themeColor="accent6"/>
        </w:rPr>
        <w:t xml:space="preserve">Thirdly, the country's laws, including the Anti-Blasphemy Law, should not be based on recommendations from certain religious organizations. This is to prevent the </w:t>
      </w:r>
      <w:r w:rsidRPr="00A51029">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Pr="00A51029" w:rsidRDefault="000C21FD" w:rsidP="008E18FF">
      <w:pPr>
        <w:spacing w:line="360" w:lineRule="auto"/>
        <w:ind w:firstLine="720"/>
        <w:rPr>
          <w:rFonts w:cs="Linux Libertine"/>
        </w:rPr>
      </w:pPr>
      <w:r w:rsidRPr="00A51029">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Pr="00A51029" w:rsidRDefault="000C21FD" w:rsidP="008E18FF">
      <w:pPr>
        <w:spacing w:line="360" w:lineRule="auto"/>
        <w:ind w:firstLine="720"/>
        <w:rPr>
          <w:rFonts w:cs="Linux Libertine"/>
          <w:color w:val="70AD47" w:themeColor="accent6"/>
        </w:rPr>
      </w:pPr>
      <w:r w:rsidRPr="00A51029">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 xml:space="preserve">(Lindsey and Butt 2016; </w:t>
      </w:r>
      <w:proofErr w:type="spellStart"/>
      <w:r w:rsidR="00CF1468" w:rsidRPr="00A51029">
        <w:rPr>
          <w:rFonts w:cs="Linux Libertine"/>
        </w:rPr>
        <w:t>Mietzner</w:t>
      </w:r>
      <w:proofErr w:type="spellEnd"/>
      <w:r w:rsidR="00CF1468" w:rsidRPr="00A51029">
        <w:rPr>
          <w:rFonts w:cs="Linux Libertine"/>
        </w:rPr>
        <w:t xml:space="preserve"> and </w:t>
      </w:r>
      <w:proofErr w:type="spellStart"/>
      <w:r w:rsidR="00CF1468" w:rsidRPr="00A51029">
        <w:rPr>
          <w:rFonts w:cs="Linux Libertine"/>
        </w:rPr>
        <w:t>Muhtadi</w:t>
      </w:r>
      <w:proofErr w:type="spellEnd"/>
      <w:r w:rsidR="00CF1468" w:rsidRPr="00A51029">
        <w:rPr>
          <w:rFonts w:cs="Linux Libertine"/>
        </w:rPr>
        <w:t xml:space="preserve">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7"/>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8"/>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9"/>
      </w:r>
      <w:r w:rsidRPr="00A51029">
        <w:rPr>
          <w:rFonts w:cs="Linux Libertine"/>
        </w:rPr>
        <w:t xml:space="preserve"> and the fear of the spread of communism.</w:t>
      </w:r>
      <w:r w:rsidRPr="00A51029">
        <w:rPr>
          <w:rStyle w:val="FootnoteReference"/>
          <w:rFonts w:cs="Linux Libertine"/>
        </w:rPr>
        <w:footnoteReference w:id="130"/>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678FF6F9" w14:textId="77777777" w:rsidR="00A51029" w:rsidRPr="00A51029" w:rsidRDefault="00496D7D" w:rsidP="00A51029">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proofErr w:type="spellStart"/>
      <w:r w:rsidR="00A51029" w:rsidRPr="00A51029">
        <w:rPr>
          <w:rFonts w:cs="Linux Libertine"/>
          <w:color w:val="auto"/>
          <w:lang w:val="en-GB"/>
        </w:rPr>
        <w:t>Anđelković</w:t>
      </w:r>
      <w:proofErr w:type="spellEnd"/>
      <w:r w:rsidR="00A51029" w:rsidRPr="00A51029">
        <w:rPr>
          <w:rFonts w:cs="Linux Libertine"/>
          <w:color w:val="auto"/>
          <w:lang w:val="en-GB"/>
        </w:rPr>
        <w:t xml:space="preserve">, Luka. 2017. “The Elements of Proportionality  As A Principle of Human Rights Limitations.” </w:t>
      </w:r>
      <w:proofErr w:type="spellStart"/>
      <w:r w:rsidR="00A51029" w:rsidRPr="00A51029">
        <w:rPr>
          <w:rFonts w:cs="Linux Libertine"/>
          <w:i/>
          <w:iCs/>
          <w:color w:val="auto"/>
          <w:lang w:val="en-GB"/>
        </w:rPr>
        <w:t>Facta</w:t>
      </w:r>
      <w:proofErr w:type="spellEnd"/>
      <w:r w:rsidR="00A51029" w:rsidRPr="00A51029">
        <w:rPr>
          <w:rFonts w:cs="Linux Libertine"/>
          <w:i/>
          <w:iCs/>
          <w:color w:val="auto"/>
          <w:lang w:val="en-GB"/>
        </w:rPr>
        <w:t xml:space="preserve"> Universitatis, Series: Law and Politics</w:t>
      </w:r>
      <w:r w:rsidR="00A51029" w:rsidRPr="00A51029">
        <w:rPr>
          <w:rFonts w:cs="Linux Libertine"/>
          <w:color w:val="auto"/>
          <w:lang w:val="en-GB"/>
        </w:rPr>
        <w:t>, 235. https://doi.org/10.22190/fulp1703235a.</w:t>
      </w:r>
    </w:p>
    <w:p w14:paraId="1902A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An-</w:t>
      </w:r>
      <w:proofErr w:type="spellStart"/>
      <w:r w:rsidRPr="00A51029">
        <w:rPr>
          <w:rFonts w:cs="Linux Libertine"/>
          <w:color w:val="auto"/>
          <w:lang w:val="en-GB"/>
        </w:rPr>
        <w:t>Naim</w:t>
      </w:r>
      <w:proofErr w:type="spellEnd"/>
      <w:r w:rsidRPr="00A51029">
        <w:rPr>
          <w:rFonts w:cs="Linux Libertine"/>
          <w:color w:val="auto"/>
          <w:lang w:val="en-GB"/>
        </w:rPr>
        <w:t xml:space="preserve">, Abdullahi Ahmed. 2008. </w:t>
      </w:r>
      <w:r w:rsidRPr="00A51029">
        <w:rPr>
          <w:rFonts w:cs="Linux Libertine"/>
          <w:i/>
          <w:iCs/>
          <w:color w:val="auto"/>
          <w:lang w:val="en-GB"/>
        </w:rPr>
        <w:t xml:space="preserve">Islam and the Secular State: Negotiating the Future of </w:t>
      </w:r>
      <w:proofErr w:type="spellStart"/>
      <w:r w:rsidRPr="00A51029">
        <w:rPr>
          <w:rFonts w:cs="Linux Libertine"/>
          <w:i/>
          <w:iCs/>
          <w:color w:val="auto"/>
          <w:lang w:val="en-GB"/>
        </w:rPr>
        <w:t>Shari’a</w:t>
      </w:r>
      <w:proofErr w:type="spellEnd"/>
      <w:r w:rsidRPr="00A51029">
        <w:rPr>
          <w:rFonts w:cs="Linux Libertine"/>
          <w:color w:val="auto"/>
          <w:lang w:val="en-GB"/>
        </w:rPr>
        <w:t>. Harvard University Press.</w:t>
      </w:r>
    </w:p>
    <w:p w14:paraId="158C0B3C"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Arato</w:t>
      </w:r>
      <w:proofErr w:type="spellEnd"/>
      <w:r w:rsidRPr="00A51029">
        <w:rPr>
          <w:rFonts w:cs="Linux Libertine"/>
          <w:color w:val="auto"/>
          <w:lang w:val="en-GB"/>
        </w:rPr>
        <w:t xml:space="preserve">, J. 2012. “Constitutionality and Constitutionalism beyond the State: Two Perspectives on the Material Constitution of the United Nations.” </w:t>
      </w:r>
      <w:r w:rsidRPr="00A51029">
        <w:rPr>
          <w:rFonts w:cs="Linux Libertine"/>
          <w:i/>
          <w:iCs/>
          <w:color w:val="auto"/>
          <w:lang w:val="en-GB"/>
        </w:rPr>
        <w:t>International Journal of Constitutional Law</w:t>
      </w:r>
      <w:r w:rsidRPr="00A51029">
        <w:rPr>
          <w:rFonts w:cs="Linux Libertine"/>
          <w:color w:val="auto"/>
          <w:lang w:val="en-GB"/>
        </w:rPr>
        <w:t xml:space="preserve"> 10 (3): 627–59. https://doi.org/10.1093/icon/mor079.</w:t>
      </w:r>
    </w:p>
    <w:p w14:paraId="3897C03C"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Arief</w:t>
      </w:r>
      <w:proofErr w:type="spellEnd"/>
      <w:r w:rsidRPr="00A51029">
        <w:rPr>
          <w:rFonts w:cs="Linux Libertine"/>
          <w:color w:val="auto"/>
          <w:lang w:val="en-GB"/>
        </w:rPr>
        <w:t xml:space="preserve">, B.N. 2012. </w:t>
      </w:r>
      <w:proofErr w:type="spellStart"/>
      <w:r w:rsidRPr="00A51029">
        <w:rPr>
          <w:rFonts w:cs="Linux Libertine"/>
          <w:i/>
          <w:iCs/>
          <w:color w:val="auto"/>
          <w:lang w:val="en-GB"/>
        </w:rPr>
        <w:t>Delik</w:t>
      </w:r>
      <w:proofErr w:type="spellEnd"/>
      <w:r w:rsidRPr="00A51029">
        <w:rPr>
          <w:rFonts w:cs="Linux Libertine"/>
          <w:i/>
          <w:iCs/>
          <w:color w:val="auto"/>
          <w:lang w:val="en-GB"/>
        </w:rPr>
        <w:t xml:space="preserve"> Agama Dan </w:t>
      </w:r>
      <w:proofErr w:type="spellStart"/>
      <w:r w:rsidRPr="00A51029">
        <w:rPr>
          <w:rFonts w:cs="Linux Libertine"/>
          <w:i/>
          <w:iCs/>
          <w:color w:val="auto"/>
          <w:lang w:val="en-GB"/>
        </w:rPr>
        <w:t>Penghinaan</w:t>
      </w:r>
      <w:proofErr w:type="spellEnd"/>
      <w:r w:rsidRPr="00A51029">
        <w:rPr>
          <w:rFonts w:cs="Linux Libertine"/>
          <w:i/>
          <w:iCs/>
          <w:color w:val="auto"/>
          <w:lang w:val="en-GB"/>
        </w:rPr>
        <w:t xml:space="preserve"> </w:t>
      </w:r>
      <w:proofErr w:type="spellStart"/>
      <w:r w:rsidRPr="00A51029">
        <w:rPr>
          <w:rFonts w:cs="Linux Libertine"/>
          <w:i/>
          <w:iCs/>
          <w:color w:val="auto"/>
          <w:lang w:val="en-GB"/>
        </w:rPr>
        <w:t>Tuhan</w:t>
      </w:r>
      <w:proofErr w:type="spellEnd"/>
      <w:r w:rsidRPr="00A51029">
        <w:rPr>
          <w:rFonts w:cs="Linux Libertine"/>
          <w:i/>
          <w:iCs/>
          <w:color w:val="auto"/>
          <w:lang w:val="en-GB"/>
        </w:rPr>
        <w:t xml:space="preserve"> (Blasphemy) Di Indonesia Dan </w:t>
      </w:r>
      <w:proofErr w:type="spellStart"/>
      <w:r w:rsidRPr="00A51029">
        <w:rPr>
          <w:rFonts w:cs="Linux Libertine"/>
          <w:i/>
          <w:iCs/>
          <w:color w:val="auto"/>
          <w:lang w:val="en-GB"/>
        </w:rPr>
        <w:t>Perbandingan</w:t>
      </w:r>
      <w:proofErr w:type="spellEnd"/>
      <w:r w:rsidRPr="00A51029">
        <w:rPr>
          <w:rFonts w:cs="Linux Libertine"/>
          <w:i/>
          <w:iCs/>
          <w:color w:val="auto"/>
          <w:lang w:val="en-GB"/>
        </w:rPr>
        <w:t xml:space="preserve"> </w:t>
      </w:r>
      <w:proofErr w:type="spellStart"/>
      <w:r w:rsidRPr="00A51029">
        <w:rPr>
          <w:rFonts w:cs="Linux Libertine"/>
          <w:i/>
          <w:iCs/>
          <w:color w:val="auto"/>
          <w:lang w:val="en-GB"/>
        </w:rPr>
        <w:t>Beberapa</w:t>
      </w:r>
      <w:proofErr w:type="spellEnd"/>
      <w:r w:rsidRPr="00A51029">
        <w:rPr>
          <w:rFonts w:cs="Linux Libertine"/>
          <w:i/>
          <w:iCs/>
          <w:color w:val="auto"/>
          <w:lang w:val="en-GB"/>
        </w:rPr>
        <w:t xml:space="preserve"> Negara</w:t>
      </w:r>
      <w:r w:rsidRPr="00A51029">
        <w:rPr>
          <w:rFonts w:cs="Linux Libertine"/>
          <w:color w:val="auto"/>
          <w:lang w:val="en-GB"/>
        </w:rPr>
        <w:t xml:space="preserve">. Semarang: </w:t>
      </w:r>
      <w:proofErr w:type="spellStart"/>
      <w:r w:rsidRPr="00A51029">
        <w:rPr>
          <w:rFonts w:cs="Linux Libertine"/>
          <w:color w:val="auto"/>
          <w:lang w:val="en-GB"/>
        </w:rPr>
        <w:t>Bidang</w:t>
      </w:r>
      <w:proofErr w:type="spellEnd"/>
      <w:r w:rsidRPr="00A51029">
        <w:rPr>
          <w:rFonts w:cs="Linux Libertine"/>
          <w:color w:val="auto"/>
          <w:lang w:val="en-GB"/>
        </w:rPr>
        <w:t xml:space="preserve"> </w:t>
      </w:r>
      <w:proofErr w:type="spellStart"/>
      <w:r w:rsidRPr="00A51029">
        <w:rPr>
          <w:rFonts w:cs="Linux Libertine"/>
          <w:color w:val="auto"/>
          <w:lang w:val="en-GB"/>
        </w:rPr>
        <w:t>Penerbit</w:t>
      </w:r>
      <w:proofErr w:type="spellEnd"/>
      <w:r w:rsidRPr="00A51029">
        <w:rPr>
          <w:rFonts w:cs="Linux Libertine"/>
          <w:color w:val="auto"/>
          <w:lang w:val="en-GB"/>
        </w:rPr>
        <w:t xml:space="preserve"> Universitas </w:t>
      </w:r>
      <w:proofErr w:type="spellStart"/>
      <w:r w:rsidRPr="00A51029">
        <w:rPr>
          <w:rFonts w:cs="Linux Libertine"/>
          <w:color w:val="auto"/>
          <w:lang w:val="en-GB"/>
        </w:rPr>
        <w:t>Diponegoro</w:t>
      </w:r>
      <w:proofErr w:type="spellEnd"/>
      <w:r w:rsidRPr="00A51029">
        <w:rPr>
          <w:rFonts w:cs="Linux Libertine"/>
          <w:color w:val="auto"/>
          <w:lang w:val="en-GB"/>
        </w:rPr>
        <w:t>.</w:t>
      </w:r>
    </w:p>
    <w:p w14:paraId="30B6838E"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As’ad</w:t>
      </w:r>
      <w:proofErr w:type="spellEnd"/>
      <w:r w:rsidRPr="00A51029">
        <w:rPr>
          <w:rFonts w:cs="Linux Libertine"/>
          <w:color w:val="auto"/>
          <w:lang w:val="en-GB"/>
        </w:rPr>
        <w:t xml:space="preserve">, Said Ali. 2009. </w:t>
      </w:r>
      <w:r w:rsidRPr="00A51029">
        <w:rPr>
          <w:rFonts w:cs="Linux Libertine"/>
          <w:i/>
          <w:iCs/>
          <w:color w:val="auto"/>
          <w:lang w:val="en-GB"/>
        </w:rPr>
        <w:t xml:space="preserve">Negara Pancasila: Jalan </w:t>
      </w:r>
      <w:proofErr w:type="spellStart"/>
      <w:r w:rsidRPr="00A51029">
        <w:rPr>
          <w:rFonts w:cs="Linux Libertine"/>
          <w:i/>
          <w:iCs/>
          <w:color w:val="auto"/>
          <w:lang w:val="en-GB"/>
        </w:rPr>
        <w:t>Kemaslahatan</w:t>
      </w:r>
      <w:proofErr w:type="spellEnd"/>
      <w:r w:rsidRPr="00A51029">
        <w:rPr>
          <w:rFonts w:cs="Linux Libertine"/>
          <w:i/>
          <w:iCs/>
          <w:color w:val="auto"/>
          <w:lang w:val="en-GB"/>
        </w:rPr>
        <w:t xml:space="preserve"> </w:t>
      </w:r>
      <w:proofErr w:type="spellStart"/>
      <w:r w:rsidRPr="00A51029">
        <w:rPr>
          <w:rFonts w:cs="Linux Libertine"/>
          <w:i/>
          <w:iCs/>
          <w:color w:val="auto"/>
          <w:lang w:val="en-GB"/>
        </w:rPr>
        <w:t>Berbangsa</w:t>
      </w:r>
      <w:proofErr w:type="spellEnd"/>
      <w:r w:rsidRPr="00A51029">
        <w:rPr>
          <w:rFonts w:cs="Linux Libertine"/>
          <w:color w:val="auto"/>
          <w:lang w:val="en-GB"/>
        </w:rPr>
        <w:t>. Jakarta: LP3ES.</w:t>
      </w:r>
    </w:p>
    <w:p w14:paraId="64E1BC8B"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Asshiddiqie</w:t>
      </w:r>
      <w:proofErr w:type="spellEnd"/>
      <w:r w:rsidRPr="00A51029">
        <w:rPr>
          <w:rFonts w:cs="Linux Libertine"/>
          <w:color w:val="auto"/>
          <w:lang w:val="en-GB"/>
        </w:rPr>
        <w:t xml:space="preserve">, </w:t>
      </w:r>
      <w:proofErr w:type="spellStart"/>
      <w:r w:rsidRPr="00A51029">
        <w:rPr>
          <w:rFonts w:cs="Linux Libertine"/>
          <w:color w:val="auto"/>
          <w:lang w:val="en-GB"/>
        </w:rPr>
        <w:t>Jimly</w:t>
      </w:r>
      <w:proofErr w:type="spellEnd"/>
      <w:r w:rsidRPr="00A51029">
        <w:rPr>
          <w:rFonts w:cs="Linux Libertine"/>
          <w:color w:val="auto"/>
          <w:lang w:val="en-GB"/>
        </w:rPr>
        <w:t>. 2018. “Constitutional Adjudication And Democracy.” Presentation presented at the The International Symposium on Constitutional Adjudication and Democracy, South Korea, August. http://jimly.com/makalah/namafile/211/CONSTITUTIONAL_ADJUDICATION___DEMOCRACY.pdf.</w:t>
      </w:r>
    </w:p>
    <w:p w14:paraId="430B18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Atsushi, Ota, Okamoto Masaaki, and Ahmad </w:t>
      </w:r>
      <w:proofErr w:type="spellStart"/>
      <w:r w:rsidRPr="00A51029">
        <w:rPr>
          <w:rFonts w:cs="Linux Libertine"/>
          <w:color w:val="auto"/>
          <w:lang w:val="en-GB"/>
        </w:rPr>
        <w:t>Suaedy</w:t>
      </w:r>
      <w:proofErr w:type="spellEnd"/>
      <w:r w:rsidRPr="00A51029">
        <w:rPr>
          <w:rFonts w:cs="Linux Libertine"/>
          <w:color w:val="auto"/>
          <w:lang w:val="en-GB"/>
        </w:rPr>
        <w:t xml:space="preserve">. 2010. </w:t>
      </w:r>
      <w:r w:rsidRPr="00A51029">
        <w:rPr>
          <w:rFonts w:cs="Linux Libertine"/>
          <w:i/>
          <w:iCs/>
          <w:color w:val="auto"/>
          <w:lang w:val="en-GB"/>
        </w:rPr>
        <w:t>Islam in Contention: Rethinking Islam and State in Indonesia</w:t>
      </w:r>
      <w:r w:rsidRPr="00A51029">
        <w:rPr>
          <w:rFonts w:cs="Linux Libertine"/>
          <w:color w:val="auto"/>
          <w:lang w:val="en-GB"/>
        </w:rPr>
        <w:t>. Jakarta: The Wahid Institute-CSEAS-CAPAS.</w:t>
      </w:r>
    </w:p>
    <w:p w14:paraId="1BAA9372"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Bielefeldt</w:t>
      </w:r>
      <w:proofErr w:type="spellEnd"/>
      <w:r w:rsidRPr="00A51029">
        <w:rPr>
          <w:rFonts w:cs="Linux Libertine"/>
          <w:color w:val="auto"/>
          <w:lang w:val="en-GB"/>
        </w:rPr>
        <w:t xml:space="preserve">, Heiner. 2012. </w:t>
      </w:r>
      <w:proofErr w:type="spellStart"/>
      <w:r w:rsidRPr="00A51029">
        <w:rPr>
          <w:rFonts w:cs="Linux Libertine"/>
          <w:i/>
          <w:iCs/>
          <w:color w:val="auto"/>
          <w:lang w:val="en-GB"/>
        </w:rPr>
        <w:t>Streit</w:t>
      </w:r>
      <w:proofErr w:type="spellEnd"/>
      <w:r w:rsidRPr="00A51029">
        <w:rPr>
          <w:rFonts w:cs="Linux Libertine"/>
          <w:i/>
          <w:iCs/>
          <w:color w:val="auto"/>
          <w:lang w:val="en-GB"/>
        </w:rPr>
        <w:t xml:space="preserve"> Um Die </w:t>
      </w:r>
      <w:proofErr w:type="spellStart"/>
      <w:r w:rsidRPr="00A51029">
        <w:rPr>
          <w:rFonts w:cs="Linux Libertine"/>
          <w:i/>
          <w:iCs/>
          <w:color w:val="auto"/>
          <w:lang w:val="en-GB"/>
        </w:rPr>
        <w:t>Religionsfreiheit</w:t>
      </w:r>
      <w:proofErr w:type="spellEnd"/>
      <w:r w:rsidRPr="00A51029">
        <w:rPr>
          <w:rFonts w:cs="Linux Libertine"/>
          <w:i/>
          <w:iCs/>
          <w:color w:val="auto"/>
          <w:lang w:val="en-GB"/>
        </w:rPr>
        <w:t xml:space="preserve"> </w:t>
      </w:r>
      <w:proofErr w:type="spellStart"/>
      <w:r w:rsidRPr="00A51029">
        <w:rPr>
          <w:rFonts w:cs="Linux Libertine"/>
          <w:i/>
          <w:iCs/>
          <w:color w:val="auto"/>
          <w:lang w:val="en-GB"/>
        </w:rPr>
        <w:t>Aktuelle</w:t>
      </w:r>
      <w:proofErr w:type="spellEnd"/>
      <w:r w:rsidRPr="00A51029">
        <w:rPr>
          <w:rFonts w:cs="Linux Libertine"/>
          <w:i/>
          <w:iCs/>
          <w:color w:val="auto"/>
          <w:lang w:val="en-GB"/>
        </w:rPr>
        <w:t xml:space="preserve"> </w:t>
      </w:r>
      <w:proofErr w:type="spellStart"/>
      <w:r w:rsidRPr="00A51029">
        <w:rPr>
          <w:rFonts w:cs="Linux Libertine"/>
          <w:i/>
          <w:iCs/>
          <w:color w:val="auto"/>
          <w:lang w:val="en-GB"/>
        </w:rPr>
        <w:t>Facetten</w:t>
      </w:r>
      <w:proofErr w:type="spellEnd"/>
      <w:r w:rsidRPr="00A51029">
        <w:rPr>
          <w:rFonts w:cs="Linux Libertine"/>
          <w:i/>
          <w:iCs/>
          <w:color w:val="auto"/>
          <w:lang w:val="en-GB"/>
        </w:rPr>
        <w:t xml:space="preserve"> Der Internationalen </w:t>
      </w:r>
      <w:proofErr w:type="spellStart"/>
      <w:r w:rsidRPr="00A51029">
        <w:rPr>
          <w:rFonts w:cs="Linux Libertine"/>
          <w:i/>
          <w:iCs/>
          <w:color w:val="auto"/>
          <w:lang w:val="en-GB"/>
        </w:rPr>
        <w:t>Debatte</w:t>
      </w:r>
      <w:proofErr w:type="spellEnd"/>
      <w:r w:rsidRPr="00A51029">
        <w:rPr>
          <w:rFonts w:cs="Linux Libertine"/>
          <w:color w:val="auto"/>
          <w:lang w:val="en-GB"/>
        </w:rPr>
        <w:t xml:space="preserve">. Erlangen </w:t>
      </w:r>
      <w:proofErr w:type="spellStart"/>
      <w:r w:rsidRPr="00A51029">
        <w:rPr>
          <w:rFonts w:cs="Linux Libertine"/>
          <w:color w:val="auto"/>
          <w:lang w:val="en-GB"/>
        </w:rPr>
        <w:t>Präsident</w:t>
      </w:r>
      <w:proofErr w:type="spellEnd"/>
      <w:r w:rsidRPr="00A51029">
        <w:rPr>
          <w:rFonts w:cs="Linux Libertine"/>
          <w:color w:val="auto"/>
          <w:lang w:val="en-GB"/>
        </w:rPr>
        <w:t xml:space="preserve"> der Friedrich-Alexander-Univ.</w:t>
      </w:r>
    </w:p>
    <w:p w14:paraId="79E738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Biswas, Paul S. 2020. </w:t>
      </w:r>
      <w:r w:rsidRPr="00A51029">
        <w:rPr>
          <w:rFonts w:cs="Linux Libertine"/>
          <w:i/>
          <w:iCs/>
          <w:color w:val="auto"/>
          <w:lang w:val="en-GB"/>
        </w:rPr>
        <w:t>Perceptions of Christianity Among South Asian Muslims in America</w:t>
      </w:r>
      <w:r w:rsidRPr="00A51029">
        <w:rPr>
          <w:rFonts w:cs="Linux Libertine"/>
          <w:color w:val="auto"/>
          <w:lang w:val="en-GB"/>
        </w:rPr>
        <w:t xml:space="preserve">. </w:t>
      </w:r>
      <w:proofErr w:type="spellStart"/>
      <w:r w:rsidRPr="00A51029">
        <w:rPr>
          <w:rFonts w:cs="Linux Libertine"/>
          <w:color w:val="auto"/>
          <w:lang w:val="en-GB"/>
        </w:rPr>
        <w:t>WestBow</w:t>
      </w:r>
      <w:proofErr w:type="spellEnd"/>
      <w:r w:rsidRPr="00A51029">
        <w:rPr>
          <w:rFonts w:cs="Linux Libertine"/>
          <w:color w:val="auto"/>
          <w:lang w:val="en-GB"/>
        </w:rPr>
        <w:t xml:space="preserve"> Press.</w:t>
      </w:r>
    </w:p>
    <w:p w14:paraId="367DFFF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Carothers, Thomas. 2010. </w:t>
      </w:r>
      <w:r w:rsidRPr="00A51029">
        <w:rPr>
          <w:rFonts w:cs="Linux Libertine"/>
          <w:i/>
          <w:iCs/>
          <w:color w:val="auto"/>
          <w:lang w:val="en-GB"/>
        </w:rPr>
        <w:t>Promoting the Rule of Law Abroad: In Search of Knowledge</w:t>
      </w:r>
      <w:r w:rsidRPr="00A51029">
        <w:rPr>
          <w:rFonts w:cs="Linux Libertine"/>
          <w:color w:val="auto"/>
          <w:lang w:val="en-GB"/>
        </w:rPr>
        <w:t>. Brookings Institution Press.</w:t>
      </w:r>
    </w:p>
    <w:p w14:paraId="1AD21DE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Cohen, David. 2018. </w:t>
      </w:r>
      <w:r w:rsidRPr="00A51029">
        <w:rPr>
          <w:rFonts w:cs="Linux Libertine"/>
          <w:i/>
          <w:iCs/>
          <w:color w:val="auto"/>
          <w:lang w:val="en-GB"/>
        </w:rPr>
        <w:t>Interpretations of Article 156a of the Indonesian Criminal Code on Blasphemy and Religious Defamation (A Legal and Human Rights Analysis)</w:t>
      </w:r>
      <w:r w:rsidRPr="00A51029">
        <w:rPr>
          <w:rFonts w:cs="Linux Libertine"/>
          <w:color w:val="auto"/>
          <w:lang w:val="en-GB"/>
        </w:rPr>
        <w:t xml:space="preserve">. Jakarta: Indonesian Institute the Independent Judiciary Lembaga Kajian dan </w:t>
      </w:r>
      <w:proofErr w:type="spellStart"/>
      <w:r w:rsidRPr="00A51029">
        <w:rPr>
          <w:rFonts w:cs="Linux Libertine"/>
          <w:color w:val="auto"/>
          <w:lang w:val="en-GB"/>
        </w:rPr>
        <w:lastRenderedPageBreak/>
        <w:t>Advokasi</w:t>
      </w:r>
      <w:proofErr w:type="spellEnd"/>
      <w:r w:rsidRPr="00A51029">
        <w:rPr>
          <w:rFonts w:cs="Linux Libertine"/>
          <w:color w:val="auto"/>
          <w:lang w:val="en-GB"/>
        </w:rPr>
        <w:t xml:space="preserve"> </w:t>
      </w:r>
      <w:proofErr w:type="spellStart"/>
      <w:r w:rsidRPr="00A51029">
        <w:rPr>
          <w:rFonts w:cs="Linux Libertine"/>
          <w:color w:val="auto"/>
          <w:lang w:val="en-GB"/>
        </w:rPr>
        <w:t>Independensi</w:t>
      </w:r>
      <w:proofErr w:type="spellEnd"/>
      <w:r w:rsidRPr="00A51029">
        <w:rPr>
          <w:rFonts w:cs="Linux Libertine"/>
          <w:color w:val="auto"/>
          <w:lang w:val="en-GB"/>
        </w:rPr>
        <w:t xml:space="preserve"> </w:t>
      </w:r>
      <w:proofErr w:type="spellStart"/>
      <w:r w:rsidRPr="00A51029">
        <w:rPr>
          <w:rFonts w:cs="Linux Libertine"/>
          <w:color w:val="auto"/>
          <w:lang w:val="en-GB"/>
        </w:rPr>
        <w:t>Peradilan</w:t>
      </w:r>
      <w:proofErr w:type="spellEnd"/>
      <w:r w:rsidRPr="00A51029">
        <w:rPr>
          <w:rFonts w:cs="Linux Libertine"/>
          <w:color w:val="auto"/>
          <w:lang w:val="en-GB"/>
        </w:rPr>
        <w:t xml:space="preserve"> (</w:t>
      </w:r>
      <w:proofErr w:type="spellStart"/>
      <w:r w:rsidRPr="00A51029">
        <w:rPr>
          <w:rFonts w:cs="Linux Libertine"/>
          <w:color w:val="auto"/>
          <w:lang w:val="en-GB"/>
        </w:rPr>
        <w:t>LeIP</w:t>
      </w:r>
      <w:proofErr w:type="spellEnd"/>
      <w:r w:rsidRPr="00A51029">
        <w:rPr>
          <w:rFonts w:cs="Linux Libertine"/>
          <w:color w:val="auto"/>
          <w:lang w:val="en-GB"/>
        </w:rPr>
        <w:t>). https://leip.or.id/wp-content/uploads/2018/10/LeIP-Interpretations-of-Article-156A-of-The-Indonesian-Criminal-Code-On-Blasphemy-and-Religious-Defamation-a-Legal-and-Human-Right-Analysis.pdf.</w:t>
      </w:r>
    </w:p>
    <w:p w14:paraId="09D2A32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Colbran</w:t>
      </w:r>
      <w:proofErr w:type="spellEnd"/>
      <w:r w:rsidRPr="00A51029">
        <w:rPr>
          <w:rFonts w:cs="Linux Libertine"/>
          <w:color w:val="auto"/>
          <w:lang w:val="en-GB"/>
        </w:rPr>
        <w:t xml:space="preserve">, Nicola. 2015. “Sense and Simplicity in Legal and Human Rights Co-Operation: A Case Study of Indonesia.” </w:t>
      </w:r>
      <w:r w:rsidRPr="00A51029">
        <w:rPr>
          <w:rFonts w:cs="Linux Libertine"/>
          <w:i/>
          <w:iCs/>
          <w:color w:val="auto"/>
          <w:lang w:val="en-GB"/>
        </w:rPr>
        <w:t>Asian Journal of Law and Society</w:t>
      </w:r>
      <w:r w:rsidRPr="00A51029">
        <w:rPr>
          <w:rFonts w:cs="Linux Libertine"/>
          <w:color w:val="auto"/>
          <w:lang w:val="en-GB"/>
        </w:rPr>
        <w:t xml:space="preserve"> 2 (1): 195–206. https://doi.org/10.1017/als.2015.3.</w:t>
      </w:r>
    </w:p>
    <w:p w14:paraId="70C8EB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Crouch, Melissa A. 2011. “Law and Religion in Indonesia: The Constitutional Court and the Blasphemy Law.” </w:t>
      </w:r>
      <w:r w:rsidRPr="00A51029">
        <w:rPr>
          <w:rFonts w:cs="Linux Libertine"/>
          <w:i/>
          <w:iCs/>
          <w:color w:val="auto"/>
          <w:lang w:val="en-GB"/>
        </w:rPr>
        <w:t>Asian Journal of Comparative Law</w:t>
      </w:r>
      <w:r w:rsidRPr="00A51029">
        <w:rPr>
          <w:rFonts w:cs="Linux Libertine"/>
          <w:color w:val="auto"/>
          <w:lang w:val="en-GB"/>
        </w:rPr>
        <w:t xml:space="preserve"> 7: 1–46. https://doi.org/10.1017/s2194607800000582.</w:t>
      </w:r>
    </w:p>
    <w:p w14:paraId="670EB842"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Debeljak</w:t>
      </w:r>
      <w:proofErr w:type="spellEnd"/>
      <w:r w:rsidRPr="00A51029">
        <w:rPr>
          <w:rFonts w:cs="Linux Libertine"/>
          <w:color w:val="auto"/>
          <w:lang w:val="en-GB"/>
        </w:rPr>
        <w:t xml:space="preserve">, Julie. 2008. “Balancing Rights in a Democracy: The Problems with Limitations and Overrides of Rights under the Victorian Charter of Human Rights and Responsibilities Act 2006.” </w:t>
      </w:r>
      <w:proofErr w:type="spellStart"/>
      <w:r w:rsidRPr="00A51029">
        <w:rPr>
          <w:rFonts w:cs="Linux Libertine"/>
          <w:i/>
          <w:iCs/>
          <w:color w:val="auto"/>
          <w:lang w:val="en-GB"/>
        </w:rPr>
        <w:t>MelbULawRw</w:t>
      </w:r>
      <w:proofErr w:type="spellEnd"/>
      <w:r w:rsidRPr="00A51029">
        <w:rPr>
          <w:rFonts w:cs="Linux Libertine"/>
          <w:color w:val="auto"/>
          <w:lang w:val="en-GB"/>
        </w:rPr>
        <w:t xml:space="preserve"> 14 (32): 422.</w:t>
      </w:r>
    </w:p>
    <w:p w14:paraId="3ABFB6C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Djamin</w:t>
      </w:r>
      <w:proofErr w:type="spellEnd"/>
      <w:r w:rsidRPr="00A51029">
        <w:rPr>
          <w:rFonts w:cs="Linux Libertine"/>
          <w:color w:val="auto"/>
          <w:lang w:val="en-GB"/>
        </w:rPr>
        <w:t xml:space="preserve">, </w:t>
      </w:r>
      <w:proofErr w:type="spellStart"/>
      <w:r w:rsidRPr="00A51029">
        <w:rPr>
          <w:rFonts w:cs="Linux Libertine"/>
          <w:color w:val="auto"/>
          <w:lang w:val="en-GB"/>
        </w:rPr>
        <w:t>Rafendi</w:t>
      </w:r>
      <w:proofErr w:type="spellEnd"/>
      <w:r w:rsidRPr="00A51029">
        <w:rPr>
          <w:rFonts w:cs="Linux Libertine"/>
          <w:color w:val="auto"/>
          <w:lang w:val="en-GB"/>
        </w:rPr>
        <w:t>. 2014. “The Paradox Of Freedom Of Religion And Belief In Indonesia.” Office of the United Nations High Commissioner for Human Rights. https://www2.ohchr.org/english/issues/opinion/articles1920_iccpr/docs/expert_papers_Bangkok/RAFENDI%20DJAMIN.pdf.</w:t>
      </w:r>
    </w:p>
    <w:p w14:paraId="67D40B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Cole, and Brett G </w:t>
      </w:r>
      <w:proofErr w:type="spellStart"/>
      <w:r w:rsidRPr="00A51029">
        <w:rPr>
          <w:rFonts w:cs="Linux Libertine"/>
          <w:color w:val="auto"/>
          <w:lang w:val="en-GB"/>
        </w:rPr>
        <w:t>Scharffs</w:t>
      </w:r>
      <w:proofErr w:type="spellEnd"/>
      <w:r w:rsidRPr="00A51029">
        <w:rPr>
          <w:rFonts w:cs="Linux Libertine"/>
          <w:color w:val="auto"/>
          <w:lang w:val="en-GB"/>
        </w:rPr>
        <w:t xml:space="preserve">. 2019. </w:t>
      </w:r>
      <w:r w:rsidRPr="00A51029">
        <w:rPr>
          <w:rFonts w:cs="Linux Libertine"/>
          <w:i/>
          <w:iCs/>
          <w:color w:val="auto"/>
          <w:lang w:val="en-GB"/>
        </w:rPr>
        <w:t>Law and Religion : National, International, and Comparative Perspectives</w:t>
      </w:r>
      <w:r w:rsidRPr="00A51029">
        <w:rPr>
          <w:rFonts w:cs="Linux Libertine"/>
          <w:color w:val="auto"/>
          <w:lang w:val="en-GB"/>
        </w:rPr>
        <w:t>. Second edition. Wolters Kluwer.</w:t>
      </w:r>
    </w:p>
    <w:p w14:paraId="4CD17AD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W. 2011. “Religious Freedom in a Worldwide Setting: Comparative Reflections.” </w:t>
      </w:r>
      <w:r w:rsidRPr="00A51029">
        <w:rPr>
          <w:rFonts w:cs="Linux Libertine"/>
          <w:i/>
          <w:iCs/>
          <w:color w:val="auto"/>
          <w:lang w:val="en-GB"/>
        </w:rPr>
        <w:t>Pontifical Academy of Social Sciences</w:t>
      </w:r>
      <w:r w:rsidRPr="00A51029">
        <w:rPr>
          <w:rFonts w:cs="Linux Libertine"/>
          <w:color w:val="auto"/>
          <w:lang w:val="en-GB"/>
        </w:rPr>
        <w:t xml:space="preserve"> 36. http://www.pass.va/content/dam/scienzesociali/pdf/acta17/acta17-durham.pdf.</w:t>
      </w:r>
    </w:p>
    <w:p w14:paraId="1B6349E7"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Eddyono</w:t>
      </w:r>
      <w:proofErr w:type="spellEnd"/>
      <w:r w:rsidRPr="00A51029">
        <w:rPr>
          <w:rFonts w:cs="Linux Libertine"/>
          <w:color w:val="auto"/>
          <w:lang w:val="en-GB"/>
        </w:rPr>
        <w:t xml:space="preserve">, </w:t>
      </w:r>
      <w:proofErr w:type="spellStart"/>
      <w:r w:rsidRPr="00A51029">
        <w:rPr>
          <w:rFonts w:cs="Linux Libertine"/>
          <w:color w:val="auto"/>
          <w:lang w:val="en-GB"/>
        </w:rPr>
        <w:t>Luthfi</w:t>
      </w:r>
      <w:proofErr w:type="spellEnd"/>
      <w:r w:rsidRPr="00A51029">
        <w:rPr>
          <w:rFonts w:cs="Linux Libertine"/>
          <w:color w:val="auto"/>
          <w:lang w:val="en-GB"/>
        </w:rPr>
        <w:t xml:space="preserve"> </w:t>
      </w:r>
      <w:proofErr w:type="spellStart"/>
      <w:r w:rsidRPr="00A51029">
        <w:rPr>
          <w:rFonts w:cs="Linux Libertine"/>
          <w:color w:val="auto"/>
          <w:lang w:val="en-GB"/>
        </w:rPr>
        <w:t>Widagdo</w:t>
      </w:r>
      <w:proofErr w:type="spellEnd"/>
      <w:r w:rsidRPr="00A51029">
        <w:rPr>
          <w:rFonts w:cs="Linux Libertine"/>
          <w:color w:val="auto"/>
          <w:lang w:val="en-GB"/>
        </w:rPr>
        <w:t xml:space="preserve">. 2016. “The First Ten Years Of The Constitutional Court Of Indonesia: The Establishment Of The Principle Of Equality And The Prohibition Of Discrimination.” </w:t>
      </w:r>
      <w:r w:rsidRPr="00A51029">
        <w:rPr>
          <w:rFonts w:cs="Linux Libertine"/>
          <w:i/>
          <w:iCs/>
          <w:color w:val="auto"/>
          <w:lang w:val="en-GB"/>
        </w:rPr>
        <w:t>Constitutional Review</w:t>
      </w:r>
      <w:r w:rsidRPr="00A51029">
        <w:rPr>
          <w:rFonts w:cs="Linux Libertine"/>
          <w:color w:val="auto"/>
          <w:lang w:val="en-GB"/>
        </w:rPr>
        <w:t xml:space="preserve"> 1 (2): 119–46.</w:t>
      </w:r>
    </w:p>
    <w:p w14:paraId="4B16DFA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Fagan, Andrew. 2019. “The Gentrification of Human Rights.” </w:t>
      </w:r>
      <w:r w:rsidRPr="00A51029">
        <w:rPr>
          <w:rFonts w:cs="Linux Libertine"/>
          <w:i/>
          <w:iCs/>
          <w:color w:val="auto"/>
          <w:lang w:val="en-GB"/>
        </w:rPr>
        <w:t>Human Rights Quarterly</w:t>
      </w:r>
      <w:r w:rsidRPr="00A51029">
        <w:rPr>
          <w:rFonts w:cs="Linux Libertine"/>
          <w:color w:val="auto"/>
          <w:lang w:val="en-GB"/>
        </w:rPr>
        <w:t xml:space="preserve"> 41 (2): 283–308. https://doi.org/10.1353/hrq.2019.0027.</w:t>
      </w:r>
    </w:p>
    <w:p w14:paraId="4790225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Fenton, Adam J. 2016. “Faith, Intolerance, Violence and Bigotry: Legal and Constitutional Issues of Freedom of Religion in Indonesia.” </w:t>
      </w:r>
      <w:r w:rsidRPr="00A51029">
        <w:rPr>
          <w:rFonts w:cs="Linux Libertine"/>
          <w:i/>
          <w:iCs/>
          <w:color w:val="auto"/>
          <w:lang w:val="en-GB"/>
        </w:rPr>
        <w:t>Journal of Indonesian Islam</w:t>
      </w:r>
      <w:r w:rsidRPr="00A51029">
        <w:rPr>
          <w:rFonts w:cs="Linux Libertine"/>
          <w:color w:val="auto"/>
          <w:lang w:val="en-GB"/>
        </w:rPr>
        <w:t xml:space="preserve"> 10 (2): 181–212. https://doi.org/10.15642/JIIS.2016.10.2.181-212.</w:t>
      </w:r>
    </w:p>
    <w:p w14:paraId="7F81BD9D"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Fiss</w:t>
      </w:r>
      <w:proofErr w:type="spellEnd"/>
      <w:r w:rsidRPr="00A51029">
        <w:rPr>
          <w:rFonts w:cs="Linux Libertine"/>
          <w:color w:val="auto"/>
          <w:lang w:val="en-GB"/>
        </w:rPr>
        <w:t xml:space="preserve">, J., and J.G. Kestenbaum. 2017. </w:t>
      </w:r>
      <w:r w:rsidRPr="00A51029">
        <w:rPr>
          <w:rFonts w:cs="Linux Libertine"/>
          <w:i/>
          <w:iCs/>
          <w:color w:val="auto"/>
          <w:lang w:val="en-GB"/>
        </w:rPr>
        <w:t>Respecting Rights?: Measuring the World’s Blasphemy Laws</w:t>
      </w:r>
      <w:r w:rsidRPr="00A51029">
        <w:rPr>
          <w:rFonts w:cs="Linux Libertine"/>
          <w:color w:val="auto"/>
          <w:lang w:val="en-GB"/>
        </w:rPr>
        <w:t>. United States Commission on International Religious Freedom. https://books.google.co.id/books?id=35RsswEACAAJ.</w:t>
      </w:r>
    </w:p>
    <w:p w14:paraId="2F542CB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Forte, David F. 1994. “Apostasy and Blasphemy in Pakistan.” </w:t>
      </w:r>
      <w:r w:rsidRPr="00A51029">
        <w:rPr>
          <w:rFonts w:cs="Linux Libertine"/>
          <w:i/>
          <w:iCs/>
          <w:color w:val="auto"/>
          <w:lang w:val="en-GB"/>
        </w:rPr>
        <w:t>Law Faculty Articles and Essays</w:t>
      </w:r>
      <w:r w:rsidRPr="00A51029">
        <w:rPr>
          <w:rFonts w:cs="Linux Libertine"/>
          <w:color w:val="auto"/>
          <w:lang w:val="en-GB"/>
        </w:rPr>
        <w:t xml:space="preserve"> 10 (1).</w:t>
      </w:r>
    </w:p>
    <w:p w14:paraId="4B444B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Fraser, Julie. 2019. “Challenging State-Centricity and Legalism: Promoting the Role of Social Institutions in the Domestic Implementation of International Human Rights Law.” </w:t>
      </w:r>
      <w:r w:rsidRPr="00A51029">
        <w:rPr>
          <w:rFonts w:cs="Linux Libertine"/>
          <w:i/>
          <w:iCs/>
          <w:color w:val="auto"/>
          <w:lang w:val="en-GB"/>
        </w:rPr>
        <w:t>The International Journal of Human Rights</w:t>
      </w:r>
      <w:r w:rsidRPr="00A51029">
        <w:rPr>
          <w:rFonts w:cs="Linux Libertine"/>
          <w:color w:val="auto"/>
          <w:lang w:val="en-GB"/>
        </w:rPr>
        <w:t xml:space="preserve"> 23 (6): 974–92. https://doi.org/10.1080/13642987.2019.1577539.</w:t>
      </w:r>
    </w:p>
    <w:p w14:paraId="162104E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Gerards</w:t>
      </w:r>
      <w:proofErr w:type="spellEnd"/>
      <w:r w:rsidRPr="00A51029">
        <w:rPr>
          <w:rFonts w:cs="Linux Libertine"/>
          <w:color w:val="auto"/>
          <w:lang w:val="en-GB"/>
        </w:rPr>
        <w:t xml:space="preserve">, J. 2013. “How to Improve the Necessity Test of the European Court of Human Rights.” </w:t>
      </w:r>
      <w:r w:rsidRPr="00A51029">
        <w:rPr>
          <w:rFonts w:cs="Linux Libertine"/>
          <w:i/>
          <w:iCs/>
          <w:color w:val="auto"/>
          <w:lang w:val="en-GB"/>
        </w:rPr>
        <w:t>International Journal of Constitutional Law</w:t>
      </w:r>
      <w:r w:rsidRPr="00A51029">
        <w:rPr>
          <w:rFonts w:cs="Linux Libertine"/>
          <w:color w:val="auto"/>
          <w:lang w:val="en-GB"/>
        </w:rPr>
        <w:t xml:space="preserve"> 11 (2): 466–90. https://doi.org/10.1093/icon/mot004.</w:t>
      </w:r>
    </w:p>
    <w:p w14:paraId="0BC61B44"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Henkin</w:t>
      </w:r>
      <w:proofErr w:type="spellEnd"/>
      <w:r w:rsidRPr="00A51029">
        <w:rPr>
          <w:rFonts w:cs="Linux Libertine"/>
          <w:color w:val="auto"/>
          <w:lang w:val="en-GB"/>
        </w:rPr>
        <w:t xml:space="preserve">, Louis, ed. 2009. </w:t>
      </w:r>
      <w:r w:rsidRPr="00A51029">
        <w:rPr>
          <w:rFonts w:cs="Linux Libertine"/>
          <w:i/>
          <w:iCs/>
          <w:color w:val="auto"/>
          <w:lang w:val="en-GB"/>
        </w:rPr>
        <w:t>Human Rights</w:t>
      </w:r>
      <w:r w:rsidRPr="00A51029">
        <w:rPr>
          <w:rFonts w:cs="Linux Libertine"/>
          <w:color w:val="auto"/>
          <w:lang w:val="en-GB"/>
        </w:rPr>
        <w:t>. 2nd ed. Thomson Reuters/Foundation Press. http://www.jstor.org/stable/24219097.</w:t>
      </w:r>
    </w:p>
    <w:p w14:paraId="4A10B1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Howard, Erica. 2017. “Freedom of Expression, Blasphemy and Religious Hatred: A View from the United Kingdom.” In , 595–618. Cambridge University Press. https://doi.org/10.1017/9781108242189.025.</w:t>
      </w:r>
    </w:p>
    <w:p w14:paraId="7D6920DF"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Joppke</w:t>
      </w:r>
      <w:proofErr w:type="spellEnd"/>
      <w:r w:rsidRPr="00A51029">
        <w:rPr>
          <w:rFonts w:cs="Linux Libertine"/>
          <w:color w:val="auto"/>
          <w:lang w:val="en-GB"/>
        </w:rPr>
        <w:t>, Christian. 2018. “</w:t>
      </w:r>
      <w:proofErr w:type="spellStart"/>
      <w:r w:rsidRPr="00A51029">
        <w:rPr>
          <w:rFonts w:cs="Linux Libertine"/>
          <w:color w:val="auto"/>
          <w:lang w:val="en-GB"/>
        </w:rPr>
        <w:t>Culturalizing</w:t>
      </w:r>
      <w:proofErr w:type="spellEnd"/>
      <w:r w:rsidRPr="00A51029">
        <w:rPr>
          <w:rFonts w:cs="Linux Libertine"/>
          <w:color w:val="auto"/>
          <w:lang w:val="en-GB"/>
        </w:rPr>
        <w:t xml:space="preserve"> Religion in Western Europe: Patterns and Puzzles.” </w:t>
      </w:r>
      <w:r w:rsidRPr="00A51029">
        <w:rPr>
          <w:rFonts w:cs="Linux Libertine"/>
          <w:i/>
          <w:iCs/>
          <w:color w:val="auto"/>
          <w:lang w:val="en-GB"/>
        </w:rPr>
        <w:t>Social Compass</w:t>
      </w:r>
      <w:r w:rsidRPr="00A51029">
        <w:rPr>
          <w:rFonts w:cs="Linux Libertine"/>
          <w:color w:val="auto"/>
          <w:lang w:val="en-GB"/>
        </w:rPr>
        <w:t xml:space="preserve"> 65 (2): 234–46. https://doi.org/10.1177/0037768618767962.</w:t>
      </w:r>
    </w:p>
    <w:p w14:paraId="451F06F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Kamali</w:t>
      </w:r>
      <w:proofErr w:type="spellEnd"/>
      <w:r w:rsidRPr="00A51029">
        <w:rPr>
          <w:rFonts w:cs="Linux Libertine"/>
          <w:color w:val="auto"/>
          <w:lang w:val="en-GB"/>
        </w:rPr>
        <w:t xml:space="preserve">, Mohammed Hashim. 2006. “Reading the Signs: A Qur’anic Perspective on Thinking.” </w:t>
      </w:r>
      <w:r w:rsidRPr="00A51029">
        <w:rPr>
          <w:rFonts w:cs="Linux Libertine"/>
          <w:i/>
          <w:iCs/>
          <w:color w:val="auto"/>
          <w:lang w:val="en-GB"/>
        </w:rPr>
        <w:t>Islam and Science</w:t>
      </w:r>
      <w:r w:rsidRPr="00A51029">
        <w:rPr>
          <w:rFonts w:cs="Linux Libertine"/>
          <w:color w:val="auto"/>
          <w:lang w:val="en-GB"/>
        </w:rPr>
        <w:t xml:space="preserve"> 4.</w:t>
      </w:r>
    </w:p>
    <w:p w14:paraId="525A362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Karim, Abdul. 2005. </w:t>
      </w:r>
      <w:r w:rsidRPr="00A51029">
        <w:rPr>
          <w:rFonts w:cs="Linux Libertine"/>
          <w:i/>
          <w:iCs/>
          <w:color w:val="auto"/>
          <w:lang w:val="en-GB"/>
        </w:rPr>
        <w:t>Religion and State Relations in Post Reformation Era</w:t>
      </w:r>
      <w:r w:rsidRPr="00A51029">
        <w:rPr>
          <w:rFonts w:cs="Linux Libertine"/>
          <w:color w:val="auto"/>
          <w:lang w:val="en-GB"/>
        </w:rPr>
        <w:t>. 11th ed. Al-</w:t>
      </w:r>
      <w:proofErr w:type="spellStart"/>
      <w:r w:rsidRPr="00A51029">
        <w:rPr>
          <w:rFonts w:cs="Linux Libertine"/>
          <w:color w:val="auto"/>
          <w:lang w:val="en-GB"/>
        </w:rPr>
        <w:t>Mawarid</w:t>
      </w:r>
      <w:proofErr w:type="spellEnd"/>
      <w:r w:rsidRPr="00A51029">
        <w:rPr>
          <w:rFonts w:cs="Linux Libertine"/>
          <w:color w:val="auto"/>
          <w:lang w:val="en-GB"/>
        </w:rPr>
        <w:t xml:space="preserve"> Edition.</w:t>
      </w:r>
    </w:p>
    <w:p w14:paraId="69DD220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Keck, Leander E and Winkley. 2015. </w:t>
      </w:r>
      <w:r w:rsidRPr="00A51029">
        <w:rPr>
          <w:rFonts w:cs="Linux Libertine"/>
          <w:i/>
          <w:iCs/>
          <w:color w:val="auto"/>
          <w:lang w:val="en-GB"/>
        </w:rPr>
        <w:t>Echoes of the Word</w:t>
      </w:r>
      <w:r w:rsidRPr="00A51029">
        <w:rPr>
          <w:rFonts w:cs="Linux Libertine"/>
          <w:color w:val="auto"/>
          <w:lang w:val="en-GB"/>
        </w:rPr>
        <w:t>. Cascade Books.</w:t>
      </w:r>
    </w:p>
    <w:p w14:paraId="636F63E5"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Kroef</w:t>
      </w:r>
      <w:proofErr w:type="spellEnd"/>
      <w:r w:rsidRPr="00A51029">
        <w:rPr>
          <w:rFonts w:cs="Linux Libertine"/>
          <w:color w:val="auto"/>
          <w:lang w:val="en-GB"/>
        </w:rPr>
        <w:t xml:space="preserve">, Justus M. van der. 1953. “Conflicts of Religious Policy in Indonesia.” </w:t>
      </w:r>
      <w:r w:rsidRPr="00A51029">
        <w:rPr>
          <w:rFonts w:cs="Linux Libertine"/>
          <w:i/>
          <w:iCs/>
          <w:color w:val="auto"/>
          <w:lang w:val="en-GB"/>
        </w:rPr>
        <w:t>Far Eastern Survey</w:t>
      </w:r>
      <w:r w:rsidRPr="00A51029">
        <w:rPr>
          <w:rFonts w:cs="Linux Libertine"/>
          <w:color w:val="auto"/>
          <w:lang w:val="en-GB"/>
        </w:rPr>
        <w:t xml:space="preserve"> 22 (10): 121–25. https://doi.org/10.2307/3023769.</w:t>
      </w:r>
    </w:p>
    <w:p w14:paraId="435843F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Kunelius</w:t>
      </w:r>
      <w:proofErr w:type="spellEnd"/>
      <w:r w:rsidRPr="00A51029">
        <w:rPr>
          <w:rFonts w:cs="Linux Libertine"/>
          <w:color w:val="auto"/>
          <w:lang w:val="en-GB"/>
        </w:rPr>
        <w:t xml:space="preserve">, R., E Eide, O Hahn, and R. Schroeder. 2007. </w:t>
      </w:r>
      <w:r w:rsidRPr="00A51029">
        <w:rPr>
          <w:rFonts w:cs="Linux Libertine"/>
          <w:i/>
          <w:iCs/>
          <w:color w:val="auto"/>
          <w:lang w:val="en-GB"/>
        </w:rPr>
        <w:t xml:space="preserve">Reading </w:t>
      </w:r>
      <w:proofErr w:type="spellStart"/>
      <w:r w:rsidRPr="00A51029">
        <w:rPr>
          <w:rFonts w:cs="Linux Libertine"/>
          <w:i/>
          <w:iCs/>
          <w:color w:val="auto"/>
          <w:lang w:val="en-GB"/>
        </w:rPr>
        <w:t>TheMohammed</w:t>
      </w:r>
      <w:proofErr w:type="spellEnd"/>
      <w:r w:rsidRPr="00A51029">
        <w:rPr>
          <w:rFonts w:cs="Linux Libertine"/>
          <w:i/>
          <w:iCs/>
          <w:color w:val="auto"/>
          <w:lang w:val="en-GB"/>
        </w:rPr>
        <w:t xml:space="preserve"> Cartoons Controversy. An International Analysis of Press Discourses on </w:t>
      </w:r>
      <w:proofErr w:type="spellStart"/>
      <w:r w:rsidRPr="00A51029">
        <w:rPr>
          <w:rFonts w:cs="Linux Libertine"/>
          <w:i/>
          <w:iCs/>
          <w:color w:val="auto"/>
          <w:lang w:val="en-GB"/>
        </w:rPr>
        <w:t>Freespeech</w:t>
      </w:r>
      <w:proofErr w:type="spellEnd"/>
      <w:r w:rsidRPr="00A51029">
        <w:rPr>
          <w:rFonts w:cs="Linux Libertine"/>
          <w:i/>
          <w:iCs/>
          <w:color w:val="auto"/>
          <w:lang w:val="en-GB"/>
        </w:rPr>
        <w:t xml:space="preserve"> and Political Spin</w:t>
      </w:r>
      <w:r w:rsidRPr="00A51029">
        <w:rPr>
          <w:rFonts w:cs="Linux Libertine"/>
          <w:color w:val="auto"/>
          <w:lang w:val="en-GB"/>
        </w:rPr>
        <w:t xml:space="preserve">. Bochum/Freiburg: </w:t>
      </w:r>
      <w:proofErr w:type="spellStart"/>
      <w:r w:rsidRPr="00A51029">
        <w:rPr>
          <w:rFonts w:cs="Linux Libertine"/>
          <w:color w:val="auto"/>
          <w:lang w:val="en-GB"/>
        </w:rPr>
        <w:t>Projekt</w:t>
      </w:r>
      <w:proofErr w:type="spellEnd"/>
      <w:r w:rsidRPr="00A51029">
        <w:rPr>
          <w:rFonts w:cs="Linux Libertine"/>
          <w:color w:val="auto"/>
          <w:lang w:val="en-GB"/>
        </w:rPr>
        <w:t xml:space="preserve"> Verlag.</w:t>
      </w:r>
    </w:p>
    <w:p w14:paraId="2C3483FF"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Kuznetsov</w:t>
      </w:r>
      <w:proofErr w:type="spellEnd"/>
      <w:r w:rsidRPr="00A51029">
        <w:rPr>
          <w:rFonts w:cs="Linux Libertine"/>
          <w:color w:val="auto"/>
          <w:lang w:val="en-GB"/>
        </w:rPr>
        <w:t xml:space="preserve">, Dmitry. 2015. “Freedoms Collide: Freedom of Expression and Freedom of Religion in Russia in Comparative Perspective.” </w:t>
      </w:r>
      <w:r w:rsidRPr="00A51029">
        <w:rPr>
          <w:rFonts w:cs="Linux Libertine"/>
          <w:i/>
          <w:iCs/>
          <w:color w:val="auto"/>
          <w:lang w:val="en-GB"/>
        </w:rPr>
        <w:t>Russian Law Journal</w:t>
      </w:r>
      <w:r w:rsidRPr="00A51029">
        <w:rPr>
          <w:rFonts w:cs="Linux Libertine"/>
          <w:color w:val="auto"/>
          <w:lang w:val="en-GB"/>
        </w:rPr>
        <w:t xml:space="preserve"> 2 (2): 75. https://doi.org/10.17589/2309-8678-2014-2-2-75-100.</w:t>
      </w:r>
    </w:p>
    <w:p w14:paraId="75B88D9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Latif, </w:t>
      </w:r>
      <w:proofErr w:type="spellStart"/>
      <w:r w:rsidRPr="00A51029">
        <w:rPr>
          <w:rFonts w:cs="Linux Libertine"/>
          <w:color w:val="auto"/>
          <w:lang w:val="en-GB"/>
        </w:rPr>
        <w:t>Yudi</w:t>
      </w:r>
      <w:proofErr w:type="spellEnd"/>
      <w:r w:rsidRPr="00A51029">
        <w:rPr>
          <w:rFonts w:cs="Linux Libertine"/>
          <w:color w:val="auto"/>
          <w:lang w:val="en-GB"/>
        </w:rPr>
        <w:t xml:space="preserve">. 2011. </w:t>
      </w:r>
      <w:r w:rsidRPr="00A51029">
        <w:rPr>
          <w:rFonts w:cs="Linux Libertine"/>
          <w:i/>
          <w:iCs/>
          <w:color w:val="auto"/>
          <w:lang w:val="en-GB"/>
        </w:rPr>
        <w:t xml:space="preserve">Negara </w:t>
      </w:r>
      <w:proofErr w:type="spellStart"/>
      <w:r w:rsidRPr="00A51029">
        <w:rPr>
          <w:rFonts w:cs="Linux Libertine"/>
          <w:i/>
          <w:iCs/>
          <w:color w:val="auto"/>
          <w:lang w:val="en-GB"/>
        </w:rPr>
        <w:t>Paripurna</w:t>
      </w:r>
      <w:proofErr w:type="spellEnd"/>
      <w:r w:rsidRPr="00A51029">
        <w:rPr>
          <w:rFonts w:cs="Linux Libertine"/>
          <w:i/>
          <w:iCs/>
          <w:color w:val="auto"/>
          <w:lang w:val="en-GB"/>
        </w:rPr>
        <w:t xml:space="preserve">: </w:t>
      </w:r>
      <w:proofErr w:type="spellStart"/>
      <w:r w:rsidRPr="00A51029">
        <w:rPr>
          <w:rFonts w:cs="Linux Libertine"/>
          <w:i/>
          <w:iCs/>
          <w:color w:val="auto"/>
          <w:lang w:val="en-GB"/>
        </w:rPr>
        <w:t>Historisitas</w:t>
      </w:r>
      <w:proofErr w:type="spellEnd"/>
      <w:r w:rsidRPr="00A51029">
        <w:rPr>
          <w:rFonts w:cs="Linux Libertine"/>
          <w:i/>
          <w:iCs/>
          <w:color w:val="auto"/>
          <w:lang w:val="en-GB"/>
        </w:rPr>
        <w:t xml:space="preserve">, </w:t>
      </w:r>
      <w:proofErr w:type="spellStart"/>
      <w:r w:rsidRPr="00A51029">
        <w:rPr>
          <w:rFonts w:cs="Linux Libertine"/>
          <w:i/>
          <w:iCs/>
          <w:color w:val="auto"/>
          <w:lang w:val="en-GB"/>
        </w:rPr>
        <w:t>Rasionalitas</w:t>
      </w:r>
      <w:proofErr w:type="spellEnd"/>
      <w:r w:rsidRPr="00A51029">
        <w:rPr>
          <w:rFonts w:cs="Linux Libertine"/>
          <w:i/>
          <w:iCs/>
          <w:color w:val="auto"/>
          <w:lang w:val="en-GB"/>
        </w:rPr>
        <w:t xml:space="preserve">, Dun </w:t>
      </w:r>
      <w:proofErr w:type="spellStart"/>
      <w:r w:rsidRPr="00A51029">
        <w:rPr>
          <w:rFonts w:cs="Linux Libertine"/>
          <w:i/>
          <w:iCs/>
          <w:color w:val="auto"/>
          <w:lang w:val="en-GB"/>
        </w:rPr>
        <w:t>Aktualitas</w:t>
      </w:r>
      <w:proofErr w:type="spellEnd"/>
      <w:r w:rsidRPr="00A51029">
        <w:rPr>
          <w:rFonts w:cs="Linux Libertine"/>
          <w:i/>
          <w:iCs/>
          <w:color w:val="auto"/>
          <w:lang w:val="en-GB"/>
        </w:rPr>
        <w:t xml:space="preserve"> Pancasila</w:t>
      </w:r>
      <w:r w:rsidRPr="00A51029">
        <w:rPr>
          <w:rFonts w:cs="Linux Libertine"/>
          <w:color w:val="auto"/>
          <w:lang w:val="en-GB"/>
        </w:rPr>
        <w:t>. Jakarta: Gramedia Pustaka Utama.</w:t>
      </w:r>
    </w:p>
    <w:p w14:paraId="441E119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Lindsey, Timothy, and Simon Butt. 2016. “State Power to Restrict Religious Freedom An Overview of the Legal Framework.” In . Routledge, Taylor &amp; Francis Group.</w:t>
      </w:r>
    </w:p>
    <w:p w14:paraId="50966975"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Marzuki</w:t>
      </w:r>
      <w:proofErr w:type="spellEnd"/>
      <w:r w:rsidRPr="00A51029">
        <w:rPr>
          <w:rFonts w:cs="Linux Libertine"/>
          <w:color w:val="auto"/>
          <w:lang w:val="en-GB"/>
        </w:rPr>
        <w:t xml:space="preserve">, Peter Mahmud. 2017. </w:t>
      </w:r>
      <w:proofErr w:type="spellStart"/>
      <w:r w:rsidRPr="00A51029">
        <w:rPr>
          <w:rFonts w:cs="Linux Libertine"/>
          <w:i/>
          <w:iCs/>
          <w:color w:val="auto"/>
          <w:lang w:val="en-GB"/>
        </w:rPr>
        <w:t>Penelitian</w:t>
      </w:r>
      <w:proofErr w:type="spellEnd"/>
      <w:r w:rsidRPr="00A51029">
        <w:rPr>
          <w:rFonts w:cs="Linux Libertine"/>
          <w:i/>
          <w:iCs/>
          <w:color w:val="auto"/>
          <w:lang w:val="en-GB"/>
        </w:rPr>
        <w:t xml:space="preserve"> Hukum</w:t>
      </w:r>
      <w:r w:rsidRPr="00A51029">
        <w:rPr>
          <w:rFonts w:cs="Linux Libertine"/>
          <w:color w:val="auto"/>
          <w:lang w:val="en-GB"/>
        </w:rPr>
        <w:t xml:space="preserve">. </w:t>
      </w:r>
      <w:proofErr w:type="spellStart"/>
      <w:r w:rsidRPr="00A51029">
        <w:rPr>
          <w:rFonts w:cs="Linux Libertine"/>
          <w:color w:val="auto"/>
          <w:lang w:val="en-GB"/>
        </w:rPr>
        <w:t>Prenada</w:t>
      </w:r>
      <w:proofErr w:type="spellEnd"/>
      <w:r w:rsidRPr="00A51029">
        <w:rPr>
          <w:rFonts w:cs="Linux Libertine"/>
          <w:color w:val="auto"/>
          <w:lang w:val="en-GB"/>
        </w:rPr>
        <w:t xml:space="preserve"> Media.</w:t>
      </w:r>
    </w:p>
    <w:p w14:paraId="35589AE6"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Menchik</w:t>
      </w:r>
      <w:proofErr w:type="spellEnd"/>
      <w:r w:rsidRPr="00A51029">
        <w:rPr>
          <w:rFonts w:cs="Linux Libertine"/>
          <w:color w:val="auto"/>
          <w:lang w:val="en-GB"/>
        </w:rPr>
        <w:t xml:space="preserve">, Jeremy. 2014. “Productive Intolerance: Godly Nationalism in Indonesia.” </w:t>
      </w:r>
      <w:r w:rsidRPr="00A51029">
        <w:rPr>
          <w:rFonts w:cs="Linux Libertine"/>
          <w:i/>
          <w:iCs/>
          <w:color w:val="auto"/>
          <w:lang w:val="en-GB"/>
        </w:rPr>
        <w:t>Comparative Studies in Society and History</w:t>
      </w:r>
      <w:r w:rsidRPr="00A51029">
        <w:rPr>
          <w:rFonts w:cs="Linux Libertine"/>
          <w:color w:val="auto"/>
          <w:lang w:val="en-GB"/>
        </w:rPr>
        <w:t xml:space="preserve"> 56 (3): 591–621. https://doi.org/10.1017/S0010417514000267.</w:t>
      </w:r>
    </w:p>
    <w:p w14:paraId="233B4AE3"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Mietzner</w:t>
      </w:r>
      <w:proofErr w:type="spellEnd"/>
      <w:r w:rsidRPr="00A51029">
        <w:rPr>
          <w:rFonts w:cs="Linux Libertine"/>
          <w:color w:val="auto"/>
          <w:lang w:val="en-GB"/>
        </w:rPr>
        <w:t xml:space="preserve">, Marcus, and Burhanuddin </w:t>
      </w:r>
      <w:proofErr w:type="spellStart"/>
      <w:r w:rsidRPr="00A51029">
        <w:rPr>
          <w:rFonts w:cs="Linux Libertine"/>
          <w:color w:val="auto"/>
          <w:lang w:val="en-GB"/>
        </w:rPr>
        <w:t>Muhtadi</w:t>
      </w:r>
      <w:proofErr w:type="spellEnd"/>
      <w:r w:rsidRPr="00A51029">
        <w:rPr>
          <w:rFonts w:cs="Linux Libertine"/>
          <w:color w:val="auto"/>
          <w:lang w:val="en-GB"/>
        </w:rPr>
        <w:t xml:space="preserve">. 2020. “The Myth of Pluralism: Nahdlatul Ulama and the Politics of Religious Tolerance in Indonesia.” </w:t>
      </w:r>
      <w:r w:rsidRPr="00A51029">
        <w:rPr>
          <w:rFonts w:cs="Linux Libertine"/>
          <w:i/>
          <w:iCs/>
          <w:color w:val="auto"/>
          <w:lang w:val="en-GB"/>
        </w:rPr>
        <w:t>Contemporary Southeast Asia</w:t>
      </w:r>
      <w:r w:rsidRPr="00A51029">
        <w:rPr>
          <w:rFonts w:cs="Linux Libertine"/>
          <w:color w:val="auto"/>
          <w:lang w:val="en-GB"/>
        </w:rPr>
        <w:t xml:space="preserve"> 42 (1): 58–84. https://doi.org/10.1355/cs42-1c.</w:t>
      </w:r>
    </w:p>
    <w:p w14:paraId="34B4BE6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Milanovic, Marko. 2018. “Legitimizing Blasphemy Laws Through the Backdoor: The European Court’s Judgment in E.S. v. Austria.” </w:t>
      </w:r>
      <w:r w:rsidRPr="00A51029">
        <w:rPr>
          <w:rFonts w:cs="Linux Libertine"/>
          <w:i/>
          <w:iCs/>
          <w:color w:val="auto"/>
          <w:lang w:val="en-GB"/>
        </w:rPr>
        <w:t>EJIL: Talk!</w:t>
      </w:r>
      <w:r w:rsidRPr="00A51029">
        <w:rPr>
          <w:rFonts w:cs="Linux Libertine"/>
          <w:color w:val="auto"/>
          <w:lang w:val="en-GB"/>
        </w:rPr>
        <w:t xml:space="preserve"> (blog). October 29, 2018. https://www.ejiltalk.org/legitimizing-blasphemy-laws-through-the-backdoor-the-european-courts-judgment-in-e-s-v-austria/.</w:t>
      </w:r>
    </w:p>
    <w:p w14:paraId="14FA653E"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Modood</w:t>
      </w:r>
      <w:proofErr w:type="spellEnd"/>
      <w:r w:rsidRPr="00A51029">
        <w:rPr>
          <w:rFonts w:cs="Linux Libertine"/>
          <w:color w:val="auto"/>
          <w:lang w:val="en-GB"/>
        </w:rPr>
        <w:t xml:space="preserve">, Tariq, Randall Hansen, Erik Bleich, Brendan O’Leary, and Joseph H. </w:t>
      </w:r>
      <w:proofErr w:type="spellStart"/>
      <w:r w:rsidRPr="00A51029">
        <w:rPr>
          <w:rFonts w:cs="Linux Libertine"/>
          <w:color w:val="auto"/>
          <w:lang w:val="en-GB"/>
        </w:rPr>
        <w:t>Carens</w:t>
      </w:r>
      <w:proofErr w:type="spellEnd"/>
      <w:r w:rsidRPr="00A51029">
        <w:rPr>
          <w:rFonts w:cs="Linux Libertine"/>
          <w:color w:val="auto"/>
          <w:lang w:val="en-GB"/>
        </w:rPr>
        <w:t xml:space="preserve">. 2006. “The Danish Cartoon Affair: Free Speech, Racism, Islamism, and Integration.” </w:t>
      </w:r>
      <w:r w:rsidRPr="00A51029">
        <w:rPr>
          <w:rFonts w:cs="Linux Libertine"/>
          <w:i/>
          <w:iCs/>
          <w:color w:val="auto"/>
          <w:lang w:val="en-GB"/>
        </w:rPr>
        <w:t>International Migration</w:t>
      </w:r>
      <w:r w:rsidRPr="00A51029">
        <w:rPr>
          <w:rFonts w:cs="Linux Libertine"/>
          <w:color w:val="auto"/>
          <w:lang w:val="en-GB"/>
        </w:rPr>
        <w:t xml:space="preserve"> 44 (5): 3–62. https://doi.org/10.1111/j.1468-2435.2006.00386.x.</w:t>
      </w:r>
    </w:p>
    <w:p w14:paraId="650AC8D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Mondal, Anshuman A. 2016. “Articles of Faith: Freedom of Expression and Religious Freedom in Contemporary </w:t>
      </w:r>
      <w:proofErr w:type="spellStart"/>
      <w:r w:rsidRPr="00A51029">
        <w:rPr>
          <w:rFonts w:cs="Linux Libertine"/>
          <w:color w:val="auto"/>
          <w:lang w:val="en-GB"/>
        </w:rPr>
        <w:t>Multiculture</w:t>
      </w:r>
      <w:proofErr w:type="spellEnd"/>
      <w:r w:rsidRPr="00A51029">
        <w:rPr>
          <w:rFonts w:cs="Linux Libertine"/>
          <w:color w:val="auto"/>
          <w:lang w:val="en-GB"/>
        </w:rPr>
        <w:t xml:space="preserve">.” </w:t>
      </w:r>
      <w:r w:rsidRPr="00A51029">
        <w:rPr>
          <w:rFonts w:cs="Linux Libertine"/>
          <w:i/>
          <w:iCs/>
          <w:color w:val="auto"/>
          <w:lang w:val="en-GB"/>
        </w:rPr>
        <w:t>Islam and Christian–Muslim Relations</w:t>
      </w:r>
      <w:r w:rsidRPr="00A51029">
        <w:rPr>
          <w:rFonts w:cs="Linux Libertine"/>
          <w:color w:val="auto"/>
          <w:lang w:val="en-GB"/>
        </w:rPr>
        <w:t xml:space="preserve"> 27 (1): 3–24. https://doi.org/10.1080/09596410.2015.1114240.</w:t>
      </w:r>
    </w:p>
    <w:p w14:paraId="69C8180D"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Nalle</w:t>
      </w:r>
      <w:proofErr w:type="spellEnd"/>
      <w:r w:rsidRPr="00A51029">
        <w:rPr>
          <w:rFonts w:cs="Linux Libertine"/>
          <w:color w:val="auto"/>
          <w:lang w:val="en-GB"/>
        </w:rPr>
        <w:t xml:space="preserve">, Victor </w:t>
      </w:r>
      <w:proofErr w:type="spellStart"/>
      <w:r w:rsidRPr="00A51029">
        <w:rPr>
          <w:rFonts w:cs="Linux Libertine"/>
          <w:color w:val="auto"/>
          <w:lang w:val="en-GB"/>
        </w:rPr>
        <w:t>Imanuel</w:t>
      </w:r>
      <w:proofErr w:type="spellEnd"/>
      <w:r w:rsidRPr="00A51029">
        <w:rPr>
          <w:rFonts w:cs="Linux Libertine"/>
          <w:color w:val="auto"/>
          <w:lang w:val="en-GB"/>
        </w:rPr>
        <w:t xml:space="preserve"> W. 2017. “Blasphemy Law and Public Neutrality in Indonesia.” </w:t>
      </w:r>
      <w:r w:rsidRPr="00A51029">
        <w:rPr>
          <w:rFonts w:cs="Linux Libertine"/>
          <w:i/>
          <w:iCs/>
          <w:color w:val="auto"/>
          <w:lang w:val="en-GB"/>
        </w:rPr>
        <w:t>Mediterranean Journal of Social Sciences</w:t>
      </w:r>
      <w:r w:rsidRPr="00A51029">
        <w:rPr>
          <w:rFonts w:cs="Linux Libertine"/>
          <w:color w:val="auto"/>
          <w:lang w:val="en-GB"/>
        </w:rPr>
        <w:t xml:space="preserve"> 8 (2): 57–62.</w:t>
      </w:r>
    </w:p>
    <w:p w14:paraId="3C4FA827"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Nieuwenhuis</w:t>
      </w:r>
      <w:proofErr w:type="spellEnd"/>
      <w:r w:rsidRPr="00A51029">
        <w:rPr>
          <w:rFonts w:cs="Linux Libertine"/>
          <w:color w:val="auto"/>
          <w:lang w:val="en-GB"/>
        </w:rPr>
        <w:t xml:space="preserve">, </w:t>
      </w:r>
      <w:proofErr w:type="spellStart"/>
      <w:r w:rsidRPr="00A51029">
        <w:rPr>
          <w:rFonts w:cs="Linux Libertine"/>
          <w:color w:val="auto"/>
          <w:lang w:val="en-GB"/>
        </w:rPr>
        <w:t>Aernout</w:t>
      </w:r>
      <w:proofErr w:type="spellEnd"/>
      <w:r w:rsidRPr="00A51029">
        <w:rPr>
          <w:rFonts w:cs="Linux Libertine"/>
          <w:color w:val="auto"/>
          <w:lang w:val="en-GB"/>
        </w:rPr>
        <w:t xml:space="preserve"> J. 2012. “State and Religion, a Multidimensional Relationship: Some Comparative Law Remarks.” </w:t>
      </w:r>
      <w:r w:rsidRPr="00A51029">
        <w:rPr>
          <w:rFonts w:cs="Linux Libertine"/>
          <w:i/>
          <w:iCs/>
          <w:color w:val="auto"/>
          <w:lang w:val="en-GB"/>
        </w:rPr>
        <w:t>International Journal of Constitutional Law</w:t>
      </w:r>
      <w:r w:rsidRPr="00A51029">
        <w:rPr>
          <w:rFonts w:cs="Linux Libertine"/>
          <w:color w:val="auto"/>
          <w:lang w:val="en-GB"/>
        </w:rPr>
        <w:t xml:space="preserve"> 10 (1): 153–74. https://doi.org/10.1093/icon/mos001.</w:t>
      </w:r>
    </w:p>
    <w:p w14:paraId="56F2BC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Nozick, Robert. 1974. </w:t>
      </w:r>
      <w:r w:rsidRPr="00A51029">
        <w:rPr>
          <w:rFonts w:cs="Linux Libertine"/>
          <w:i/>
          <w:iCs/>
          <w:color w:val="auto"/>
          <w:lang w:val="en-GB"/>
        </w:rPr>
        <w:t>Anarchy, State, and Utopia</w:t>
      </w:r>
      <w:r w:rsidRPr="00A51029">
        <w:rPr>
          <w:rFonts w:cs="Linux Libertine"/>
          <w:color w:val="auto"/>
          <w:lang w:val="en-GB"/>
        </w:rPr>
        <w:t xml:space="preserve">. Vol. 5038. new </w:t>
      </w:r>
      <w:proofErr w:type="spellStart"/>
      <w:r w:rsidRPr="00A51029">
        <w:rPr>
          <w:rFonts w:cs="Linux Libertine"/>
          <w:color w:val="auto"/>
          <w:lang w:val="en-GB"/>
        </w:rPr>
        <w:t>york</w:t>
      </w:r>
      <w:proofErr w:type="spellEnd"/>
      <w:r w:rsidRPr="00A51029">
        <w:rPr>
          <w:rFonts w:cs="Linux Libertine"/>
          <w:color w:val="auto"/>
          <w:lang w:val="en-GB"/>
        </w:rPr>
        <w:t>: Basic Books.</w:t>
      </w:r>
    </w:p>
    <w:p w14:paraId="39386C0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 xml:space="preserve">Nussbaum, Martha. 2003. “Capabilities as Fundamental Entitlements: Sen and Social Justice.” </w:t>
      </w:r>
      <w:r w:rsidRPr="00A51029">
        <w:rPr>
          <w:rFonts w:cs="Linux Libertine"/>
          <w:i/>
          <w:iCs/>
          <w:color w:val="auto"/>
          <w:lang w:val="en-GB"/>
        </w:rPr>
        <w:t>Feminist Economics</w:t>
      </w:r>
      <w:r w:rsidRPr="00A51029">
        <w:rPr>
          <w:rFonts w:cs="Linux Libertine"/>
          <w:color w:val="auto"/>
          <w:lang w:val="en-GB"/>
        </w:rPr>
        <w:t xml:space="preserve"> 9 (2–3): 33–59.</w:t>
      </w:r>
    </w:p>
    <w:p w14:paraId="449422BA"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Panjaitan</w:t>
      </w:r>
      <w:proofErr w:type="spellEnd"/>
      <w:r w:rsidRPr="00A51029">
        <w:rPr>
          <w:rFonts w:cs="Linux Libertine"/>
          <w:color w:val="auto"/>
          <w:lang w:val="en-GB"/>
        </w:rPr>
        <w:t xml:space="preserve">, </w:t>
      </w:r>
      <w:proofErr w:type="spellStart"/>
      <w:r w:rsidRPr="00A51029">
        <w:rPr>
          <w:rFonts w:cs="Linux Libertine"/>
          <w:color w:val="auto"/>
          <w:lang w:val="en-GB"/>
        </w:rPr>
        <w:t>Chandro</w:t>
      </w:r>
      <w:proofErr w:type="spellEnd"/>
      <w:r w:rsidRPr="00A51029">
        <w:rPr>
          <w:rFonts w:cs="Linux Libertine"/>
          <w:color w:val="auto"/>
          <w:lang w:val="en-GB"/>
        </w:rPr>
        <w:t xml:space="preserve">, and </w:t>
      </w:r>
      <w:proofErr w:type="spellStart"/>
      <w:r w:rsidRPr="00A51029">
        <w:rPr>
          <w:rFonts w:cs="Linux Libertine"/>
          <w:color w:val="auto"/>
          <w:lang w:val="en-GB"/>
        </w:rPr>
        <w:t>Firman</w:t>
      </w:r>
      <w:proofErr w:type="spellEnd"/>
      <w:r w:rsidRPr="00A51029">
        <w:rPr>
          <w:rFonts w:cs="Linux Libertine"/>
          <w:color w:val="auto"/>
          <w:lang w:val="en-GB"/>
        </w:rPr>
        <w:t xml:space="preserve"> Wijaya. 2018. “</w:t>
      </w:r>
      <w:proofErr w:type="spellStart"/>
      <w:r w:rsidRPr="00A51029">
        <w:rPr>
          <w:rFonts w:cs="Linux Libertine"/>
          <w:color w:val="auto"/>
          <w:lang w:val="en-GB"/>
        </w:rPr>
        <w:t>Penyebab</w:t>
      </w:r>
      <w:proofErr w:type="spellEnd"/>
      <w:r w:rsidRPr="00A51029">
        <w:rPr>
          <w:rFonts w:cs="Linux Libertine"/>
          <w:color w:val="auto"/>
          <w:lang w:val="en-GB"/>
        </w:rPr>
        <w:t xml:space="preserve"> </w:t>
      </w:r>
      <w:proofErr w:type="spellStart"/>
      <w:r w:rsidRPr="00A51029">
        <w:rPr>
          <w:rFonts w:cs="Linux Libertine"/>
          <w:color w:val="auto"/>
          <w:lang w:val="en-GB"/>
        </w:rPr>
        <w:t>Terjadinya</w:t>
      </w:r>
      <w:proofErr w:type="spellEnd"/>
      <w:r w:rsidRPr="00A51029">
        <w:rPr>
          <w:rFonts w:cs="Linux Libertine"/>
          <w:color w:val="auto"/>
          <w:lang w:val="en-GB"/>
        </w:rPr>
        <w:t xml:space="preserve"> Tindakan Main Hakim </w:t>
      </w:r>
      <w:proofErr w:type="spellStart"/>
      <w:r w:rsidRPr="00A51029">
        <w:rPr>
          <w:rFonts w:cs="Linux Libertine"/>
          <w:color w:val="auto"/>
          <w:lang w:val="en-GB"/>
        </w:rPr>
        <w:t>Sendiri</w:t>
      </w:r>
      <w:proofErr w:type="spellEnd"/>
      <w:r w:rsidRPr="00A51029">
        <w:rPr>
          <w:rFonts w:cs="Linux Libertine"/>
          <w:color w:val="auto"/>
          <w:lang w:val="en-GB"/>
        </w:rPr>
        <w:t xml:space="preserve"> </w:t>
      </w:r>
      <w:proofErr w:type="spellStart"/>
      <w:r w:rsidRPr="00A51029">
        <w:rPr>
          <w:rFonts w:cs="Linux Libertine"/>
          <w:color w:val="auto"/>
          <w:lang w:val="en-GB"/>
        </w:rPr>
        <w:t>Atau</w:t>
      </w:r>
      <w:proofErr w:type="spellEnd"/>
      <w:r w:rsidRPr="00A51029">
        <w:rPr>
          <w:rFonts w:cs="Linux Libertine"/>
          <w:color w:val="auto"/>
          <w:lang w:val="en-GB"/>
        </w:rPr>
        <w:t xml:space="preserve"> </w:t>
      </w:r>
      <w:proofErr w:type="spellStart"/>
      <w:r w:rsidRPr="00A51029">
        <w:rPr>
          <w:rFonts w:cs="Linux Libertine"/>
          <w:color w:val="auto"/>
          <w:lang w:val="en-GB"/>
        </w:rPr>
        <w:t>Eigenrichting</w:t>
      </w:r>
      <w:proofErr w:type="spellEnd"/>
      <w:r w:rsidRPr="00A51029">
        <w:rPr>
          <w:rFonts w:cs="Linux Libertine"/>
          <w:color w:val="auto"/>
          <w:lang w:val="en-GB"/>
        </w:rPr>
        <w:t xml:space="preserve"> Yang </w:t>
      </w:r>
      <w:proofErr w:type="spellStart"/>
      <w:r w:rsidRPr="00A51029">
        <w:rPr>
          <w:rFonts w:cs="Linux Libertine"/>
          <w:color w:val="auto"/>
          <w:lang w:val="en-GB"/>
        </w:rPr>
        <w:t>Mengakibatkan</w:t>
      </w:r>
      <w:proofErr w:type="spellEnd"/>
      <w:r w:rsidRPr="00A51029">
        <w:rPr>
          <w:rFonts w:cs="Linux Libertine"/>
          <w:color w:val="auto"/>
          <w:lang w:val="en-GB"/>
        </w:rPr>
        <w:t xml:space="preserve"> </w:t>
      </w:r>
      <w:proofErr w:type="spellStart"/>
      <w:r w:rsidRPr="00A51029">
        <w:rPr>
          <w:rFonts w:cs="Linux Libertine"/>
          <w:color w:val="auto"/>
          <w:lang w:val="en-GB"/>
        </w:rPr>
        <w:t>Kematian</w:t>
      </w:r>
      <w:proofErr w:type="spellEnd"/>
      <w:r w:rsidRPr="00A51029">
        <w:rPr>
          <w:rFonts w:cs="Linux Libertine"/>
          <w:color w:val="auto"/>
          <w:lang w:val="en-GB"/>
        </w:rPr>
        <w:t xml:space="preserve"> (</w:t>
      </w:r>
      <w:proofErr w:type="spellStart"/>
      <w:r w:rsidRPr="00A51029">
        <w:rPr>
          <w:rFonts w:cs="Linux Libertine"/>
          <w:color w:val="auto"/>
          <w:lang w:val="en-GB"/>
        </w:rPr>
        <w:t>Contoh</w:t>
      </w:r>
      <w:proofErr w:type="spellEnd"/>
      <w:r w:rsidRPr="00A51029">
        <w:rPr>
          <w:rFonts w:cs="Linux Libertine"/>
          <w:color w:val="auto"/>
          <w:lang w:val="en-GB"/>
        </w:rPr>
        <w:t xml:space="preserve"> </w:t>
      </w:r>
      <w:proofErr w:type="spellStart"/>
      <w:r w:rsidRPr="00A51029">
        <w:rPr>
          <w:rFonts w:cs="Linux Libertine"/>
          <w:color w:val="auto"/>
          <w:lang w:val="en-GB"/>
        </w:rPr>
        <w:t>Kasus</w:t>
      </w:r>
      <w:proofErr w:type="spellEnd"/>
      <w:r w:rsidRPr="00A51029">
        <w:rPr>
          <w:rFonts w:cs="Linux Libertine"/>
          <w:color w:val="auto"/>
          <w:lang w:val="en-GB"/>
        </w:rPr>
        <w:t xml:space="preserve"> </w:t>
      </w:r>
      <w:proofErr w:type="spellStart"/>
      <w:r w:rsidRPr="00A51029">
        <w:rPr>
          <w:rFonts w:cs="Linux Libertine"/>
          <w:color w:val="auto"/>
          <w:lang w:val="en-GB"/>
        </w:rPr>
        <w:t>Pembakaran</w:t>
      </w:r>
      <w:proofErr w:type="spellEnd"/>
      <w:r w:rsidRPr="00A51029">
        <w:rPr>
          <w:rFonts w:cs="Linux Libertine"/>
          <w:color w:val="auto"/>
          <w:lang w:val="en-GB"/>
        </w:rPr>
        <w:t xml:space="preserve"> </w:t>
      </w:r>
      <w:proofErr w:type="spellStart"/>
      <w:r w:rsidRPr="00A51029">
        <w:rPr>
          <w:rFonts w:cs="Linux Libertine"/>
          <w:color w:val="auto"/>
          <w:lang w:val="en-GB"/>
        </w:rPr>
        <w:t>Pelaku</w:t>
      </w:r>
      <w:proofErr w:type="spellEnd"/>
      <w:r w:rsidRPr="00A51029">
        <w:rPr>
          <w:rFonts w:cs="Linux Libertine"/>
          <w:color w:val="auto"/>
          <w:lang w:val="en-GB"/>
        </w:rPr>
        <w:t xml:space="preserve"> </w:t>
      </w:r>
      <w:proofErr w:type="spellStart"/>
      <w:r w:rsidRPr="00A51029">
        <w:rPr>
          <w:rFonts w:cs="Linux Libertine"/>
          <w:color w:val="auto"/>
          <w:lang w:val="en-GB"/>
        </w:rPr>
        <w:t>Pencurian</w:t>
      </w:r>
      <w:proofErr w:type="spellEnd"/>
      <w:r w:rsidRPr="00A51029">
        <w:rPr>
          <w:rFonts w:cs="Linux Libertine"/>
          <w:color w:val="auto"/>
          <w:lang w:val="en-GB"/>
        </w:rPr>
        <w:t xml:space="preserve"> Motor </w:t>
      </w:r>
      <w:proofErr w:type="spellStart"/>
      <w:r w:rsidRPr="00A51029">
        <w:rPr>
          <w:rFonts w:cs="Linux Libertine"/>
          <w:color w:val="auto"/>
          <w:lang w:val="en-GB"/>
        </w:rPr>
        <w:t>Dengan</w:t>
      </w:r>
      <w:proofErr w:type="spellEnd"/>
      <w:r w:rsidRPr="00A51029">
        <w:rPr>
          <w:rFonts w:cs="Linux Libertine"/>
          <w:color w:val="auto"/>
          <w:lang w:val="en-GB"/>
        </w:rPr>
        <w:t xml:space="preserve"> </w:t>
      </w:r>
      <w:proofErr w:type="spellStart"/>
      <w:r w:rsidRPr="00A51029">
        <w:rPr>
          <w:rFonts w:cs="Linux Libertine"/>
          <w:color w:val="auto"/>
          <w:lang w:val="en-GB"/>
        </w:rPr>
        <w:t>Kekerasan</w:t>
      </w:r>
      <w:proofErr w:type="spellEnd"/>
      <w:r w:rsidRPr="00A51029">
        <w:rPr>
          <w:rFonts w:cs="Linux Libertine"/>
          <w:color w:val="auto"/>
          <w:lang w:val="en-GB"/>
        </w:rPr>
        <w:t xml:space="preserve"> Di </w:t>
      </w:r>
      <w:proofErr w:type="spellStart"/>
      <w:r w:rsidRPr="00A51029">
        <w:rPr>
          <w:rFonts w:cs="Linux Libertine"/>
          <w:color w:val="auto"/>
          <w:lang w:val="en-GB"/>
        </w:rPr>
        <w:t>Pondok</w:t>
      </w:r>
      <w:proofErr w:type="spellEnd"/>
      <w:r w:rsidRPr="00A51029">
        <w:rPr>
          <w:rFonts w:cs="Linux Libertine"/>
          <w:color w:val="auto"/>
          <w:lang w:val="en-GB"/>
        </w:rPr>
        <w:t xml:space="preserve"> </w:t>
      </w:r>
      <w:proofErr w:type="spellStart"/>
      <w:r w:rsidRPr="00A51029">
        <w:rPr>
          <w:rFonts w:cs="Linux Libertine"/>
          <w:color w:val="auto"/>
          <w:lang w:val="en-GB"/>
        </w:rPr>
        <w:t>Aren</w:t>
      </w:r>
      <w:proofErr w:type="spellEnd"/>
      <w:r w:rsidRPr="00A51029">
        <w:rPr>
          <w:rFonts w:cs="Linux Libertine"/>
          <w:color w:val="auto"/>
          <w:lang w:val="en-GB"/>
        </w:rPr>
        <w:t xml:space="preserve"> Tangerang).” </w:t>
      </w:r>
      <w:proofErr w:type="spellStart"/>
      <w:r w:rsidRPr="00A51029">
        <w:rPr>
          <w:rFonts w:cs="Linux Libertine"/>
          <w:i/>
          <w:iCs/>
          <w:color w:val="auto"/>
          <w:lang w:val="en-GB"/>
        </w:rPr>
        <w:t>Jurnal</w:t>
      </w:r>
      <w:proofErr w:type="spellEnd"/>
      <w:r w:rsidRPr="00A51029">
        <w:rPr>
          <w:rFonts w:cs="Linux Libertine"/>
          <w:i/>
          <w:iCs/>
          <w:color w:val="auto"/>
          <w:lang w:val="en-GB"/>
        </w:rPr>
        <w:t xml:space="preserve"> Hukum </w:t>
      </w:r>
      <w:proofErr w:type="spellStart"/>
      <w:r w:rsidRPr="00A51029">
        <w:rPr>
          <w:rFonts w:cs="Linux Libertine"/>
          <w:i/>
          <w:iCs/>
          <w:color w:val="auto"/>
          <w:lang w:val="en-GB"/>
        </w:rPr>
        <w:t>Adigama</w:t>
      </w:r>
      <w:proofErr w:type="spellEnd"/>
      <w:r w:rsidRPr="00A51029">
        <w:rPr>
          <w:rFonts w:cs="Linux Libertine"/>
          <w:color w:val="auto"/>
          <w:lang w:val="en-GB"/>
        </w:rPr>
        <w:t xml:space="preserve"> 1 (1): 809. https://doi.org/10.24912/adigama.v1i1.2168.</w:t>
      </w:r>
    </w:p>
    <w:p w14:paraId="0205148A"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Pratiwi</w:t>
      </w:r>
      <w:proofErr w:type="spellEnd"/>
      <w:r w:rsidRPr="00A51029">
        <w:rPr>
          <w:rFonts w:cs="Linux Libertine"/>
          <w:color w:val="auto"/>
          <w:lang w:val="en-GB"/>
        </w:rPr>
        <w:t xml:space="preserve">, </w:t>
      </w:r>
      <w:proofErr w:type="spellStart"/>
      <w:r w:rsidRPr="00A51029">
        <w:rPr>
          <w:rFonts w:cs="Linux Libertine"/>
          <w:color w:val="auto"/>
          <w:lang w:val="en-GB"/>
        </w:rPr>
        <w:t>Cekli</w:t>
      </w:r>
      <w:proofErr w:type="spellEnd"/>
      <w:r w:rsidRPr="00A51029">
        <w:rPr>
          <w:rFonts w:cs="Linux Libertine"/>
          <w:color w:val="auto"/>
          <w:lang w:val="en-GB"/>
        </w:rPr>
        <w:t xml:space="preserve"> </w:t>
      </w:r>
      <w:proofErr w:type="spellStart"/>
      <w:r w:rsidRPr="00A51029">
        <w:rPr>
          <w:rFonts w:cs="Linux Libertine"/>
          <w:color w:val="auto"/>
          <w:lang w:val="en-GB"/>
        </w:rPr>
        <w:t>Setya</w:t>
      </w:r>
      <w:proofErr w:type="spellEnd"/>
      <w:r w:rsidRPr="00A51029">
        <w:rPr>
          <w:rFonts w:cs="Linux Libertine"/>
          <w:color w:val="auto"/>
          <w:lang w:val="en-GB"/>
        </w:rPr>
        <w:t xml:space="preserve">, and </w:t>
      </w:r>
      <w:proofErr w:type="spellStart"/>
      <w:r w:rsidRPr="00A51029">
        <w:rPr>
          <w:rFonts w:cs="Linux Libertine"/>
          <w:color w:val="auto"/>
          <w:lang w:val="en-GB"/>
        </w:rPr>
        <w:t>Sidik</w:t>
      </w:r>
      <w:proofErr w:type="spellEnd"/>
      <w:r w:rsidRPr="00A51029">
        <w:rPr>
          <w:rFonts w:cs="Linux Libertine"/>
          <w:color w:val="auto"/>
          <w:lang w:val="en-GB"/>
        </w:rPr>
        <w:t xml:space="preserve"> </w:t>
      </w:r>
      <w:proofErr w:type="spellStart"/>
      <w:r w:rsidRPr="00A51029">
        <w:rPr>
          <w:rFonts w:cs="Linux Libertine"/>
          <w:color w:val="auto"/>
          <w:lang w:val="en-GB"/>
        </w:rPr>
        <w:t>Sunaryo</w:t>
      </w:r>
      <w:proofErr w:type="spellEnd"/>
      <w:r w:rsidRPr="00A51029">
        <w:rPr>
          <w:rFonts w:cs="Linux Libertine"/>
          <w:color w:val="auto"/>
          <w:lang w:val="en-GB"/>
        </w:rPr>
        <w:t xml:space="preserve">. 2021. “Blasphemy Law as a Structural Violence: A Challenge for Maintaining Sustainable Peace.” </w:t>
      </w:r>
      <w:r w:rsidRPr="00A51029">
        <w:rPr>
          <w:rFonts w:cs="Linux Libertine"/>
          <w:i/>
          <w:iCs/>
          <w:color w:val="auto"/>
          <w:lang w:val="en-GB"/>
        </w:rPr>
        <w:t>Muslim World Journal of Human Rights</w:t>
      </w:r>
      <w:r w:rsidRPr="00A51029">
        <w:rPr>
          <w:rFonts w:cs="Linux Libertine"/>
          <w:color w:val="auto"/>
          <w:lang w:val="en-GB"/>
        </w:rPr>
        <w:t xml:space="preserve"> 18 (1): 133–65. https://doi.org/10.1515/mwjhr-2020-0019.</w:t>
      </w:r>
    </w:p>
    <w:p w14:paraId="17F192E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Prud’homme</w:t>
      </w:r>
      <w:proofErr w:type="spellEnd"/>
      <w:r w:rsidRPr="00A51029">
        <w:rPr>
          <w:rFonts w:cs="Linux Libertine"/>
          <w:color w:val="auto"/>
          <w:lang w:val="en-GB"/>
        </w:rPr>
        <w:t>, Jo-Anne. 2010. “Policing Belief: The Impact of Blasphemy Laws on Human Rights.” Special Report. DC: Freedom House. https://freedomhouse.org/sites/default/files/2020-02/Archived_Special_Report_FH_Policing_Belief_Full.pdf.</w:t>
      </w:r>
    </w:p>
    <w:p w14:paraId="299C83AE"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Rambe</w:t>
      </w:r>
      <w:proofErr w:type="spellEnd"/>
      <w:r w:rsidRPr="00A51029">
        <w:rPr>
          <w:rFonts w:cs="Linux Libertine"/>
          <w:color w:val="auto"/>
          <w:lang w:val="en-GB"/>
        </w:rPr>
        <w:t>, Aditya. 2018. “</w:t>
      </w:r>
      <w:proofErr w:type="spellStart"/>
      <w:r w:rsidRPr="00A51029">
        <w:rPr>
          <w:rFonts w:cs="Linux Libertine"/>
          <w:color w:val="auto"/>
          <w:lang w:val="en-GB"/>
        </w:rPr>
        <w:t>Pertanggungjawaban</w:t>
      </w:r>
      <w:proofErr w:type="spellEnd"/>
      <w:r w:rsidRPr="00A51029">
        <w:rPr>
          <w:rFonts w:cs="Linux Libertine"/>
          <w:color w:val="auto"/>
          <w:lang w:val="en-GB"/>
        </w:rPr>
        <w:t xml:space="preserve"> </w:t>
      </w:r>
      <w:proofErr w:type="spellStart"/>
      <w:r w:rsidRPr="00A51029">
        <w:rPr>
          <w:rFonts w:cs="Linux Libertine"/>
          <w:color w:val="auto"/>
          <w:lang w:val="en-GB"/>
        </w:rPr>
        <w:t>Pidana</w:t>
      </w:r>
      <w:proofErr w:type="spellEnd"/>
      <w:r w:rsidRPr="00A51029">
        <w:rPr>
          <w:rFonts w:cs="Linux Libertine"/>
          <w:color w:val="auto"/>
          <w:lang w:val="en-GB"/>
        </w:rPr>
        <w:t xml:space="preserve"> </w:t>
      </w:r>
      <w:proofErr w:type="spellStart"/>
      <w:r w:rsidRPr="00A51029">
        <w:rPr>
          <w:rFonts w:cs="Linux Libertine"/>
          <w:color w:val="auto"/>
          <w:lang w:val="en-GB"/>
        </w:rPr>
        <w:t>Terhadap</w:t>
      </w:r>
      <w:proofErr w:type="spellEnd"/>
      <w:r w:rsidRPr="00A51029">
        <w:rPr>
          <w:rFonts w:cs="Linux Libertine"/>
          <w:color w:val="auto"/>
          <w:lang w:val="en-GB"/>
        </w:rPr>
        <w:t xml:space="preserve"> </w:t>
      </w:r>
      <w:proofErr w:type="spellStart"/>
      <w:r w:rsidRPr="00A51029">
        <w:rPr>
          <w:rFonts w:cs="Linux Libertine"/>
          <w:color w:val="auto"/>
          <w:lang w:val="en-GB"/>
        </w:rPr>
        <w:t>Pelaku</w:t>
      </w:r>
      <w:proofErr w:type="spellEnd"/>
      <w:r w:rsidRPr="00A51029">
        <w:rPr>
          <w:rFonts w:cs="Linux Libertine"/>
          <w:color w:val="auto"/>
          <w:lang w:val="en-GB"/>
        </w:rPr>
        <w:t xml:space="preserve"> Tindakan Main Hakim </w:t>
      </w:r>
      <w:proofErr w:type="spellStart"/>
      <w:r w:rsidRPr="00A51029">
        <w:rPr>
          <w:rFonts w:cs="Linux Libertine"/>
          <w:color w:val="auto"/>
          <w:lang w:val="en-GB"/>
        </w:rPr>
        <w:t>Sendiri</w:t>
      </w:r>
      <w:proofErr w:type="spellEnd"/>
      <w:r w:rsidRPr="00A51029">
        <w:rPr>
          <w:rFonts w:cs="Linux Libertine"/>
          <w:color w:val="auto"/>
          <w:lang w:val="en-GB"/>
        </w:rPr>
        <w:t xml:space="preserve"> </w:t>
      </w:r>
      <w:proofErr w:type="spellStart"/>
      <w:r w:rsidRPr="00A51029">
        <w:rPr>
          <w:rFonts w:cs="Linux Libertine"/>
          <w:color w:val="auto"/>
          <w:lang w:val="en-GB"/>
        </w:rPr>
        <w:t>Bagi</w:t>
      </w:r>
      <w:proofErr w:type="spellEnd"/>
      <w:r w:rsidRPr="00A51029">
        <w:rPr>
          <w:rFonts w:cs="Linux Libertine"/>
          <w:color w:val="auto"/>
          <w:lang w:val="en-GB"/>
        </w:rPr>
        <w:t xml:space="preserve"> </w:t>
      </w:r>
      <w:proofErr w:type="spellStart"/>
      <w:r w:rsidRPr="00A51029">
        <w:rPr>
          <w:rFonts w:cs="Linux Libertine"/>
          <w:color w:val="auto"/>
          <w:lang w:val="en-GB"/>
        </w:rPr>
        <w:t>Terduga</w:t>
      </w:r>
      <w:proofErr w:type="spellEnd"/>
      <w:r w:rsidRPr="00A51029">
        <w:rPr>
          <w:rFonts w:cs="Linux Libertine"/>
          <w:color w:val="auto"/>
          <w:lang w:val="en-GB"/>
        </w:rPr>
        <w:t xml:space="preserve"> </w:t>
      </w:r>
      <w:proofErr w:type="spellStart"/>
      <w:r w:rsidRPr="00A51029">
        <w:rPr>
          <w:rFonts w:cs="Linux Libertine"/>
          <w:color w:val="auto"/>
          <w:lang w:val="en-GB"/>
        </w:rPr>
        <w:t>Pelaku</w:t>
      </w:r>
      <w:proofErr w:type="spellEnd"/>
      <w:r w:rsidRPr="00A51029">
        <w:rPr>
          <w:rFonts w:cs="Linux Libertine"/>
          <w:color w:val="auto"/>
          <w:lang w:val="en-GB"/>
        </w:rPr>
        <w:t xml:space="preserve"> </w:t>
      </w:r>
      <w:proofErr w:type="spellStart"/>
      <w:r w:rsidRPr="00A51029">
        <w:rPr>
          <w:rFonts w:cs="Linux Libertine"/>
          <w:color w:val="auto"/>
          <w:lang w:val="en-GB"/>
        </w:rPr>
        <w:t>Tindak</w:t>
      </w:r>
      <w:proofErr w:type="spellEnd"/>
      <w:r w:rsidRPr="00A51029">
        <w:rPr>
          <w:rFonts w:cs="Linux Libertine"/>
          <w:color w:val="auto"/>
          <w:lang w:val="en-GB"/>
        </w:rPr>
        <w:t xml:space="preserve"> </w:t>
      </w:r>
      <w:proofErr w:type="spellStart"/>
      <w:r w:rsidRPr="00A51029">
        <w:rPr>
          <w:rFonts w:cs="Linux Libertine"/>
          <w:color w:val="auto"/>
          <w:lang w:val="en-GB"/>
        </w:rPr>
        <w:t>Pidana</w:t>
      </w:r>
      <w:proofErr w:type="spellEnd"/>
      <w:r w:rsidRPr="00A51029">
        <w:rPr>
          <w:rFonts w:cs="Linux Libertine"/>
          <w:color w:val="auto"/>
          <w:lang w:val="en-GB"/>
        </w:rPr>
        <w:t xml:space="preserve"> </w:t>
      </w:r>
      <w:proofErr w:type="spellStart"/>
      <w:r w:rsidRPr="00A51029">
        <w:rPr>
          <w:rFonts w:cs="Linux Libertine"/>
          <w:color w:val="auto"/>
          <w:lang w:val="en-GB"/>
        </w:rPr>
        <w:t>Pencurian</w:t>
      </w:r>
      <w:proofErr w:type="spellEnd"/>
      <w:r w:rsidRPr="00A51029">
        <w:rPr>
          <w:rFonts w:cs="Linux Libertine"/>
          <w:color w:val="auto"/>
          <w:lang w:val="en-GB"/>
        </w:rPr>
        <w:t xml:space="preserve"> (</w:t>
      </w:r>
      <w:proofErr w:type="spellStart"/>
      <w:r w:rsidRPr="00A51029">
        <w:rPr>
          <w:rFonts w:cs="Linux Libertine"/>
          <w:color w:val="auto"/>
          <w:lang w:val="en-GB"/>
        </w:rPr>
        <w:t>Studi</w:t>
      </w:r>
      <w:proofErr w:type="spellEnd"/>
      <w:r w:rsidRPr="00A51029">
        <w:rPr>
          <w:rFonts w:cs="Linux Libertine"/>
          <w:color w:val="auto"/>
          <w:lang w:val="en-GB"/>
        </w:rPr>
        <w:t xml:space="preserve"> POLRESTABES Medan).” Bachelor Thesis, Medan: Universitas Muhammadiyah Sumatera Utara. http://repository.umsu.ac.id/handle/123456789/8280.</w:t>
      </w:r>
    </w:p>
    <w:p w14:paraId="74746E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Rawls, John. 2020. </w:t>
      </w:r>
      <w:r w:rsidRPr="00A51029">
        <w:rPr>
          <w:rFonts w:cs="Linux Libertine"/>
          <w:i/>
          <w:iCs/>
          <w:color w:val="auto"/>
          <w:lang w:val="en-GB"/>
        </w:rPr>
        <w:t>A Theory of Justice: Revised Edition</w:t>
      </w:r>
      <w:r w:rsidRPr="00A51029">
        <w:rPr>
          <w:rFonts w:cs="Linux Libertine"/>
          <w:color w:val="auto"/>
          <w:lang w:val="en-GB"/>
        </w:rPr>
        <w:t>. Harvard university press.</w:t>
      </w:r>
    </w:p>
    <w:p w14:paraId="31C77D41"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Safa’at</w:t>
      </w:r>
      <w:proofErr w:type="spellEnd"/>
      <w:r w:rsidRPr="00A51029">
        <w:rPr>
          <w:rFonts w:cs="Linux Libertine"/>
          <w:color w:val="auto"/>
          <w:lang w:val="en-GB"/>
        </w:rPr>
        <w:t xml:space="preserve">, </w:t>
      </w:r>
      <w:proofErr w:type="spellStart"/>
      <w:r w:rsidRPr="00A51029">
        <w:rPr>
          <w:rFonts w:cs="Linux Libertine"/>
          <w:color w:val="auto"/>
          <w:lang w:val="en-GB"/>
        </w:rPr>
        <w:t>Muchamad</w:t>
      </w:r>
      <w:proofErr w:type="spellEnd"/>
      <w:r w:rsidRPr="00A51029">
        <w:rPr>
          <w:rFonts w:cs="Linux Libertine"/>
          <w:color w:val="auto"/>
          <w:lang w:val="en-GB"/>
        </w:rPr>
        <w:t xml:space="preserve"> Ali. 2020. “A Comparative Study on the Recognition of the Religion in the Indigenous People Community in Indonesia According to the Constitutional Court Decisions Number 97/PUU-XIV/2016 and 140/PUU-VII/2009.” </w:t>
      </w:r>
      <w:proofErr w:type="spellStart"/>
      <w:r w:rsidRPr="00A51029">
        <w:rPr>
          <w:rFonts w:cs="Linux Libertine"/>
          <w:i/>
          <w:iCs/>
          <w:color w:val="auto"/>
          <w:lang w:val="en-GB"/>
        </w:rPr>
        <w:t>Tadulako</w:t>
      </w:r>
      <w:proofErr w:type="spellEnd"/>
      <w:r w:rsidRPr="00A51029">
        <w:rPr>
          <w:rFonts w:cs="Linux Libertine"/>
          <w:i/>
          <w:iCs/>
          <w:color w:val="auto"/>
          <w:lang w:val="en-GB"/>
        </w:rPr>
        <w:t xml:space="preserve"> Law Review</w:t>
      </w:r>
      <w:r w:rsidRPr="00A51029">
        <w:rPr>
          <w:rFonts w:cs="Linux Libertine"/>
          <w:color w:val="auto"/>
          <w:lang w:val="en-GB"/>
        </w:rPr>
        <w:t>.</w:t>
      </w:r>
    </w:p>
    <w:p w14:paraId="4D1CF15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Salim, </w:t>
      </w:r>
      <w:proofErr w:type="spellStart"/>
      <w:r w:rsidRPr="00A51029">
        <w:rPr>
          <w:rFonts w:cs="Linux Libertine"/>
          <w:color w:val="auto"/>
          <w:lang w:val="en-GB"/>
        </w:rPr>
        <w:t>Arskal</w:t>
      </w:r>
      <w:proofErr w:type="spellEnd"/>
      <w:r w:rsidRPr="00A51029">
        <w:rPr>
          <w:rFonts w:cs="Linux Libertine"/>
          <w:color w:val="auto"/>
          <w:lang w:val="en-GB"/>
        </w:rPr>
        <w:t xml:space="preserve">, and </w:t>
      </w:r>
      <w:proofErr w:type="spellStart"/>
      <w:r w:rsidRPr="00A51029">
        <w:rPr>
          <w:rFonts w:cs="Linux Libertine"/>
          <w:color w:val="auto"/>
          <w:lang w:val="en-GB"/>
        </w:rPr>
        <w:t>Azyumardi</w:t>
      </w:r>
      <w:proofErr w:type="spellEnd"/>
      <w:r w:rsidRPr="00A51029">
        <w:rPr>
          <w:rFonts w:cs="Linux Libertine"/>
          <w:color w:val="auto"/>
          <w:lang w:val="en-GB"/>
        </w:rPr>
        <w:t xml:space="preserve"> Azra. 2003. “Negara Dan </w:t>
      </w:r>
      <w:proofErr w:type="spellStart"/>
      <w:r w:rsidRPr="00A51029">
        <w:rPr>
          <w:rFonts w:cs="Linux Libertine"/>
          <w:color w:val="auto"/>
          <w:lang w:val="en-GB"/>
        </w:rPr>
        <w:t>Syariat</w:t>
      </w:r>
      <w:proofErr w:type="spellEnd"/>
      <w:r w:rsidRPr="00A51029">
        <w:rPr>
          <w:rFonts w:cs="Linux Libertine"/>
          <w:color w:val="auto"/>
          <w:lang w:val="en-GB"/>
        </w:rPr>
        <w:t xml:space="preserve"> </w:t>
      </w:r>
      <w:proofErr w:type="spellStart"/>
      <w:r w:rsidRPr="00A51029">
        <w:rPr>
          <w:rFonts w:cs="Linux Libertine"/>
          <w:color w:val="auto"/>
          <w:lang w:val="en-GB"/>
        </w:rPr>
        <w:t>Dalam</w:t>
      </w:r>
      <w:proofErr w:type="spellEnd"/>
      <w:r w:rsidRPr="00A51029">
        <w:rPr>
          <w:rFonts w:cs="Linux Libertine"/>
          <w:color w:val="auto"/>
          <w:lang w:val="en-GB"/>
        </w:rPr>
        <w:t xml:space="preserve"> </w:t>
      </w:r>
      <w:proofErr w:type="spellStart"/>
      <w:r w:rsidRPr="00A51029">
        <w:rPr>
          <w:rFonts w:cs="Linux Libertine"/>
          <w:color w:val="auto"/>
          <w:lang w:val="en-GB"/>
        </w:rPr>
        <w:t>Perspektif</w:t>
      </w:r>
      <w:proofErr w:type="spellEnd"/>
      <w:r w:rsidRPr="00A51029">
        <w:rPr>
          <w:rFonts w:cs="Linux Libertine"/>
          <w:color w:val="auto"/>
          <w:lang w:val="en-GB"/>
        </w:rPr>
        <w:t xml:space="preserve"> </w:t>
      </w:r>
      <w:proofErr w:type="spellStart"/>
      <w:r w:rsidRPr="00A51029">
        <w:rPr>
          <w:rFonts w:cs="Linux Libertine"/>
          <w:color w:val="auto"/>
          <w:lang w:val="en-GB"/>
        </w:rPr>
        <w:t>Politik</w:t>
      </w:r>
      <w:proofErr w:type="spellEnd"/>
      <w:r w:rsidRPr="00A51029">
        <w:rPr>
          <w:rFonts w:cs="Linux Libertine"/>
          <w:color w:val="auto"/>
          <w:lang w:val="en-GB"/>
        </w:rPr>
        <w:t xml:space="preserve"> Hukum Indonesia.” In </w:t>
      </w:r>
      <w:proofErr w:type="spellStart"/>
      <w:r w:rsidRPr="00A51029">
        <w:rPr>
          <w:rFonts w:cs="Linux Libertine"/>
          <w:i/>
          <w:iCs/>
          <w:color w:val="auto"/>
          <w:lang w:val="en-GB"/>
        </w:rPr>
        <w:t>Syariat</w:t>
      </w:r>
      <w:proofErr w:type="spellEnd"/>
      <w:r w:rsidRPr="00A51029">
        <w:rPr>
          <w:rFonts w:cs="Linux Libertine"/>
          <w:i/>
          <w:iCs/>
          <w:color w:val="auto"/>
          <w:lang w:val="en-GB"/>
        </w:rPr>
        <w:t xml:space="preserve"> Islam: </w:t>
      </w:r>
      <w:proofErr w:type="spellStart"/>
      <w:r w:rsidRPr="00A51029">
        <w:rPr>
          <w:rFonts w:cs="Linux Libertine"/>
          <w:i/>
          <w:iCs/>
          <w:color w:val="auto"/>
          <w:lang w:val="en-GB"/>
        </w:rPr>
        <w:t>Pandangan</w:t>
      </w:r>
      <w:proofErr w:type="spellEnd"/>
      <w:r w:rsidRPr="00A51029">
        <w:rPr>
          <w:rFonts w:cs="Linux Libertine"/>
          <w:i/>
          <w:iCs/>
          <w:color w:val="auto"/>
          <w:lang w:val="en-GB"/>
        </w:rPr>
        <w:t xml:space="preserve"> Muslim Liberal</w:t>
      </w:r>
      <w:r w:rsidRPr="00A51029">
        <w:rPr>
          <w:rFonts w:cs="Linux Libertine"/>
          <w:color w:val="auto"/>
          <w:lang w:val="en-GB"/>
        </w:rPr>
        <w:t xml:space="preserve">. Jakarta: </w:t>
      </w:r>
      <w:proofErr w:type="spellStart"/>
      <w:r w:rsidRPr="00A51029">
        <w:rPr>
          <w:rFonts w:cs="Linux Libertine"/>
          <w:color w:val="auto"/>
          <w:lang w:val="en-GB"/>
        </w:rPr>
        <w:t>Jaringan</w:t>
      </w:r>
      <w:proofErr w:type="spellEnd"/>
      <w:r w:rsidRPr="00A51029">
        <w:rPr>
          <w:rFonts w:cs="Linux Libertine"/>
          <w:color w:val="auto"/>
          <w:lang w:val="en-GB"/>
        </w:rPr>
        <w:t xml:space="preserve"> Islam Liberal-The Asia </w:t>
      </w:r>
      <w:proofErr w:type="spellStart"/>
      <w:r w:rsidRPr="00A51029">
        <w:rPr>
          <w:rFonts w:cs="Linux Libertine"/>
          <w:color w:val="auto"/>
          <w:lang w:val="en-GB"/>
        </w:rPr>
        <w:t>Faoundation</w:t>
      </w:r>
      <w:proofErr w:type="spellEnd"/>
      <w:r w:rsidRPr="00A51029">
        <w:rPr>
          <w:rFonts w:cs="Linux Libertine"/>
          <w:color w:val="auto"/>
          <w:lang w:val="en-GB"/>
        </w:rPr>
        <w:t>.</w:t>
      </w:r>
    </w:p>
    <w:p w14:paraId="6A628DE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Scanlon, Thomas. 1972. “A Theory of Freedom of Expression.” </w:t>
      </w:r>
      <w:r w:rsidRPr="00A51029">
        <w:rPr>
          <w:rFonts w:cs="Linux Libertine"/>
          <w:i/>
          <w:iCs/>
          <w:color w:val="auto"/>
          <w:lang w:val="en-GB"/>
        </w:rPr>
        <w:t>Philosophy &amp; Public Affairs</w:t>
      </w:r>
      <w:r w:rsidRPr="00A51029">
        <w:rPr>
          <w:rFonts w:cs="Linux Libertine"/>
          <w:color w:val="auto"/>
          <w:lang w:val="en-GB"/>
        </w:rPr>
        <w:t xml:space="preserve"> 1 (2): 204–26.</w:t>
      </w:r>
    </w:p>
    <w:p w14:paraId="61EBFE0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Scharffs</w:t>
      </w:r>
      <w:proofErr w:type="spellEnd"/>
      <w:r w:rsidRPr="00A51029">
        <w:rPr>
          <w:rFonts w:cs="Linux Libertine"/>
          <w:color w:val="auto"/>
          <w:lang w:val="en-GB"/>
        </w:rPr>
        <w:t xml:space="preserve">, Brett G. 2017. “Towards an Understanding of Accelerants and </w:t>
      </w:r>
      <w:proofErr w:type="spellStart"/>
      <w:r w:rsidRPr="00A51029">
        <w:rPr>
          <w:rFonts w:cs="Linux Libertine"/>
          <w:color w:val="auto"/>
          <w:lang w:val="en-GB"/>
        </w:rPr>
        <w:t>Decelerants</w:t>
      </w:r>
      <w:proofErr w:type="spellEnd"/>
      <w:r w:rsidRPr="00A51029">
        <w:rPr>
          <w:rFonts w:cs="Linux Libertine"/>
          <w:color w:val="auto"/>
          <w:lang w:val="en-GB"/>
        </w:rPr>
        <w:t>: A Non-</w:t>
      </w:r>
      <w:proofErr w:type="spellStart"/>
      <w:r w:rsidRPr="00A51029">
        <w:rPr>
          <w:rFonts w:cs="Linux Libertine"/>
          <w:color w:val="auto"/>
          <w:lang w:val="en-GB"/>
        </w:rPr>
        <w:t>Juriscentric</w:t>
      </w:r>
      <w:proofErr w:type="spellEnd"/>
      <w:r w:rsidRPr="00A51029">
        <w:rPr>
          <w:rFonts w:cs="Linux Libertine"/>
          <w:color w:val="auto"/>
          <w:lang w:val="en-GB"/>
        </w:rPr>
        <w:t xml:space="preserve"> Approach to off </w:t>
      </w:r>
      <w:proofErr w:type="spellStart"/>
      <w:r w:rsidRPr="00A51029">
        <w:rPr>
          <w:rFonts w:cs="Linux Libertine"/>
          <w:color w:val="auto"/>
          <w:lang w:val="en-GB"/>
        </w:rPr>
        <w:t>Ensive</w:t>
      </w:r>
      <w:proofErr w:type="spellEnd"/>
      <w:r w:rsidRPr="00A51029">
        <w:rPr>
          <w:rFonts w:cs="Linux Libertine"/>
          <w:color w:val="auto"/>
          <w:lang w:val="en-GB"/>
        </w:rPr>
        <w:t xml:space="preserve"> or Hateful Speech Concerning Religion.” In , 701–17. Cambridge University Press. https://doi.org/10.1017/9781108242189.029.</w:t>
      </w:r>
    </w:p>
    <w:p w14:paraId="357D94E8"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Schmitter</w:t>
      </w:r>
      <w:proofErr w:type="spellEnd"/>
      <w:r w:rsidRPr="00A51029">
        <w:rPr>
          <w:rFonts w:cs="Linux Libertine"/>
          <w:color w:val="auto"/>
          <w:lang w:val="en-GB"/>
        </w:rPr>
        <w:t xml:space="preserve">, Philippe C, and Terry Lynn Karl. 1991. “What Democracy Is. . . and Is Not.” </w:t>
      </w:r>
      <w:r w:rsidRPr="00A51029">
        <w:rPr>
          <w:rFonts w:cs="Linux Libertine"/>
          <w:i/>
          <w:iCs/>
          <w:color w:val="auto"/>
          <w:lang w:val="en-GB"/>
        </w:rPr>
        <w:t>Journal of Democracy</w:t>
      </w:r>
      <w:r w:rsidRPr="00A51029">
        <w:rPr>
          <w:rFonts w:cs="Linux Libertine"/>
          <w:color w:val="auto"/>
          <w:lang w:val="en-GB"/>
        </w:rPr>
        <w:t xml:space="preserve"> 2 (3): 75–88. https://doi.org/10.1353/jod.1991.0033.</w:t>
      </w:r>
    </w:p>
    <w:p w14:paraId="2DC668D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Sen, Amartya. 2008. “The Idea of Justice.” </w:t>
      </w:r>
      <w:r w:rsidRPr="00A51029">
        <w:rPr>
          <w:rFonts w:cs="Linux Libertine"/>
          <w:i/>
          <w:iCs/>
          <w:color w:val="auto"/>
          <w:lang w:val="en-GB"/>
        </w:rPr>
        <w:t>Journal of Human Development</w:t>
      </w:r>
      <w:r w:rsidRPr="00A51029">
        <w:rPr>
          <w:rFonts w:cs="Linux Libertine"/>
          <w:color w:val="auto"/>
          <w:lang w:val="en-GB"/>
        </w:rPr>
        <w:t xml:space="preserve"> 9 (3): 331–42.</w:t>
      </w:r>
    </w:p>
    <w:p w14:paraId="2FB1C54C"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Sezgin</w:t>
      </w:r>
      <w:proofErr w:type="spellEnd"/>
      <w:r w:rsidRPr="00A51029">
        <w:rPr>
          <w:rFonts w:cs="Linux Libertine"/>
          <w:color w:val="auto"/>
          <w:lang w:val="en-GB"/>
        </w:rPr>
        <w:t xml:space="preserve">, Y, and M </w:t>
      </w:r>
      <w:proofErr w:type="spellStart"/>
      <w:r w:rsidRPr="00A51029">
        <w:rPr>
          <w:rFonts w:cs="Linux Libertine"/>
          <w:color w:val="auto"/>
          <w:lang w:val="en-GB"/>
        </w:rPr>
        <w:t>Künkler</w:t>
      </w:r>
      <w:proofErr w:type="spellEnd"/>
      <w:r w:rsidRPr="00A51029">
        <w:rPr>
          <w:rFonts w:cs="Linux Libertine"/>
          <w:color w:val="auto"/>
          <w:lang w:val="en-GB"/>
        </w:rPr>
        <w:t xml:space="preserve">. 2014. “Regulation of ‘Religion’ and the ‘Religious’: The Politics of Judicialization and Bureaucratization in India and Indonesia.” </w:t>
      </w:r>
      <w:r w:rsidRPr="00A51029">
        <w:rPr>
          <w:rFonts w:cs="Linux Libertine"/>
          <w:i/>
          <w:iCs/>
          <w:color w:val="auto"/>
          <w:lang w:val="en-GB"/>
        </w:rPr>
        <w:t>Comparative Studies in Society and History</w:t>
      </w:r>
      <w:r w:rsidRPr="00A51029">
        <w:rPr>
          <w:rFonts w:cs="Linux Libertine"/>
          <w:color w:val="auto"/>
          <w:lang w:val="en-GB"/>
        </w:rPr>
        <w:t xml:space="preserve"> 56 (2): 448–78.</w:t>
      </w:r>
    </w:p>
    <w:p w14:paraId="51EAB45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Shepherd, Amy. 2017. “Extremism, Free Speech and the Rule of Law: Evaluating the Compliance of Legislation Restricting Extremist Expressions with Article 19 ICCPR.” </w:t>
      </w:r>
      <w:r w:rsidRPr="00A51029">
        <w:rPr>
          <w:rFonts w:cs="Linux Libertine"/>
          <w:i/>
          <w:iCs/>
          <w:color w:val="auto"/>
          <w:lang w:val="en-GB"/>
        </w:rPr>
        <w:t>Utrecht Journal of International and European Law</w:t>
      </w:r>
      <w:r w:rsidRPr="00A51029">
        <w:rPr>
          <w:rFonts w:cs="Linux Libertine"/>
          <w:color w:val="auto"/>
          <w:lang w:val="en-GB"/>
        </w:rPr>
        <w:t xml:space="preserve"> 33 (85): 62–83. https://doi.org/10.5334/ujiel.405.</w:t>
      </w:r>
    </w:p>
    <w:p w14:paraId="34169075"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Sihombing</w:t>
      </w:r>
      <w:proofErr w:type="spellEnd"/>
      <w:r w:rsidRPr="00A51029">
        <w:rPr>
          <w:rFonts w:cs="Linux Libertine"/>
          <w:color w:val="auto"/>
          <w:lang w:val="en-GB"/>
        </w:rPr>
        <w:t xml:space="preserve">, </w:t>
      </w:r>
      <w:proofErr w:type="spellStart"/>
      <w:r w:rsidRPr="00A51029">
        <w:rPr>
          <w:rFonts w:cs="Linux Libertine"/>
          <w:color w:val="auto"/>
          <w:lang w:val="en-GB"/>
        </w:rPr>
        <w:t>Uli</w:t>
      </w:r>
      <w:proofErr w:type="spellEnd"/>
      <w:r w:rsidRPr="00A51029">
        <w:rPr>
          <w:rFonts w:cs="Linux Libertine"/>
          <w:color w:val="auto"/>
          <w:lang w:val="en-GB"/>
        </w:rPr>
        <w:t xml:space="preserve"> </w:t>
      </w:r>
      <w:proofErr w:type="spellStart"/>
      <w:r w:rsidRPr="00A51029">
        <w:rPr>
          <w:rFonts w:cs="Linux Libertine"/>
          <w:color w:val="auto"/>
          <w:lang w:val="en-GB"/>
        </w:rPr>
        <w:t>Parulina</w:t>
      </w:r>
      <w:proofErr w:type="spellEnd"/>
      <w:r w:rsidRPr="00A51029">
        <w:rPr>
          <w:rFonts w:cs="Linux Libertine"/>
          <w:color w:val="auto"/>
          <w:lang w:val="en-GB"/>
        </w:rPr>
        <w:t>. 2008. “</w:t>
      </w:r>
      <w:proofErr w:type="spellStart"/>
      <w:r w:rsidRPr="00A51029">
        <w:rPr>
          <w:rFonts w:cs="Linux Libertine"/>
          <w:color w:val="auto"/>
          <w:lang w:val="en-GB"/>
        </w:rPr>
        <w:t>Menggugat</w:t>
      </w:r>
      <w:proofErr w:type="spellEnd"/>
      <w:r w:rsidRPr="00A51029">
        <w:rPr>
          <w:rFonts w:cs="Linux Libertine"/>
          <w:color w:val="auto"/>
          <w:lang w:val="en-GB"/>
        </w:rPr>
        <w:t xml:space="preserve"> </w:t>
      </w:r>
      <w:proofErr w:type="spellStart"/>
      <w:r w:rsidRPr="00A51029">
        <w:rPr>
          <w:rFonts w:cs="Linux Libertine"/>
          <w:color w:val="auto"/>
          <w:lang w:val="en-GB"/>
        </w:rPr>
        <w:t>Bakor</w:t>
      </w:r>
      <w:proofErr w:type="spellEnd"/>
      <w:r w:rsidRPr="00A51029">
        <w:rPr>
          <w:rFonts w:cs="Linux Libertine"/>
          <w:color w:val="auto"/>
          <w:lang w:val="en-GB"/>
        </w:rPr>
        <w:t xml:space="preserve"> </w:t>
      </w:r>
      <w:proofErr w:type="spellStart"/>
      <w:r w:rsidRPr="00A51029">
        <w:rPr>
          <w:rFonts w:cs="Linux Libertine"/>
          <w:color w:val="auto"/>
          <w:lang w:val="en-GB"/>
        </w:rPr>
        <w:t>Pakem</w:t>
      </w:r>
      <w:proofErr w:type="spellEnd"/>
      <w:r w:rsidRPr="00A51029">
        <w:rPr>
          <w:rFonts w:cs="Linux Libertine"/>
          <w:color w:val="auto"/>
          <w:lang w:val="en-GB"/>
        </w:rPr>
        <w:t xml:space="preserve">; Kajian Hukum </w:t>
      </w:r>
      <w:proofErr w:type="spellStart"/>
      <w:r w:rsidRPr="00A51029">
        <w:rPr>
          <w:rFonts w:cs="Linux Libertine"/>
          <w:color w:val="auto"/>
          <w:lang w:val="en-GB"/>
        </w:rPr>
        <w:t>Terhadap</w:t>
      </w:r>
      <w:proofErr w:type="spellEnd"/>
      <w:r w:rsidRPr="00A51029">
        <w:rPr>
          <w:rFonts w:cs="Linux Libertine"/>
          <w:color w:val="auto"/>
          <w:lang w:val="en-GB"/>
        </w:rPr>
        <w:t xml:space="preserve"> </w:t>
      </w:r>
      <w:proofErr w:type="spellStart"/>
      <w:r w:rsidRPr="00A51029">
        <w:rPr>
          <w:rFonts w:cs="Linux Libertine"/>
          <w:color w:val="auto"/>
          <w:lang w:val="en-GB"/>
        </w:rPr>
        <w:t>Pengawasan</w:t>
      </w:r>
      <w:proofErr w:type="spellEnd"/>
      <w:r w:rsidRPr="00A51029">
        <w:rPr>
          <w:rFonts w:cs="Linux Libertine"/>
          <w:color w:val="auto"/>
          <w:lang w:val="en-GB"/>
        </w:rPr>
        <w:t xml:space="preserve"> Agama Dan </w:t>
      </w:r>
      <w:proofErr w:type="spellStart"/>
      <w:r w:rsidRPr="00A51029">
        <w:rPr>
          <w:rFonts w:cs="Linux Libertine"/>
          <w:color w:val="auto"/>
          <w:lang w:val="en-GB"/>
        </w:rPr>
        <w:t>Kepercayaan</w:t>
      </w:r>
      <w:proofErr w:type="spellEnd"/>
      <w:r w:rsidRPr="00A51029">
        <w:rPr>
          <w:rFonts w:cs="Linux Libertine"/>
          <w:color w:val="auto"/>
          <w:lang w:val="en-GB"/>
        </w:rPr>
        <w:t xml:space="preserve"> Di Indonesia [</w:t>
      </w:r>
      <w:proofErr w:type="spellStart"/>
      <w:r w:rsidRPr="00A51029">
        <w:rPr>
          <w:rFonts w:cs="Linux Libertine"/>
          <w:color w:val="auto"/>
          <w:lang w:val="en-GB"/>
        </w:rPr>
        <w:t>Challeng</w:t>
      </w:r>
      <w:proofErr w:type="spellEnd"/>
      <w:r w:rsidRPr="00A51029">
        <w:rPr>
          <w:rFonts w:cs="Linux Libertine"/>
          <w:color w:val="auto"/>
          <w:lang w:val="en-GB"/>
        </w:rPr>
        <w:t xml:space="preserve">-Ing </w:t>
      </w:r>
      <w:proofErr w:type="spellStart"/>
      <w:r w:rsidRPr="00A51029">
        <w:rPr>
          <w:rFonts w:cs="Linux Libertine"/>
          <w:color w:val="auto"/>
          <w:lang w:val="en-GB"/>
        </w:rPr>
        <w:t>Bakor</w:t>
      </w:r>
      <w:proofErr w:type="spellEnd"/>
      <w:r w:rsidRPr="00A51029">
        <w:rPr>
          <w:rFonts w:cs="Linux Libertine"/>
          <w:color w:val="auto"/>
          <w:lang w:val="en-GB"/>
        </w:rPr>
        <w:t xml:space="preserve"> </w:t>
      </w:r>
      <w:proofErr w:type="spellStart"/>
      <w:r w:rsidRPr="00A51029">
        <w:rPr>
          <w:rFonts w:cs="Linux Libertine"/>
          <w:color w:val="auto"/>
          <w:lang w:val="en-GB"/>
        </w:rPr>
        <w:lastRenderedPageBreak/>
        <w:t>Pakem</w:t>
      </w:r>
      <w:proofErr w:type="spellEnd"/>
      <w:r w:rsidRPr="00A51029">
        <w:rPr>
          <w:rFonts w:cs="Linux Libertine"/>
          <w:color w:val="auto"/>
          <w:lang w:val="en-GB"/>
        </w:rPr>
        <w:t xml:space="preserve">; Legal Study on the Oversight of Religion and Belief in Indonesia].” Jakarta: ILRC [the Indonesian Legal Resource </w:t>
      </w:r>
      <w:proofErr w:type="spellStart"/>
      <w:r w:rsidRPr="00A51029">
        <w:rPr>
          <w:rFonts w:cs="Linux Libertine"/>
          <w:color w:val="auto"/>
          <w:lang w:val="en-GB"/>
        </w:rPr>
        <w:t>Center</w:t>
      </w:r>
      <w:proofErr w:type="spellEnd"/>
      <w:r w:rsidRPr="00A51029">
        <w:rPr>
          <w:rFonts w:cs="Linux Libertine"/>
          <w:color w:val="auto"/>
          <w:lang w:val="en-GB"/>
        </w:rPr>
        <w:t>].</w:t>
      </w:r>
    </w:p>
    <w:p w14:paraId="60B09A3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Smet, Stijn. 2011. “Freedom of Expression and the Right to Reputation: Human Rights in Conflict.” </w:t>
      </w:r>
      <w:r w:rsidRPr="00A51029">
        <w:rPr>
          <w:rFonts w:cs="Linux Libertine"/>
          <w:i/>
          <w:iCs/>
          <w:color w:val="auto"/>
          <w:lang w:val="en-GB"/>
        </w:rPr>
        <w:t>American University International Law Review</w:t>
      </w:r>
      <w:r w:rsidRPr="00A51029">
        <w:rPr>
          <w:rFonts w:cs="Linux Libertine"/>
          <w:color w:val="auto"/>
          <w:lang w:val="en-GB"/>
        </w:rPr>
        <w:t>, 183–236.</w:t>
      </w:r>
    </w:p>
    <w:p w14:paraId="72191548"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Tehusijarana</w:t>
      </w:r>
      <w:proofErr w:type="spellEnd"/>
      <w:r w:rsidRPr="00A51029">
        <w:rPr>
          <w:rFonts w:cs="Linux Libertine"/>
          <w:color w:val="auto"/>
          <w:lang w:val="en-GB"/>
        </w:rPr>
        <w:t xml:space="preserve">, Karina M. 2018. “Police End Probe into Blasphemy Allegations against </w:t>
      </w:r>
      <w:proofErr w:type="spellStart"/>
      <w:r w:rsidRPr="00A51029">
        <w:rPr>
          <w:rFonts w:cs="Linux Libertine"/>
          <w:color w:val="auto"/>
          <w:lang w:val="en-GB"/>
        </w:rPr>
        <w:t>Sukmawati</w:t>
      </w:r>
      <w:proofErr w:type="spellEnd"/>
      <w:r w:rsidRPr="00A51029">
        <w:rPr>
          <w:rFonts w:cs="Linux Libertine"/>
          <w:color w:val="auto"/>
          <w:lang w:val="en-GB"/>
        </w:rPr>
        <w:t>.” The Jakarta Post. 2018. https://www.thejakartapost.com/news/2018/06/17/police-end-probe-into-blasphemy-allegations-against-sukmawati.html.</w:t>
      </w:r>
    </w:p>
    <w:p w14:paraId="47525B2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Telle, Kari. 2017. “Faith on Trial: Blasphemy and ‘Lawfare’ in Indonesia.” </w:t>
      </w:r>
      <w:r w:rsidRPr="00A51029">
        <w:rPr>
          <w:rFonts w:cs="Linux Libertine"/>
          <w:i/>
          <w:iCs/>
          <w:color w:val="auto"/>
          <w:lang w:val="en-GB"/>
        </w:rPr>
        <w:t>Ethnos</w:t>
      </w:r>
      <w:r w:rsidRPr="00A51029">
        <w:rPr>
          <w:rFonts w:cs="Linux Libertine"/>
          <w:color w:val="auto"/>
          <w:lang w:val="en-GB"/>
        </w:rPr>
        <w:t xml:space="preserve"> 83 (2): 371–91. https://doi.org/10.1080/00141844.2017.1282973.</w:t>
      </w:r>
    </w:p>
    <w:p w14:paraId="3D80961A"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Temperman</w:t>
      </w:r>
      <w:proofErr w:type="spellEnd"/>
      <w:r w:rsidRPr="00A51029">
        <w:rPr>
          <w:rFonts w:cs="Linux Libertine"/>
          <w:color w:val="auto"/>
          <w:lang w:val="en-GB"/>
        </w:rPr>
        <w:t xml:space="preserve">, J. 2015. </w:t>
      </w:r>
      <w:r w:rsidRPr="00A51029">
        <w:rPr>
          <w:rFonts w:cs="Linux Libertine"/>
          <w:i/>
          <w:iCs/>
          <w:color w:val="auto"/>
          <w:lang w:val="en-GB"/>
        </w:rPr>
        <w:t>Religious Hatred and International Law: The Prohibition of Incitement to Violence or Discrimination</w:t>
      </w:r>
      <w:r w:rsidRPr="00A51029">
        <w:rPr>
          <w:rFonts w:cs="Linux Libertine"/>
          <w:color w:val="auto"/>
          <w:lang w:val="en-GB"/>
        </w:rPr>
        <w:t>. Cambridge University Press. https://books.google.com/books?id=ezDuCgAAQBAJ.</w:t>
      </w:r>
    </w:p>
    <w:p w14:paraId="090B4B99"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Theodorou</w:t>
      </w:r>
      <w:proofErr w:type="spellEnd"/>
      <w:r w:rsidRPr="00A51029">
        <w:rPr>
          <w:rFonts w:cs="Linux Libertine"/>
          <w:color w:val="auto"/>
          <w:lang w:val="en-GB"/>
        </w:rPr>
        <w:t xml:space="preserve">, Angelina E. 2016. “Which Countries Still Outlaw Apostasy and Blasphemy?” Pew Research </w:t>
      </w:r>
      <w:proofErr w:type="spellStart"/>
      <w:r w:rsidRPr="00A51029">
        <w:rPr>
          <w:rFonts w:cs="Linux Libertine"/>
          <w:color w:val="auto"/>
          <w:lang w:val="en-GB"/>
        </w:rPr>
        <w:t>Center</w:t>
      </w:r>
      <w:proofErr w:type="spellEnd"/>
      <w:r w:rsidRPr="00A51029">
        <w:rPr>
          <w:rFonts w:cs="Linux Libertine"/>
          <w:color w:val="auto"/>
          <w:lang w:val="en-GB"/>
        </w:rPr>
        <w:t>. 2016. https://www.pewresearch.org/fact-tank/2016/07/29/which-countries-still-outlaw-apostasy-and-blasphemy/.</w:t>
      </w:r>
    </w:p>
    <w:p w14:paraId="115FF27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Uddin, Asma T. 2015. “Provocative Speech in FRENCH Law: A Closer Look at Charlie Hebdo.” </w:t>
      </w:r>
      <w:r w:rsidRPr="00A51029">
        <w:rPr>
          <w:rFonts w:cs="Linux Libertine"/>
          <w:i/>
          <w:iCs/>
          <w:color w:val="auto"/>
          <w:lang w:val="en-GB"/>
        </w:rPr>
        <w:t>FIU Law Review</w:t>
      </w:r>
      <w:r w:rsidRPr="00A51029">
        <w:rPr>
          <w:rFonts w:cs="Linux Libertine"/>
          <w:color w:val="auto"/>
          <w:lang w:val="en-GB"/>
        </w:rPr>
        <w:t xml:space="preserve"> 11 (1). https://doi.org/10.25148/lawrev.11.1.14.</w:t>
      </w:r>
    </w:p>
    <w:p w14:paraId="28E6914F" w14:textId="77777777" w:rsidR="00A51029" w:rsidRPr="00A51029" w:rsidRDefault="00A51029" w:rsidP="00A51029">
      <w:pPr>
        <w:pStyle w:val="Bibliography"/>
        <w:rPr>
          <w:rFonts w:cs="Linux Libertine"/>
          <w:color w:val="auto"/>
          <w:lang w:val="en-GB"/>
        </w:rPr>
      </w:pPr>
      <w:proofErr w:type="spellStart"/>
      <w:r w:rsidRPr="00A51029">
        <w:rPr>
          <w:rFonts w:cs="Linux Libertine"/>
          <w:color w:val="auto"/>
          <w:lang w:val="en-GB"/>
        </w:rPr>
        <w:t>Vrielink</w:t>
      </w:r>
      <w:proofErr w:type="spellEnd"/>
      <w:r w:rsidRPr="00A51029">
        <w:rPr>
          <w:rFonts w:cs="Linux Libertine"/>
          <w:color w:val="auto"/>
          <w:lang w:val="en-GB"/>
        </w:rPr>
        <w:t xml:space="preserve">, </w:t>
      </w:r>
      <w:proofErr w:type="spellStart"/>
      <w:r w:rsidRPr="00A51029">
        <w:rPr>
          <w:rFonts w:cs="Linux Libertine"/>
          <w:color w:val="auto"/>
          <w:lang w:val="en-GB"/>
        </w:rPr>
        <w:t>Jogchum</w:t>
      </w:r>
      <w:proofErr w:type="spellEnd"/>
      <w:r w:rsidRPr="00A51029">
        <w:rPr>
          <w:rFonts w:cs="Linux Libertine"/>
          <w:color w:val="auto"/>
          <w:lang w:val="en-GB"/>
        </w:rPr>
        <w:t xml:space="preserve">. 2016. “Do We Want ‘More or Fewer’ Prosecutions of Opinions? The Geert Wilders Trial 2.0.” </w:t>
      </w:r>
      <w:r w:rsidRPr="00A51029">
        <w:rPr>
          <w:rFonts w:cs="Linux Libertine"/>
          <w:i/>
          <w:iCs/>
          <w:color w:val="auto"/>
          <w:lang w:val="en-GB"/>
        </w:rPr>
        <w:t>Netherlands Journal of Legal Philosophy</w:t>
      </w:r>
      <w:r w:rsidRPr="00A51029">
        <w:rPr>
          <w:rFonts w:cs="Linux Libertine"/>
          <w:color w:val="auto"/>
          <w:lang w:val="en-GB"/>
        </w:rPr>
        <w:t xml:space="preserve"> 2: 3–11.</w:t>
      </w:r>
    </w:p>
    <w:p w14:paraId="6551FF3B" w14:textId="071FB1E1"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E737" w14:textId="77777777" w:rsidR="002423A3" w:rsidRDefault="002423A3" w:rsidP="00D043F5">
      <w:r>
        <w:separator/>
      </w:r>
    </w:p>
  </w:endnote>
  <w:endnote w:type="continuationSeparator" w:id="0">
    <w:p w14:paraId="565DE2BD" w14:textId="77777777" w:rsidR="002423A3" w:rsidRDefault="002423A3"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59BB3" w14:textId="77777777" w:rsidR="002423A3" w:rsidRDefault="002423A3" w:rsidP="00D043F5">
      <w:r>
        <w:separator/>
      </w:r>
    </w:p>
  </w:footnote>
  <w:footnote w:type="continuationSeparator" w:id="0">
    <w:p w14:paraId="54D47C53" w14:textId="77777777" w:rsidR="002423A3" w:rsidRDefault="002423A3"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w:t>
      </w:r>
      <w:r w:rsidRPr="00A51029">
        <w:rPr>
          <w:lang w:val="en-US"/>
        </w:rPr>
        <w:t>Almighty</w:t>
      </w:r>
      <w:r w:rsidRPr="00A51029">
        <w:rPr>
          <w:lang w:val="en-US"/>
        </w:rPr>
        <w:t>.”</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312/Pid.B/2011/PN Srg; Verdict No. 314/Pid B/2011/PN.Srg.</w:t>
      </w:r>
    </w:p>
  </w:footnote>
  <w:footnote w:id="38">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9">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40">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1">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2">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3">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4">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5">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6">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7">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8">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9">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50">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1">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2">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3">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4">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5">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6">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7">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8">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9">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60">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1">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2">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3">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proofErr w:type="spellStart"/>
      <w:r w:rsidRPr="00DE7D8A">
        <w:rPr>
          <w:lang w:val="en-US"/>
        </w:rPr>
        <w:t>Pid.B</w:t>
      </w:r>
      <w:proofErr w:type="spellEnd"/>
      <w:r w:rsidRPr="00DE7D8A">
        <w:rPr>
          <w:lang w:val="en-US"/>
        </w:rPr>
        <w:t xml:space="preserve"> / 2015/PN </w:t>
      </w:r>
      <w:proofErr w:type="spellStart"/>
      <w:r w:rsidRPr="00DE7D8A">
        <w:rPr>
          <w:lang w:val="en-US"/>
        </w:rPr>
        <w:t>Bna</w:t>
      </w:r>
      <w:proofErr w:type="spellEnd"/>
      <w:r w:rsidRPr="00DE7D8A">
        <w:rPr>
          <w:lang w:val="en-US"/>
        </w:rPr>
        <w:t xml:space="preserve"> on behalf of defendant T. Abdul Fatah Bin T. Muhammad </w:t>
      </w:r>
      <w:proofErr w:type="spellStart"/>
      <w:r w:rsidRPr="00DE7D8A">
        <w:rPr>
          <w:lang w:val="en-US"/>
        </w:rPr>
        <w:t>Tahib</w:t>
      </w:r>
      <w:proofErr w:type="spellEnd"/>
      <w:r w:rsidRPr="00DE7D8A">
        <w:rPr>
          <w:lang w:val="en-US"/>
        </w:rPr>
        <w:t xml:space="preserve">; Decision of the </w:t>
      </w:r>
      <w:proofErr w:type="spellStart"/>
      <w:r w:rsidRPr="00DE7D8A">
        <w:rPr>
          <w:lang w:val="en-US"/>
        </w:rPr>
        <w:t>Jantho</w:t>
      </w:r>
      <w:proofErr w:type="spellEnd"/>
      <w:r w:rsidRPr="00DE7D8A">
        <w:rPr>
          <w:lang w:val="en-US"/>
        </w:rPr>
        <w:t xml:space="preserve"> District Court number 03 / </w:t>
      </w:r>
      <w:proofErr w:type="spellStart"/>
      <w:r w:rsidRPr="00DE7D8A">
        <w:rPr>
          <w:lang w:val="en-US"/>
        </w:rPr>
        <w:t>Pid.C</w:t>
      </w:r>
      <w:proofErr w:type="spellEnd"/>
      <w:r w:rsidRPr="00DE7D8A">
        <w:rPr>
          <w:lang w:val="en-US"/>
        </w:rPr>
        <w:t xml:space="preserve"> / 2015 / </w:t>
      </w:r>
      <w:proofErr w:type="spellStart"/>
      <w:r w:rsidRPr="00DE7D8A">
        <w:rPr>
          <w:lang w:val="en-US"/>
        </w:rPr>
        <w:t>Pn-Jth</w:t>
      </w:r>
      <w:proofErr w:type="spellEnd"/>
      <w:r w:rsidRPr="00DE7D8A">
        <w:rPr>
          <w:lang w:val="en-US"/>
        </w:rPr>
        <w:t xml:space="preserve"> dated 6 February 2016)</w:t>
      </w:r>
    </w:p>
  </w:footnote>
  <w:footnote w:id="64">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5">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6">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7">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DE7D8A">
        <w:rPr>
          <w:lang w:val="en-US"/>
        </w:rPr>
        <w:t>Jimly</w:t>
      </w:r>
      <w:proofErr w:type="spellEnd"/>
      <w:r w:rsidRPr="00DE7D8A">
        <w:rPr>
          <w:lang w:val="en-US"/>
        </w:rPr>
        <w:t xml:space="preserve"> </w:t>
      </w:r>
      <w:proofErr w:type="spellStart"/>
      <w:r w:rsidRPr="00DE7D8A">
        <w:rPr>
          <w:lang w:val="en-US"/>
        </w:rPr>
        <w:t>Asshiddiqie</w:t>
      </w:r>
      <w:proofErr w:type="spellEnd"/>
      <w:r w:rsidRPr="00DE7D8A">
        <w:rPr>
          <w:lang w:val="en-US"/>
        </w:rPr>
        <w:t>, “Universalization of Democratic Constitutionalism and The Work of Constitutional Courts Today,” Constitutional Review 1, no. 2 (March 28, 2016): 1, https://doi.org/10.31078/consrev121.</w:t>
      </w:r>
    </w:p>
  </w:footnote>
  <w:footnote w:id="68">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DE7D8A">
        <w:rPr>
          <w:lang w:val="en-US"/>
        </w:rPr>
        <w:t>internum</w:t>
      </w:r>
      <w:proofErr w:type="spellEnd"/>
      <w:r w:rsidRPr="00DE7D8A">
        <w:rPr>
          <w:lang w:val="en-US"/>
        </w:rPr>
        <w:t>, in which no one or no state can interfere with the liberty of any person to hold or choose the religions or beliefs. The second dimension is the right to manifest the religions or beliefs or known as forum-</w:t>
      </w:r>
      <w:proofErr w:type="spellStart"/>
      <w:r w:rsidRPr="00DE7D8A">
        <w:rPr>
          <w:lang w:val="en-US"/>
        </w:rPr>
        <w:t>externum</w:t>
      </w:r>
      <w:proofErr w:type="spellEnd"/>
      <w:r w:rsidRPr="00DE7D8A">
        <w:rPr>
          <w:lang w:val="en-US"/>
        </w:rPr>
        <w:t>. For example, everyone has the right to practice, worship, teach, and observe the religions or beliefs, either alone or in society, either private or public and could be a subject of such limitation under Art. 18 (3).</w:t>
      </w:r>
    </w:p>
  </w:footnote>
  <w:footnote w:id="69">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70">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1">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proofErr w:type="spellStart"/>
      <w:r w:rsidRPr="00DE7D8A">
        <w:rPr>
          <w:lang w:val="en-US"/>
        </w:rPr>
        <w:t>centre</w:t>
      </w:r>
      <w:proofErr w:type="spellEnd"/>
      <w:r w:rsidRPr="00DE7D8A">
        <w:rPr>
          <w:lang w:val="en-US"/>
        </w:rPr>
        <w:t xml:space="preserve"> of the protection regime.</w:t>
      </w:r>
    </w:p>
  </w:footnote>
  <w:footnote w:id="72">
    <w:p w14:paraId="14F27190" w14:textId="77777777" w:rsidR="00C8473A" w:rsidRPr="00734ABB" w:rsidRDefault="00C8473A" w:rsidP="00C8473A">
      <w:pPr>
        <w:pStyle w:val="FootnoteText"/>
      </w:pPr>
      <w:r w:rsidRPr="00E82028">
        <w:rPr>
          <w:rStyle w:val="FootnoteReference"/>
        </w:rPr>
        <w:footnoteRef/>
      </w:r>
      <w:r w:rsidRPr="00734ABB">
        <w:t xml:space="preserve"> </w:t>
      </w:r>
      <w:r w:rsidRPr="00734ABB">
        <w:tab/>
      </w:r>
      <w:r>
        <w:t>“</w:t>
      </w:r>
      <w:proofErr w:type="spellStart"/>
      <w:r w:rsidRPr="00734ABB">
        <w:t>Penetapan</w:t>
      </w:r>
      <w:proofErr w:type="spellEnd"/>
      <w:r w:rsidRPr="00734ABB">
        <w:t xml:space="preserve"> </w:t>
      </w:r>
      <w:proofErr w:type="spellStart"/>
      <w:r w:rsidRPr="00734ABB">
        <w:t>Presiden</w:t>
      </w:r>
      <w:proofErr w:type="spellEnd"/>
      <w:r w:rsidRPr="00734ABB">
        <w:t xml:space="preserve"> No. 1/1965 tentang Pentjegahan Penjalahgunaan Dan/Atau Penodaan Agama,</w:t>
      </w:r>
      <w:r>
        <w:t>”</w:t>
      </w:r>
      <w:r w:rsidRPr="00734ABB">
        <w:t xml:space="preserve"> Suara Merdeka, 9 Mar. 1965: 1. Cite from Menchik, Ibid. p. 608.</w:t>
      </w:r>
    </w:p>
  </w:footnote>
  <w:footnote w:id="73">
    <w:p w14:paraId="33FB4EF2" w14:textId="77777777" w:rsidR="00C8473A" w:rsidRPr="00734ABB" w:rsidRDefault="00C8473A" w:rsidP="00C8473A">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74">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5">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6">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77">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78">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9">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 xml:space="preserve">See the ruling of the High Court Decision in Jakarta Number 105/Pid/2017/PT. Jkt. Page 27. </w:t>
      </w:r>
    </w:p>
    <w:p w14:paraId="319CADA1" w14:textId="77777777" w:rsidR="00EB123F" w:rsidRPr="000D0378" w:rsidRDefault="00EB123F" w:rsidP="00EB123F">
      <w:pPr>
        <w:pStyle w:val="FootnoteText"/>
        <w:rPr>
          <w:rFonts w:cs="Linux Libertine"/>
          <w:szCs w:val="18"/>
        </w:rPr>
      </w:pPr>
    </w:p>
  </w:footnote>
  <w:footnote w:id="80">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81">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82">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83">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4">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5">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6">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7">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8">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9">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90">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91">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92">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93">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4">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5">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6">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7">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8">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9">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100">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101">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102">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103">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4">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5">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6">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7">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8">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9">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10">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11">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12">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13">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4">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5">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6">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7">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8">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9">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20">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21">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22">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23">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4">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5">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6">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7">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8">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9">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30">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757C9"/>
    <w:rsid w:val="000865BE"/>
    <w:rsid w:val="000B71B6"/>
    <w:rsid w:val="000C21FD"/>
    <w:rsid w:val="000D0378"/>
    <w:rsid w:val="000D3ECB"/>
    <w:rsid w:val="000F720D"/>
    <w:rsid w:val="001143C7"/>
    <w:rsid w:val="00116002"/>
    <w:rsid w:val="00117785"/>
    <w:rsid w:val="00127E31"/>
    <w:rsid w:val="001356E0"/>
    <w:rsid w:val="001517BB"/>
    <w:rsid w:val="00151845"/>
    <w:rsid w:val="00162E8A"/>
    <w:rsid w:val="00183B7C"/>
    <w:rsid w:val="00186C9C"/>
    <w:rsid w:val="001C3216"/>
    <w:rsid w:val="001F5938"/>
    <w:rsid w:val="00205413"/>
    <w:rsid w:val="0021672C"/>
    <w:rsid w:val="00221ECF"/>
    <w:rsid w:val="00222081"/>
    <w:rsid w:val="00231C8E"/>
    <w:rsid w:val="00240952"/>
    <w:rsid w:val="002423A3"/>
    <w:rsid w:val="00245C51"/>
    <w:rsid w:val="0025471E"/>
    <w:rsid w:val="00257C00"/>
    <w:rsid w:val="002B42F4"/>
    <w:rsid w:val="002B7213"/>
    <w:rsid w:val="002C3DAB"/>
    <w:rsid w:val="002C4402"/>
    <w:rsid w:val="00322058"/>
    <w:rsid w:val="00340465"/>
    <w:rsid w:val="003424F0"/>
    <w:rsid w:val="00373E09"/>
    <w:rsid w:val="00377B7A"/>
    <w:rsid w:val="003C7864"/>
    <w:rsid w:val="003D0446"/>
    <w:rsid w:val="00410DA6"/>
    <w:rsid w:val="00421A28"/>
    <w:rsid w:val="00422F55"/>
    <w:rsid w:val="00434680"/>
    <w:rsid w:val="00441CCC"/>
    <w:rsid w:val="004470C1"/>
    <w:rsid w:val="00464116"/>
    <w:rsid w:val="0046564B"/>
    <w:rsid w:val="004933D7"/>
    <w:rsid w:val="00496D7D"/>
    <w:rsid w:val="00497A00"/>
    <w:rsid w:val="004C7AD8"/>
    <w:rsid w:val="004D24CC"/>
    <w:rsid w:val="00537C3F"/>
    <w:rsid w:val="00540FED"/>
    <w:rsid w:val="00554233"/>
    <w:rsid w:val="005B7146"/>
    <w:rsid w:val="005D073C"/>
    <w:rsid w:val="005D7A02"/>
    <w:rsid w:val="005D7FEA"/>
    <w:rsid w:val="00601A07"/>
    <w:rsid w:val="0060217C"/>
    <w:rsid w:val="00603F8F"/>
    <w:rsid w:val="006052D0"/>
    <w:rsid w:val="00624770"/>
    <w:rsid w:val="00660AB6"/>
    <w:rsid w:val="00672A6A"/>
    <w:rsid w:val="00685163"/>
    <w:rsid w:val="0069487F"/>
    <w:rsid w:val="006A2A0F"/>
    <w:rsid w:val="006A6489"/>
    <w:rsid w:val="006C242A"/>
    <w:rsid w:val="006C2F51"/>
    <w:rsid w:val="006D1E4B"/>
    <w:rsid w:val="006D40D8"/>
    <w:rsid w:val="006E58BD"/>
    <w:rsid w:val="006F2583"/>
    <w:rsid w:val="006F31B5"/>
    <w:rsid w:val="006F6B45"/>
    <w:rsid w:val="00710226"/>
    <w:rsid w:val="0073238B"/>
    <w:rsid w:val="007659EE"/>
    <w:rsid w:val="00765DC5"/>
    <w:rsid w:val="00784A47"/>
    <w:rsid w:val="00792023"/>
    <w:rsid w:val="007B5411"/>
    <w:rsid w:val="007D2DAE"/>
    <w:rsid w:val="00810280"/>
    <w:rsid w:val="00852047"/>
    <w:rsid w:val="00880512"/>
    <w:rsid w:val="008818B6"/>
    <w:rsid w:val="008907A4"/>
    <w:rsid w:val="00892426"/>
    <w:rsid w:val="00894684"/>
    <w:rsid w:val="008A2AB1"/>
    <w:rsid w:val="008C07D6"/>
    <w:rsid w:val="008C1605"/>
    <w:rsid w:val="008C531A"/>
    <w:rsid w:val="008D2645"/>
    <w:rsid w:val="008D3F7C"/>
    <w:rsid w:val="008E18FF"/>
    <w:rsid w:val="008F33B3"/>
    <w:rsid w:val="008F4761"/>
    <w:rsid w:val="00917215"/>
    <w:rsid w:val="00927779"/>
    <w:rsid w:val="009449DC"/>
    <w:rsid w:val="009510D5"/>
    <w:rsid w:val="0095484E"/>
    <w:rsid w:val="00967DD5"/>
    <w:rsid w:val="00984E50"/>
    <w:rsid w:val="00985C39"/>
    <w:rsid w:val="009A07DA"/>
    <w:rsid w:val="009B2F6E"/>
    <w:rsid w:val="009C7DB5"/>
    <w:rsid w:val="009E1F33"/>
    <w:rsid w:val="009F6E03"/>
    <w:rsid w:val="00A05784"/>
    <w:rsid w:val="00A16CBB"/>
    <w:rsid w:val="00A27FE0"/>
    <w:rsid w:val="00A30FB1"/>
    <w:rsid w:val="00A42133"/>
    <w:rsid w:val="00A51029"/>
    <w:rsid w:val="00A533A0"/>
    <w:rsid w:val="00A74389"/>
    <w:rsid w:val="00A86C28"/>
    <w:rsid w:val="00A94A2D"/>
    <w:rsid w:val="00A95BA5"/>
    <w:rsid w:val="00A97C03"/>
    <w:rsid w:val="00AD45B1"/>
    <w:rsid w:val="00B03088"/>
    <w:rsid w:val="00B05E2C"/>
    <w:rsid w:val="00B16288"/>
    <w:rsid w:val="00B22678"/>
    <w:rsid w:val="00B56113"/>
    <w:rsid w:val="00B60435"/>
    <w:rsid w:val="00B711DE"/>
    <w:rsid w:val="00B84201"/>
    <w:rsid w:val="00B95E28"/>
    <w:rsid w:val="00BA0A52"/>
    <w:rsid w:val="00BC2CF5"/>
    <w:rsid w:val="00BE1014"/>
    <w:rsid w:val="00C120A6"/>
    <w:rsid w:val="00C1240E"/>
    <w:rsid w:val="00C12669"/>
    <w:rsid w:val="00C172FE"/>
    <w:rsid w:val="00C22992"/>
    <w:rsid w:val="00C6591A"/>
    <w:rsid w:val="00C704C4"/>
    <w:rsid w:val="00C74AC3"/>
    <w:rsid w:val="00C75C62"/>
    <w:rsid w:val="00C82BA7"/>
    <w:rsid w:val="00C8473A"/>
    <w:rsid w:val="00CB68F4"/>
    <w:rsid w:val="00CC45BD"/>
    <w:rsid w:val="00CD0F35"/>
    <w:rsid w:val="00CD6D53"/>
    <w:rsid w:val="00CF1468"/>
    <w:rsid w:val="00D02C1C"/>
    <w:rsid w:val="00D043F5"/>
    <w:rsid w:val="00D110A5"/>
    <w:rsid w:val="00D12EBE"/>
    <w:rsid w:val="00D14063"/>
    <w:rsid w:val="00D17E6D"/>
    <w:rsid w:val="00D20AED"/>
    <w:rsid w:val="00D42135"/>
    <w:rsid w:val="00D45448"/>
    <w:rsid w:val="00D4599E"/>
    <w:rsid w:val="00D957B0"/>
    <w:rsid w:val="00DA1309"/>
    <w:rsid w:val="00DB1BE9"/>
    <w:rsid w:val="00DC0047"/>
    <w:rsid w:val="00DC0B47"/>
    <w:rsid w:val="00DC748E"/>
    <w:rsid w:val="00DD6AEE"/>
    <w:rsid w:val="00DE4F82"/>
    <w:rsid w:val="00DE60E7"/>
    <w:rsid w:val="00DE7D8A"/>
    <w:rsid w:val="00E3763D"/>
    <w:rsid w:val="00E40EDE"/>
    <w:rsid w:val="00E67F55"/>
    <w:rsid w:val="00E83EAB"/>
    <w:rsid w:val="00EB123F"/>
    <w:rsid w:val="00EC7DF9"/>
    <w:rsid w:val="00EF69DE"/>
    <w:rsid w:val="00F10F58"/>
    <w:rsid w:val="00F2006E"/>
    <w:rsid w:val="00F24D9E"/>
    <w:rsid w:val="00F257F5"/>
    <w:rsid w:val="00F45525"/>
    <w:rsid w:val="00F832DC"/>
    <w:rsid w:val="00F86D3F"/>
    <w:rsid w:val="00FA2773"/>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3763</TotalTime>
  <Pages>187</Pages>
  <Words>62242</Words>
  <Characters>354785</Characters>
  <Application>Microsoft Office Word</Application>
  <DocSecurity>0</DocSecurity>
  <Lines>2956</Lines>
  <Paragraphs>832</Paragraphs>
  <ScaleCrop>false</ScaleCrop>
  <Company/>
  <LinksUpToDate>false</LinksUpToDate>
  <CharactersWithSpaces>416195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218</cp:revision>
  <dcterms:created xsi:type="dcterms:W3CDTF">2023-03-23T02:09:00Z</dcterms:created>
  <dcterms:modified xsi:type="dcterms:W3CDTF">2023-05-05T15:54:00Z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id="z9iRoH9S"/&gt;&lt;style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