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Mrs. Cekli Setya Pratiwi</w:t>
      </w:r>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Prof. Patcharee  Lertrit,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Vachararutai  Boontinand,</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Mrs. Cekli Setya Pratiwi</w:t>
      </w:r>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Prof. Patcharee  Lertrit,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Vachararutai  Boontinand,</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r w:rsidRPr="00672A6A">
        <w:rPr>
          <w:rFonts w:cs="Linux Libertine"/>
        </w:rPr>
        <w:t>Cekli Setya Pratiwi</w:t>
      </w:r>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Front Pembela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77777777" w:rsidR="00DC0047" w:rsidRPr="00672A6A" w:rsidRDefault="00927779" w:rsidP="00DC0047">
      <w:pPr>
        <w:spacing w:line="360" w:lineRule="auto"/>
        <w:jc w:val="both"/>
        <w:rPr>
          <w:rFonts w:cs="Linux Libertine"/>
        </w:rPr>
      </w:pPr>
      <w:r w:rsidRPr="00672A6A">
        <w:rPr>
          <w:rFonts w:cs="Linux Libertine"/>
        </w:rPr>
        <w:t>The rule of law is a fundamental aspect of democracy that relies on the presence of clear and certain legal norms to ensure substantive justice and safeguard human rights (Nijhar,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Saveliev, 2021; Yoo, 2018). Legal reform is essential to overcome this challenge and uphold the rule of law effectively (Koch, 2019; Ruskola, 2020).</w:t>
      </w:r>
    </w:p>
    <w:p w14:paraId="588E7C9B" w14:textId="77777777" w:rsidR="00DC0047" w:rsidRPr="00672A6A" w:rsidRDefault="00927779" w:rsidP="00DC0047">
      <w:pPr>
        <w:spacing w:line="360" w:lineRule="auto"/>
        <w:ind w:firstLine="720"/>
        <w:jc w:val="both"/>
        <w:rPr>
          <w:rFonts w:cs="Linux Libertine"/>
        </w:rPr>
      </w:pPr>
      <w:r w:rsidRPr="00672A6A">
        <w:rPr>
          <w:rFonts w:cs="Linux Libertine"/>
        </w:rPr>
        <w:t>The Indonesian Anti-Blasphemy Law is an area where legal reform is necessary, and debates have arisen over whether to amend or repeal the law due to the disparity between the law on paper and the law in practice (Fealy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Pr="00672A6A" w:rsidRDefault="00D14063" w:rsidP="00DC0047">
      <w:pPr>
        <w:spacing w:line="360" w:lineRule="auto"/>
        <w:ind w:firstLine="720"/>
        <w:jc w:val="both"/>
        <w:rPr>
          <w:rFonts w:cs="Linux Libertine"/>
        </w:rPr>
      </w:pPr>
      <w:r w:rsidRPr="00672A6A">
        <w:rPr>
          <w:rFonts w:cs="Linux Libertine"/>
        </w:rPr>
        <w:t>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Rosand,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a </w:t>
      </w:r>
      <w:r w:rsidRPr="00672A6A">
        <w:rPr>
          <w:rFonts w:cs="Linux Libertine"/>
        </w:rPr>
        <w:lastRenderedPageBreak/>
        <w:t>functional democracy, these branches act as checks and balances to ensure the common good, while in non-democratic states, they serve as tools for maintaining autocratic rule, promoting autocratic legislation, and legitimizing human rights violations (Scheppele, 2018; Tamanaha,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(Blitt, 2011; Buruma, 2007; Danchin, 2010; Dundon and Rollinson, 2011; Fagan, 2019; Fiss and Kestenbaum, 2017; Graham, 2009; Siddique and Hayat, 2008; Theodorou,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Pausacker, 2017; Marshall, 2018a; Menchik, 2014a; Tømte,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NGOs, the Constitutional Court of Indonesia Republic (CCIR) was asked to review the law in 2009. In several decisions, the CCIR has urged the Indonesian Parliament to revise the IABL, including </w:t>
      </w:r>
      <w:r w:rsidRPr="00672A6A">
        <w:rPr>
          <w:rFonts w:cs="Linux Libertine"/>
        </w:rPr>
        <w:lastRenderedPageBreak/>
        <w:t>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While the CCIR recognized the legal ambiguities of the IABL, scholars such as Crouch (2011) and Tømte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Rizieq Shihab phenomenon and its association with the inability of the court to provide justice. The study also explores the influence of growing Islamic populism on the Rizieq Shihab case and other factors that contribute to it. Moreover, the study aims to identify the true supporters of the implementation of the ABL and investigate whether the strengthening of the law has </w:t>
      </w:r>
      <w:r w:rsidRPr="00672A6A">
        <w:rPr>
          <w:rFonts w:cs="Linux Libertine"/>
        </w:rPr>
        <w:lastRenderedPageBreak/>
        <w:t>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(Menchik,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Pembela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 xml:space="preserve">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the court, and no studies on the variety of community responses to this issue (Harsono, 2019). Therefore, this research aims to explore the factors and actors that have shaped the enforcement of the IABL in each period in-depth, updating previous research and considering the current socio-political context during the second term of Joko </w:t>
      </w:r>
      <w:r w:rsidRPr="00672A6A">
        <w:rPr>
          <w:rFonts w:cs="Linux Libertine"/>
        </w:rPr>
        <w:lastRenderedPageBreak/>
        <w:t>Widodo's presidency, in which there has been an increase in the number of blasphemy cases (Pratiwi,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(Hilmi, 2018). Identity politics also influenced public reactions to blasphemy cases, such as the case of Ahok, a Chinese governor of Jakarta, where the political narrative centered on issues of race and perceived economic oppression (Marshall, 2018a; Tehusijarana,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(Harsono, 2019; Prud’homme,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 xml:space="preserve">The relationship between state and religion is a central aspect of discussions on ABLs. An-Naim (2008) advocates for a secular state that maintains neutrality towards religion and prohibits religious laws from regulating public life. He contends that a secular state, which does not enforce Sharia, is necessary for individuals to choose </w:t>
      </w:r>
      <w:r w:rsidRPr="00672A6A">
        <w:rPr>
          <w:rFonts w:cs="Linux Libertine"/>
        </w:rPr>
        <w:lastRenderedPageBreak/>
        <w:t>their religious beliefs without coercion or fear of state institutions. However, Durham and Scharffs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7068BA01"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w:t>
      </w:r>
      <w:r w:rsidR="00710226">
        <w:rPr>
          <w:rFonts w:cs="Linux Libertine"/>
        </w:rPr>
        <w:t xml:space="preserve">current development of the Indonesia’s </w:t>
      </w:r>
      <w:r w:rsidRPr="00672A6A">
        <w:rPr>
          <w:rFonts w:cs="Linux Libertine"/>
        </w:rPr>
        <w:t xml:space="preserve">ABL </w:t>
      </w:r>
      <w:r w:rsidR="00710226">
        <w:rPr>
          <w:rFonts w:cs="Linux Libertine"/>
        </w:rPr>
        <w:t>and its related laws degrade</w:t>
      </w:r>
      <w:r w:rsidRPr="00672A6A">
        <w:rPr>
          <w:rFonts w:cs="Linux Libertine"/>
        </w:rPr>
        <w:t xml:space="preserve"> the </w:t>
      </w:r>
      <w:r w:rsidR="00710226">
        <w:rPr>
          <w:rFonts w:cs="Linux Libertine"/>
        </w:rPr>
        <w:t>r</w:t>
      </w:r>
      <w:r w:rsidRPr="00672A6A">
        <w:rPr>
          <w:rFonts w:cs="Linux Libertine"/>
        </w:rPr>
        <w:t>ule of Law</w:t>
      </w:r>
      <w:r w:rsidR="00710226">
        <w:rPr>
          <w:rFonts w:cs="Linux Libertine"/>
        </w:rPr>
        <w:t xml:space="preserve"> and give the impact on the enjoyment of human rights.</w:t>
      </w:r>
    </w:p>
    <w:p w14:paraId="7435F2B8" w14:textId="49DABFA8"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w:t>
      </w:r>
      <w:r w:rsidR="00710226">
        <w:rPr>
          <w:rFonts w:cs="Linux Libertine"/>
        </w:rPr>
        <w:t xml:space="preserve">, </w:t>
      </w:r>
      <w:r w:rsidRPr="00672A6A">
        <w:rPr>
          <w:rFonts w:cs="Linux Libertine"/>
        </w:rPr>
        <w:t xml:space="preserve"> whether political manipulation of religions influence the enforcement of the IABL</w:t>
      </w:r>
      <w:r w:rsidR="00710226">
        <w:rPr>
          <w:rFonts w:cs="Linux Libertine"/>
        </w:rPr>
        <w:t>.</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90ADEF4" w:rsidR="00117785" w:rsidRPr="00672A6A" w:rsidRDefault="00710226" w:rsidP="00DC0047">
      <w:pPr>
        <w:pStyle w:val="ListParagraph"/>
        <w:numPr>
          <w:ilvl w:val="0"/>
          <w:numId w:val="204"/>
        </w:numPr>
        <w:spacing w:line="360" w:lineRule="auto"/>
        <w:jc w:val="both"/>
        <w:rPr>
          <w:rFonts w:cs="Linux Libertine"/>
        </w:rPr>
      </w:pPr>
      <w:r>
        <w:rPr>
          <w:rFonts w:cs="Linux Libertine"/>
        </w:rPr>
        <w:t>Why</w:t>
      </w:r>
      <w:r w:rsidR="00B56113" w:rsidRPr="00672A6A">
        <w:rPr>
          <w:rFonts w:cs="Linux Libertine"/>
        </w:rPr>
        <w:t xml:space="preserve"> the </w:t>
      </w:r>
      <w:r>
        <w:rPr>
          <w:rFonts w:cs="Linux Libertine"/>
        </w:rPr>
        <w:t xml:space="preserve">current development of the </w:t>
      </w:r>
      <w:r w:rsidR="00B56113" w:rsidRPr="00672A6A">
        <w:rPr>
          <w:rFonts w:cs="Linux Libertine"/>
        </w:rPr>
        <w:t>I</w:t>
      </w:r>
      <w:r w:rsidR="00045337" w:rsidRPr="00672A6A">
        <w:rPr>
          <w:rFonts w:cs="Linux Libertine"/>
        </w:rPr>
        <w:t xml:space="preserve">ndonesia’s </w:t>
      </w:r>
      <w:r w:rsidR="00B56113" w:rsidRPr="00672A6A">
        <w:rPr>
          <w:rFonts w:cs="Linux Libertine"/>
        </w:rPr>
        <w:t xml:space="preserve">ABL </w:t>
      </w:r>
      <w:r>
        <w:rPr>
          <w:rFonts w:cs="Linux Libertine"/>
        </w:rPr>
        <w:t xml:space="preserve">and its related law </w:t>
      </w:r>
      <w:r w:rsidR="00B56113" w:rsidRPr="00672A6A">
        <w:rPr>
          <w:rFonts w:cs="Linux Libertine"/>
        </w:rPr>
        <w:t>degrade the rule of law</w:t>
      </w:r>
      <w:r>
        <w:rPr>
          <w:rFonts w:cs="Linux Libertine"/>
        </w:rPr>
        <w:t>? If it gives the impact on the enjoyment of human rights</w:t>
      </w:r>
      <w:r w:rsidR="00B56113" w:rsidRPr="00672A6A">
        <w:rPr>
          <w:rFonts w:cs="Linux Libertine"/>
        </w:rPr>
        <w:t>?</w:t>
      </w:r>
    </w:p>
    <w:p w14:paraId="3A534FE8" w14:textId="77777777" w:rsidR="00B05E2C" w:rsidRPr="00B05E2C" w:rsidRDefault="00B56113" w:rsidP="00DC0047">
      <w:pPr>
        <w:pStyle w:val="ListParagraph"/>
        <w:numPr>
          <w:ilvl w:val="0"/>
          <w:numId w:val="204"/>
        </w:numPr>
        <w:spacing w:line="360" w:lineRule="auto"/>
        <w:jc w:val="both"/>
        <w:rPr>
          <w:rFonts w:cs="Linux Libertine"/>
        </w:rPr>
      </w:pPr>
      <w:r w:rsidRPr="00672A6A">
        <w:rPr>
          <w:rFonts w:cs="Linux Libertine"/>
        </w:rPr>
        <w:lastRenderedPageBreak/>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Al-Khanif (2008), Margiyono et al. (2010), Arifin (2010), Noorsena (2012), Arief,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Al-Khanif's (2008) study focused on blasphemy cases of Ahmadiyya from the perspective of International Human Rights Law. Margiyono et al. (2010) reviewed the arguments made by judges of the Constitutional Court during their examination of the Anti-Defamation Law. Noorsena (2012) concentrated on normatively reviewing blasphemy cases to reformulate Article 156a of the Criminal Code, which is frequently utilized as the basis for criminalizing blasphemy. Arief, B.N. (2012) conducted a comparative study of blasphemy offenses in Indonesia with other countries. (Al-Khanif, 2008; Margiyono et al., 2010; Arifin, 2010; Noorsena, 2012; Arief, 2012).</w:t>
      </w:r>
      <w:r w:rsidR="00117785" w:rsidRPr="00672A6A">
        <w:rPr>
          <w:rFonts w:cs="Linux Libertine"/>
        </w:rPr>
        <w:t xml:space="preserve"> </w:t>
      </w:r>
      <w:r w:rsidR="00422F55" w:rsidRPr="00422F55">
        <w:rPr>
          <w:rFonts w:cs="Linux Libertine"/>
          <w:color w:val="00B050"/>
        </w:rPr>
        <w:t>This study does not intend to avoid the top-down approach, unlike the previous studies. This means that the top-down approach is still necessary to examine the current development of the latest anti-blasphemy law in Indonesia. This is because in the last ten years, the legal politics of the Anti-Blasphemy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w:t>
      </w:r>
      <w:r w:rsidRPr="00422F55">
        <w:rPr>
          <w:rFonts w:cs="Linux Libertine"/>
          <w:color w:val="00B050"/>
        </w:rPr>
        <w:lastRenderedPageBreak/>
        <w:t>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t>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Moektiono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0EA0906B"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710226">
        <w:rPr>
          <w:rFonts w:cs="Linux Libertine"/>
        </w:rPr>
        <w:t xml:space="preserve"> and the relationship among them.</w:t>
      </w:r>
      <w:r w:rsidR="00045337" w:rsidRPr="00672A6A">
        <w:rPr>
          <w:rFonts w:cs="Linux Libertine"/>
        </w:rPr>
        <w:t xml:space="preserve"> There are some conceptual framework such as</w:t>
      </w:r>
      <w:r w:rsidR="00710226">
        <w:rPr>
          <w:rFonts w:cs="Linux Libertine"/>
        </w:rPr>
        <w:t xml:space="preserve"> the law enforcement of the ABL, Human Rights under Anti Blasphemy Law regime.</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1019F281" w:rsidR="00C74AC3" w:rsidRPr="00672A6A" w:rsidRDefault="008907A4" w:rsidP="00C74AC3">
      <w:pPr>
        <w:spacing w:line="360" w:lineRule="auto"/>
        <w:ind w:firstLine="720"/>
        <w:jc w:val="both"/>
        <w:rPr>
          <w:rFonts w:cs="Linux Libertine"/>
        </w:rPr>
      </w:pPr>
      <w:r w:rsidRPr="00672A6A">
        <w:rPr>
          <w:rFonts w:cs="Linux Libertine"/>
        </w:rPr>
        <w:t xml:space="preserve">Chapter IV: </w:t>
      </w:r>
      <w:r w:rsidR="00710226">
        <w:rPr>
          <w:rFonts w:cs="Linux Libertine"/>
        </w:rPr>
        <w:t xml:space="preserve">Current </w:t>
      </w:r>
      <w:r w:rsidRPr="00672A6A">
        <w:rPr>
          <w:rFonts w:cs="Linux Libertine"/>
        </w:rPr>
        <w:t>Development of Anti-Blasphemy Law in Indonesia</w:t>
      </w:r>
      <w:r w:rsidR="00045337" w:rsidRPr="00672A6A">
        <w:rPr>
          <w:rFonts w:cs="Linux Libertine"/>
        </w:rPr>
        <w:t xml:space="preserve"> and Its Impacts </w:t>
      </w:r>
      <w:r w:rsidR="00710226">
        <w:rPr>
          <w:rFonts w:cs="Linux Libertine"/>
        </w:rPr>
        <w:t>on the Enjoyment of</w:t>
      </w:r>
      <w:r w:rsidR="00045337" w:rsidRPr="00672A6A">
        <w:rPr>
          <w:rFonts w:cs="Linux Libertine"/>
        </w:rPr>
        <w:t xml:space="preserve"> Human Rights.</w:t>
      </w:r>
      <w:r w:rsidRPr="00672A6A">
        <w:rPr>
          <w:rFonts w:cs="Linux Libertine"/>
        </w:rPr>
        <w:t xml:space="preserve"> This chapter provides the</w:t>
      </w:r>
      <w:r w:rsidR="00710226">
        <w:rPr>
          <w:rFonts w:cs="Linux Libertine"/>
        </w:rPr>
        <w:t xml:space="preserve"> current</w:t>
      </w:r>
      <w:r w:rsidRPr="00672A6A">
        <w:rPr>
          <w:rFonts w:cs="Linux Libertine"/>
        </w:rPr>
        <w:t xml:space="preserve"> development of Indonesia's Anti-Blasphemy Law</w:t>
      </w:r>
      <w:r w:rsidR="00710226">
        <w:rPr>
          <w:rFonts w:cs="Linux Libertine"/>
        </w:rPr>
        <w:t xml:space="preserve"> and its related laws.</w:t>
      </w:r>
      <w:r w:rsidRPr="00672A6A">
        <w:rPr>
          <w:rFonts w:cs="Linux Libertine"/>
        </w:rPr>
        <w:t xml:space="preserve"> It discusses the legal and political context that led to the </w:t>
      </w:r>
      <w:r w:rsidR="00045337" w:rsidRPr="00672A6A">
        <w:rPr>
          <w:rFonts w:cs="Linux Libertine"/>
        </w:rPr>
        <w:t>strengthen</w:t>
      </w:r>
      <w:r w:rsidRPr="00672A6A">
        <w:rPr>
          <w:rFonts w:cs="Linux Libertine"/>
        </w:rPr>
        <w:t xml:space="preserve"> of the </w:t>
      </w:r>
      <w:r w:rsidR="00710226">
        <w:rPr>
          <w:rFonts w:cs="Linux Libertine"/>
        </w:rPr>
        <w:t>ABL</w:t>
      </w:r>
      <w:r w:rsidR="00045337" w:rsidRPr="00672A6A">
        <w:rPr>
          <w:rFonts w:cs="Linux Libertine"/>
        </w:rPr>
        <w:t xml:space="preserve"> by the Constitutional Court of Indonesia</w:t>
      </w:r>
      <w:r w:rsidR="00710226">
        <w:rPr>
          <w:rFonts w:cs="Linux Libertine"/>
        </w:rPr>
        <w:t xml:space="preserve"> through its judicial review decisions and</w:t>
      </w:r>
      <w:r w:rsidR="00045337" w:rsidRPr="00672A6A">
        <w:rPr>
          <w:rFonts w:cs="Linux Libertine"/>
        </w:rPr>
        <w:t xml:space="preserve"> the presence of the related laws</w:t>
      </w:r>
      <w:r w:rsidR="00710226">
        <w:rPr>
          <w:rFonts w:cs="Linux Libertine"/>
        </w:rPr>
        <w:t>, such as the Law concerning Criminal Code and the Law concerning the Informatic Electronic Transactions and examine whether the current development degrade the principle of the rule of law through</w:t>
      </w:r>
      <w:r w:rsidR="00045337" w:rsidRPr="00672A6A">
        <w:rPr>
          <w:rFonts w:cs="Linux Libertine"/>
        </w:rPr>
        <w:t xml:space="preserve"> analyzed the impacts of its </w:t>
      </w:r>
      <w:r w:rsidR="00710226">
        <w:rPr>
          <w:rFonts w:cs="Linux Libertine"/>
        </w:rPr>
        <w:t xml:space="preserve">current </w:t>
      </w:r>
      <w:r w:rsidR="00045337" w:rsidRPr="00672A6A">
        <w:rPr>
          <w:rFonts w:cs="Linux Libertine"/>
        </w:rPr>
        <w:t xml:space="preserve">developments </w:t>
      </w:r>
      <w:r w:rsidR="00710226">
        <w:rPr>
          <w:rFonts w:cs="Linux Libertine"/>
        </w:rPr>
        <w:t>on the enjoyments of</w:t>
      </w:r>
      <w:r w:rsidR="00045337" w:rsidRPr="00672A6A">
        <w:rPr>
          <w:rFonts w:cs="Linux Libertine"/>
        </w:rPr>
        <w:t xml:space="preserve"> human rights</w:t>
      </w:r>
      <w:r w:rsidR="00710226">
        <w:rPr>
          <w:rFonts w:cs="Linux Libertine"/>
        </w:rPr>
        <w:t>.</w:t>
      </w:r>
    </w:p>
    <w:p w14:paraId="7B50111E" w14:textId="4C571629" w:rsidR="00C74AC3" w:rsidRPr="00672A6A" w:rsidRDefault="008907A4" w:rsidP="00C74AC3">
      <w:pPr>
        <w:spacing w:line="360" w:lineRule="auto"/>
        <w:ind w:firstLine="720"/>
        <w:jc w:val="both"/>
        <w:rPr>
          <w:rFonts w:cs="Linux Libertine"/>
        </w:rPr>
      </w:pPr>
      <w:r w:rsidRPr="00672A6A">
        <w:rPr>
          <w:rFonts w:cs="Linux Libertine"/>
        </w:rPr>
        <w:t>Chapter V: The Enforcement of Indonesia's Anti-Blasphemy Law</w:t>
      </w:r>
      <w:r w:rsidR="00710226">
        <w:rPr>
          <w:rFonts w:cs="Linux Libertine"/>
        </w:rPr>
        <w:t>, Political Manipulations</w:t>
      </w:r>
      <w:r w:rsidRPr="00672A6A">
        <w:rPr>
          <w:rFonts w:cs="Linux Libertine"/>
        </w:rPr>
        <w:t xml:space="preserve"> and Its Impacts</w:t>
      </w:r>
      <w:r w:rsidR="00710226">
        <w:rPr>
          <w:rFonts w:cs="Linux Libertine"/>
        </w:rPr>
        <w:t xml:space="preserve"> towards Social Justice</w:t>
      </w:r>
      <w:r w:rsidRPr="00672A6A">
        <w:rPr>
          <w:rFonts w:cs="Linux Libertine"/>
        </w:rPr>
        <w:t xml:space="preserve">. This chapter analyzes the enforcement of Indonesia's Anti-Blasphemy Law and its impacts on society. It discusses how the law has been enforced, the different cases that have been prosecuted, and the impact of these cases on </w:t>
      </w:r>
      <w:r w:rsidR="00710226">
        <w:rPr>
          <w:rFonts w:cs="Linux Libertine"/>
        </w:rPr>
        <w:t>social justice.</w:t>
      </w: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lastRenderedPageBreak/>
        <w:t>Chapter VI: Examination of State-Religion Relations as Consequence of the Enforcement of the Anti-Blasphemy Law. 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8C55596" w:rsidR="00441CCC" w:rsidRPr="00672A6A" w:rsidRDefault="008907A4" w:rsidP="00D45448">
      <w:pPr>
        <w:spacing w:line="360" w:lineRule="auto"/>
        <w:ind w:firstLine="720"/>
        <w:jc w:val="both"/>
        <w:rPr>
          <w:rFonts w:cs="Linux Libertine"/>
        </w:rPr>
      </w:pPr>
      <w:r w:rsidRPr="00672A6A">
        <w:rPr>
          <w:rFonts w:cs="Linux Libertine"/>
        </w:rPr>
        <w:t xml:space="preserve">Chapter VII: Conclusions: Reform or Repeal the Anti Blasphemy Law, What Is Possible in Indonesia and Why? 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415D5174"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justice. The rule of law supports social justice by ensuring that everyone is subject to fair and equal laws and legal institutions. Social justice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5FF2D58A" w:rsidR="004D24CC" w:rsidRDefault="00A74389" w:rsidP="00A74389">
      <w:pPr>
        <w:spacing w:line="360" w:lineRule="auto"/>
        <w:ind w:firstLine="720"/>
        <w:jc w:val="both"/>
        <w:rPr>
          <w:rFonts w:cs="Linux Libertine"/>
          <w:color w:val="FF0000"/>
        </w:rPr>
      </w:pPr>
      <w:r w:rsidRPr="00A74389">
        <w:rPr>
          <w:rFonts w:cs="Linux Libertine"/>
          <w:color w:val="FF0000"/>
        </w:rPr>
        <w:t>According to A.V. Dicey, the rule of law is characterized by three key features: the supremacy of law, equality before the law, and due process of law. First, the principle of supremacy of law requires that the law is above and superior to any authority, ensuring that it protects the rights of all citizens without interference from any entity. Absolute and arbitrary executive power is not allowed. Second, the principle of equality before the law means that everyone is entitled to the same treatment under the law. The law should not discriminate or show favoritism towards any individual or group based on their religion, gender, race, or other factors. Third, the principle of due process of law demands that justice is administered fairly, proportionately, and properly. Sanctions should only be imposed on those who have committed an offense.</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Trebilcock advocates a pragmatic and multidisciplinary approach to reform and development of the rule of law. According to this author, an effective and </w:t>
      </w:r>
      <w:r w:rsidRPr="00672A6A">
        <w:rPr>
          <w:rFonts w:cs="Linux Libertine"/>
        </w:rPr>
        <w:lastRenderedPageBreak/>
        <w:t>sustainable legal system must take into account local factors such as political, social and economic.</w:t>
      </w:r>
    </w:p>
    <w:p w14:paraId="5C19D4CA" w14:textId="01B6B4EE" w:rsidR="00116002" w:rsidRDefault="00B16288" w:rsidP="00A74389">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r w:rsidR="00A74389" w:rsidRPr="00A74389">
        <w:rPr>
          <w:rFonts w:cs="Linux Libertine"/>
          <w:color w:val="70AD47" w:themeColor="accent6"/>
        </w:rPr>
        <w:t>As a country governed by the rule of law, it is not surprising that any study of the Anti-Blasphemy Law in Indonesia must begin by comprehending the history of the legal system's development and its implications on human rights, as well as investigating how socio-political dynamics impact its legal enforcement.</w:t>
      </w:r>
    </w:p>
    <w:p w14:paraId="12EA047F" w14:textId="3DCAF2EA"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00496D7D">
        <w:rPr>
          <w:rFonts w:cs="Linux Libertine"/>
        </w:rPr>
        <w:instrText xml:space="preserve"> ADDIN ZOTERO_ITEM CSL_CITATION {"citationID":"DHq4yTJD","properties":{"formattedCitation":"(1975)","plainCitation":"(1975)","noteIndex":0},"citationItems":[{"id":2058,"uris":["http://zotero.org/users/6396655/items/FT5UHCC7"],"itemData":{"id":2058,"type":"book","event-place":"New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00496D7D">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Bedner and Vel </w:t>
      </w:r>
      <w:r w:rsidRPr="00672A6A">
        <w:rPr>
          <w:rFonts w:cs="Linux Libertine"/>
        </w:rPr>
        <w:fldChar w:fldCharType="begin"/>
      </w:r>
      <w:r w:rsidR="00496D7D">
        <w:rPr>
          <w:rFonts w:cs="Linux Libertine"/>
        </w:rPr>
        <w:instrText xml:space="preserve"> ADDIN ZOTERO_ITEM CSL_CITATION {"citationID":"DhsEWSIb","properties":{"formattedCitation":"(2010)","plainCitation":"(2010)","noteIndex":0},"citationItems":[{"id":2063,"uris":["http://zotero.org/users/6396655/items/GZMIU8XG"],"itemData":{"id":2063,"type":"article-journal","container-title":"Law,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Bedner </w:t>
      </w:r>
      <w:r w:rsidRPr="00672A6A">
        <w:rPr>
          <w:rFonts w:cs="Linux Libertine"/>
        </w:rPr>
        <w:fldChar w:fldCharType="begin"/>
      </w:r>
      <w:r w:rsidR="00496D7D">
        <w:rPr>
          <w:rFonts w:cs="Linux Libertine"/>
        </w:rPr>
        <w:instrText xml:space="preserve"> ADDIN ZOTERO_ITEM CSL_CITATION {"citationID":"AAoQW8Ku","properties":{"formattedCitation":"(2010)","plainCitation":"(2010)","noteIndex":0},"citationItems":[{"id":2063,"uris":["http://zotero.org/users/6396655/items/GZMIU8XG"],"itemData":{"id":2063,"type":"article-journal","container-title":"Law,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6D67F88F"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Bedner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Bedner </w:t>
      </w:r>
      <w:r w:rsidRPr="00672A6A">
        <w:rPr>
          <w:rFonts w:cs="Linux Libertine"/>
        </w:rPr>
        <w:fldChar w:fldCharType="begin"/>
      </w:r>
      <w:r w:rsidR="00496D7D">
        <w:rPr>
          <w:rFonts w:cs="Linux Libertine"/>
        </w:rPr>
        <w:instrText xml:space="preserve"> ADDIN ZOTERO_ITEM CSL_CITATION {"citationID":"hclPVrnw","properties":{"formattedCitation":"(2010)","plainCitation":"(2010)","noteIndex":0},"citationItems":[{"id":2063,"uris":["http://zotero.org/users/6396655/items/GZMIU8XG"],"itemData":{"id":2063,"type":"article-journal","container-title":"Law,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0EF0B581"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Bedner </w:t>
      </w:r>
      <w:r w:rsidRPr="00672A6A">
        <w:rPr>
          <w:rFonts w:cs="Linux Libertine"/>
        </w:rPr>
        <w:fldChar w:fldCharType="begin"/>
      </w:r>
      <w:r w:rsidR="00496D7D">
        <w:rPr>
          <w:rFonts w:cs="Linux Libertine"/>
        </w:rPr>
        <w:instrText xml:space="preserve"> ADDIN ZOTERO_ITEM CSL_CITATION {"citationID":"kZEl6pfp","properties":{"formattedCitation":"(2010)","plainCitation":"(2010)","noteIndex":0},"citationItems":[{"id":2063,"uris":["http://zotero.org/users/6396655/items/GZMIU8XG"],"itemData":{"id":2063,"type":"article-journal","container-title":"Law,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27A68C9F" w:rsidR="004D24CC" w:rsidRPr="004D24CC" w:rsidRDefault="004D24CC" w:rsidP="004D24CC">
      <w:pPr>
        <w:spacing w:line="360" w:lineRule="auto"/>
        <w:jc w:val="both"/>
        <w:rPr>
          <w:color w:val="FF0000"/>
          <w:lang w:val="en-GB" w:bidi="th-TH"/>
        </w:rPr>
      </w:pPr>
      <w:r>
        <w:rPr>
          <w:lang w:val="en-GB" w:bidi="th-TH"/>
        </w:rPr>
        <w:tab/>
      </w:r>
      <w:r w:rsidR="001356E0" w:rsidRPr="001356E0">
        <w:rPr>
          <w:color w:val="FF0000"/>
          <w:lang w:val="en-GB" w:bidi="th-TH"/>
        </w:rPr>
        <w:t xml:space="preserve">The theory of the rule of law is the foundation of this study because Indonesia is a country that adheres to the concept of the rule of law, as reflected in Article 1 Paragraph (3); Article 27 paragraph (1), and Article 28D paragraph (1) of the Indonesian Constitution (before the amendment) (Asshiddiqie, 2005). Although initially, as a former Dutch colony, the concept of the rule of law used in Indonesia was closer to the concept of "rechstaat", which is translated as "State of law", where this concept requires that the government is based on written law (Budihardjo, 2008). Written law or positive law is civil law adopted from the laws inherited from the colonial power. However, the development of history, culture, and international relations influence the development of law in Indonesia. The existence of customary law based on the customary practices (Alting, 2019) and Islamic law that has long been established in society cannot be ignored. In fact, Arsekal and Azra (2020) argue that Islamic law is gaining ground in Indonesia. This is indicated by the enforcement of </w:t>
      </w:r>
      <w:r w:rsidR="001356E0" w:rsidRPr="001356E0">
        <w:rPr>
          <w:color w:val="FF0000"/>
          <w:lang w:val="en-GB" w:bidi="th-TH"/>
        </w:rPr>
        <w:lastRenderedPageBreak/>
        <w:t>Islamic law as the basis for the establishment of Islamic-based political parties, the continuing efforts of Islamic political parties to adopt Islamic Law into national law, and the adoption of Islamic Criminal Law in Aceh. Thus, to date, Indonesia implements legal pluralism, where there are at least three legal systems that apply, namely positive law, customary law, and Islamic law. This legal pluralism can influence how the rule of law experiences shifts and challenges in its implementation, especially when they intersect, including in examining the development and enforcement of the Anti-Blasphemy Law in Indonesia.</w:t>
      </w:r>
      <w:r>
        <w:rPr>
          <w:color w:val="FF0000"/>
          <w:lang w:val="en-GB" w:bidi="th-TH"/>
        </w:rPr>
        <w:t xml:space="preserve">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lastRenderedPageBreak/>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lastRenderedPageBreak/>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7998818D"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Pr="00672A6A">
        <w:rPr>
          <w:rFonts w:cs="Linux Libertine"/>
        </w:rPr>
        <w:t>social justice</w:t>
      </w:r>
      <w:r w:rsidR="00116002">
        <w:rPr>
          <w:rFonts w:cs="Linux Libertine"/>
        </w:rPr>
        <w:t xml:space="preserve"> and human rights</w:t>
      </w:r>
    </w:p>
    <w:p w14:paraId="79A5F13E" w14:textId="62D1831B"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w:t>
      </w:r>
      <w:r w:rsidR="00EC7DF9" w:rsidRPr="00672A6A">
        <w:rPr>
          <w:rFonts w:cs="Linux Libertine"/>
        </w:rPr>
        <w:t xml:space="preserve">social </w:t>
      </w:r>
      <w:r w:rsidRPr="00672A6A">
        <w:rPr>
          <w:rFonts w:cs="Linux Libertine"/>
        </w:rPr>
        <w:t xml:space="preserve">justice has been discussed by many scholars and experts. The rule of law and justice are closely related concepts that are essential for creating fair and equitable societies (Kramer, 2017; </w:t>
      </w:r>
      <w:r w:rsidR="00FE7F6B">
        <w:rPr>
          <w:rFonts w:cs="Linux Libertine"/>
        </w:rPr>
        <w:t>Merkel</w:t>
      </w:r>
      <w:r w:rsidRPr="00672A6A">
        <w:rPr>
          <w:rFonts w:cs="Linux Libertine"/>
        </w:rPr>
        <w:t>, 2013). The rule of law ensures that all individuals are subject to the same laws and regulations, regardless of their social status or position (Baxi, 2013). Social justice, on the other hand, aims to create a more just and equitable society that ensures equal access to basic human rights and opportunities for all individuals, regardless of their race, ethnicity, gender, sexuality, religion, or any other characteristic</w:t>
      </w:r>
      <w:r w:rsidR="00FE7F6B">
        <w:rPr>
          <w:rFonts w:cs="Linux Libertine"/>
        </w:rPr>
        <w:t>.</w:t>
      </w:r>
    </w:p>
    <w:p w14:paraId="4E1DA11D" w14:textId="77777777" w:rsidR="007B5411" w:rsidRPr="00672A6A" w:rsidRDefault="00464116" w:rsidP="007B5411">
      <w:pPr>
        <w:spacing w:line="360" w:lineRule="auto"/>
        <w:ind w:firstLine="720"/>
        <w:jc w:val="both"/>
        <w:rPr>
          <w:rFonts w:cs="Linux Libertine"/>
        </w:rPr>
      </w:pPr>
      <w:r w:rsidRPr="00672A6A">
        <w:rPr>
          <w:rFonts w:cs="Linux Libertine"/>
        </w:rPr>
        <w:t>The rule of law is a critical component of social justice because it provides the legal framework within which social justice can be achieved (Baxi, 2013). The rule of law ensures that laws are applied equally to all individuals, regardless of their social status or position (Baxi,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0AF7FAEB" w14:textId="7612E03B" w:rsidR="00464116" w:rsidRPr="00672A6A" w:rsidRDefault="00464116" w:rsidP="007B5411">
      <w:pPr>
        <w:spacing w:line="360" w:lineRule="auto"/>
        <w:ind w:firstLine="720"/>
        <w:jc w:val="both"/>
        <w:rPr>
          <w:rFonts w:cs="Linux Libertine"/>
        </w:rPr>
      </w:pPr>
      <w:r w:rsidRPr="00672A6A">
        <w:rPr>
          <w:rFonts w:cs="Linux Libertine"/>
        </w:rPr>
        <w:t xml:space="preserve">Social justice, in turn, provides a broader framework within which the rule of law can operate. Social justice aims to create a more just and equitable society that ensures equal access to basic human rights and opportunities for all individuals. This means that the rule of law must be applied in a way that promotes social justice and ensures that everyone has equal access to justice (Baxi, 2013; Zaidi, 2021). For example, in a society where income inequality is high, the rule of law must be applied in a way that promotes social justice by ensuring that the legal system does not favor those with greater economic resources. This may require providing legal aid to those who cannot afford legal representation (Boer, 2020), or ensuring that laws and regulations </w:t>
      </w:r>
      <w:r w:rsidRPr="00672A6A">
        <w:rPr>
          <w:rFonts w:cs="Linux Libertine"/>
        </w:rPr>
        <w:lastRenderedPageBreak/>
        <w:t>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3E4127BB"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social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t>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Eckenrode, 2006).</w:t>
      </w:r>
    </w:p>
    <w:p w14:paraId="0EBB0BEE" w14:textId="77777777" w:rsidR="007B5411" w:rsidRPr="00672A6A" w:rsidRDefault="00EC7DF9" w:rsidP="007B5411">
      <w:pPr>
        <w:spacing w:line="360" w:lineRule="auto"/>
        <w:ind w:firstLine="720"/>
        <w:jc w:val="both"/>
        <w:rPr>
          <w:rFonts w:cs="Linux Libertine"/>
        </w:rPr>
      </w:pPr>
      <w:r w:rsidRPr="00672A6A">
        <w:rPr>
          <w:rFonts w:cs="Linux Libertine"/>
        </w:rPr>
        <w:lastRenderedPageBreak/>
        <w:t>Social justice ensures that everyone is treated fairly and has the same opportunities. Law enforcement is essential to both of these principles because it is responsible for enforcing the law and protecting people from harm (Fukuyama, 2013).</w:t>
      </w:r>
    </w:p>
    <w:p w14:paraId="4A938B61" w14:textId="77777777" w:rsidR="007B5411" w:rsidRPr="00672A6A" w:rsidRDefault="00EC7DF9" w:rsidP="007B5411">
      <w:pPr>
        <w:spacing w:line="360" w:lineRule="auto"/>
        <w:ind w:firstLine="720"/>
        <w:jc w:val="both"/>
        <w:rPr>
          <w:rFonts w:cs="Linux Libertine"/>
        </w:rPr>
      </w:pPr>
      <w:r w:rsidRPr="00672A6A">
        <w:rPr>
          <w:rFonts w:cs="Linux Libertine"/>
        </w:rP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8F61BD9" w14:textId="6D142A0B" w:rsidR="007B5411" w:rsidRPr="00672A6A" w:rsidRDefault="00EC7DF9"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This means that the rule of law must be applied in a way that promotes social justice and ensures that everyone has equal access to justice (Baxi, 2013; Zaidi, 2021). For example, in a society where income inequality is high, the rule of law must be applied in a way that promotes social justice by ensuring that the legal system does not favor those with greater economic resources. This may require providing legal aid to those who cannot afford legal representation (Boer, 2020), or ensuring that laws and regulations are written in a way that does not disadvantage marginalized communities (Zaidi, 2021).</w:t>
      </w:r>
    </w:p>
    <w:p w14:paraId="079C56F9" w14:textId="36E3B727" w:rsidR="00EF69DE" w:rsidRPr="00672A6A" w:rsidRDefault="00EC7DF9" w:rsidP="007B5411">
      <w:pPr>
        <w:spacing w:line="360" w:lineRule="auto"/>
        <w:ind w:firstLine="720"/>
        <w:jc w:val="both"/>
        <w:rPr>
          <w:rFonts w:cs="Linux Libertine"/>
        </w:rPr>
      </w:pPr>
      <w:r w:rsidRPr="00672A6A">
        <w:rPr>
          <w:rFonts w:cs="Linux Libertine"/>
        </w:rPr>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lastRenderedPageBreak/>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long history dating back to ancient civilizations such as Greece, Rome, and Egypt (Fadel, 2016). However, the modern concept of anti-blasphemy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lastRenderedPageBreak/>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ul-Haq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(Bielefeldt,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Bielefeldt,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(Baderin,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Anti-Blasphemy law (ABL) has no single definitions. Its concept varies from countries to countries with mostly an ambiguous concept, contrary to the principle of legality, with the primary aim of protecting the state religion and disproportionate sentencing (Fiss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dishonour for God (</w:t>
      </w:r>
      <w:r w:rsidRPr="00205413">
        <w:rPr>
          <w:rFonts w:ascii="Times New Roman" w:hAnsi="Times New Roman" w:cs="Times New Roman"/>
          <w:color w:val="3D3D3D"/>
          <w:shd w:val="clear" w:color="auto" w:fill="FFFFFF"/>
        </w:rPr>
        <w:t>Michael Glazer, Inc. 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Bakalis,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w:t>
      </w:r>
      <w:r w:rsidRPr="00205413">
        <w:rPr>
          <w:rFonts w:ascii="Times New Roman" w:hAnsi="Times New Roman" w:cs="Times New Roman"/>
        </w:rPr>
        <w:lastRenderedPageBreak/>
        <w:t>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Bakalis,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Scharffs, 2019: p.223), and they adopted it becomes national law using the concordantial principle (Octora, 2016:p.369) and still enforce nowadays. As an 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lastRenderedPageBreak/>
        <w:t>2.2.2  Human Rights</w:t>
      </w:r>
      <w:r w:rsidR="00373E09" w:rsidRPr="00205413">
        <w:rPr>
          <w:rFonts w:ascii="Times New Roman" w:hAnsi="Times New Roman" w:cs="Times New Roman"/>
          <w:b/>
          <w:bCs/>
        </w:rPr>
        <w:t xml:space="preserve"> Under Anti Blasphemy Law Regime</w:t>
      </w:r>
    </w:p>
    <w:p w14:paraId="754B645B" w14:textId="77777777" w:rsidR="00710226"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w:t>
      </w:r>
      <w:r w:rsidR="00710226">
        <w:rPr>
          <w:rFonts w:ascii="Times New Roman" w:hAnsi="Times New Roman" w:cs="Times New Roman"/>
        </w:rPr>
        <w:t>to which the enforcement of the ABL give some impact on the enjoyment of human rights</w:t>
      </w:r>
      <w:r w:rsidRPr="00205413">
        <w:rPr>
          <w:rFonts w:ascii="Times New Roman" w:hAnsi="Times New Roman" w:cs="Times New Roman"/>
        </w:rPr>
        <w:t xml:space="preserve"> </w:t>
      </w:r>
      <w:r w:rsidR="00710226">
        <w:rPr>
          <w:rFonts w:ascii="Times New Roman" w:hAnsi="Times New Roman" w:cs="Times New Roman"/>
        </w:rPr>
        <w:t>of the people</w:t>
      </w:r>
      <w:r w:rsidRPr="00205413">
        <w:rPr>
          <w:rFonts w:ascii="Times New Roman" w:hAnsi="Times New Roman" w:cs="Times New Roman"/>
        </w:rPr>
        <w:t xml:space="preserve">. </w:t>
      </w:r>
    </w:p>
    <w:p w14:paraId="5E555D20" w14:textId="7472DB13"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(Bolintineanu,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The clauses of the IABL that restrict the freedom to religious expression fall between the rights to 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Other resources that should be considered by the State party of ICCPR 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forum-internum</w:t>
      </w:r>
      <w:r w:rsidRPr="00205413">
        <w:rPr>
          <w:rFonts w:ascii="Times New Roman" w:hAnsi="Times New Roman" w:cs="Times New Roman"/>
        </w:rPr>
        <w:t xml:space="preserve"> and </w:t>
      </w:r>
      <w:r w:rsidRPr="00205413">
        <w:rPr>
          <w:rFonts w:ascii="Times New Roman" w:hAnsi="Times New Roman" w:cs="Times New Roman"/>
          <w:i/>
          <w:iCs/>
        </w:rPr>
        <w:t xml:space="preserve">forum-externum </w:t>
      </w:r>
      <w:r w:rsidRPr="00205413">
        <w:rPr>
          <w:rFonts w:ascii="Times New Roman" w:hAnsi="Times New Roman" w:cs="Times New Roman"/>
        </w:rPr>
        <w:t xml:space="preserve">(p.21). This international forum includes the right </w:t>
      </w:r>
      <w:r w:rsidRPr="00205413">
        <w:rPr>
          <w:rFonts w:ascii="Times New Roman" w:hAnsi="Times New Roman" w:cs="Times New Roman"/>
        </w:rPr>
        <w:lastRenderedPageBreak/>
        <w:t xml:space="preserve">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While the </w:t>
      </w:r>
      <w:r w:rsidRPr="00205413">
        <w:rPr>
          <w:rFonts w:ascii="Times New Roman" w:hAnsi="Times New Roman" w:cs="Times New Roman"/>
          <w:i/>
          <w:iCs/>
        </w:rPr>
        <w:t>forum-externum</w:t>
      </w:r>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(FoE) is not an absolute right (Smith, 2007: 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Fraser, 2019; Altwicker, T., 2018)</w:t>
      </w:r>
      <w:r w:rsidRPr="00205413">
        <w:rPr>
          <w:rFonts w:ascii="Times New Roman" w:hAnsi="Times New Roman" w:cs="Times New Roman"/>
        </w:rPr>
        <w:t xml:space="preserve"> as long as the restriction itself must be strict with clear interpretation, regulated by law, and used for the purpose stated in the agreement (Debeljak,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w:t>
      </w:r>
      <w:r w:rsidRPr="00E0754A">
        <w:lastRenderedPageBreak/>
        <w:t>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[FoE]</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20085C5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Unlike the right to FORB, the right to FoE is not an absolute right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{"citationID":"Ht8KKUZm","properties":{"formattedCitation":"(Smet 2011)","plainCitation":"(Smet 2011)","noteIndex":0},"citationItems":[{"id":1908,"uris":["http://zotero.org/users/6396655/items/XKHW8K8X"],"itemData":{"id":1908,"type":"article-journal","container-title":"American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00496D7D">
        <w:rPr>
          <w:rFonts w:ascii="Times New Roman" w:hAnsi="Times New Roman" w:cs="Times New Roman"/>
        </w:rPr>
        <w:t>(Smet 2011)</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{"citationID":"TQWSY8d9","properties":{"formattedCitation":"(Fraser 2019)","plainCitation":"(Fraser 2019)","noteIndex":0},"citationItems":[{"id":1902,"uris":["http://zotero.org/users/6396655/items/F7PFPPSA"],"itemData":{"id":1902,"type":"article-journal","container-title":"The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00496D7D">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{"citationID":"lNJfyCyq","properties":{"formattedCitation":"(Debeljak 2008)","plainCitation":"(Debeljak 2008)","noteIndex":0},"citationItems":[{"id":1900,"uris":["http://zotero.org/users/6396655/items/D3YX8NT2"],"itemData":{"id":1900,"type":"article-journal","container-title":"MelbULawRw","issue":"32","page":"422","title":"Balancing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00496D7D">
        <w:rPr>
          <w:rFonts w:ascii="Times New Roman" w:hAnsi="Times New Roman" w:cs="Times New Roman"/>
        </w:rPr>
        <w:t>(Debeljak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w:t>
      </w:r>
    </w:p>
    <w:p w14:paraId="45970CAC" w14:textId="7F6453A3"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{"citationID":"9aKVxxnP","properties":{"formattedCitation":"(Scanlon 1972)","plainCitation":"(Scanlon 1972)","noteIndex":0},"citationItems":[{"id":1896,"uris":["http://zotero.org/users/6396655/items/UJWG32G9"],"itemData":{"id":1896,"type":"article-journal","container-title":"Philosophy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xml:space="preserve">. Consequently, government policies that suppress an individual's views, opinions, or beliefs expressed through various media violate Article 19 of the ICCPR, unless IHRL grants a legitimate and proportional justification. Especially if this measure solely targets political opponents of the government or other minority groups through different types of restriction or prosecution. This is because the right “to seek, acquire, and </w:t>
      </w:r>
      <w:r w:rsidRPr="00410DA6">
        <w:rPr>
          <w:rFonts w:ascii="Times New Roman" w:hAnsi="Times New Roman" w:cs="Times New Roman"/>
        </w:rPr>
        <w:lastRenderedPageBreak/>
        <w:t>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 and (3).</w:t>
      </w:r>
    </w:p>
    <w:p w14:paraId="573095D9" w14:textId="754F35D4"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The restriction of FoRB is similar to the restriction of the right to FoE, therefore their applicability could be overlap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{"citationID":"AnzwxyaE","properties":{"formattedCitation":"(Howard 2017; Uddin 2015)","plainCitation":"(Howard 2017; Uddin 2015)","noteIndex":0},"citationItems":[{"id":1505,"uris":["http://zotero.org/users/6396655/items/ZBRDDMNS"],"itemData":{"id":1505,"type":"chapter","note":"DOI: 10.1017/9781108242189.025","page":"595-618","publisher":"Cambridge University Press","title":"Freedom of expression, blasphemy and religious hatred: A view from the United Kingdom","author":[{"family":"Howard","given":"Erica"}],"issued":{"date-parts":[["2017"]]}}},{"id":1462,"uris":["http://zotero.org/users/6396655/items/IZCW5L9P"],"itemData":{"id":1462,"type":"article-journal","container-title":"FIU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FoE would enhance the practice of FoRB. On the other hand, both rights may potentially conflict with one another and limit one another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{"citationID":"G1GFphby","properties":{"formattedCitation":"(Mondal 2016)","plainCitation":"(Mondal 2016)","noteIndex":0},"citationItems":[{"id":1446,"uris":["http://zotero.org/users/6396655/items/45UAYGK2"],"itemData":{"id":1446,"type":"article-journal","container-title":"Islam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FoE is a prerequisite for the enjoyment of other rights, and the limitation of FoE should not violate other rights, such as the right to FoRB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{"citationID":"FQFrDoJj","properties":{"formattedCitation":"(Schmitter and Karl 1991)","plainCitation":"(Schmitter and Karl 1991)","noteIndex":0},"citationItems":[{"id":1920,"uris":["http://zotero.org/users/6396655/items/7ZAZEWRF"],"itemData":{"id":1920,"type":"article-journal","container-title":"Journal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(Schmitter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2B8BBBAF"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Scharffs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{"citationID":"M3UqtxXW","properties":{"formattedCitation":"(C.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(C. Durham and Scharffs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5857D84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{"citationID":"H2SRjluh","properties":{"formattedCitation":"(W.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w:t>
      </w:r>
      <w:r w:rsidRPr="00410DA6">
        <w:rPr>
          <w:rFonts w:ascii="Times New Roman" w:hAnsi="Times New Roman" w:cs="Times New Roman"/>
        </w:rPr>
        <w:lastRenderedPageBreak/>
        <w:t>(2011)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6B60D689"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{"citationID":"h08qUzRh","properties":{"formattedCitation":"(W.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The most important thing is that the 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 xml:space="preserve">Stage IV. The restrictions must meet the “proportional test,” which means the restrictions should guarantee equal treatment to everyone considering the proportional punishment and not be prone to discrimination against other minority groups.  </w:t>
      </w:r>
    </w:p>
    <w:p w14:paraId="6A978B87" w14:textId="56FE4CE1" w:rsidR="00C704C4" w:rsidRDefault="00E67F55" w:rsidP="00E67F55">
      <w:pPr>
        <w:spacing w:line="360" w:lineRule="auto"/>
        <w:ind w:firstLine="540"/>
        <w:jc w:val="both"/>
        <w:rPr>
          <w:rFonts w:cs="Linux Libertine"/>
        </w:rPr>
      </w:pPr>
      <w:r w:rsidRPr="00E67F55">
        <w:rPr>
          <w:rFonts w:ascii="Times New Roman" w:eastAsia="Times New Roman" w:hAnsi="Times New Roman" w:cs="Times New Roman"/>
          <w:color w:val="FF0000"/>
          <w:szCs w:val="32"/>
          <w:lang w:val="en-GB" w:bidi="th-TH"/>
          <w14:numSpacing w14:val="proportional"/>
        </w:rPr>
        <w:t>To assess the impacts of enforcing the Anti-Blasphemy Law in Indonesia in accordance with the objectives of the rule of law, it is necessary to examine how the law impacts the right to freedom of religion and expression. This must be done by ensuring that any restriction imposed is strictly necessary, has a definite purpose, does not discriminate against others, adheres to the limitations on legitimate restrictions set out in the International Human Rights Law and the Indonesian Constitution, and does not undermine the essential rights protected under Articles 18, 19, and 20 of the International Covenant on Civil and Political Rights.</w:t>
      </w: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Anti-b</w:t>
      </w:r>
      <w:r w:rsidR="007B5411" w:rsidRPr="00410DA6">
        <w:rPr>
          <w:rFonts w:ascii="Times New Roman" w:hAnsi="Times New Roman" w:cs="Times New Roman"/>
        </w:rPr>
        <w:t>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w:t>
      </w:r>
      <w:r w:rsidRPr="00410DA6">
        <w:rPr>
          <w:rFonts w:ascii="Times New Roman" w:hAnsi="Times New Roman" w:cs="Times New Roman"/>
        </w:rPr>
        <w:lastRenderedPageBreak/>
        <w:t>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w:t>
      </w:r>
      <w:r w:rsidRPr="00410DA6">
        <w:rPr>
          <w:rFonts w:ascii="Times New Roman" w:hAnsi="Times New Roman" w:cs="Times New Roman"/>
        </w:rPr>
        <w:lastRenderedPageBreak/>
        <w:t>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contemporary example of anti-blasphemy laws is the case of Pakistan, where blasphemy against Islam is a criminal offence under section 295-C of the Penal Code. This law was introduced in 1986 by General Zia-ul-Haq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 xml:space="preserve">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w:t>
      </w:r>
      <w:r w:rsidRPr="00410DA6">
        <w:rPr>
          <w:rFonts w:ascii="Times New Roman" w:hAnsi="Times New Roman" w:cs="Times New Roman"/>
        </w:rPr>
        <w:lastRenderedPageBreak/>
        <w:t>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t>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FoE or speech and the right to FoRB, then the existence of ABL should be acceptable, provided the norms are following IHRL. Secondly, literature shows that some countries have succeeded in amending their 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(Blitt 2010, p.7-9; Doe and Sandberg 2008). Another example, such as in Germany, Hillgruber (2016) argues that the law of blasphemy is amended more sensitive to local contexts, namely by considering that insulting any religions may disturb public order. 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(Danchin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lastRenderedPageBreak/>
        <w:t>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0C1E0699" w:rsidR="00116002" w:rsidRDefault="00F257F5" w:rsidP="00116002">
      <w:pPr>
        <w:spacing w:line="360" w:lineRule="auto"/>
        <w:jc w:val="both"/>
        <w:rPr>
          <w:color w:val="70AD47" w:themeColor="accent6"/>
        </w:rPr>
      </w:pPr>
      <w:r w:rsidRPr="00F257F5">
        <w:rPr>
          <w:color w:val="70AD47" w:themeColor="accent6"/>
        </w:rPr>
        <w:t>Indonesia, as a predominantly Muslim country, has implemented the Anti-Blasphemy Law (ABL) since the period of the Guided Democracy under Soekarno's leadership (1965), which continued under the New Order era of Soeharto (1965-1998) and was further upheld during the Reformasi period (1998 until before President Jokowi's administration in 2019). However, the study at hand focuses on the development of the ABL during Jokowi's presidency and onwards, which will be elaborated in chapter four and beyond.</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t xml:space="preserve">2.3.1 </w:t>
      </w:r>
      <w:r w:rsidR="00D957B0" w:rsidRPr="00672A6A">
        <w:rPr>
          <w:rFonts w:cs="Linux Libertine"/>
          <w:b w:val="0"/>
          <w:bCs/>
          <w:cs/>
        </w:rPr>
        <w:t xml:space="preserve"> </w:t>
      </w:r>
      <w:r w:rsidR="00EC7DF9" w:rsidRPr="00672A6A">
        <w:rPr>
          <w:rFonts w:cs="Linux Libertine"/>
          <w:b w:val="0"/>
          <w:bCs/>
          <w:cs/>
        </w:rPr>
        <w:t xml:space="preserve"> During the Guided Democracy of Soekarno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(Sihombing,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lastRenderedPageBreak/>
        <w:t>During this time, Indonesia was in a period of guided democracy, following President Soekarno's Decree of July 5, 1959. Later, Presidential Decree No. 150 of 1959 further strengthened this period by ordering the return to the 1945 Constitution and 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(Arief, 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lastRenderedPageBreak/>
        <w:t>Soekarno’s decision to declare Indonesia in a state of emergency was motivated by two conditions. First, the fall of Ali Sastroamidjojo’s Cabinet prompted him to use martial law as a reference basis to form a new cabinet and appoint himself as the supreme commander of the armed forces (Mardani, 2019). The cabinet formed by Soekarno was called the Gotong Royong Cabinet and consisted of major parties, including PNI, Masyumi, NU, and PKI. Djuanda Kartawijaya was appointed as chairman, and several people outside political parties became ministers (Fealy, 1998). However, the Gotong Royong Cabinet did not receive support from some political parties such as Masyumi,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t>Second, the emergency condition arose due to the Darul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(Dewanto, 2011). The rebellion began when the Dutch invaded Yogyakarta and announced the fall of the Unitary State of the Republic of Indonesia (NKRI) and the birth of the NII, making West Java the de facto area of the NII. Kartosoewirjo, the leader of the rebellion, was a follower of traditional Islam and had succeeded in encouraging the proliferation of religious sects to hundreds of groups (Gus Sholahuddin, 2011; Dewanto,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(Kahin, 1952). The Kartosuwirjo rebellion, which was finally suppressed in 1962, had killed 22,895 people, destroyed 115,822 houses, and caused state losses of more than Rp. 650 million (Fealy,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(Mardani,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w:t>
      </w:r>
      <w:r w:rsidRPr="00672A6A">
        <w:rPr>
          <w:rFonts w:cs="Linux Libertine"/>
          <w:lang w:val="en-US"/>
        </w:rPr>
        <w:lastRenderedPageBreak/>
        <w:t>Ali Sastroamidjojo Cabinet, which led to the appointment of Sukarno as the supreme commander of the armed forces and member of the formation board to form a new cabinet under martial law. This new cabinet was called the Gotong Royong Cabinet and included major political parties like the PNI, Masyumi, NU, and PKI. However, it did not receive support from other political parties such as the Catholic Party and the Indonesian People's Party (Dewanto,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The Darul Islam (DI)/Indonesian Islamic Army (TII) rebellion in Indonesia was a significant crisis that aimed to establish an Islamic state. It was triggered by 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(Dewanto, 2011). The rebellion was led by Kartosuwirjo,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Sholahuddin, 2011; Dewanto,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(Dewanto,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 xml:space="preserve">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w:t>
      </w:r>
      <w:r w:rsidRPr="00672A6A">
        <w:rPr>
          <w:rFonts w:cs="Linux Libertine"/>
          <w:lang w:val="en-US"/>
        </w:rPr>
        <w:lastRenderedPageBreak/>
        <w:t>maintain the unity of Indonesia. The state of emergency was lifted in 1962 after the DI/TII rebellion was suppressed, but its impact on Indonesia's political and social landscape continued for years to come (Dewanto,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Kartosoewirjo (DI/TII) in 1962, was lifted. </w:t>
      </w:r>
    </w:p>
    <w:p w14:paraId="3C32B32C" w14:textId="670FD9AA"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 xml:space="preserve">2.2.7.2.2 </w:t>
      </w:r>
      <w:r>
        <w:rPr>
          <w:rFonts w:cs="Linux Libertine"/>
          <w:b w:val="0"/>
          <w:bCs/>
        </w:rPr>
        <w:tab/>
      </w:r>
      <w:r w:rsidR="00EC7DF9" w:rsidRPr="00672A6A">
        <w:rPr>
          <w:rFonts w:cs="Linux Libertine"/>
          <w:b w:val="0"/>
          <w:bCs/>
          <w:cs/>
        </w:rPr>
        <w:t>During New Order of Soerharto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 xml:space="preserve">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w:t>
      </w:r>
      <w:r w:rsidRPr="00672A6A">
        <w:rPr>
          <w:rFonts w:cs="Linux Libertine"/>
          <w:lang w:val="en-US"/>
        </w:rPr>
        <w:lastRenderedPageBreak/>
        <w:t>products not aligned with the 1945 Constitution, such as the 1965 PNPS, to become fully legitimate laws. This decree mandated that the DPR conduct a comprehensive review of all legislative products that were intended to improve the 1945 Constitution. According to the decree, Presidential Decrees and Presidential Regulations that aligned with the conscience of the people and served to secure the national revolution would be accepted as valid laws. Those that failed 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(Wignjosoebroto, 1994). The acceptance of the 1965 PNPS as a legitimate law was based on Oemar's proposal. Oemar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r w:rsidRPr="00672A6A">
        <w:rPr>
          <w:rFonts w:cs="Linux Libertine"/>
          <w:lang w:val="en-US"/>
        </w:rPr>
        <w:t>Oemar's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Oemar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(Adji,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lastRenderedPageBreak/>
        <w:t>According to Oemar, the protection of religion is of utmost importance due to three reasons. Firstly, religion is a legal interest that must be safeguarded, as per the Friedensschutz theory or the "religious interconfessional joy." Secondly, the protection of religion aims to secure citizens' feelings of safety, in line with the Gefühlsschutz theory or the "holiest inner life of the community." Finally, the state must protect religion as a legal interest, in consideration of the Religionschutz 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Following the provisions of TAP MPRS No. XIX and Oemar's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The enactment of the Law No. 1/PNPS/1965 aimed to reduce social conflict between conservative religious groups and non-religious, belief groups, and atheists that were in conflict with the First Sila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(Densmoor, 2013)</w:t>
      </w:r>
      <w:r w:rsidRPr="00672A6A">
        <w:rPr>
          <w:rStyle w:val="FootnoteReference"/>
          <w:rFonts w:cs="Linux Libertine"/>
          <w:lang w:val="en-US"/>
        </w:rPr>
        <w:footnoteReference w:id="39"/>
      </w:r>
      <w:r w:rsidRPr="00672A6A">
        <w:rPr>
          <w:rFonts w:cs="Linux Libertine"/>
          <w:lang w:val="en-US"/>
        </w:rPr>
        <w:t xml:space="preserve">. The 1965 communist movement and revolution became a dark </w:t>
      </w:r>
      <w:r w:rsidRPr="00672A6A">
        <w:rPr>
          <w:rFonts w:cs="Linux Libertine"/>
          <w:lang w:val="en-US"/>
        </w:rPr>
        <w:lastRenderedPageBreak/>
        <w:t>history that frightened Indonesian society and they want to avoid a similar incident from happening again (Arief, 2012). This event led to the issuance of the Provisional People's Consultative Assembly of the Republic of Indonesia No. XXV/MPRS/1966, which banned the teachings of communism, Leninism, and Marxism</w:t>
      </w:r>
      <w:r w:rsidRPr="00672A6A">
        <w:rPr>
          <w:rStyle w:val="FootnoteReference"/>
          <w:rFonts w:cs="Linux Libertine"/>
          <w:lang w:val="en-US"/>
        </w:rPr>
        <w:footnoteReference w:id="40"/>
      </w:r>
      <w:r w:rsidRPr="00672A6A">
        <w:rPr>
          <w:rFonts w:cs="Linux Libertine"/>
          <w:lang w:val="en-US"/>
        </w:rPr>
        <w:t>. The revolution also prompted President Soekarno to resign from his office and gave the mandate to Soeharto to replace him</w:t>
      </w:r>
      <w:r w:rsidRPr="00672A6A">
        <w:rPr>
          <w:rStyle w:val="FootnoteReference"/>
          <w:rFonts w:cs="Linux Libertine"/>
          <w:lang w:val="en-US"/>
        </w:rPr>
        <w:footnoteReference w:id="41"/>
      </w:r>
      <w:r w:rsidRPr="00672A6A">
        <w:rPr>
          <w:rFonts w:cs="Linux Libertine"/>
          <w:lang w:val="en-US"/>
        </w:rPr>
        <w:t>. From then on, the administration law under President Soeharto's administration or the "New Order" was changed.</w:t>
      </w:r>
    </w:p>
    <w:p w14:paraId="5648753F" w14:textId="0E68A7E9" w:rsidR="00EC7DF9" w:rsidRPr="00672A6A" w:rsidRDefault="00D957B0" w:rsidP="00EC7DF9">
      <w:pPr>
        <w:pStyle w:val="Heading3"/>
        <w:ind w:left="0" w:firstLine="0"/>
        <w:rPr>
          <w:rFonts w:cs="Linux Libertine"/>
        </w:rPr>
      </w:pPr>
      <w:r>
        <w:rPr>
          <w:rFonts w:cs="Linux Libertine"/>
          <w:b w:val="0"/>
          <w:bCs/>
        </w:rPr>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w:t>
      </w:r>
      <w:r w:rsidR="00B05E2C">
        <w:rPr>
          <w:rFonts w:cs="Linux Libertine"/>
        </w:rPr>
        <w:t>4</w:t>
      </w:r>
      <w:r w:rsidR="00151845" w:rsidRPr="00672A6A">
        <w:rPr>
          <w:rFonts w:cs="Linux Libertine"/>
        </w:rPr>
        <w:t>)</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w:t>
      </w:r>
      <w:r w:rsidRPr="008C531A">
        <w:rPr>
          <w:rFonts w:cs="Linux Libertine"/>
          <w:color w:val="70AD47" w:themeColor="accent6"/>
        </w:rPr>
        <w:lastRenderedPageBreak/>
        <w:t xml:space="preserve">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 xml:space="preserve">Therefore this study focuses to study (i) </w:t>
      </w:r>
      <w:r w:rsidR="008C1605">
        <w:rPr>
          <w:rFonts w:cs="Linux Libertine"/>
        </w:rPr>
        <w:t>t</w:t>
      </w:r>
      <w:r w:rsidR="008C1605" w:rsidRPr="008C1605">
        <w:rPr>
          <w:rFonts w:cs="Linux Libertine"/>
        </w:rPr>
        <w:t>o what extent the 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methods to examine the legal texts, doctrines, principles, and precedents that shape and constrain anti-blasphemy laws (Banakar &amp; Travers, 2005).</w:t>
      </w:r>
    </w:p>
    <w:p w14:paraId="774F5065" w14:textId="77777777" w:rsidR="007B5411" w:rsidRPr="00672A6A" w:rsidRDefault="00117785" w:rsidP="007B5411">
      <w:pPr>
        <w:spacing w:line="360" w:lineRule="auto"/>
        <w:ind w:firstLine="720"/>
        <w:jc w:val="both"/>
        <w:rPr>
          <w:rFonts w:cs="Linux Libertine"/>
        </w:rPr>
      </w:pPr>
      <w:r w:rsidRPr="00672A6A">
        <w:rPr>
          <w:rFonts w:cs="Linux Libertine"/>
        </w:rPr>
        <w:lastRenderedPageBreak/>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social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vulnerability of legal certainty and justice in its enforcement. This study argues that reforming the cryptic, repressive, and discriminatory anti-blasphemy law can prevent </w:t>
      </w:r>
      <w:r w:rsidRPr="00672A6A">
        <w:rPr>
          <w:rFonts w:cs="Linux Libertine"/>
          <w:lang w:val="en-US"/>
        </w:rPr>
        <w:lastRenderedPageBreak/>
        <w:t>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702DF"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r w:rsidR="00D043F5" w:rsidRPr="00672A6A">
        <w:rPr>
          <w:rFonts w:cs="Linux Libertine"/>
        </w:rPr>
        <w:t xml:space="preserve">: </w:t>
      </w:r>
    </w:p>
    <w:p w14:paraId="6C4D7BF8" w14:textId="727EDF4A" w:rsidR="00117785" w:rsidRPr="008C1605" w:rsidRDefault="00F257F5" w:rsidP="008C1605">
      <w:pPr>
        <w:spacing w:line="360" w:lineRule="auto"/>
        <w:jc w:val="both"/>
        <w:rPr>
          <w:rFonts w:cs="Linux Libertine"/>
          <w:color w:val="70AD47" w:themeColor="accent6"/>
        </w:rPr>
      </w:pPr>
      <w:r w:rsidRPr="00F257F5">
        <w:rPr>
          <w:rFonts w:cs="Linux Libertine"/>
          <w:color w:val="70AD47" w:themeColor="accent6"/>
        </w:rPr>
        <w:t>To comprehensively address the research questions in this study, we utilized diverse research tools and methods to collect data, including:</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06546A5A" w:rsidR="008C1605" w:rsidRDefault="00F257F5" w:rsidP="008C1605">
      <w:pPr>
        <w:spacing w:line="360" w:lineRule="auto"/>
        <w:ind w:firstLine="720"/>
        <w:jc w:val="both"/>
        <w:rPr>
          <w:rFonts w:cs="Linux Libertine"/>
          <w:color w:val="70AD47" w:themeColor="accent6"/>
        </w:rPr>
      </w:pPr>
      <w:r w:rsidRPr="00F257F5">
        <w:rPr>
          <w:rFonts w:cs="Linux Libertine"/>
          <w:color w:val="70AD47" w:themeColor="accent6"/>
        </w:rPr>
        <w:t>In order to assess the current development of the legal politics surrounding the Anti-Blasphemy Law (ABL) and its impact on the rule of law and human rights, it is imperative to study the legal-political developments of the anti-blasphemy regime, specifically following the issuance of several Constitutional Court decisions regarding the judicial review of the 1965 ABL, namely Decision Numbers 140/PUU-VII/2009, 140/PUU-VII/2010, 76/PUU-XVI/2018, and 84/PUU-X/2012. Additionally, the content of Law No. 1/PNPS/1965 concerning the Prevention and Eradication of Religious Abuse and/or Defamation (hereinafter the 1965 ABL), Article 156a of the 1981 Criminal Code of Indonesia (hereinafter the 1981 CCI), Law No. 11 Year 2008 concerning the Information and Electronic Transaction (hereinafter the IET Law), and various extended regulations and public policies supporting the blasphemy law must also be scrutinized.</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Pasca Amandemen, particularly Chapter X article 28 A-J and 29, including the </w:t>
      </w:r>
      <w:r w:rsidR="00117785" w:rsidRPr="00672A6A">
        <w:rPr>
          <w:rFonts w:cs="Linux Libertine"/>
        </w:rPr>
        <w:t>human 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w:t>
      </w:r>
      <w:r w:rsidR="00117785" w:rsidRPr="00672A6A">
        <w:rPr>
          <w:rFonts w:cs="Linux Libertine"/>
        </w:rPr>
        <w:lastRenderedPageBreak/>
        <w:t xml:space="preserve">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06C62672" w:rsidR="00127E31" w:rsidRPr="008C1605" w:rsidRDefault="00F257F5" w:rsidP="00F257F5">
      <w:pPr>
        <w:spacing w:line="360" w:lineRule="auto"/>
        <w:ind w:firstLine="720"/>
        <w:jc w:val="both"/>
        <w:rPr>
          <w:color w:val="C00000"/>
        </w:rPr>
      </w:pPr>
      <w:r w:rsidRPr="00F257F5">
        <w:rPr>
          <w:color w:val="C00000"/>
        </w:rPr>
        <w:t>To depict the legal politics surrounding the current developments of Indonesia's Anti-Blasphemy Law and its impact on human rights, we also conducted a comprehensive review of criminal court decisions on blasphemy cases spanning from 2008 to 2020. This analysis aimed to uncover trends in court verdicts, including the demographics of the religious groups who most frequently employ the blasphemy law as plaintiffs, the types of blasphemy charges most commonly brought against defendants, the duration of prison sentences meted out by the courts, as well as the individuals or religious groups most commonly targeted for punishment.</w:t>
      </w:r>
      <w:r w:rsidR="008C1605">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 xml:space="preserve">enforcement will be extracted from various secondary sources such as documentary videos published by mass media, interviews on the parties involved, and the societies that have been published by various media, </w:t>
      </w:r>
      <w:r w:rsidRPr="00672A6A">
        <w:rPr>
          <w:rFonts w:cs="Linux Libertine"/>
        </w:rPr>
        <w:lastRenderedPageBreak/>
        <w:t>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(Millah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Bima.</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F257F5" w:rsidRDefault="00F257F5" w:rsidP="00F257F5">
      <w:pPr>
        <w:pStyle w:val="ParagraphNormal"/>
        <w:rPr>
          <w:rFonts w:cs="Linux Libertine"/>
          <w:lang w:val="en-US"/>
        </w:rPr>
      </w:pPr>
      <w:r w:rsidRPr="00F257F5">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Ahok's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r w:rsidRPr="00672A6A">
        <w:rPr>
          <w:rFonts w:cs="Linux Libertine"/>
          <w:lang w:val="en-US"/>
        </w:rPr>
        <w:t>Ahok's case was reported by the Indonesian Ulema Council (MUI) South Sumatra, Habib Novel Chaidir Hasan, was reported to the Criminal Investigation Agency (Bareskrim)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t>
      </w:r>
      <w:r w:rsidRPr="00672A6A">
        <w:rPr>
          <w:rFonts w:cs="Linux Libertine"/>
          <w:lang w:val="en-US"/>
        </w:rPr>
        <w:lastRenderedPageBreak/>
        <w:t>with the report number TBL/4846/X/2016/PMJ/Dit Reskrimum.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this [local] election is being pushed forward, so if I am not elected, I will stop it in October 2017 so if we run this program well, ladies and gentlemen, even though I am not elected as governor, this story will inspire you, so it doesn't matter. Don't worry, ah... later if you don't vote, Ahok's program will be disbanded, no... I'm until October 2017, so don't trust people, you can just in your heart you can't choose me, right? right, being lied to using Al-Maidah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Cikeusik, Pandeglang,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w:t>
      </w:r>
      <w:r w:rsidRPr="00672A6A">
        <w:rPr>
          <w:rFonts w:cs="Linux Libertine"/>
          <w:lang w:val="en-US"/>
        </w:rPr>
        <w:lastRenderedPageBreak/>
        <w:t>MUI because they considered Mirza Gulam Ahmad as the last prophet and possessed a holy book other than the Qur'an. The former chairman of the MUI who once issued a heretical fatwa against Ahmadiyya and currently serves as Vice President of the Republic of Indonesia, Ma'ruf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''Because Ahmadiyya considers there is a prophet after Prophet Muhammad. It's an opinion that can't be disputed anymore. In the agreement of all Muslims in the world, tajdid (reform) is allowed but it is a movement. But if the tajdid then says there was a prophet after the Prophet Muhammad, it is a deviant. It goes beyond the definition of tajdid.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Yendra Budiandra:</w:t>
      </w:r>
    </w:p>
    <w:p w14:paraId="3D1103B1" w14:textId="77777777" w:rsidR="009C7DB5" w:rsidRPr="00672A6A" w:rsidRDefault="009C7DB5" w:rsidP="009C7DB5">
      <w:pPr>
        <w:pStyle w:val="Quote"/>
        <w:rPr>
          <w:rFonts w:cs="Linux Libertine"/>
          <w:lang w:val="en-US"/>
        </w:rPr>
      </w:pPr>
      <w:r w:rsidRPr="00672A6A">
        <w:rPr>
          <w:rFonts w:cs="Linux Libertine"/>
          <w:lang w:val="en-US"/>
        </w:rPr>
        <w:t>“The Qur'an is the holy book of the Ahmadiyya Muslim community that must be read and is a guide for life, while the Tazdkirah is like other books of Hazrat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t>The MUI solution that recommends Ahmadiyya leave Islam is seen as not solving the problem and will be difficult to accept because Ahmadiyya adherents practice Islamic teachings. This was stated by an expert and explained by Alauddin Makassar, Professor DR. Qasim Mathar,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4369F60F" w14:textId="77777777" w:rsidR="00C8473A" w:rsidRDefault="00C8473A" w:rsidP="00C8473A">
      <w:pPr>
        <w:pStyle w:val="ParagraphNormal"/>
        <w:rPr>
          <w:rFonts w:cs="Linux Libertine"/>
          <w:lang w:val="en-US" w:eastAsia="en-GB" w:bidi="ar-SA"/>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w:t>
      </w:r>
      <w:r w:rsidRPr="00672A6A">
        <w:rPr>
          <w:rFonts w:cs="Linux Libertine"/>
          <w:lang w:val="en-US" w:eastAsia="en-GB" w:bidi="ar-SA"/>
        </w:rPr>
        <w:lastRenderedPageBreak/>
        <w:t xml:space="preserve">countries, such as Pakistan, Malaysia, and among members of the Organization of Islamic Committee </w:t>
      </w:r>
      <w:r>
        <w:rPr>
          <w:rFonts w:cs="Linux Libertine"/>
          <w:lang w:val="en-US" w:eastAsia="en-GB" w:bidi="ar-SA"/>
        </w:rPr>
        <w:t>(</w:t>
      </w:r>
      <w:r w:rsidRPr="00672A6A">
        <w:rPr>
          <w:rFonts w:cs="Linux Libertine"/>
          <w:lang w:val="en-US" w:eastAsia="en-GB" w:bidi="ar-SA"/>
        </w:rPr>
        <w:t>OIC</w:t>
      </w:r>
      <w:r>
        <w:rPr>
          <w:rFonts w:cs="Linux Libertine"/>
          <w:lang w:val="en-US" w:eastAsia="en-GB" w:bidi="ar-SA"/>
        </w:rPr>
        <w:t>)</w:t>
      </w:r>
      <w:r w:rsidRPr="00672A6A">
        <w:rPr>
          <w:rFonts w:cs="Linux Libertine"/>
          <w:lang w:val="en-US" w:eastAsia="en-GB" w:bidi="ar-SA"/>
        </w:rPr>
        <w:t xml:space="preserve">. Ahmadiyya is a religious sect </w:t>
      </w:r>
      <w:r>
        <w:rPr>
          <w:rFonts w:cs="Linux Libertine"/>
          <w:lang w:val="en-US" w:eastAsia="en-GB" w:bidi="ar-SA"/>
        </w:rPr>
        <w:t xml:space="preserve">of </w:t>
      </w:r>
      <w:r w:rsidRPr="00672A6A">
        <w:rPr>
          <w:rFonts w:cs="Linux Libertine"/>
          <w:lang w:val="en-US" w:eastAsia="en-GB" w:bidi="ar-SA"/>
        </w:rPr>
        <w:t>Islam</w:t>
      </w:r>
      <w:r>
        <w:rPr>
          <w:rFonts w:cs="Linux Libertine"/>
          <w:lang w:val="en-US" w:eastAsia="en-GB" w:bidi="ar-SA"/>
        </w:rPr>
        <w:t xml:space="preserve"> </w:t>
      </w:r>
      <w:r w:rsidRPr="00672A6A">
        <w:rPr>
          <w:rFonts w:cs="Linux Libertine"/>
          <w:lang w:val="en-US" w:eastAsia="en-GB" w:bidi="ar-SA"/>
        </w:rPr>
        <w:t xml:space="preserve">that is most often </w:t>
      </w:r>
      <w:r>
        <w:rPr>
          <w:rFonts w:cs="Linux Libertine"/>
          <w:lang w:val="en-US" w:eastAsia="en-GB" w:bidi="ar-SA"/>
        </w:rPr>
        <w:t>become the</w:t>
      </w:r>
      <w:r w:rsidRPr="00672A6A">
        <w:rPr>
          <w:rFonts w:cs="Linux Libertine"/>
          <w:lang w:val="en-US" w:eastAsia="en-GB" w:bidi="ar-SA"/>
        </w:rPr>
        <w:t xml:space="preserve"> target of the </w:t>
      </w:r>
      <w:r>
        <w:rPr>
          <w:rFonts w:cs="Linux Libertine"/>
          <w:lang w:val="en-US" w:eastAsia="en-GB" w:bidi="ar-SA"/>
        </w:rPr>
        <w:t>MHS</w:t>
      </w:r>
      <w:r w:rsidRPr="00672A6A">
        <w:rPr>
          <w:rFonts w:cs="Linux Libertine"/>
          <w:lang w:val="en-US" w:eastAsia="en-GB" w:bidi="ar-SA"/>
        </w:rPr>
        <w:t xml:space="preserve"> </w:t>
      </w:r>
      <w:r>
        <w:rPr>
          <w:rFonts w:cs="Linux Libertine"/>
          <w:lang w:val="en-US" w:eastAsia="en-GB" w:bidi="ar-SA"/>
        </w:rPr>
        <w:t>following the enforcement of ABL against them</w:t>
      </w:r>
      <w:r w:rsidRPr="00672A6A">
        <w:rPr>
          <w:rFonts w:cs="Linux Libertine"/>
          <w:lang w:val="en-US" w:eastAsia="en-GB" w:bidi="ar-SA"/>
        </w:rPr>
        <w:t>. Table 6 contains a list of</w:t>
      </w:r>
      <w:r>
        <w:rPr>
          <w:rFonts w:cs="Linux Libertine"/>
          <w:lang w:val="en-US" w:eastAsia="en-GB" w:bidi="ar-SA"/>
        </w:rPr>
        <w:t xml:space="preserve"> </w:t>
      </w:r>
      <w:r w:rsidRPr="00672A6A">
        <w:rPr>
          <w:rFonts w:cs="Linux Libertine"/>
          <w:lang w:val="en-US" w:eastAsia="en-GB" w:bidi="ar-SA"/>
        </w:rPr>
        <w:t xml:space="preserve">vigilantism violence against Ahmadiyya </w:t>
      </w:r>
      <w:r>
        <w:rPr>
          <w:rFonts w:cs="Linux Libertine"/>
          <w:lang w:val="en-US" w:eastAsia="en-GB" w:bidi="ar-SA"/>
        </w:rPr>
        <w:t xml:space="preserve">or so called </w:t>
      </w:r>
      <w:r w:rsidRPr="00B05E2C">
        <w:rPr>
          <w:rFonts w:cs="Linux Libertine"/>
          <w:i/>
          <w:iCs/>
          <w:lang w:val="en-US" w:eastAsia="en-GB" w:bidi="ar-SA"/>
        </w:rPr>
        <w:t>MHS</w:t>
      </w:r>
      <w:r>
        <w:rPr>
          <w:rFonts w:cs="Linux Libertine"/>
          <w:lang w:val="en-US" w:eastAsia="en-GB" w:bidi="ar-SA"/>
        </w:rPr>
        <w:t xml:space="preserve"> </w:t>
      </w:r>
      <w:r w:rsidRPr="00672A6A">
        <w:rPr>
          <w:rFonts w:cs="Linux Libertine"/>
          <w:lang w:val="en-US" w:eastAsia="en-GB" w:bidi="ar-SA"/>
        </w:rPr>
        <w:t xml:space="preserve">in Indonesia. </w:t>
      </w:r>
    </w:p>
    <w:p w14:paraId="5311660E"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In the case of Ahmadiyya, various MUI fatwas that declared Ahmadiyya a heretical religion immediately received reactions from a hard-line Islamic group calling itself the Islamic Defenders Front.</w:t>
      </w:r>
      <w:r>
        <w:rPr>
          <w:rFonts w:cs="Linux Libertine"/>
          <w:lang w:val="en-US" w:eastAsia="en-GB" w:bidi="ar-SA"/>
        </w:rPr>
        <w:t xml:space="preserve"> </w:t>
      </w:r>
      <w:r w:rsidRPr="00672A6A">
        <w:rPr>
          <w:rFonts w:cs="Linux Libertine"/>
          <w:lang w:val="en-US" w:eastAsia="en-GB" w:bidi="ar-SA"/>
        </w:rPr>
        <w:t>From Table 6</w:t>
      </w:r>
      <w:r>
        <w:rPr>
          <w:rFonts w:cs="Linux Libertine"/>
          <w:lang w:val="en-US" w:eastAsia="en-GB" w:bidi="ar-SA"/>
        </w:rPr>
        <w:t xml:space="preserve">, </w:t>
      </w:r>
      <w:r w:rsidRPr="00672A6A">
        <w:rPr>
          <w:rFonts w:cs="Linux Libertine"/>
          <w:lang w:val="en-US" w:eastAsia="en-GB" w:bidi="ar-SA"/>
        </w:rPr>
        <w:t xml:space="preserve"> it can be seen that vigilante </w:t>
      </w:r>
      <w:r>
        <w:rPr>
          <w:rFonts w:cs="Linux Libertine"/>
          <w:lang w:val="en-US" w:eastAsia="en-GB" w:bidi="ar-SA"/>
        </w:rPr>
        <w:t>actions</w:t>
      </w:r>
      <w:r w:rsidRPr="00672A6A">
        <w:rPr>
          <w:rFonts w:cs="Linux Libertine"/>
          <w:lang w:val="en-US" w:eastAsia="en-GB" w:bidi="ar-SA"/>
        </w:rPr>
        <w:t xml:space="preserve"> against the Ahmadiyya resulted in damage to houses of worship and buildings, the victim suffered minor and serious injuries, the victim died, and Ahmadiyya followers were expelled from their homes.</w:t>
      </w:r>
    </w:p>
    <w:p w14:paraId="5D85014C"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Main Hakim Sendiri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672A6A"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672A6A" w:rsidRDefault="00C8473A" w:rsidP="00ED0FE2">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6E245168" w14:textId="77777777" w:rsidR="00C8473A" w:rsidRPr="00672A6A"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0253F93F" w14:textId="77777777" w:rsidR="00C8473A" w:rsidRPr="00672A6A"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C8473A" w:rsidRPr="00672A6A"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672A6A" w:rsidRDefault="00C8473A" w:rsidP="00ED0FE2">
            <w:pPr>
              <w:ind w:right="51"/>
              <w:jc w:val="both"/>
              <w:rPr>
                <w:rFonts w:cs="Linux Libertine"/>
                <w:sz w:val="20"/>
                <w:szCs w:val="20"/>
              </w:rPr>
            </w:pPr>
            <w:r w:rsidRPr="00672A6A">
              <w:rPr>
                <w:rFonts w:cs="Linux Libertine"/>
                <w:sz w:val="20"/>
                <w:szCs w:val="20"/>
              </w:rPr>
              <w:t>1</w:t>
            </w:r>
          </w:p>
        </w:tc>
        <w:tc>
          <w:tcPr>
            <w:tcW w:w="1878" w:type="dxa"/>
          </w:tcPr>
          <w:p w14:paraId="0B5FF10F" w14:textId="77777777" w:rsidR="00C8473A" w:rsidRPr="00672A6A"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In Cisalada, West Java, in October 2010</w:t>
            </w:r>
          </w:p>
        </w:tc>
        <w:tc>
          <w:tcPr>
            <w:tcW w:w="5952" w:type="dxa"/>
          </w:tcPr>
          <w:p w14:paraId="7AAF8CF6" w14:textId="77777777" w:rsidR="00C8473A" w:rsidRPr="00672A6A" w:rsidRDefault="00C8473A" w:rsidP="00ED0FE2">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3BBFA244" w14:textId="77777777" w:rsidR="00C8473A" w:rsidRPr="00672A6A" w:rsidRDefault="00C8473A"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In 2007 there was a Joint Decree at the Ciampea District level, which was signed by the Camat, the MUI, the KUA which stated that there should be no activities of the Ahmadiyya congregation. Then, on Monday, July 12, 2010, thousands of Cisalada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53"/>
            </w:r>
          </w:p>
        </w:tc>
      </w:tr>
      <w:tr w:rsidR="00C8473A" w:rsidRPr="00672A6A" w14:paraId="3922B144" w14:textId="77777777" w:rsidTr="00ED0FE2">
        <w:tc>
          <w:tcPr>
            <w:tcW w:w="540" w:type="dxa"/>
          </w:tcPr>
          <w:p w14:paraId="21C16683"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2</w:t>
            </w:r>
          </w:p>
        </w:tc>
        <w:tc>
          <w:tcPr>
            <w:tcW w:w="1878" w:type="dxa"/>
          </w:tcPr>
          <w:p w14:paraId="13867C65" w14:textId="77777777" w:rsidR="00C8473A" w:rsidRPr="00672A6A" w:rsidRDefault="00C8473A" w:rsidP="00ED0FE2">
            <w:pPr>
              <w:ind w:right="65"/>
              <w:jc w:val="both"/>
              <w:rPr>
                <w:rFonts w:cs="Linux Libertine"/>
                <w:sz w:val="20"/>
                <w:szCs w:val="20"/>
              </w:rPr>
            </w:pPr>
            <w:r w:rsidRPr="00672A6A">
              <w:rPr>
                <w:rFonts w:cs="Linux Libertine"/>
                <w:sz w:val="20"/>
                <w:szCs w:val="20"/>
              </w:rPr>
              <w:t>6 February 2011 in Cikeusik, Bogor, West Java.</w:t>
            </w:r>
          </w:p>
        </w:tc>
        <w:tc>
          <w:tcPr>
            <w:tcW w:w="5952" w:type="dxa"/>
          </w:tcPr>
          <w:p w14:paraId="295EE923" w14:textId="77777777" w:rsidR="00C8473A" w:rsidRPr="00672A6A" w:rsidRDefault="00C8473A" w:rsidP="00ED0FE2">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54"/>
            </w:r>
          </w:p>
        </w:tc>
      </w:tr>
      <w:tr w:rsidR="00C8473A" w:rsidRPr="00672A6A"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672A6A" w:rsidRDefault="00C8473A" w:rsidP="00ED0FE2">
            <w:pPr>
              <w:ind w:right="51"/>
              <w:jc w:val="both"/>
              <w:rPr>
                <w:rFonts w:cs="Linux Libertine"/>
                <w:sz w:val="20"/>
                <w:szCs w:val="20"/>
              </w:rPr>
            </w:pPr>
            <w:r w:rsidRPr="00672A6A">
              <w:rPr>
                <w:rFonts w:cs="Linux Libertine"/>
                <w:sz w:val="20"/>
                <w:szCs w:val="20"/>
              </w:rPr>
              <w:t>3.</w:t>
            </w:r>
          </w:p>
        </w:tc>
        <w:tc>
          <w:tcPr>
            <w:tcW w:w="1878" w:type="dxa"/>
          </w:tcPr>
          <w:p w14:paraId="65E3614C"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Friday, February 17, 2012, Cianjur Regency, West Java.</w:t>
            </w:r>
          </w:p>
        </w:tc>
        <w:tc>
          <w:tcPr>
            <w:tcW w:w="5952" w:type="dxa"/>
          </w:tcPr>
          <w:p w14:paraId="5F187E1F"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Nurhidaya Mosque belonging to the Indonesian Ahmadiyya Congregation was damaged by 20 people. The Cianjur Resort Police has named 20 people as suspects, namely residents of Cisaar Village, </w:t>
            </w:r>
            <w:r w:rsidRPr="00672A6A">
              <w:rPr>
                <w:rFonts w:cs="Linux Libertine"/>
                <w:sz w:val="20"/>
                <w:szCs w:val="20"/>
              </w:rPr>
              <w:lastRenderedPageBreak/>
              <w:t>Cipeuyeum Village, Haurwangi District, Cianjur Regency, West Java.</w:t>
            </w:r>
            <w:r w:rsidRPr="00672A6A">
              <w:rPr>
                <w:rStyle w:val="FootnoteReference"/>
                <w:rFonts w:cs="Linux Libertine"/>
              </w:rPr>
              <w:footnoteReference w:id="55"/>
            </w:r>
          </w:p>
        </w:tc>
      </w:tr>
      <w:tr w:rsidR="00C8473A" w:rsidRPr="00672A6A" w14:paraId="1C90DA2C" w14:textId="77777777" w:rsidTr="00ED0FE2">
        <w:tc>
          <w:tcPr>
            <w:tcW w:w="540" w:type="dxa"/>
          </w:tcPr>
          <w:p w14:paraId="4C2D551B"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 xml:space="preserve">4. </w:t>
            </w:r>
          </w:p>
        </w:tc>
        <w:tc>
          <w:tcPr>
            <w:tcW w:w="1878" w:type="dxa"/>
          </w:tcPr>
          <w:p w14:paraId="0226CE38" w14:textId="77777777" w:rsidR="00C8473A" w:rsidRPr="00672A6A" w:rsidRDefault="00C8473A" w:rsidP="00ED0FE2">
            <w:pPr>
              <w:ind w:right="65"/>
              <w:rPr>
                <w:rFonts w:cs="Linux Libertine"/>
                <w:sz w:val="20"/>
                <w:szCs w:val="20"/>
              </w:rPr>
            </w:pPr>
            <w:r w:rsidRPr="00672A6A">
              <w:rPr>
                <w:rFonts w:cs="Linux Libertine"/>
                <w:sz w:val="20"/>
                <w:szCs w:val="20"/>
              </w:rPr>
              <w:t>May 23rd, 2016, in Kendal, Central Java</w:t>
            </w:r>
          </w:p>
        </w:tc>
        <w:tc>
          <w:tcPr>
            <w:tcW w:w="5952" w:type="dxa"/>
          </w:tcPr>
          <w:p w14:paraId="25C1F2EB" w14:textId="77777777" w:rsidR="00C8473A" w:rsidRPr="00672A6A" w:rsidRDefault="00C8473A" w:rsidP="00ED0FE2">
            <w:pPr>
              <w:ind w:right="98"/>
              <w:jc w:val="both"/>
              <w:rPr>
                <w:rFonts w:cs="Linux Libertine"/>
                <w:sz w:val="20"/>
                <w:szCs w:val="20"/>
              </w:rPr>
            </w:pPr>
            <w:r w:rsidRPr="00672A6A">
              <w:rPr>
                <w:rFonts w:cs="Linux Libertine"/>
                <w:sz w:val="20"/>
                <w:szCs w:val="20"/>
              </w:rPr>
              <w:t>The Al-Kautsar Mosque belonging to the Indonesian Ahmadiyya Community in Purworejo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56"/>
            </w:r>
          </w:p>
        </w:tc>
      </w:tr>
      <w:tr w:rsidR="00C8473A" w:rsidRPr="00672A6A"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672A6A" w:rsidRDefault="00C8473A" w:rsidP="00ED0FE2">
            <w:pPr>
              <w:ind w:right="51"/>
              <w:jc w:val="both"/>
              <w:rPr>
                <w:rFonts w:cs="Linux Libertine"/>
                <w:sz w:val="20"/>
                <w:szCs w:val="20"/>
              </w:rPr>
            </w:pPr>
            <w:r w:rsidRPr="00672A6A">
              <w:rPr>
                <w:rFonts w:cs="Linux Libertine"/>
                <w:sz w:val="20"/>
                <w:szCs w:val="20"/>
              </w:rPr>
              <w:t>5.</w:t>
            </w:r>
          </w:p>
        </w:tc>
        <w:tc>
          <w:tcPr>
            <w:tcW w:w="1878" w:type="dxa"/>
          </w:tcPr>
          <w:p w14:paraId="5490B6C9"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4EC126BE"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attacked, vandalized, and expelled members of the Ahmadiyya Congregation in Grepek Tanak Eat Hamlet, Greneng Village, East Sakra District.</w:t>
            </w:r>
            <w:r w:rsidRPr="00672A6A">
              <w:rPr>
                <w:rStyle w:val="FootnoteReference"/>
                <w:rFonts w:cs="Linux Libertine"/>
              </w:rPr>
              <w:footnoteReference w:id="57"/>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Cisalada was attacked, and burned to the ground.</w:t>
            </w:r>
          </w:p>
        </w:tc>
      </w:tr>
      <w:tr w:rsidR="00C8473A" w:rsidRPr="00672A6A" w14:paraId="6D1F16D7" w14:textId="77777777" w:rsidTr="00ED0FE2">
        <w:tc>
          <w:tcPr>
            <w:tcW w:w="540" w:type="dxa"/>
          </w:tcPr>
          <w:p w14:paraId="65C39C6D"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1C54F8E3" w14:textId="77777777" w:rsidR="00C8473A" w:rsidRPr="00672A6A" w:rsidRDefault="00C8473A" w:rsidP="00ED0FE2">
            <w:pPr>
              <w:ind w:right="65"/>
              <w:jc w:val="both"/>
              <w:rPr>
                <w:rFonts w:cs="Linux Libertine"/>
                <w:sz w:val="20"/>
                <w:szCs w:val="20"/>
              </w:rPr>
            </w:pPr>
            <w:r w:rsidRPr="00672A6A">
              <w:rPr>
                <w:rFonts w:cs="Linux Libertine"/>
                <w:sz w:val="20"/>
                <w:szCs w:val="20"/>
              </w:rPr>
              <w:t>September 3rd, 2021, in Sintang Regency, West Kalimantan.</w:t>
            </w:r>
          </w:p>
        </w:tc>
        <w:tc>
          <w:tcPr>
            <w:tcW w:w="5952" w:type="dxa"/>
          </w:tcPr>
          <w:p w14:paraId="02DCD68A" w14:textId="77777777" w:rsidR="00C8473A" w:rsidRPr="00672A6A" w:rsidRDefault="00C8473A" w:rsidP="00ED0FE2">
            <w:pPr>
              <w:ind w:right="147"/>
              <w:jc w:val="both"/>
              <w:rPr>
                <w:rFonts w:cs="Linux Libertine"/>
                <w:sz w:val="20"/>
                <w:szCs w:val="20"/>
              </w:rPr>
            </w:pPr>
            <w:r w:rsidRPr="00672A6A">
              <w:rPr>
                <w:rFonts w:cs="Linux Libertine"/>
                <w:sz w:val="20"/>
                <w:szCs w:val="20"/>
              </w:rPr>
              <w:t>Destruction of mosques and burning of buildings belonging to the Ahmadiyya Congregation in Balai Harapan Village, Temunak District, Sintang Regency.</w:t>
            </w:r>
            <w:r w:rsidRPr="00672A6A">
              <w:rPr>
                <w:rStyle w:val="FootnoteReference"/>
                <w:rFonts w:cs="Linux Libertine"/>
              </w:rPr>
              <w:footnoteReference w:id="58"/>
            </w:r>
            <w:r w:rsidRPr="00672A6A">
              <w:rPr>
                <w:rFonts w:cs="Linux Libertine"/>
                <w:sz w:val="20"/>
                <w:szCs w:val="20"/>
              </w:rPr>
              <w:t xml:space="preserve"> 20 heads of families and 74 members of JAI were transferred to another place for safekeeping, 200 people who took vigilante justice on behalf of </w:t>
            </w:r>
            <w:r w:rsidRPr="00672A6A">
              <w:rPr>
                <w:rFonts w:cs="Linux Libertine"/>
                <w:i/>
                <w:iCs/>
                <w:sz w:val="20"/>
                <w:szCs w:val="20"/>
              </w:rPr>
              <w:t xml:space="preserve">Aliansi Umat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59"/>
            </w:r>
          </w:p>
        </w:tc>
      </w:tr>
    </w:tbl>
    <w:p w14:paraId="11FEE60A" w14:textId="77777777" w:rsidR="001F5938" w:rsidRPr="00672A6A" w:rsidRDefault="001F5938" w:rsidP="001F5938">
      <w:pPr>
        <w:pStyle w:val="ParagraphNormal"/>
        <w:ind w:firstLine="0"/>
        <w:rPr>
          <w:rFonts w:cs="Linux Libertine"/>
          <w:lang w:val="en-US" w:eastAsia="en-GB" w:bidi="ar-SA"/>
        </w:rPr>
      </w:pPr>
    </w:p>
    <w:p w14:paraId="49BE8DE0" w14:textId="5CA58D1A" w:rsidR="009C7DB5" w:rsidRDefault="009C7DB5" w:rsidP="001F5938">
      <w:pPr>
        <w:pStyle w:val="ParagraphNormal"/>
        <w:numPr>
          <w:ilvl w:val="0"/>
          <w:numId w:val="342"/>
        </w:numPr>
        <w:rPr>
          <w:rFonts w:cs="Linux Libertine"/>
          <w:b/>
          <w:bCs/>
          <w:color w:val="00B050"/>
          <w:lang w:val="en-US"/>
        </w:rPr>
      </w:pPr>
      <w:r w:rsidRPr="00672A6A">
        <w:rPr>
          <w:rFonts w:cs="Linux Libertine"/>
          <w:b/>
          <w:bCs/>
          <w:color w:val="00B050"/>
          <w:lang w:val="en-US"/>
        </w:rPr>
        <w:t>Gafatar Case</w:t>
      </w:r>
    </w:p>
    <w:p w14:paraId="195AFE15" w14:textId="77777777" w:rsidR="00C8473A" w:rsidRDefault="00C8473A" w:rsidP="00C8473A">
      <w:pPr>
        <w:pStyle w:val="ParagraphNormal"/>
        <w:ind w:left="360" w:firstLine="360"/>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60"/>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Millah Abraham, whose leader was once considered a heretic and was still serving time when this case emerged.</w:t>
      </w:r>
    </w:p>
    <w:p w14:paraId="26AEA448" w14:textId="77777777" w:rsidR="00C8473A" w:rsidRDefault="00C8473A" w:rsidP="00C8473A">
      <w:pPr>
        <w:pStyle w:val="ParagraphNormal"/>
        <w:ind w:left="360" w:firstLine="360"/>
        <w:rPr>
          <w:rFonts w:cs="Linux Libertine"/>
          <w:color w:val="00B050"/>
          <w:lang w:val="en-US"/>
        </w:rPr>
      </w:pPr>
      <w:r w:rsidRPr="00672A6A">
        <w:rPr>
          <w:rFonts w:cs="Linux Libertine"/>
          <w:lang w:val="en-US"/>
        </w:rPr>
        <w:t xml:space="preserve">In 2017, when the Ahmadiyya criminalization case was still ongoing, a new criminalization toward five members of the </w:t>
      </w:r>
      <w:r w:rsidRPr="00672A6A">
        <w:rPr>
          <w:rFonts w:cs="Linux Libertine"/>
          <w:i/>
          <w:iCs/>
          <w:lang w:val="en-US"/>
        </w:rPr>
        <w:t>Fajar Nusantara Movement</w:t>
      </w:r>
      <w:r w:rsidRPr="00672A6A">
        <w:rPr>
          <w:rFonts w:cs="Linux Libertine"/>
          <w:lang w:val="en-US"/>
        </w:rPr>
        <w:t xml:space="preserve"> (Gafatar) emerged, where those who were formerly members of the Ajaran Millah Abraham accused to use the Gafatar organization to re-start the heretical teachings of Millah </w:t>
      </w:r>
      <w:r w:rsidRPr="00672A6A">
        <w:rPr>
          <w:rFonts w:cs="Linux Libertine"/>
          <w:lang w:val="en-US"/>
        </w:rPr>
        <w:lastRenderedPageBreak/>
        <w:t>Abraham whose leader, Musadeq, received punishment.</w:t>
      </w:r>
      <w:r w:rsidRPr="00672A6A">
        <w:rPr>
          <w:rStyle w:val="FootnoteReference"/>
          <w:rFonts w:cs="Linux Libertine"/>
          <w:lang w:val="en-US"/>
        </w:rPr>
        <w:footnoteReference w:id="61"/>
      </w:r>
      <w:r w:rsidRPr="00672A6A">
        <w:rPr>
          <w:rFonts w:cs="Linux Libertine"/>
          <w:lang w:val="en-US"/>
        </w:rPr>
        <w:t xml:space="preserve">  </w:t>
      </w:r>
      <w:r w:rsidRPr="00672A6A">
        <w:rPr>
          <w:rFonts w:cs="Linux Libertine"/>
          <w:color w:val="252525"/>
          <w:lang w:val="en-US"/>
        </w:rPr>
        <w:t>For this accusation, Gafatar's followers became victims of vigilante justice carried out by two villages, Moton Panjang Village and Tanjung Pasir Village, in East Mempawah District, Mempawah Regency, West Kalimantan, which they established by clearing forests.</w:t>
      </w:r>
    </w:p>
    <w:p w14:paraId="267137E8" w14:textId="0428A781" w:rsidR="00C8473A" w:rsidRPr="00C8473A" w:rsidRDefault="00C8473A" w:rsidP="00C8473A">
      <w:pPr>
        <w:pStyle w:val="ParagraphNormal"/>
        <w:ind w:left="360" w:firstLine="360"/>
        <w:rPr>
          <w:rFonts w:cs="Linux Libertine"/>
          <w:color w:val="00B050"/>
          <w:lang w:val="en-US"/>
        </w:rPr>
      </w:pPr>
      <w:r w:rsidRPr="00672A6A">
        <w:rPr>
          <w:rFonts w:cs="Linux Libertine"/>
          <w:lang w:val="en-US"/>
        </w:rPr>
        <w:t>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Gafatar's permit, causing its management to disband. In the interview, AD explained that:</w:t>
      </w:r>
    </w:p>
    <w:p w14:paraId="607A741B" w14:textId="77777777" w:rsidR="00C8473A" w:rsidRPr="00672A6A" w:rsidRDefault="00C8473A" w:rsidP="00C8473A">
      <w:pPr>
        <w:pStyle w:val="ParagraphNormal"/>
        <w:rPr>
          <w:rFonts w:cs="Linux Libertine"/>
          <w:lang w:val="en-US"/>
        </w:rPr>
      </w:pPr>
    </w:p>
    <w:p w14:paraId="54C50BD2" w14:textId="77777777" w:rsidR="00C8473A" w:rsidRDefault="00C8473A" w:rsidP="00C8473A">
      <w:pPr>
        <w:pStyle w:val="Quote"/>
        <w:ind w:left="1080"/>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62"/>
      </w:r>
    </w:p>
    <w:p w14:paraId="2663533A" w14:textId="77777777" w:rsidR="00C8473A" w:rsidRDefault="00C8473A" w:rsidP="00C8473A">
      <w:pPr>
        <w:pStyle w:val="Caption"/>
        <w:keepNext/>
        <w:numPr>
          <w:ilvl w:val="0"/>
          <w:numId w:val="342"/>
        </w:numPr>
        <w:rPr>
          <w:rFonts w:cs="Linux Libertine"/>
          <w:lang w:val="en-US"/>
        </w:rPr>
      </w:pPr>
    </w:p>
    <w:p w14:paraId="4B7CAD0A" w14:textId="77777777" w:rsidR="00C8473A" w:rsidRPr="00672A6A" w:rsidRDefault="00C8473A" w:rsidP="00C8473A">
      <w:pPr>
        <w:pStyle w:val="Caption"/>
        <w:keepNext/>
        <w:numPr>
          <w:ilvl w:val="0"/>
          <w:numId w:val="342"/>
        </w:numPr>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Main Hakim Sendiri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672A6A"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672A6A" w:rsidRDefault="00C8473A" w:rsidP="00ED0FE2">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740B5EEB" w14:textId="77777777" w:rsidR="00C8473A" w:rsidRPr="00672A6A"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73455FF8" w14:textId="77777777" w:rsidR="00C8473A" w:rsidRPr="00672A6A"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C8473A" w:rsidRPr="00672A6A"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672A6A" w:rsidRDefault="00C8473A" w:rsidP="00ED0FE2">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239F37B9" w14:textId="77777777" w:rsidR="00C8473A" w:rsidRPr="00672A6A"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2E297E9D" w14:textId="77777777" w:rsidR="00C8473A" w:rsidRPr="00672A6A" w:rsidRDefault="00C8473A" w:rsidP="00ED0FE2">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From January 15 to 18, 2016, a mob armed with batons and machetes approached the Gafatar farmer group in Mempawah District, West Kalimantan, and demanded that they leave Mempawah. As many as 700 Gafatar members had their homes burned down by thousands of residents on Wednesday, January 20, 2016. As a result of the village's burning, women and children also became victims. It is important to note that when the Gafatar members opened the land, they had already sold their homes and property from their hometowns and were determined to improve their fate by farming in the Kalimantan region.</w:t>
            </w:r>
          </w:p>
        </w:tc>
      </w:tr>
      <w:tr w:rsidR="00C8473A" w:rsidRPr="00672A6A" w14:paraId="74036F62" w14:textId="77777777" w:rsidTr="00ED0FE2">
        <w:tc>
          <w:tcPr>
            <w:tcW w:w="968" w:type="dxa"/>
            <w:tcBorders>
              <w:bottom w:val="single" w:sz="4" w:space="0" w:color="auto"/>
            </w:tcBorders>
          </w:tcPr>
          <w:p w14:paraId="3C9EBAD2" w14:textId="77777777" w:rsidR="00C8473A" w:rsidRPr="00672A6A"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3071D811" w14:textId="77777777" w:rsidR="00C8473A" w:rsidRPr="00672A6A" w:rsidRDefault="00C8473A" w:rsidP="00ED0FE2">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1A7ACC7C" w14:textId="77777777" w:rsidR="00C8473A" w:rsidRPr="00672A6A" w:rsidRDefault="00C8473A" w:rsidP="00ED0FE2">
            <w:pPr>
              <w:ind w:right="98"/>
              <w:jc w:val="both"/>
              <w:rPr>
                <w:rFonts w:cs="Linux Libertine"/>
                <w:sz w:val="20"/>
                <w:szCs w:val="20"/>
              </w:rPr>
            </w:pPr>
            <w:r w:rsidRPr="00672A6A">
              <w:rPr>
                <w:rFonts w:cs="Linux Libertine"/>
                <w:sz w:val="20"/>
                <w:szCs w:val="20"/>
              </w:rPr>
              <w:t>After crowded burned Gafatar houses, the 1,124 members of Gafatar were evicted from their two villages in Mempawah Regency, West Kalimantan although they have declared their absence from Gafatar membership. This act of eviction was allowed by the local government. They were evacuated at the supplies and transportation complex (Bekangdam) of Kodam XII/Tanjungpura in Pontianak, West Kalimantan.</w:t>
            </w:r>
            <w:r w:rsidRPr="00672A6A">
              <w:rPr>
                <w:rStyle w:val="FootnoteReference"/>
                <w:rFonts w:cs="Linux Libertine"/>
              </w:rPr>
              <w:footnoteReference w:id="63"/>
            </w:r>
          </w:p>
        </w:tc>
      </w:tr>
    </w:tbl>
    <w:p w14:paraId="42D50799" w14:textId="77777777" w:rsidR="00C8473A" w:rsidRDefault="00C8473A" w:rsidP="00C8473A">
      <w:pPr>
        <w:pStyle w:val="ParagraphNormal"/>
        <w:ind w:firstLine="0"/>
        <w:rPr>
          <w:rFonts w:cs="Linux Libertine"/>
          <w:color w:val="00B050"/>
          <w:lang w:val="en-US"/>
        </w:rPr>
      </w:pPr>
    </w:p>
    <w:p w14:paraId="0191624F" w14:textId="77777777" w:rsidR="00C8473A" w:rsidRDefault="00C8473A" w:rsidP="00C8473A">
      <w:pPr>
        <w:pStyle w:val="ParagraphNormal"/>
        <w:rPr>
          <w:rFonts w:cs="Linux Libertine"/>
          <w:lang w:val="en-US"/>
        </w:rPr>
      </w:pPr>
      <w:r w:rsidRPr="00672A6A">
        <w:rPr>
          <w:rFonts w:cs="Linux Libertine"/>
          <w:lang w:val="en-US" w:eastAsia="en-GB" w:bidi="ar-SA"/>
        </w:rPr>
        <w:lastRenderedPageBreak/>
        <w:t xml:space="preserve">Like </w:t>
      </w:r>
      <w:r w:rsidRPr="00672A6A">
        <w:rPr>
          <w:rFonts w:cs="Linux Libertine"/>
          <w:i/>
          <w:iCs/>
          <w:lang w:val="en-US" w:eastAsia="en-GB" w:bidi="ar-SA"/>
        </w:rPr>
        <w:t>Ahmadiyya</w:t>
      </w:r>
      <w:r w:rsidRPr="00672A6A">
        <w:rPr>
          <w:rFonts w:cs="Linux Libertine"/>
          <w:lang w:val="en-US" w:eastAsia="en-GB" w:bidi="ar-SA"/>
        </w:rPr>
        <w:t>, Gerakan Fajar Nusantara</w:t>
      </w:r>
      <w:r>
        <w:rPr>
          <w:rFonts w:cs="Linux Libertine"/>
          <w:lang w:val="en-US" w:eastAsia="en-GB" w:bidi="ar-SA"/>
        </w:rPr>
        <w:t xml:space="preserve"> </w:t>
      </w:r>
      <w:r w:rsidRPr="00672A6A">
        <w:rPr>
          <w:rFonts w:cs="Linux Libertine"/>
          <w:lang w:val="en-US" w:eastAsia="en-GB" w:bidi="ar-SA"/>
        </w:rPr>
        <w:t>(Nusantara Sunrise Movement</w:t>
      </w:r>
      <w:r>
        <w:rPr>
          <w:rFonts w:cs="Linux Libertine"/>
          <w:lang w:val="en-US" w:eastAsia="en-GB" w:bidi="ar-SA"/>
        </w:rPr>
        <w:t>)</w:t>
      </w:r>
      <w:r w:rsidRPr="00672A6A">
        <w:rPr>
          <w:rFonts w:cs="Linux Libertine"/>
          <w:i/>
          <w:iCs/>
          <w:lang w:val="en-US" w:eastAsia="en-GB" w:bidi="ar-SA"/>
        </w:rPr>
        <w:t xml:space="preserve"> </w:t>
      </w:r>
      <w:r>
        <w:rPr>
          <w:rFonts w:cs="Linux Libertine"/>
          <w:i/>
          <w:iCs/>
          <w:lang w:val="en-US" w:eastAsia="en-GB" w:bidi="ar-SA"/>
        </w:rPr>
        <w:t xml:space="preserve">or </w:t>
      </w:r>
      <w:r w:rsidRPr="00B05E2C">
        <w:rPr>
          <w:rFonts w:cs="Linux Libertine"/>
          <w:lang w:val="en-US" w:eastAsia="en-GB" w:bidi="ar-SA"/>
        </w:rPr>
        <w:t xml:space="preserve">so called </w:t>
      </w:r>
      <w:r w:rsidRPr="00B05E2C">
        <w:rPr>
          <w:rFonts w:cs="Linux Libertine"/>
          <w:i/>
          <w:iCs/>
          <w:lang w:val="en-US" w:eastAsia="en-GB" w:bidi="ar-SA"/>
        </w:rPr>
        <w:t xml:space="preserve">Gafatar </w:t>
      </w:r>
      <w:r w:rsidRPr="00672A6A">
        <w:rPr>
          <w:rFonts w:cs="Linux Libertine"/>
          <w:lang w:val="en-US" w:eastAsia="en-GB" w:bidi="ar-SA"/>
        </w:rPr>
        <w:t xml:space="preserve">members experienced various forms of violence. </w:t>
      </w:r>
      <w:r>
        <w:rPr>
          <w:rFonts w:cs="Linux Libertine"/>
          <w:lang w:val="en-US" w:eastAsia="en-GB" w:bidi="ar-SA"/>
        </w:rPr>
        <w:t xml:space="preserve">Although, the </w:t>
      </w:r>
      <w:r w:rsidRPr="00672A6A">
        <w:rPr>
          <w:rFonts w:cs="Linux Libertine"/>
          <w:lang w:val="en-US" w:eastAsia="en-GB" w:bidi="ar-SA"/>
        </w:rPr>
        <w:t>defendants</w:t>
      </w:r>
      <w:r>
        <w:rPr>
          <w:rFonts w:cs="Linux Libertine"/>
          <w:lang w:val="en-US" w:eastAsia="en-GB" w:bidi="ar-SA"/>
        </w:rPr>
        <w:t xml:space="preserve">, </w:t>
      </w:r>
      <w:r w:rsidRPr="00672A6A">
        <w:rPr>
          <w:rFonts w:cs="Linux Libertine"/>
          <w:i/>
          <w:iCs/>
          <w:lang w:val="en-US" w:eastAsia="en-GB" w:bidi="ar-SA"/>
        </w:rPr>
        <w:t>T. Abdullah Fattah, Fuadi Mardhathilla, Ridha Hidayat</w:t>
      </w:r>
      <w:r w:rsidRPr="00672A6A">
        <w:rPr>
          <w:rFonts w:cs="Linux Libertine"/>
          <w:lang w:val="en-US" w:eastAsia="en-GB" w:bidi="ar-SA"/>
        </w:rPr>
        <w:t xml:space="preserve">, and </w:t>
      </w:r>
      <w:r w:rsidRPr="00672A6A">
        <w:rPr>
          <w:rFonts w:cs="Linux Libertine"/>
          <w:i/>
          <w:iCs/>
          <w:lang w:val="en-US" w:eastAsia="en-GB" w:bidi="ar-SA"/>
        </w:rPr>
        <w:t>Althaf Mauliyul Islam</w:t>
      </w:r>
      <w:r>
        <w:rPr>
          <w:rFonts w:cs="Linux Libertine"/>
          <w:lang w:val="en-US" w:eastAsia="en-GB" w:bidi="ar-SA"/>
        </w:rPr>
        <w:t xml:space="preserve"> were </w:t>
      </w:r>
      <w:r w:rsidRPr="00672A6A">
        <w:rPr>
          <w:rFonts w:cs="Linux Libertine"/>
          <w:lang w:val="en-US" w:eastAsia="en-GB" w:bidi="ar-SA"/>
        </w:rPr>
        <w:t>found guilty under Art</w:t>
      </w:r>
      <w:r>
        <w:rPr>
          <w:rFonts w:cs="Linux Libertine"/>
          <w:lang w:val="en-US" w:eastAsia="en-GB" w:bidi="ar-SA"/>
        </w:rPr>
        <w:t>icle</w:t>
      </w:r>
      <w:r w:rsidRPr="00672A6A">
        <w:rPr>
          <w:rFonts w:cs="Linux Libertine"/>
          <w:lang w:val="en-US" w:eastAsia="en-GB" w:bidi="ar-SA"/>
        </w:rPr>
        <w:t xml:space="preserve"> 156a of the Indonesian Criminal Code for mixing the teachings of Islam, Judaism, and Christianity</w:t>
      </w:r>
      <w:r>
        <w:rPr>
          <w:rFonts w:cs="Linux Libertine"/>
          <w:lang w:val="en-US" w:eastAsia="en-GB" w:bidi="ar-SA"/>
        </w:rPr>
        <w:t xml:space="preserve">, </w:t>
      </w:r>
      <w:r w:rsidRPr="00672A6A">
        <w:rPr>
          <w:rFonts w:cs="Linux Libertine"/>
          <w:lang w:val="en-US" w:eastAsia="en-GB" w:bidi="ar-SA"/>
        </w:rPr>
        <w:t xml:space="preserve"> </w:t>
      </w:r>
      <w:r>
        <w:rPr>
          <w:rFonts w:cs="Linux Libertine"/>
          <w:lang w:val="en-US" w:eastAsia="en-GB" w:bidi="ar-SA"/>
        </w:rPr>
        <w:t xml:space="preserve">the government pressure against </w:t>
      </w:r>
      <w:r w:rsidRPr="00B05E2C">
        <w:rPr>
          <w:rFonts w:cs="Linux Libertine"/>
          <w:i/>
          <w:iCs/>
          <w:lang w:val="en-US" w:eastAsia="en-GB" w:bidi="ar-SA"/>
        </w:rPr>
        <w:t xml:space="preserve">Gafatar </w:t>
      </w:r>
      <w:r>
        <w:rPr>
          <w:rFonts w:cs="Linux Libertine"/>
          <w:lang w:val="en-US" w:eastAsia="en-GB" w:bidi="ar-SA"/>
        </w:rPr>
        <w:t xml:space="preserve">were </w:t>
      </w:r>
      <w:r w:rsidRPr="00672A6A">
        <w:rPr>
          <w:rFonts w:cs="Linux Libertine"/>
          <w:lang w:val="en-US" w:eastAsia="en-GB" w:bidi="ar-SA"/>
        </w:rPr>
        <w:t xml:space="preserve">continued. On January 14, </w:t>
      </w:r>
      <w:r>
        <w:rPr>
          <w:rFonts w:cs="Linux Libertine"/>
          <w:lang w:val="en-US" w:eastAsia="en-GB" w:bidi="ar-SA"/>
        </w:rPr>
        <w:t>the</w:t>
      </w:r>
      <w:r w:rsidRPr="00672A6A">
        <w:rPr>
          <w:rFonts w:cs="Linux Libertine"/>
          <w:lang w:val="en-US" w:eastAsia="en-GB" w:bidi="ar-SA"/>
        </w:rPr>
        <w:t xml:space="preserve"> Minister </w:t>
      </w:r>
      <w:r>
        <w:rPr>
          <w:rFonts w:cs="Linux Libertine"/>
          <w:lang w:val="en-US" w:eastAsia="en-GB" w:bidi="ar-SA"/>
        </w:rPr>
        <w:t xml:space="preserve">of Home Affairs, </w:t>
      </w:r>
      <w:r w:rsidRPr="00672A6A">
        <w:rPr>
          <w:rFonts w:cs="Linux Libertine"/>
          <w:lang w:val="en-US" w:eastAsia="en-GB" w:bidi="ar-SA"/>
        </w:rPr>
        <w:t xml:space="preserve">Tjahjo Kumolo instructed the local government to close all Gafatar offices. On March 24, Attorney General Muhammad Prasetyo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64"/>
      </w:r>
      <w:r w:rsidRPr="00672A6A">
        <w:rPr>
          <w:rFonts w:cs="Linux Libertine"/>
          <w:lang w:val="en-US"/>
        </w:rPr>
        <w:t xml:space="preserve">  </w:t>
      </w:r>
    </w:p>
    <w:p w14:paraId="47ABB07E" w14:textId="5647227D" w:rsidR="00C8473A" w:rsidRDefault="00C8473A" w:rsidP="00C8473A">
      <w:pPr>
        <w:pStyle w:val="ParagraphNormal"/>
        <w:rPr>
          <w:rFonts w:cs="Linux Libertine"/>
          <w:lang w:val="en-US"/>
        </w:rPr>
      </w:pPr>
      <w:r>
        <w:rPr>
          <w:rFonts w:cs="Linux Libertine"/>
          <w:lang w:val="en-US"/>
        </w:rPr>
        <w:t xml:space="preserve">Moreover, the </w:t>
      </w:r>
      <w:r w:rsidRPr="00672A6A">
        <w:rPr>
          <w:rFonts w:cs="Linux Libertine"/>
          <w:lang w:val="en-US"/>
        </w:rPr>
        <w:t>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Boyolali and Surabaya.</w:t>
      </w:r>
      <w:r w:rsidRPr="00672A6A">
        <w:rPr>
          <w:rStyle w:val="FootnoteReference"/>
          <w:rFonts w:cs="Linux Libertine"/>
          <w:lang w:val="en-US"/>
        </w:rPr>
        <w:footnoteReference w:id="65"/>
      </w:r>
      <w:r w:rsidRPr="00672A6A">
        <w:rPr>
          <w:rFonts w:cs="Linux Libertine"/>
          <w:lang w:val="en-US"/>
        </w:rPr>
        <w:t xml:space="preserve"> They were then evacuated at the supplies and transportation complex of the Tanjungpura Military Command XII in Pontianak, West Kalimantan. The former chairman of Gafatar, Mahful M Tumanurung stated that: </w:t>
      </w:r>
    </w:p>
    <w:p w14:paraId="26799241" w14:textId="04E61E74" w:rsidR="00C8473A" w:rsidRPr="00C8473A" w:rsidRDefault="00C8473A" w:rsidP="00C8473A">
      <w:pPr>
        <w:pStyle w:val="ParagraphNormal"/>
        <w:ind w:left="1080" w:firstLine="0"/>
        <w:rPr>
          <w:rFonts w:cs="Linux Libertine"/>
          <w:i/>
          <w:iCs/>
          <w:lang w:val="en-US"/>
        </w:rPr>
      </w:pPr>
      <w:r w:rsidRPr="00B05E2C">
        <w:rPr>
          <w:rFonts w:cs="Linux Libertine"/>
          <w:i/>
          <w:iCs/>
          <w:lang w:val="en-US"/>
        </w:rPr>
        <w:t>“We, ex-Gafatar members, deeply regret and strongly condemn actions in the form of systematic forced evictions, destruction of fires and looting of assets on land that we legally own.”</w:t>
      </w:r>
      <w:r w:rsidRPr="00B05E2C">
        <w:rPr>
          <w:rStyle w:val="FootnoteReference"/>
          <w:rFonts w:cs="Linux Libertine"/>
          <w:i/>
          <w:iCs/>
          <w:lang w:val="en-US"/>
        </w:rPr>
        <w:footnoteReference w:id="66"/>
      </w:r>
    </w:p>
    <w:p w14:paraId="291949A1" w14:textId="77777777" w:rsidR="00D17E6D" w:rsidRDefault="00D17E6D" w:rsidP="00D17E6D">
      <w:pPr>
        <w:pStyle w:val="ParagraphNormal"/>
        <w:ind w:left="360" w:firstLine="0"/>
        <w:rPr>
          <w:rFonts w:cs="Linux Libertine"/>
          <w:b/>
          <w:bCs/>
          <w:color w:val="00B050"/>
          <w:lang w:val="en-US"/>
        </w:rPr>
      </w:pPr>
    </w:p>
    <w:p w14:paraId="631FF923" w14:textId="612AF366" w:rsidR="001F5938" w:rsidRPr="00672A6A" w:rsidRDefault="001F5938" w:rsidP="001F5938">
      <w:pPr>
        <w:pStyle w:val="ParagraphNormal"/>
        <w:numPr>
          <w:ilvl w:val="0"/>
          <w:numId w:val="342"/>
        </w:numPr>
        <w:rPr>
          <w:rFonts w:cs="Linux Libertine"/>
          <w:b/>
          <w:bCs/>
          <w:color w:val="00B050"/>
          <w:lang w:val="en-US"/>
        </w:rPr>
      </w:pPr>
      <w:r>
        <w:rPr>
          <w:rFonts w:cs="Linux Libertine"/>
          <w:b/>
          <w:bCs/>
          <w:color w:val="00B050"/>
          <w:lang w:val="en-US"/>
        </w:rPr>
        <w:t>Meiliana Case</w:t>
      </w:r>
    </w:p>
    <w:p w14:paraId="7BCFAD9A" w14:textId="6AEA7AD2" w:rsidR="00117785" w:rsidRPr="00672A6A" w:rsidRDefault="00117785" w:rsidP="00C8473A">
      <w:pPr>
        <w:pStyle w:val="ParagraphNormal"/>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67"/>
      </w:r>
      <w:r w:rsidRPr="00672A6A">
        <w:rPr>
          <w:rFonts w:cs="Linux Libertine"/>
          <w:color w:val="00B050"/>
          <w:lang w:val="en-US"/>
        </w:rPr>
        <w:t xml:space="preserve"> a Chinese Buddhist woman, live in Tanjung Balai Medan where people are heterogeneous and have a strong Malay culture character by </w:t>
      </w:r>
      <w:r w:rsidRPr="00672A6A">
        <w:rPr>
          <w:rFonts w:cs="Linux Libertine"/>
          <w:color w:val="00B050"/>
          <w:lang w:val="en-US"/>
        </w:rPr>
        <w:lastRenderedPageBreak/>
        <w:t>upholding customary principles, “</w:t>
      </w:r>
      <w:r w:rsidRPr="00672A6A">
        <w:rPr>
          <w:rFonts w:cs="Linux Libertine"/>
          <w:i/>
          <w:iCs/>
          <w:color w:val="00B050"/>
          <w:lang w:val="en-US"/>
        </w:rPr>
        <w:t>Adat bersendikan Syarak, Syarak bersendikan Kitabullah</w:t>
      </w:r>
      <w:r w:rsidRPr="00672A6A">
        <w:rPr>
          <w:rFonts w:cs="Linux Libertine"/>
          <w:color w:val="00B050"/>
          <w:lang w:val="en-US"/>
        </w:rPr>
        <w:t xml:space="preserve">” or “the tradition is based on Sharia, and the Sharia is based on the Koran”. Meiliana’s protest to a neighbour mosque for a too loud call of praying was considered blasphemy against Islam. The Meiliana’s case is related to the politicization of religion and economic sentiment, where Meiliana as a Buddhist minority and of Chinese descendants is part of identity politics for hardliner Islamic groups to accuse Meiliana (Suryadinata,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Meiliana's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mediation process was ongoing, vigilante groups provoked the residents and continuously carried out the narrative that “Meiliana forbade the Adhan,” thereby causing their anger. In contrast, in a </w:t>
      </w:r>
      <w:r w:rsidRPr="00672A6A">
        <w:rPr>
          <w:rStyle w:val="Emphasis"/>
          <w:rFonts w:cs="Linux Libertine"/>
          <w:color w:val="252525"/>
          <w:lang w:val="en-US"/>
        </w:rPr>
        <w:t>pledoi</w:t>
      </w:r>
      <w:r w:rsidRPr="00672A6A">
        <w:rPr>
          <w:rFonts w:cs="Linux Libertine"/>
          <w:lang w:val="en-US"/>
        </w:rPr>
        <w:t xml:space="preserve"> delivered by </w:t>
      </w:r>
      <w:r w:rsidRPr="00672A6A">
        <w:rPr>
          <w:rFonts w:cs="Linux Libertine"/>
          <w:i/>
          <w:iCs/>
          <w:lang w:val="en-US"/>
        </w:rPr>
        <w:t>Meiliana's</w:t>
      </w:r>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68"/>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Default="009C7DB5" w:rsidP="00E3763D">
      <w:pPr>
        <w:pStyle w:val="ParagraphNormal"/>
        <w:rPr>
          <w:rFonts w:cs="Linux Libertine"/>
          <w:lang w:val="en-US"/>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's house but destroyed a Buddhist place of worship. The vigilante justice carried out by mobs have damaged the Tri Ratna Temple and the Dewi Samudera Temple on the banks of the Asahan River. At least three </w:t>
      </w:r>
      <w:r w:rsidRPr="00672A6A">
        <w:rPr>
          <w:rFonts w:cs="Linux Libertine"/>
          <w:szCs w:val="24"/>
          <w:lang w:val="en-US" w:eastAsia="en-GB" w:bidi="ar-SA"/>
          <w14:ligatures w14:val="none"/>
          <w14:numSpacing w14:val="default"/>
        </w:rPr>
        <w:lastRenderedPageBreak/>
        <w:t>monasteries, eight temples, two Chinese foundations, a medical center, and</w:t>
      </w:r>
      <w:r w:rsidRPr="00672A6A">
        <w:rPr>
          <w:rFonts w:cs="Linux Libertine"/>
          <w:i/>
          <w:iCs/>
          <w:szCs w:val="24"/>
          <w:lang w:val="en-US" w:eastAsia="en-GB" w:bidi="ar-SA"/>
          <w14:ligatures w14:val="none"/>
          <w14:numSpacing w14:val="default"/>
        </w:rPr>
        <w:t xml:space="preserve"> Meiliana's</w:t>
      </w:r>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Tanjung Balai Court with the head of the Panel of Judges, Ullina Marbun,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69"/>
      </w:r>
      <w:r w:rsidRPr="00672A6A">
        <w:rPr>
          <w:rFonts w:cs="Linux Libertine"/>
          <w:lang w:val="en-US"/>
        </w:rPr>
        <w:t xml:space="preserve"> Meanwhile, Meiliana herself was sentenced to 18 months in prison.</w:t>
      </w:r>
    </w:p>
    <w:p w14:paraId="071C318F" w14:textId="77777777" w:rsidR="00C8473A" w:rsidRPr="00E3763D" w:rsidRDefault="00C8473A" w:rsidP="00E3763D">
      <w:pPr>
        <w:pStyle w:val="ParagraphNormal"/>
        <w:rPr>
          <w:rFonts w:cs="Linux Libertine"/>
          <w:szCs w:val="24"/>
          <w:lang w:val="en-US" w:eastAsia="en-GB" w:bidi="ar-SA"/>
          <w14:ligatures w14:val="none"/>
          <w14:numSpacing w14:val="default"/>
        </w:rPr>
      </w:pP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185CB3D7"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The findings of legal analysis are then used to explore empirical data in the field. As Heidegger suggests, every text is related to its historical context, including the circumstances and 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social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77777777" w:rsidR="00E3763D" w:rsidRDefault="008A2AB1" w:rsidP="00E3763D">
      <w:pPr>
        <w:spacing w:line="360" w:lineRule="auto"/>
        <w:ind w:firstLine="720"/>
        <w:jc w:val="both"/>
        <w:rPr>
          <w:rFonts w:cs="Linux Libertine"/>
        </w:rPr>
      </w:pPr>
      <w:r w:rsidRPr="00672A6A">
        <w:rPr>
          <w:rFonts w:cs="Linux Libertine"/>
        </w:rPr>
        <w:lastRenderedPageBreak/>
        <w:t xml:space="preserve">The study then utilizes correlation analysis to identify the factors and actors influencing the enforcement of the anti-blasphemy law and its impact on social justice. </w:t>
      </w:r>
      <w:r w:rsidR="00E3763D" w:rsidRPr="00672A6A">
        <w:rPr>
          <w:rFonts w:cs="Linux Libertine"/>
        </w:rPr>
        <w:t>Tamanaha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lastRenderedPageBreak/>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 xml:space="preserve">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w:t>
      </w:r>
      <w:r w:rsidRPr="00672A6A">
        <w:rPr>
          <w:rFonts w:cs="Linux Libertine"/>
          <w:lang w:val="en-US"/>
        </w:rPr>
        <w:lastRenderedPageBreak/>
        <w:t>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5C6EB6CD" w14:textId="77777777" w:rsidR="00C8473A" w:rsidRDefault="00441CCC" w:rsidP="00D043F5">
      <w:pPr>
        <w:pStyle w:val="Heading1"/>
        <w:rPr>
          <w:rFonts w:cs="Linux Libertine"/>
        </w:rPr>
      </w:pPr>
      <w:r w:rsidRPr="00672A6A">
        <w:rPr>
          <w:rFonts w:cs="Linux Libertine"/>
        </w:rPr>
        <w:t xml:space="preserve">DEVELOPMENT OF </w:t>
      </w:r>
      <w:r w:rsidR="000F720D" w:rsidRPr="00672A6A">
        <w:rPr>
          <w:rFonts w:cs="Linux Libertine"/>
        </w:rPr>
        <w:t xml:space="preserve">THE </w:t>
      </w:r>
      <w:r w:rsidR="003C7864">
        <w:rPr>
          <w:rFonts w:cs="Linux Libertine"/>
        </w:rPr>
        <w:t xml:space="preserve">INDONESIA’S </w:t>
      </w:r>
      <w:r w:rsidRPr="00672A6A">
        <w:rPr>
          <w:rFonts w:cs="Linux Libertine"/>
        </w:rPr>
        <w:t xml:space="preserve">ANTI-BLASPHEMY LAW </w:t>
      </w:r>
      <w:r w:rsidR="00C8473A">
        <w:rPr>
          <w:rFonts w:cs="Linux Libertine"/>
        </w:rPr>
        <w:t xml:space="preserve">UNDER THE RULE OF LAW </w:t>
      </w:r>
    </w:p>
    <w:p w14:paraId="12344C8B" w14:textId="32E6D463" w:rsidR="00441CCC" w:rsidRPr="00672A6A" w:rsidRDefault="000F720D" w:rsidP="00D043F5">
      <w:pPr>
        <w:pStyle w:val="Heading1"/>
        <w:rPr>
          <w:rFonts w:cs="Linux Libertine"/>
        </w:rPr>
      </w:pPr>
      <w:r w:rsidRPr="00672A6A">
        <w:rPr>
          <w:rFonts w:cs="Linux Libertine"/>
        </w:rPr>
        <w:t xml:space="preserve">AND ITS </w:t>
      </w:r>
      <w:r w:rsidR="00D02C1C">
        <w:rPr>
          <w:rFonts w:cs="Linux Libertine"/>
        </w:rPr>
        <w:t>IMPACT ON HUMAN RIGHTS</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1F265EB2"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(Kusumawijaya &amp; Chozin, 2018). </w:t>
      </w:r>
      <w:r w:rsidR="00F257F5" w:rsidRPr="00F257F5">
        <w:rPr>
          <w:rFonts w:cs="Linux Libertine"/>
          <w:color w:val="FF0000"/>
        </w:rPr>
        <w:t>In reality, during Joko Widodo's administration, the legal politics surrounding the Anti-Blasphemy Law (ABL) continues to be implemented, reinforced by Article 156a of the Criminal Code as well as various related regulations such as the ratification of the Law Number 11 of 2008 on Electronic Information and Transaction (EIT Law) which was later revised in 2016, culminating in the New Criminal Code's approval in 2022.</w:t>
      </w:r>
      <w:r w:rsidR="00245C51">
        <w:rPr>
          <w:rFonts w:cs="Linux Libertine"/>
          <w:color w:val="FF0000"/>
        </w:rPr>
        <w:t xml:space="preserve"> </w:t>
      </w:r>
    </w:p>
    <w:p w14:paraId="6A3EA8F8" w14:textId="40C627A9" w:rsidR="00245C51" w:rsidRPr="00245C51" w:rsidRDefault="00F257F5" w:rsidP="00245C51">
      <w:pPr>
        <w:pStyle w:val="ParagraphNormal"/>
        <w:rPr>
          <w:color w:val="FF0000"/>
        </w:rPr>
      </w:pPr>
      <w:r w:rsidRPr="00F257F5">
        <w:rPr>
          <w:rFonts w:cs="Linux Libertine"/>
          <w:color w:val="FF0000"/>
        </w:rPr>
        <w:t>Originally, the 1965 Anti-Blasphemy Law (ABL) did not stipulate any criminal sanctions. Moreover, even after the insertion of Article 156a into the Criminal Code, it was seldom utilized to prosecute individuals for religious blasphemy. However, since the enactment of the EIT Law and the Constitutional Court's judicial review ruling affirming the constitutionality of the 1965 ABL, the application of the blasphemy law has become more frequent in Indonesian courts during Joko Widodo's administration. According to Crouch, at least 130 individuals were convicted under the ABL from 1988 to 2012, with an additional 66 cases being resolved by the courts between 2012 and 2018.</w:t>
      </w:r>
      <w:r w:rsidR="00245C51" w:rsidRPr="00245C51">
        <w:rPr>
          <w:color w:val="FF0000"/>
        </w:rPr>
        <w:t xml:space="preserve"> </w:t>
      </w:r>
    </w:p>
    <w:p w14:paraId="6CDD0D08" w14:textId="4712371C"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p>
    <w:p w14:paraId="317EE952" w14:textId="77777777" w:rsidR="00D02C1C" w:rsidRDefault="00D02C1C" w:rsidP="00D02C1C">
      <w:pPr>
        <w:spacing w:line="360" w:lineRule="auto"/>
        <w:ind w:firstLine="720"/>
        <w:jc w:val="both"/>
        <w:rPr>
          <w:rFonts w:cs="Linux Libertine"/>
          <w:color w:val="70AD47" w:themeColor="accent6"/>
        </w:rPr>
      </w:pPr>
      <w:r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352397AF" w:rsidR="005D7A02" w:rsidRDefault="00A533A0" w:rsidP="00D02C1C">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w:t>
      </w:r>
      <w:r w:rsidR="00D02C1C">
        <w:rPr>
          <w:rFonts w:cs="Linux Libertine"/>
          <w:color w:val="00B050"/>
        </w:rPr>
        <w:t>why</w:t>
      </w:r>
      <w:r w:rsidR="005D7A02" w:rsidRPr="005D7A02">
        <w:rPr>
          <w:rFonts w:cs="Linux Libertine"/>
          <w:color w:val="70AD47" w:themeColor="accent6"/>
        </w:rPr>
        <w:t xml:space="preserve"> the </w:t>
      </w:r>
      <w:r w:rsidR="00D02C1C">
        <w:rPr>
          <w:rFonts w:cs="Linux Libertine"/>
          <w:color w:val="70AD47" w:themeColor="accent6"/>
        </w:rPr>
        <w:t xml:space="preserve">current </w:t>
      </w:r>
      <w:r w:rsidR="005D7A02" w:rsidRPr="005D7A02">
        <w:rPr>
          <w:rFonts w:cs="Linux Libertine"/>
          <w:color w:val="70AD47" w:themeColor="accent6"/>
        </w:rPr>
        <w:t>development of the Indonesia</w:t>
      </w:r>
      <w:r w:rsidR="00D02C1C">
        <w:rPr>
          <w:rFonts w:cs="Linux Libertine"/>
          <w:color w:val="70AD47" w:themeColor="accent6"/>
        </w:rPr>
        <w:t>’s</w:t>
      </w:r>
      <w:r w:rsidR="005D7A02" w:rsidRPr="005D7A02">
        <w:rPr>
          <w:rFonts w:cs="Linux Libertine"/>
          <w:color w:val="70AD47" w:themeColor="accent6"/>
        </w:rPr>
        <w:t xml:space="preserve"> ABL </w:t>
      </w:r>
      <w:r w:rsidR="00D02C1C">
        <w:rPr>
          <w:rFonts w:cs="Linux Libertine"/>
          <w:color w:val="70AD47" w:themeColor="accent6"/>
        </w:rPr>
        <w:t>and its related laws and regulations degrade</w:t>
      </w:r>
      <w:r w:rsidR="005D7A02" w:rsidRPr="005D7A02">
        <w:rPr>
          <w:rFonts w:cs="Linux Libertine"/>
          <w:color w:val="70AD47" w:themeColor="accent6"/>
        </w:rPr>
        <w:t xml:space="preserve"> the rule of law</w:t>
      </w:r>
      <w:r w:rsidR="00D02C1C">
        <w:rPr>
          <w:rFonts w:cs="Linux Libertine"/>
          <w:color w:val="70AD47" w:themeColor="accent6"/>
        </w:rPr>
        <w:t xml:space="preserve"> </w:t>
      </w:r>
      <w:r w:rsidR="005D7A02" w:rsidRPr="005D7A02">
        <w:rPr>
          <w:rFonts w:cs="Linux Libertine"/>
          <w:color w:val="70AD47" w:themeColor="accent6"/>
        </w:rPr>
        <w:t>and to what extent the</w:t>
      </w:r>
      <w:r w:rsidR="00D02C1C">
        <w:rPr>
          <w:rFonts w:cs="Linux Libertine"/>
          <w:color w:val="70AD47" w:themeColor="accent6"/>
        </w:rPr>
        <w:t xml:space="preserve"> law development give impacts towards human rights. </w:t>
      </w:r>
    </w:p>
    <w:p w14:paraId="785EA962" w14:textId="77777777" w:rsidR="00D02C1C" w:rsidRPr="00DC0B47" w:rsidRDefault="00D02C1C" w:rsidP="00C704C4">
      <w:pPr>
        <w:spacing w:line="360" w:lineRule="auto"/>
        <w:ind w:firstLine="720"/>
        <w:jc w:val="both"/>
        <w:rPr>
          <w:rFonts w:cs="Linux Libertine"/>
          <w:color w:val="70AD47" w:themeColor="accent6"/>
        </w:rPr>
      </w:pPr>
    </w:p>
    <w:p w14:paraId="78A5D5DE" w14:textId="00813C0F" w:rsidR="00DC0B47" w:rsidRDefault="00DC0B47" w:rsidP="00DC0B47">
      <w:pPr>
        <w:spacing w:line="360" w:lineRule="auto"/>
        <w:jc w:val="both"/>
        <w:rPr>
          <w:rFonts w:cs="Linux Libertine"/>
          <w:b/>
          <w:bCs/>
          <w:color w:val="FF0000"/>
        </w:rPr>
      </w:pPr>
      <w:r w:rsidRPr="00D02C1C">
        <w:rPr>
          <w:rFonts w:cs="Linux Libertine"/>
          <w:b/>
          <w:bCs/>
          <w:color w:val="FF0000"/>
        </w:rPr>
        <w:t xml:space="preserve">4.2. </w:t>
      </w:r>
      <w:r w:rsidR="00DC748E" w:rsidRPr="00D02C1C">
        <w:rPr>
          <w:rFonts w:cs="Linux Libertine"/>
          <w:b/>
          <w:bCs/>
          <w:color w:val="FF0000"/>
        </w:rPr>
        <w:t xml:space="preserve">The Current </w:t>
      </w:r>
      <w:r w:rsidRPr="00D02C1C">
        <w:rPr>
          <w:rFonts w:cs="Linux Libertine"/>
          <w:b/>
          <w:bCs/>
          <w:color w:val="FF0000"/>
        </w:rPr>
        <w:t xml:space="preserve">Development of the </w:t>
      </w:r>
      <w:r w:rsidR="00DC748E" w:rsidRPr="00D02C1C">
        <w:rPr>
          <w:rFonts w:cs="Linux Libertine"/>
          <w:b/>
          <w:bCs/>
          <w:color w:val="FF0000"/>
        </w:rPr>
        <w:t xml:space="preserve">Indonesia’s ABL </w:t>
      </w:r>
    </w:p>
    <w:p w14:paraId="6238F338" w14:textId="77777777" w:rsidR="00F10F58" w:rsidRPr="00D02C1C" w:rsidRDefault="00F10F58" w:rsidP="00DC0B47">
      <w:pPr>
        <w:spacing w:line="360" w:lineRule="auto"/>
        <w:jc w:val="both"/>
        <w:rPr>
          <w:rFonts w:cs="Linux Libertine"/>
          <w:b/>
          <w:bCs/>
          <w:color w:val="FF0000"/>
        </w:rPr>
      </w:pPr>
    </w:p>
    <w:p w14:paraId="428FE396" w14:textId="42644514" w:rsidR="00151845" w:rsidRDefault="00151845" w:rsidP="00DC0B47">
      <w:pPr>
        <w:jc w:val="both"/>
        <w:rPr>
          <w:rFonts w:cs="Linux Libertine"/>
          <w:b/>
          <w:bCs/>
        </w:rPr>
      </w:pPr>
      <w:r w:rsidRPr="00672A6A">
        <w:rPr>
          <w:rFonts w:cs="Linux Libertine"/>
          <w:b/>
          <w:bCs/>
        </w:rPr>
        <w:t xml:space="preserve">4.2.1.  The </w:t>
      </w:r>
      <w:r w:rsidR="00D02C1C">
        <w:rPr>
          <w:rFonts w:cs="Linux Libertine"/>
          <w:b/>
          <w:bCs/>
        </w:rPr>
        <w:t>Prolong Application</w:t>
      </w:r>
      <w:r w:rsidRPr="00672A6A">
        <w:rPr>
          <w:rFonts w:cs="Linux Libertine"/>
          <w:b/>
          <w:bCs/>
        </w:rPr>
        <w:t xml:space="preserve"> of the </w:t>
      </w:r>
      <w:r w:rsidR="00D02C1C">
        <w:rPr>
          <w:rFonts w:cs="Linux Libertine"/>
          <w:b/>
          <w:bCs/>
        </w:rPr>
        <w:t>Law Number 1/PNPS/ Year 1965</w:t>
      </w:r>
    </w:p>
    <w:p w14:paraId="19734BFB" w14:textId="77777777" w:rsidR="00DC0B47" w:rsidRPr="00DC0B47" w:rsidRDefault="00DC0B47" w:rsidP="00DC0B47">
      <w:pPr>
        <w:jc w:val="both"/>
        <w:rPr>
          <w:rFonts w:cs="Linux Libertine"/>
          <w:b/>
          <w:bCs/>
        </w:rPr>
      </w:pPr>
    </w:p>
    <w:p w14:paraId="3F646E6A" w14:textId="5184AD3D" w:rsidR="00DC748E" w:rsidRDefault="00F257F5" w:rsidP="00DC748E">
      <w:pPr>
        <w:pStyle w:val="ParagraphNormal"/>
        <w:rPr>
          <w:rFonts w:cs="Linux Libertine"/>
          <w:color w:val="FF0000"/>
          <w:lang w:val="en-US"/>
        </w:rPr>
      </w:pPr>
      <w:r w:rsidRPr="00F257F5">
        <w:rPr>
          <w:rFonts w:cs="Linux Libertine"/>
          <w:lang w:val="en-US"/>
        </w:rPr>
        <w:t>As previously mentioned, despite being validated in 1965, Indonesia's Anti-Blasphemy Law (ABL) has never been substantially revised. This study has discerned that during Joko Widodo's administration, the ABL has continued to be enforced and even reinforced, as revealed in numerous laws and related public policies. Thus, the ABL under Joko Widodo's administration continues to remain in effect.</w:t>
      </w:r>
      <w:r w:rsidR="00DC748E">
        <w:rPr>
          <w:rFonts w:cs="Linux Libertine"/>
          <w:lang w:val="en-US"/>
        </w:rPr>
        <w:t xml:space="preserve"> </w:t>
      </w:r>
    </w:p>
    <w:p w14:paraId="29BB616B" w14:textId="555D64E9" w:rsidR="00D02C1C" w:rsidRDefault="00D02C1C" w:rsidP="00DC748E">
      <w:pPr>
        <w:pStyle w:val="ParagraphNormal"/>
        <w:rPr>
          <w:rFonts w:cs="Linux Libertine"/>
          <w:lang w:val="en-US"/>
        </w:rPr>
      </w:pP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497E0637" w:rsidR="00410DA6" w:rsidRPr="00410DA6" w:rsidRDefault="00F257F5" w:rsidP="00410DA6">
      <w:pPr>
        <w:pStyle w:val="ParagraphNormal"/>
        <w:rPr>
          <w:rFonts w:cs="Linux Libertine"/>
          <w:color w:val="FF0000"/>
          <w:lang w:val="en-US"/>
        </w:rPr>
      </w:pPr>
      <w:r w:rsidRPr="00F257F5">
        <w:rPr>
          <w:color w:val="FF0000"/>
        </w:rPr>
        <w:t>As mentioned in Article 1, the use of the term "everyone" indicates that this Law is aimed at prohibiting everyone, without distinction based on their religion or beliefs. However, in the following sentence: "religion adhered to in Indonesia or to carry out religious activities that resemble religious activities from the main points of religious teachings," it suggests that this Law will only protect religions that are practiced in Indonesia. The use of the term "religion" here also narrows the meaning, where "traditional beliefs" or "new religions" outside of the six religions practiced in Indonesia are not included in the definition of religion that this law intends to protect.</w:t>
      </w:r>
      <w:r w:rsidR="00410DA6" w:rsidRPr="00410DA6">
        <w:rPr>
          <w:rFonts w:cs="Linux Libertine"/>
          <w:color w:val="FF0000"/>
          <w:lang w:val="en-US"/>
        </w:rPr>
        <w:t xml:space="preserve"> </w:t>
      </w:r>
    </w:p>
    <w:p w14:paraId="69C7D443" w14:textId="5ADD6541" w:rsidR="00F257F5" w:rsidRPr="00F257F5" w:rsidRDefault="00C120A6" w:rsidP="00F257F5">
      <w:pPr>
        <w:pStyle w:val="ParagraphNormal"/>
        <w:rPr>
          <w:color w:val="FF0000"/>
        </w:rPr>
      </w:pPr>
      <w:r w:rsidRPr="00C120A6">
        <w:rPr>
          <w:color w:val="FF0000"/>
        </w:rPr>
        <w:t>The scope of defiling religion is extensive in Indonesia and includes:</w:t>
      </w:r>
    </w:p>
    <w:p w14:paraId="322701F5" w14:textId="77777777" w:rsidR="00F257F5" w:rsidRPr="00F257F5" w:rsidRDefault="00F257F5" w:rsidP="00F257F5">
      <w:pPr>
        <w:pStyle w:val="ParagraphNormal"/>
        <w:numPr>
          <w:ilvl w:val="0"/>
          <w:numId w:val="344"/>
        </w:numPr>
        <w:rPr>
          <w:color w:val="FF0000"/>
        </w:rPr>
      </w:pPr>
      <w:r w:rsidRPr="00F257F5">
        <w:rPr>
          <w:color w:val="FF0000"/>
        </w:rPr>
        <w:t>Telling in public to interpret a religion adhered to in Indonesia</w:t>
      </w:r>
    </w:p>
    <w:p w14:paraId="1D82D1E6" w14:textId="77777777" w:rsidR="00F257F5" w:rsidRPr="00F257F5" w:rsidRDefault="00F257F5" w:rsidP="00F257F5">
      <w:pPr>
        <w:pStyle w:val="ParagraphNormal"/>
        <w:numPr>
          <w:ilvl w:val="0"/>
          <w:numId w:val="344"/>
        </w:numPr>
        <w:rPr>
          <w:color w:val="FF0000"/>
        </w:rPr>
      </w:pPr>
      <w:r w:rsidRPr="00F257F5">
        <w:rPr>
          <w:color w:val="FF0000"/>
        </w:rPr>
        <w:t>recommending and seeking public support to interpret a religion adhered to in Indonesia</w:t>
      </w:r>
    </w:p>
    <w:p w14:paraId="3E7B5E7F" w14:textId="4BA1E7C8" w:rsidR="00410DA6" w:rsidRPr="00F257F5" w:rsidRDefault="00F257F5" w:rsidP="00F257F5">
      <w:pPr>
        <w:pStyle w:val="ParagraphNormal"/>
        <w:numPr>
          <w:ilvl w:val="0"/>
          <w:numId w:val="344"/>
        </w:numPr>
        <w:rPr>
          <w:color w:val="FF0000"/>
        </w:rPr>
      </w:pPr>
      <w:r w:rsidRPr="00F257F5">
        <w:rPr>
          <w:color w:val="FF0000"/>
        </w:rPr>
        <w:t>to carry out religious activities that resemble religious activities from the main points of religious teachings.</w:t>
      </w:r>
    </w:p>
    <w:p w14:paraId="1C7F476B" w14:textId="21933328" w:rsidR="00410DA6" w:rsidRPr="00410DA6" w:rsidRDefault="00F257F5" w:rsidP="00410DA6">
      <w:pPr>
        <w:pStyle w:val="ParagraphNormal"/>
        <w:rPr>
          <w:rFonts w:cs="Linux Libertine"/>
          <w:color w:val="FF0000"/>
          <w:lang w:val="en-US"/>
        </w:rPr>
      </w:pPr>
      <w:r w:rsidRPr="00F257F5">
        <w:rPr>
          <w:rFonts w:cs="Linux Libertine"/>
          <w:color w:val="FF0000"/>
          <w:lang w:val="en-US"/>
        </w:rPr>
        <w:t>With the qualification of blasphemy as stated in Article 1, teachings of religions that are different from the religions practiced in Indonesia can be categorized as "blasphemy". This can certainly attack the right to freedom of religion, which is an internal freedom. The use of the term "intentionally" indicates that the prohibited actions are indeed deliberately committed with the intention consciously known by the perpetrators.</w:t>
      </w:r>
      <w:r w:rsidR="00410DA6"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w:t>
      </w:r>
      <w:r w:rsidRPr="00DC748E">
        <w:rPr>
          <w:rFonts w:cs="Linux Libertine"/>
          <w:i/>
          <w:iCs/>
          <w:lang w:val="en-US"/>
        </w:rPr>
        <w:lastRenderedPageBreak/>
        <w:t xml:space="preserve">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Bagir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In accordance with Mudzakir's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(Kusumawijaya &amp; Chozin,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lastRenderedPageBreak/>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640719BC" w:rsidR="00C704C4" w:rsidRDefault="00F257F5" w:rsidP="00410DA6">
      <w:pPr>
        <w:pStyle w:val="ParagraphNormal"/>
        <w:ind w:firstLine="0"/>
        <w:rPr>
          <w:color w:val="FF0000"/>
        </w:rPr>
      </w:pPr>
      <w:r w:rsidRPr="00F257F5">
        <w:rPr>
          <w:color w:val="FF0000"/>
        </w:rPr>
        <w:t>Article 4 is the basis for the insertion of Article 156a in the Criminal Code, so that if someone violates Article 1 and the action results in the impact as referred to in Article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6470B3B6" w:rsidR="00245C51" w:rsidRPr="00245C51" w:rsidRDefault="00410DA6" w:rsidP="00245C51">
      <w:pPr>
        <w:pStyle w:val="ParagraphNormal"/>
        <w:ind w:firstLine="0"/>
        <w:rPr>
          <w:rFonts w:cs="Linux Libertine"/>
          <w:color w:val="FF0000"/>
          <w:lang w:val="en-US"/>
        </w:rPr>
      </w:pPr>
      <w:r>
        <w:rPr>
          <w:color w:val="FF0000"/>
        </w:rPr>
        <w:tab/>
      </w:r>
      <w:r w:rsidR="00F257F5" w:rsidRPr="00F257F5">
        <w:rPr>
          <w:color w:val="FF0000"/>
        </w:rPr>
        <w:t>Article 4 does not provide a detailed explanation of what is meant by "hostile, abusing or blaspheming", therefore, the definition is wholly left up to the subjectivity of law enforcement.</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505FB31A" w:rsidR="00DC0B47" w:rsidRPr="006F2583" w:rsidRDefault="00DC0B47" w:rsidP="006F2583">
      <w:pPr>
        <w:rPr>
          <w:rFonts w:cs="Linux Libertine"/>
          <w:b/>
          <w:bCs/>
        </w:rPr>
      </w:pPr>
      <w:r>
        <w:rPr>
          <w:rFonts w:cs="Linux Libertine"/>
          <w:b/>
          <w:bCs/>
        </w:rPr>
        <w:t xml:space="preserve">(i) </w:t>
      </w:r>
      <w:r w:rsidR="00D02C1C">
        <w:rPr>
          <w:rFonts w:cs="Linux Libertine"/>
          <w:b/>
          <w:bCs/>
        </w:rPr>
        <w:t xml:space="preserve">Insertion of Article 156a on Indonesia </w:t>
      </w:r>
      <w:r>
        <w:rPr>
          <w:rFonts w:cs="Linux Libertine"/>
          <w:b/>
          <w:bCs/>
        </w:rPr>
        <w:t>Criminal Code</w:t>
      </w:r>
      <w:r w:rsidR="00C172FE">
        <w:rPr>
          <w:rFonts w:cs="Linux Libertine"/>
          <w:b/>
          <w:bCs/>
        </w:rPr>
        <w:t xml:space="preserve"> </w:t>
      </w:r>
    </w:p>
    <w:p w14:paraId="6B912B5E" w14:textId="77777777" w:rsidR="00C172FE" w:rsidRDefault="00C172FE" w:rsidP="00DC0B47">
      <w:pPr>
        <w:pStyle w:val="ParagraphNormal"/>
        <w:rPr>
          <w:rFonts w:cs="Linux Libertine"/>
          <w:lang w:val="en-US"/>
        </w:rPr>
      </w:pPr>
    </w:p>
    <w:p w14:paraId="0CEDD3A4" w14:textId="4A1CEA5A" w:rsidR="00245C51" w:rsidRDefault="00F257F5" w:rsidP="00245C51">
      <w:pPr>
        <w:pStyle w:val="ParagraphNormal"/>
        <w:rPr>
          <w:rFonts w:cs="Linux Libertine"/>
          <w:lang w:val="en-US"/>
        </w:rPr>
      </w:pPr>
      <w:r w:rsidRPr="00F257F5">
        <w:rPr>
          <w:color w:val="FF0000"/>
        </w:rPr>
        <w:t>Previously, the Criminal Code did not recognize the crime of "blasphemy". The crimes against religion were regulated in Articles 156, 175, 176, 177, 503, 530, 545, 546, and 547. However, after the enactment of Law No. 1/PNPS/1965 or the 1965 ABL, Article 4 ordered the legislature to insert a new crime, namely "blasphemy", into Article 156a of the Criminal Code (Sidharta, 2007). It is noteworthy that Article 156a was incorporated into the Criminal Code twenty years after it officially became positive law in Indonesia through the enactment of Law No.1/PNPS/1965.</w:t>
      </w:r>
      <w:r w:rsidR="00245C51" w:rsidRPr="00672A6A">
        <w:rPr>
          <w:rFonts w:cs="Linux Libertine"/>
          <w:lang w:val="en-US"/>
        </w:rPr>
        <w:t xml:space="preserve"> </w:t>
      </w:r>
    </w:p>
    <w:p w14:paraId="4F9C1B16" w14:textId="317B8D6B" w:rsidR="00245C51" w:rsidRDefault="00F257F5" w:rsidP="00245C51">
      <w:pPr>
        <w:pStyle w:val="ParagraphNormal"/>
        <w:rPr>
          <w:color w:val="FF0000"/>
        </w:rPr>
      </w:pPr>
      <w:r w:rsidRPr="00F257F5">
        <w:t>Therefore, the 1965 ABL cannot stand alone or apart from Article 156a of the Criminal Code. Article 156a was inserted into the Criminal Code to make the 1965 ABL more repressive. Article 156a reads as follows:</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70"/>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w:t>
      </w:r>
    </w:p>
    <w:p w14:paraId="54FD97A8" w14:textId="0435F148" w:rsidR="00C704C4" w:rsidRPr="00245C51" w:rsidRDefault="00DC0B47" w:rsidP="00245C51">
      <w:pPr>
        <w:pStyle w:val="ParagraphNormal"/>
        <w:rPr>
          <w:rFonts w:cs="Linux Libertine"/>
          <w:lang w:val="en-US"/>
        </w:rPr>
      </w:pPr>
      <w:r w:rsidRPr="00672A6A">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 xml:space="preserve">Article 156a of the Indonesian Criminal Code was applied in all blasphemy trials, and the culprits were found guilty of “issuing emotions or carrying out deeds that degraded a religion </w:t>
      </w:r>
      <w:r w:rsidR="00C704C4" w:rsidRPr="00E0754A">
        <w:lastRenderedPageBreak/>
        <w:t>in Indonesia.”</w:t>
      </w:r>
      <w:r w:rsidR="00C704C4" w:rsidRPr="00E0754A">
        <w:rPr>
          <w:rStyle w:val="FootnoteReference"/>
        </w:rPr>
        <w:footnoteReference w:id="71"/>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forum-internum</w:t>
      </w:r>
      <w:r w:rsidR="00C704C4" w:rsidRPr="00E0754A">
        <w:t xml:space="preserve"> and </w:t>
      </w:r>
      <w:r w:rsidR="00C704C4" w:rsidRPr="00245C51">
        <w:rPr>
          <w:i/>
          <w:iCs/>
        </w:rPr>
        <w:t>the forum-externum</w:t>
      </w:r>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496D7D">
        <w:instrText xml:space="preserve"> ADDIN ZOTERO_ITEM CSL_CITATION {"citationID":"D1IAkolG","properties":{"formattedCitation":"(Tehusijarana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496D7D">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r w:rsidRPr="00F24D9E">
        <w:rPr>
          <w:rFonts w:cs="Linux Libertine"/>
          <w:color w:val="7030A0"/>
        </w:rPr>
        <w:t>Masukan table kasus penodaan agama yang dihukum dengan 1965 ABL dan Pasal 156a KUHP]</w:t>
      </w:r>
    </w:p>
    <w:p w14:paraId="19B593B0" w14:textId="77777777" w:rsidR="002C3DAB" w:rsidRDefault="002C3DAB" w:rsidP="00DC0B47">
      <w:pPr>
        <w:rPr>
          <w:rFonts w:cs="Linux Libertine"/>
          <w:b/>
          <w:bCs/>
        </w:rPr>
      </w:pPr>
    </w:p>
    <w:p w14:paraId="5210676E" w14:textId="7B887D96" w:rsidR="00DC0B47" w:rsidRPr="00672A6A" w:rsidRDefault="00DC0B47" w:rsidP="00DC0B47">
      <w:pPr>
        <w:rPr>
          <w:rFonts w:cs="Linux Libertine"/>
          <w:b/>
          <w:bCs/>
        </w:rPr>
      </w:pPr>
      <w:r>
        <w:rPr>
          <w:rFonts w:cs="Linux Libertine"/>
          <w:b/>
          <w:bCs/>
        </w:rPr>
        <w:t xml:space="preserve">(i) The </w:t>
      </w:r>
      <w:r w:rsidR="00D02C1C">
        <w:rPr>
          <w:rFonts w:cs="Linux Libertine"/>
          <w:b/>
          <w:bCs/>
        </w:rPr>
        <w:t xml:space="preserve">Enactment of the </w:t>
      </w:r>
      <w:r w:rsidRPr="00672A6A">
        <w:rPr>
          <w:rFonts w:cs="Linux Libertine"/>
          <w:b/>
          <w:bCs/>
        </w:rPr>
        <w:t xml:space="preserve">Law </w:t>
      </w:r>
      <w:r>
        <w:rPr>
          <w:rFonts w:cs="Linux Libertine"/>
          <w:b/>
          <w:bCs/>
        </w:rPr>
        <w:t xml:space="preserve">Number 16 Year 2008 </w:t>
      </w:r>
      <w:r w:rsidR="00D02C1C">
        <w:rPr>
          <w:rFonts w:cs="Linux Libertine"/>
          <w:b/>
          <w:bCs/>
        </w:rPr>
        <w:t>junto Year 2016 c</w:t>
      </w:r>
      <w:r w:rsidRPr="00672A6A">
        <w:rPr>
          <w:rFonts w:cs="Linux Libertine"/>
          <w:b/>
          <w:bCs/>
        </w:rPr>
        <w:t>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79319C58" w14:textId="461AD9D0" w:rsidR="003D0446" w:rsidRPr="003D0446" w:rsidRDefault="00F24D9E" w:rsidP="003D0446">
      <w:pPr>
        <w:pStyle w:val="ParagraphNormal"/>
        <w:rPr>
          <w:lang w:val="en-US"/>
        </w:rPr>
      </w:pPr>
      <w:r>
        <w:rPr>
          <w:lang w:val="en-US"/>
        </w:rPr>
        <w:t xml:space="preserve">Article 28 states: </w:t>
      </w:r>
    </w:p>
    <w:p w14:paraId="02607B1D" w14:textId="0F22DBD4" w:rsidR="003D0446" w:rsidRPr="003D0446" w:rsidRDefault="003D0446" w:rsidP="003D0446">
      <w:pPr>
        <w:pStyle w:val="ParagraphNormal"/>
        <w:rPr>
          <w:lang w:val="en-US"/>
        </w:rPr>
      </w:pPr>
      <w:r w:rsidRPr="003D0446">
        <w:rPr>
          <w:lang w:val="en-US"/>
        </w:rPr>
        <w:t>(1) Any Person who knowingly and without authority disseminates false and misleading information resulting in consumer loss in Electronic Transactions.</w:t>
      </w:r>
    </w:p>
    <w:p w14:paraId="04F5BACB" w14:textId="1882EEAC" w:rsidR="00F24D9E" w:rsidRDefault="003D0446" w:rsidP="003D0446">
      <w:pPr>
        <w:pStyle w:val="ParagraphNormal"/>
        <w:rPr>
          <w:lang w:val="en-US"/>
        </w:rPr>
      </w:pPr>
      <w:r w:rsidRPr="003D0446">
        <w:rPr>
          <w:lang w:val="en-US"/>
        </w:rPr>
        <w:lastRenderedPageBreak/>
        <w:t>(2) Any Person who knowingly and without authority disseminates information aimed at inflicting hatred or dissension on individuals and/or certain groups of community based on ethnic groups, religions, races, and inter-groups (SARA).</w:t>
      </w:r>
    </w:p>
    <w:p w14:paraId="18403FE7" w14:textId="03E459E1" w:rsidR="00DC0B47" w:rsidRDefault="00F24D9E" w:rsidP="00DC0B47">
      <w:pPr>
        <w:pStyle w:val="ParagraphNormal"/>
        <w:rPr>
          <w:rFonts w:cs="Linux Libertine"/>
          <w:lang w:val="en-US"/>
        </w:rPr>
      </w:pPr>
      <w:r>
        <w:rPr>
          <w:rFonts w:cs="Linux Libertine"/>
          <w:lang w:val="en-US"/>
        </w:rPr>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4B8B607F"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Therefore, after the enactment of the EIT Year 2008 and its updating in 2016, many followers of minority religions are still being criminalized for allegedly committing blasphemy. In a study conducted by YLBHI, Asfinawati (2021), the former chairman of YLBHI, stated in an interview:</w:t>
      </w:r>
    </w:p>
    <w:p w14:paraId="3D01BF0E" w14:textId="77777777" w:rsidR="00F257F5" w:rsidRPr="00F257F5" w:rsidRDefault="00F257F5" w:rsidP="00F257F5">
      <w:pPr>
        <w:pStyle w:val="ParagraphNormal"/>
        <w:rPr>
          <w:rFonts w:cs="Linux Libertine"/>
          <w:color w:val="FF0000"/>
          <w:lang w:val="en-US"/>
        </w:rPr>
      </w:pPr>
    </w:p>
    <w:p w14:paraId="070B4A8A"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"There is a trend of using the EIT Law to prosecute those accused of blasphemy. There were 67 cases of blasphemy in 2020, almost half of which, 32 cases, were prosecuted using Article 27 and Article 28 of the EIT Law. The use of the EIT Law is considered worrying because there is no clear definition of blasphemy and the investigation is inadequate."</w:t>
      </w:r>
    </w:p>
    <w:p w14:paraId="57374A6D" w14:textId="77777777" w:rsidR="00F257F5" w:rsidRPr="00F257F5" w:rsidRDefault="00F257F5" w:rsidP="00F257F5">
      <w:pPr>
        <w:pStyle w:val="ParagraphNormal"/>
        <w:rPr>
          <w:rFonts w:cs="Linux Libertine"/>
          <w:color w:val="FF0000"/>
          <w:lang w:val="en-US"/>
        </w:rPr>
      </w:pPr>
    </w:p>
    <w:p w14:paraId="73EE0917" w14:textId="7F2F1D92" w:rsidR="006C242A" w:rsidRPr="006C242A" w:rsidRDefault="00F257F5" w:rsidP="00F257F5">
      <w:pPr>
        <w:pStyle w:val="ParagraphNormal"/>
        <w:rPr>
          <w:rFonts w:cs="Linux Libertine"/>
          <w:i/>
          <w:iCs/>
          <w:color w:val="FF0000"/>
          <w:lang w:val="en-US"/>
        </w:rPr>
      </w:pPr>
      <w:r w:rsidRPr="00F257F5">
        <w:rPr>
          <w:rFonts w:cs="Linux Libertine"/>
          <w:color w:val="FF0000"/>
          <w:lang w:val="en-US"/>
        </w:rPr>
        <w:t>This shows that despite improvements to the EIT Law, the lack of clarity in the definition of "blasphemy" under the 1965 ABL has not been resolved. The concept of hate speech regulated in Articles 27 and 28, which is often used in cases of blasphemy, only adds a new concept, thus equating "blasphemy" with "hate speech". Moreover, neither the 1965 ABL nor the EIT Law Year 2008 jo. 2016 provide a clear regulation regarding the requirements for restricting the right of religious expression.</w:t>
      </w:r>
      <w:r w:rsidR="006C242A"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46746AFC" w:rsidR="009C7DB5" w:rsidRDefault="009C7DB5" w:rsidP="00EC7DF9">
      <w:pPr>
        <w:pStyle w:val="Heading2"/>
        <w:rPr>
          <w:rFonts w:cs="Linux Libertine"/>
          <w:sz w:val="24"/>
          <w:szCs w:val="24"/>
        </w:rPr>
      </w:pPr>
      <w:r w:rsidRPr="00672A6A">
        <w:rPr>
          <w:rFonts w:cs="Linux Libertine"/>
          <w:sz w:val="24"/>
          <w:szCs w:val="24"/>
        </w:rPr>
        <w:lastRenderedPageBreak/>
        <w:t>4.2.</w:t>
      </w:r>
      <w:r w:rsidR="00151845" w:rsidRPr="00672A6A">
        <w:rPr>
          <w:rFonts w:cs="Linux Libertine"/>
          <w:sz w:val="24"/>
          <w:szCs w:val="24"/>
        </w:rPr>
        <w:t>2</w:t>
      </w:r>
      <w:r w:rsidRPr="00672A6A">
        <w:rPr>
          <w:rFonts w:cs="Linux Libertine"/>
          <w:sz w:val="24"/>
          <w:szCs w:val="24"/>
        </w:rPr>
        <w:t>.  The ABL After the Constitutional Court Judicial Review</w:t>
      </w:r>
      <w:r w:rsidR="006E58BD">
        <w:rPr>
          <w:rFonts w:cs="Linux Libertine"/>
          <w:sz w:val="24"/>
          <w:szCs w:val="24"/>
        </w:rPr>
        <w:t>’s Decisions</w:t>
      </w:r>
    </w:p>
    <w:p w14:paraId="116A1279" w14:textId="25F0E9E4" w:rsidR="003C7864" w:rsidRPr="00672A6A" w:rsidRDefault="003C7864" w:rsidP="003C7864">
      <w:pPr>
        <w:pStyle w:val="ParagraphNormal"/>
        <w:rPr>
          <w:rFonts w:cs="Linux Libertine"/>
          <w:cs/>
          <w:lang w:val="en-US"/>
        </w:rPr>
      </w:pPr>
      <w:r>
        <w:rPr>
          <w:rFonts w:cs="Linux Libertine"/>
          <w:lang w:val="en-US"/>
        </w:rPr>
        <w:t>The Constitutional Court of Republic of Indonesia (the CCRI) has the authority to review a statute and to decide</w:t>
      </w:r>
      <w:r w:rsidRPr="00672A6A">
        <w:rPr>
          <w:rFonts w:cs="Linux Libertine"/>
          <w:lang w:val="en-US"/>
        </w:rPr>
        <w:t xml:space="preserve"> the constitutionality of </w:t>
      </w:r>
      <w:r>
        <w:rPr>
          <w:rFonts w:cs="Linux Libertine"/>
          <w:lang w:val="en-US"/>
        </w:rPr>
        <w:t>the</w:t>
      </w:r>
      <w:r w:rsidRPr="00672A6A">
        <w:rPr>
          <w:rFonts w:cs="Linux Libertine"/>
          <w:lang w:val="en-US"/>
        </w:rPr>
        <w:t xml:space="preserve"> statute </w:t>
      </w:r>
      <w:r>
        <w:rPr>
          <w:rFonts w:cs="Linux Libertine"/>
          <w:lang w:val="en-US"/>
        </w:rPr>
        <w:t xml:space="preserve">if the statute </w:t>
      </w:r>
      <w:r w:rsidRPr="00672A6A">
        <w:rPr>
          <w:rFonts w:cs="Linux Libertine"/>
          <w:lang w:val="en-US"/>
        </w:rPr>
        <w:t xml:space="preserve">established by Parliament comply with the relevant </w:t>
      </w:r>
      <w:r>
        <w:rPr>
          <w:rFonts w:cs="Linux Libertine"/>
          <w:lang w:val="en-US"/>
        </w:rPr>
        <w:t>C</w:t>
      </w:r>
      <w:r w:rsidRPr="00672A6A">
        <w:rPr>
          <w:rFonts w:cs="Linux Libertine"/>
          <w:lang w:val="en-US"/>
        </w:rPr>
        <w:t xml:space="preserve">onstitution </w:t>
      </w:r>
      <w:r w:rsidRPr="00672A6A">
        <w:rPr>
          <w:rFonts w:cs="Linux Libertine"/>
          <w:lang w:val="en-US"/>
        </w:rPr>
        <w:fldChar w:fldCharType="begin"/>
      </w:r>
      <w:r w:rsidR="00496D7D">
        <w:rPr>
          <w:rFonts w:cs="Linux Libertine"/>
          <w:lang w:val="en-US"/>
        </w:rPr>
        <w:instrText xml:space="preserve"> ADDIN ZOTERO_ITEM CSL_CITATION {"citationID":"9crGL6on","properties":{"formattedCitation":"(Arato 2012)","plainCitation":"(Arato 2012)","noteIndex":0},"citationItems":[{"id":1878,"uris":["http://zotero.org/users/6396655/items/9CENEZ2X"],"itemData":{"id":1878,"type":"article-journal","container-title":"International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00496D7D">
        <w:rPr>
          <w:rFonts w:cs="Linux Libertine"/>
          <w:lang w:val="en-US"/>
        </w:rPr>
        <w:t>(Arato 2012)</w:t>
      </w:r>
      <w:r w:rsidRPr="00672A6A">
        <w:rPr>
          <w:rFonts w:cs="Linux Libertine"/>
          <w:lang w:val="en-US"/>
        </w:rPr>
        <w:fldChar w:fldCharType="end"/>
      </w:r>
      <w:r w:rsidRPr="00672A6A">
        <w:rPr>
          <w:rFonts w:cs="Linux Libertine"/>
          <w:lang w:val="en-US"/>
        </w:rPr>
        <w:t>.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Kelsen's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On this issue, the CCIR has the authority to declare a portion of the law null and invalid, and its rulings have an erga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00496D7D">
        <w:rPr>
          <w:rFonts w:cs="Linux Libertine"/>
          <w:lang w:val="en-US"/>
        </w:rPr>
        <w:instrText xml:space="preserve"> ADDIN ZOTERO_ITEM CSL_CITATION {"citationID":"LTNXRNrT","properties":{"formattedCitation":"(Asshiddiqie 2018)","plainCitation":"(Asshiddiqie 2018)","noteIndex":0},"citationItems":[{"id":1454,"uris":["http://zotero.org/users/6396655/items/X2PF7MLK"],"itemData":{"id":1454,"type":"speech","event-place":"South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00496D7D">
        <w:rPr>
          <w:rFonts w:cs="Linux Libertine"/>
          <w:lang w:val="en-US"/>
        </w:rPr>
        <w:t>(Asshiddiqie 2018)</w:t>
      </w:r>
      <w:r w:rsidRPr="00672A6A">
        <w:rPr>
          <w:rFonts w:cs="Linux Libertine"/>
          <w:lang w:val="en-US"/>
        </w:rPr>
        <w:fldChar w:fldCharType="end"/>
      </w:r>
      <w:r w:rsidRPr="00672A6A">
        <w:rPr>
          <w:rFonts w:cs="Linux Libertine"/>
          <w:lang w:val="en-US"/>
        </w:rPr>
        <w:t>.</w:t>
      </w:r>
    </w:p>
    <w:p w14:paraId="58E1203A" w14:textId="77777777" w:rsidR="00F257F5" w:rsidRDefault="00F257F5" w:rsidP="00F257F5">
      <w:pPr>
        <w:spacing w:line="360" w:lineRule="auto"/>
        <w:ind w:firstLine="540"/>
        <w:jc w:val="both"/>
      </w:pPr>
      <w:r>
        <w:t xml:space="preserve">As an effort to restore constitutional rights that have been violated due to the application of the 1965 ABL, various followers of minority religions have filed for judicial review of the provisions in the 1965 ABL that are deemed to violate their constitutional rights guaranteed under the 1945 Constitution. There are at least three verdicts by the CCRI on judicial reviews of the 1965 ABL, namely the Decision Number 140/PUU-VII/2009, the Decision Number 84/PUU-X/2012, and the Decision number 76/PUU-XVI/2018. </w:t>
      </w:r>
    </w:p>
    <w:p w14:paraId="4F9E401D" w14:textId="77777777" w:rsidR="00F257F5" w:rsidRDefault="00F257F5" w:rsidP="00F257F5">
      <w:pPr>
        <w:spacing w:line="360" w:lineRule="auto"/>
        <w:jc w:val="both"/>
      </w:pPr>
    </w:p>
    <w:p w14:paraId="4DF5E993" w14:textId="050E79B9" w:rsidR="0000151A" w:rsidRPr="006E58BD" w:rsidRDefault="00F257F5" w:rsidP="00F257F5">
      <w:pPr>
        <w:spacing w:line="360" w:lineRule="auto"/>
        <w:jc w:val="both"/>
        <w:rPr>
          <w:color w:val="FF0000"/>
        </w:rPr>
      </w:pPr>
      <w:r>
        <w:t>In brief, the arguments of the petitioner, the responses of the respondents in this case the DPR and the Government, and the verdicts of the CCRI are as follows:</w:t>
      </w:r>
    </w:p>
    <w:p w14:paraId="51CBEB48" w14:textId="77777777" w:rsidR="00D4599E" w:rsidRDefault="00D4599E" w:rsidP="0000151A"/>
    <w:tbl>
      <w:tblPr>
        <w:tblStyle w:val="TableGrid"/>
        <w:tblW w:w="8075" w:type="dxa"/>
        <w:tblLook w:val="04A0" w:firstRow="1" w:lastRow="0" w:firstColumn="1" w:lastColumn="0" w:noHBand="0" w:noVBand="1"/>
      </w:tblPr>
      <w:tblGrid>
        <w:gridCol w:w="1696"/>
        <w:gridCol w:w="1520"/>
        <w:gridCol w:w="1609"/>
        <w:gridCol w:w="3250"/>
      </w:tblGrid>
      <w:tr w:rsidR="006E58BD" w:rsidRPr="006E58BD" w14:paraId="7EA7172C" w14:textId="77777777" w:rsidTr="006E58BD">
        <w:tc>
          <w:tcPr>
            <w:tcW w:w="1696" w:type="dxa"/>
          </w:tcPr>
          <w:p w14:paraId="1AA7FC22" w14:textId="24833AB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Nomor Putusan</w:t>
            </w:r>
          </w:p>
        </w:tc>
        <w:tc>
          <w:tcPr>
            <w:tcW w:w="1520" w:type="dxa"/>
          </w:tcPr>
          <w:p w14:paraId="3980707B" w14:textId="03D796E8"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Alasan Pemohon</w:t>
            </w:r>
          </w:p>
        </w:tc>
        <w:tc>
          <w:tcPr>
            <w:tcW w:w="1609" w:type="dxa"/>
          </w:tcPr>
          <w:p w14:paraId="0F67E724" w14:textId="33BB2286"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Alasan Termohon</w:t>
            </w:r>
          </w:p>
        </w:tc>
        <w:tc>
          <w:tcPr>
            <w:tcW w:w="3250" w:type="dxa"/>
          </w:tcPr>
          <w:p w14:paraId="4B1BA573" w14:textId="6FA60B5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Inti Putusan</w:t>
            </w:r>
          </w:p>
        </w:tc>
      </w:tr>
      <w:tr w:rsidR="006E58BD" w:rsidRPr="006E58BD" w14:paraId="62702E62" w14:textId="77777777" w:rsidTr="006E58BD">
        <w:tc>
          <w:tcPr>
            <w:tcW w:w="1696" w:type="dxa"/>
          </w:tcPr>
          <w:p w14:paraId="6B30F07D" w14:textId="2F1A2715"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140/PUU-VII/2009</w:t>
            </w:r>
          </w:p>
        </w:tc>
        <w:tc>
          <w:tcPr>
            <w:tcW w:w="1520" w:type="dxa"/>
          </w:tcPr>
          <w:p w14:paraId="4F86CED7" w14:textId="7B77CD15" w:rsidR="006E58BD" w:rsidRPr="006E58BD" w:rsidRDefault="006E58BD" w:rsidP="0000151A">
            <w:pPr>
              <w:rPr>
                <w:rFonts w:ascii="Times New Roman" w:hAnsi="Times New Roman" w:cs="Times New Roman"/>
                <w:sz w:val="20"/>
                <w:szCs w:val="20"/>
              </w:rPr>
            </w:pPr>
          </w:p>
        </w:tc>
        <w:tc>
          <w:tcPr>
            <w:tcW w:w="1609" w:type="dxa"/>
          </w:tcPr>
          <w:p w14:paraId="01B9E972" w14:textId="77777777" w:rsidR="006E58BD" w:rsidRPr="006E58BD" w:rsidRDefault="006E58BD" w:rsidP="0000151A">
            <w:pPr>
              <w:rPr>
                <w:rFonts w:ascii="Times New Roman" w:hAnsi="Times New Roman" w:cs="Times New Roman"/>
                <w:sz w:val="20"/>
                <w:szCs w:val="20"/>
              </w:rPr>
            </w:pPr>
          </w:p>
        </w:tc>
        <w:tc>
          <w:tcPr>
            <w:tcW w:w="3250" w:type="dxa"/>
            <w:vMerge w:val="restart"/>
          </w:tcPr>
          <w:p w14:paraId="2BB00A81" w14:textId="183710A1"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sz w:val="20"/>
                <w:szCs w:val="20"/>
              </w:rPr>
              <w:t xml:space="preserve">The CCRI declared that  </w:t>
            </w:r>
            <w:r w:rsidRPr="006E58BD">
              <w:rPr>
                <w:rFonts w:ascii="Times New Roman" w:hAnsi="Times New Roman" w:cs="Times New Roman"/>
                <w:i/>
                <w:iCs/>
                <w:sz w:val="20"/>
                <w:szCs w:val="20"/>
              </w:rPr>
              <w:t>the substance of the Law on the Prevention of Blasphemy against Religion has to be modified in terms of the form of regulation, formulation, and legal principles.</w:t>
            </w:r>
          </w:p>
          <w:p w14:paraId="5EC06000" w14:textId="6CE3BA6B"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i/>
                <w:iCs/>
                <w:sz w:val="20"/>
                <w:szCs w:val="20"/>
              </w:rPr>
              <w:t xml:space="preserve">The CCRI argues that </w:t>
            </w:r>
            <w:r w:rsidRPr="006E58BD">
              <w:rPr>
                <w:rFonts w:ascii="Times New Roman" w:hAnsi="Times New Roman" w:cs="Times New Roman"/>
                <w:sz w:val="20"/>
                <w:szCs w:val="20"/>
              </w:rPr>
              <w:t>“</w:t>
            </w:r>
            <w:r w:rsidRPr="006E58BD">
              <w:rPr>
                <w:rFonts w:ascii="Times New Roman" w:hAnsi="Times New Roman" w:cs="Times New Roman"/>
                <w:i/>
                <w:iCs/>
                <w:sz w:val="20"/>
                <w:szCs w:val="20"/>
              </w:rPr>
              <w:t xml:space="preserve">the need for a revision of the Law on the Prevention of Blasphemy Against Religion, both within the formal framework of law and in content, in </w:t>
            </w:r>
            <w:r w:rsidRPr="006E58BD">
              <w:rPr>
                <w:rFonts w:ascii="Times New Roman" w:hAnsi="Times New Roman" w:cs="Times New Roman"/>
                <w:i/>
                <w:iCs/>
                <w:sz w:val="20"/>
                <w:szCs w:val="20"/>
              </w:rPr>
              <w:lastRenderedPageBreak/>
              <w:t>order to have more clear material aspects that will not lead to ambiguity in reality</w:t>
            </w:r>
            <w:r>
              <w:rPr>
                <w:rFonts w:ascii="Times New Roman" w:hAnsi="Times New Roman" w:cs="Times New Roman"/>
                <w:i/>
                <w:iCs/>
                <w:sz w:val="20"/>
                <w:szCs w:val="20"/>
              </w:rPr>
              <w:t>” (Crouch, 2011).</w:t>
            </w:r>
          </w:p>
          <w:p w14:paraId="561799B2" w14:textId="785174C7"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Pr>
                <w:rFonts w:ascii="Times New Roman" w:hAnsi="Times New Roman" w:cs="Times New Roman"/>
                <w:sz w:val="20"/>
                <w:szCs w:val="20"/>
              </w:rPr>
              <w:t xml:space="preserve">However, the CCRI </w:t>
            </w:r>
            <w:r w:rsidRPr="006E58BD">
              <w:rPr>
                <w:rFonts w:ascii="Times New Roman" w:hAnsi="Times New Roman" w:cs="Times New Roman"/>
                <w:sz w:val="20"/>
                <w:szCs w:val="20"/>
              </w:rPr>
              <w:t>conclude</w:t>
            </w:r>
            <w:r>
              <w:rPr>
                <w:rFonts w:ascii="Times New Roman" w:hAnsi="Times New Roman" w:cs="Times New Roman"/>
                <w:sz w:val="20"/>
                <w:szCs w:val="20"/>
              </w:rPr>
              <w:t>d</w:t>
            </w:r>
            <w:r w:rsidRPr="006E58BD">
              <w:rPr>
                <w:rFonts w:ascii="Times New Roman" w:hAnsi="Times New Roman" w:cs="Times New Roman"/>
                <w:sz w:val="20"/>
                <w:szCs w:val="20"/>
              </w:rPr>
              <w:t xml:space="preserve"> that the 1965 ABL is constitutional because it does not restrict the freedom to believe, but rather restricts public religious speech that is antagonistic, abusive, or desecrates the religion practiced in Indonesia.</w:t>
            </w:r>
          </w:p>
        </w:tc>
      </w:tr>
      <w:tr w:rsidR="006E58BD" w:rsidRPr="006E58BD" w14:paraId="1D90AEC5" w14:textId="77777777" w:rsidTr="006E58BD">
        <w:tc>
          <w:tcPr>
            <w:tcW w:w="1696" w:type="dxa"/>
          </w:tcPr>
          <w:p w14:paraId="04B054F3" w14:textId="3A8CF34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84/PUU-X/2012</w:t>
            </w:r>
          </w:p>
        </w:tc>
        <w:tc>
          <w:tcPr>
            <w:tcW w:w="1520" w:type="dxa"/>
          </w:tcPr>
          <w:p w14:paraId="7BB79E9A" w14:textId="34641F68" w:rsidR="006E58BD" w:rsidRPr="006E58BD" w:rsidRDefault="006E58BD" w:rsidP="0000151A">
            <w:pPr>
              <w:rPr>
                <w:rFonts w:ascii="Times New Roman" w:hAnsi="Times New Roman" w:cs="Times New Roman"/>
                <w:sz w:val="20"/>
                <w:szCs w:val="20"/>
              </w:rPr>
            </w:pPr>
            <w:r>
              <w:rPr>
                <w:rFonts w:ascii="Times New Roman" w:hAnsi="Times New Roman" w:cs="Times New Roman"/>
                <w:sz w:val="20"/>
                <w:szCs w:val="20"/>
              </w:rPr>
              <w:t>Shia</w:t>
            </w:r>
            <w:r w:rsidRPr="006E58BD">
              <w:rPr>
                <w:rFonts w:ascii="Times New Roman" w:hAnsi="Times New Roman" w:cs="Times New Roman"/>
                <w:sz w:val="20"/>
                <w:szCs w:val="20"/>
              </w:rPr>
              <w:t>’s follower claimed that Article</w:t>
            </w:r>
          </w:p>
        </w:tc>
        <w:tc>
          <w:tcPr>
            <w:tcW w:w="1609" w:type="dxa"/>
          </w:tcPr>
          <w:p w14:paraId="4E4C8037" w14:textId="77777777" w:rsidR="006E58BD" w:rsidRPr="006E58BD" w:rsidRDefault="006E58BD" w:rsidP="0000151A">
            <w:pPr>
              <w:rPr>
                <w:rFonts w:ascii="Times New Roman" w:hAnsi="Times New Roman" w:cs="Times New Roman"/>
                <w:sz w:val="20"/>
                <w:szCs w:val="20"/>
              </w:rPr>
            </w:pPr>
          </w:p>
        </w:tc>
        <w:tc>
          <w:tcPr>
            <w:tcW w:w="3250" w:type="dxa"/>
            <w:vMerge/>
          </w:tcPr>
          <w:p w14:paraId="0AB003DB" w14:textId="77777777" w:rsidR="006E58BD" w:rsidRPr="006E58BD" w:rsidRDefault="006E58BD" w:rsidP="0000151A">
            <w:pPr>
              <w:rPr>
                <w:rFonts w:ascii="Times New Roman" w:hAnsi="Times New Roman" w:cs="Times New Roman"/>
                <w:sz w:val="20"/>
                <w:szCs w:val="20"/>
              </w:rPr>
            </w:pPr>
          </w:p>
        </w:tc>
      </w:tr>
      <w:tr w:rsidR="006E58BD" w:rsidRPr="006E58BD" w14:paraId="7CAA3BBC" w14:textId="77777777" w:rsidTr="006E58BD">
        <w:tc>
          <w:tcPr>
            <w:tcW w:w="1696" w:type="dxa"/>
          </w:tcPr>
          <w:p w14:paraId="528D769C" w14:textId="526067FD"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76/PUU-XVI/2018</w:t>
            </w:r>
          </w:p>
        </w:tc>
        <w:tc>
          <w:tcPr>
            <w:tcW w:w="1520" w:type="dxa"/>
          </w:tcPr>
          <w:p w14:paraId="180C1D9C" w14:textId="55E95A5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Ahmadiyya’s follower claimed that Article</w:t>
            </w:r>
          </w:p>
        </w:tc>
        <w:tc>
          <w:tcPr>
            <w:tcW w:w="1609" w:type="dxa"/>
          </w:tcPr>
          <w:p w14:paraId="23D8A278" w14:textId="77777777" w:rsidR="006E58BD" w:rsidRPr="006E58BD" w:rsidRDefault="006E58BD" w:rsidP="0000151A">
            <w:pPr>
              <w:rPr>
                <w:rFonts w:ascii="Times New Roman" w:hAnsi="Times New Roman" w:cs="Times New Roman"/>
                <w:sz w:val="20"/>
                <w:szCs w:val="20"/>
              </w:rPr>
            </w:pPr>
          </w:p>
        </w:tc>
        <w:tc>
          <w:tcPr>
            <w:tcW w:w="3250" w:type="dxa"/>
            <w:vMerge/>
          </w:tcPr>
          <w:p w14:paraId="79CE5BF2" w14:textId="77777777" w:rsidR="006E58BD" w:rsidRPr="006E58BD" w:rsidRDefault="006E58BD" w:rsidP="0000151A">
            <w:pPr>
              <w:rPr>
                <w:rFonts w:ascii="Times New Roman" w:hAnsi="Times New Roman" w:cs="Times New Roman"/>
                <w:sz w:val="20"/>
                <w:szCs w:val="20"/>
              </w:rPr>
            </w:pPr>
          </w:p>
        </w:tc>
      </w:tr>
    </w:tbl>
    <w:p w14:paraId="626CF2ED" w14:textId="77777777" w:rsidR="00D4599E" w:rsidRDefault="00D4599E" w:rsidP="0000151A"/>
    <w:p w14:paraId="7A498FF0" w14:textId="2991FBB2" w:rsidR="006E58BD" w:rsidRDefault="006E58BD" w:rsidP="006E58BD">
      <w:pPr>
        <w:spacing w:line="360" w:lineRule="auto"/>
        <w:ind w:firstLine="540"/>
        <w:jc w:val="both"/>
      </w:pPr>
      <w:r w:rsidRPr="00672A6A">
        <w:rPr>
          <w:rFonts w:cs="Linux Libertine"/>
        </w:rPr>
        <w:t xml:space="preserve">In </w:t>
      </w:r>
      <w:r>
        <w:rPr>
          <w:rFonts w:cs="Linux Libertine"/>
        </w:rPr>
        <w:t>the decisions Number</w:t>
      </w:r>
      <w:r w:rsidRPr="00672A6A">
        <w:rPr>
          <w:rFonts w:cs="Linux Libertine"/>
        </w:rPr>
        <w:t xml:space="preserve">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FoE limits also apply to the IHRL, Article 18 (3), and Article 19 (3) of the ICCPR.</w:t>
      </w:r>
    </w:p>
    <w:p w14:paraId="77D37A25" w14:textId="77777777" w:rsidR="0000151A" w:rsidRPr="0000151A" w:rsidRDefault="0000151A" w:rsidP="0000151A"/>
    <w:p w14:paraId="17FCFEA0" w14:textId="33840AD9" w:rsid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3EA2CD31" w14:textId="7F8636BB" w:rsidR="00221ECF" w:rsidRDefault="00221ECF" w:rsidP="00221ECF">
      <w:pPr>
        <w:rPr>
          <w:b/>
          <w:bCs/>
        </w:rPr>
      </w:pPr>
      <w:r w:rsidRPr="00221ECF">
        <w:rPr>
          <w:b/>
          <w:bCs/>
        </w:rPr>
        <w:t>4.6.</w:t>
      </w:r>
      <w:r w:rsidR="00C8473A">
        <w:rPr>
          <w:b/>
          <w:bCs/>
        </w:rPr>
        <w:t xml:space="preserve">1 </w:t>
      </w:r>
      <w:r w:rsidRPr="00221ECF">
        <w:rPr>
          <w:b/>
          <w:bCs/>
        </w:rPr>
        <w:t>The Current Development of the ABL Degrade the Rule of Law</w:t>
      </w:r>
    </w:p>
    <w:p w14:paraId="1778890E" w14:textId="77777777" w:rsidR="00221ECF" w:rsidRPr="00221ECF" w:rsidRDefault="00221ECF" w:rsidP="00221ECF">
      <w:pPr>
        <w:rPr>
          <w:b/>
          <w:bCs/>
        </w:rPr>
      </w:pPr>
    </w:p>
    <w:p w14:paraId="6D7C48DD" w14:textId="5844CCF9" w:rsidR="00D4599E" w:rsidRDefault="00221ECF" w:rsidP="006E58BD">
      <w:pPr>
        <w:rPr>
          <w:b/>
          <w:bCs/>
        </w:rPr>
      </w:pPr>
      <w:r>
        <w:rPr>
          <w:b/>
          <w:bCs/>
        </w:rPr>
        <w:t xml:space="preserve">(i) </w:t>
      </w:r>
      <w:r w:rsidR="003D0446" w:rsidRPr="003D0446">
        <w:rPr>
          <w:b/>
          <w:bCs/>
        </w:rPr>
        <w:t>Ambiguous norms result in a lack of clarity.</w:t>
      </w:r>
    </w:p>
    <w:p w14:paraId="206EA664" w14:textId="77777777" w:rsidR="006E58BD" w:rsidRPr="006E58BD" w:rsidRDefault="006E58BD" w:rsidP="006E58BD">
      <w:pPr>
        <w:rPr>
          <w:b/>
          <w:bCs/>
        </w:rPr>
      </w:pPr>
    </w:p>
    <w:p w14:paraId="23E3D083" w14:textId="436743F7" w:rsidR="00985C39" w:rsidRDefault="00F257F5" w:rsidP="00985C39">
      <w:pPr>
        <w:pStyle w:val="ParagraphNormal"/>
        <w:rPr>
          <w:rFonts w:cs="Linux Libertine"/>
          <w:color w:val="FF0000"/>
          <w:lang w:val="en-US"/>
        </w:rPr>
      </w:pPr>
      <w:r w:rsidRPr="00F257F5">
        <w:rPr>
          <w:rFonts w:cs="Linux Libertine"/>
          <w:color w:val="FF0000"/>
          <w:lang w:val="en-US"/>
        </w:rPr>
        <w:t>The development of blasphemy law in the Joko Widodo era has not improved compared to the previous administration, particularly as its position has become even stronger. Following the enactment of the EIT Law and its subsequent amendments, it has failed to improve the ambiguous legal norms. Various MK (Constitutional Court) judgments on the Judicial Review, which declared the 1965 ABL as constitutional, have disregarded the principles of the rule of law.</w:t>
      </w:r>
    </w:p>
    <w:p w14:paraId="2B06625C" w14:textId="77777777" w:rsidR="00F257F5" w:rsidRDefault="00F257F5" w:rsidP="00F257F5">
      <w:pPr>
        <w:pStyle w:val="ParagraphNormal"/>
      </w:pPr>
      <w:r>
        <w:t xml:space="preserve">Firstly, in reference to Article 1 and 2 of the 1965 ABL, as well as Articles 27 and 28 of the EIT Law, there is no clear definition of what constitutes "religious defamation". The vague definition of defamation of religions in Article 1 has a very broad application. At least five actions could be categorized as religious blasphemy: (a) insulting a religion; (b) persuading someone to be an atheist; (c) disrupting a religious ceremony or creating noise near a place of worship; (d) insulting a clergyman </w:t>
      </w:r>
      <w:r>
        <w:lastRenderedPageBreak/>
        <w:t>while conducting a ritual; and (e) criticizing the teachings of religion, including criticizing other religious activities.</w:t>
      </w:r>
    </w:p>
    <w:p w14:paraId="0167A6A4" w14:textId="77777777" w:rsidR="00F257F5" w:rsidRDefault="00F257F5" w:rsidP="00F257F5">
      <w:pPr>
        <w:pStyle w:val="ParagraphNormal"/>
      </w:pPr>
      <w:r>
        <w:t>The lack of specific definitions regarding the scope of the action or utterance of "blasphemy" shows that "blasphemy" will continue to be interpreted broadly, without clarity, and subjectively by law enforcement officers. This law will find it difficult to distinguish between incitement or violence based on religious hatred, criticism of religious teachings, and practicing, believing, and adhering to religious teachings that happen to differ from the teachings of the majority religion.</w:t>
      </w:r>
    </w:p>
    <w:p w14:paraId="059489EB" w14:textId="799A5130" w:rsidR="00985C39" w:rsidRPr="00985C39" w:rsidRDefault="00F257F5" w:rsidP="00F257F5">
      <w:pPr>
        <w:pStyle w:val="ParagraphNormal"/>
        <w:rPr>
          <w:rFonts w:cs="Linux Libertine"/>
          <w:color w:val="FF0000"/>
          <w:lang w:val="en-US"/>
        </w:rPr>
      </w:pPr>
      <w:r>
        <w:t>Limitations on the first action are justifiable restrictions. However, restrictions on the second and third actions could threaten the essence of the right to freedom of religion and freedom of expression itself.</w:t>
      </w:r>
      <w:r w:rsidR="00985C39">
        <w:rPr>
          <w:rFonts w:cs="Linux Libertine"/>
          <w:color w:val="FF0000"/>
          <w:lang w:val="en-US"/>
        </w:rPr>
        <w:t xml:space="preserve">  </w:t>
      </w:r>
    </w:p>
    <w:p w14:paraId="2A322E8A" w14:textId="1D4FDD4A"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72"/>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{"citationID":"ptOd1Www","properties":{"formattedCitation":"(Crouch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496D7D">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Musadeq,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w:t>
      </w:r>
      <w:r w:rsidRPr="00E0754A">
        <w:lastRenderedPageBreak/>
        <w:t>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672A6A" w:rsidRDefault="006E58BD" w:rsidP="001517BB">
      <w:pPr>
        <w:pStyle w:val="ParagraphNormal"/>
        <w:rPr>
          <w:rFonts w:cs="Linux Libertine"/>
          <w:lang w:val="en-US"/>
        </w:rPr>
      </w:pPr>
      <w:r>
        <w:rPr>
          <w:rFonts w:cs="Linux Libertine"/>
          <w:lang w:val="en-US"/>
        </w:rPr>
        <w:t>Second, a</w:t>
      </w:r>
      <w:r w:rsidR="001517BB">
        <w:rPr>
          <w:rFonts w:cs="Linux Libertine"/>
          <w:lang w:val="en-US"/>
        </w:rPr>
        <w:t>ccording to the</w:t>
      </w:r>
      <w:r w:rsidR="001517BB" w:rsidRPr="00672A6A">
        <w:rPr>
          <w:rFonts w:cs="Linux Libertine"/>
          <w:lang w:val="en-US"/>
        </w:rPr>
        <w:t xml:space="preserve"> CCIR</w:t>
      </w:r>
      <w:r w:rsidR="001517BB">
        <w:rPr>
          <w:rFonts w:cs="Linux Libertine"/>
          <w:lang w:val="en-US"/>
        </w:rPr>
        <w:t xml:space="preserve">’s ruling </w:t>
      </w:r>
      <w:r w:rsidR="001517BB" w:rsidRPr="00672A6A">
        <w:rPr>
          <w:rFonts w:cs="Linux Libertine"/>
          <w:lang w:val="en-US"/>
        </w:rPr>
        <w:t xml:space="preserve">repeatedly </w:t>
      </w:r>
      <w:r w:rsidR="001517BB">
        <w:rPr>
          <w:rFonts w:cs="Linux Libertine"/>
          <w:lang w:val="en-US"/>
        </w:rPr>
        <w:t xml:space="preserve">in its various </w:t>
      </w:r>
      <w:r w:rsidR="00985C39">
        <w:rPr>
          <w:rFonts w:cs="Linux Libertine"/>
          <w:lang w:val="en-US"/>
        </w:rPr>
        <w:t xml:space="preserve">judicial review </w:t>
      </w:r>
      <w:r w:rsidR="001517BB">
        <w:rPr>
          <w:rFonts w:cs="Linux Libertine"/>
          <w:lang w:val="en-US"/>
        </w:rPr>
        <w:t xml:space="preserve">decisions concerning the judicial review of the ABL argues </w:t>
      </w:r>
      <w:r w:rsidR="001517BB" w:rsidRPr="00672A6A">
        <w:rPr>
          <w:rFonts w:cs="Linux Libertine"/>
          <w:lang w:val="en-US"/>
        </w:rPr>
        <w:t xml:space="preserve">that religious expression is not an absolute right and that the IABL is a lawful statute limiting rights: </w:t>
      </w:r>
      <w:r w:rsidR="001517BB" w:rsidRPr="00672A6A">
        <w:rPr>
          <w:rFonts w:cs="Linux Libertine"/>
          <w:i/>
          <w:iCs/>
          <w:lang w:val="en-US"/>
        </w:rPr>
        <w:t>“The Court simply compares the provisions of the statute to the 1945 Constitution.”</w:t>
      </w:r>
      <w:r w:rsidR="001517BB" w:rsidRPr="00672A6A">
        <w:rPr>
          <w:rStyle w:val="FootnoteReference"/>
          <w:rFonts w:cs="Linux Libertine"/>
          <w:i/>
          <w:iCs/>
          <w:lang w:val="en-US"/>
        </w:rPr>
        <w:t xml:space="preserve"> </w:t>
      </w:r>
      <w:r w:rsidR="001517BB" w:rsidRPr="00672A6A">
        <w:rPr>
          <w:rStyle w:val="FootnoteReference"/>
          <w:rFonts w:cs="Linux Libertine"/>
          <w:lang w:val="en-US"/>
        </w:rPr>
        <w:footnoteReference w:id="73"/>
      </w:r>
      <w:r w:rsidR="001517BB" w:rsidRPr="00672A6A">
        <w:rPr>
          <w:rFonts w:cs="Linux Libertine"/>
          <w:lang w:val="en-US"/>
        </w:rPr>
        <w:t xml:space="preserve"> The court also said, </w:t>
      </w:r>
      <w:r w:rsidR="001517BB" w:rsidRPr="00672A6A">
        <w:rPr>
          <w:rFonts w:cs="Linux Libertine"/>
          <w:i/>
          <w:iCs/>
          <w:lang w:val="en-US"/>
        </w:rPr>
        <w:t xml:space="preserve">“The </w:t>
      </w:r>
      <w:r w:rsidR="001517BB">
        <w:rPr>
          <w:rFonts w:cs="Linux Libertine"/>
          <w:i/>
          <w:iCs/>
          <w:lang w:val="en-US"/>
        </w:rPr>
        <w:t>l</w:t>
      </w:r>
      <w:r w:rsidR="001517BB" w:rsidRPr="00672A6A">
        <w:rPr>
          <w:rFonts w:cs="Linux Libertine"/>
          <w:i/>
          <w:iCs/>
          <w:lang w:val="en-US"/>
        </w:rPr>
        <w:t xml:space="preserve">aw </w:t>
      </w:r>
      <w:r w:rsidR="001517BB">
        <w:rPr>
          <w:rFonts w:cs="Linux Libertine"/>
          <w:i/>
          <w:iCs/>
          <w:lang w:val="en-US"/>
        </w:rPr>
        <w:t>concerning</w:t>
      </w:r>
      <w:r w:rsidR="001517BB" w:rsidRPr="00672A6A">
        <w:rPr>
          <w:rFonts w:cs="Linux Libertine"/>
          <w:i/>
          <w:iCs/>
          <w:lang w:val="en-US"/>
        </w:rPr>
        <w:t xml:space="preserve"> the </w:t>
      </w:r>
      <w:r w:rsidR="001517BB">
        <w:rPr>
          <w:rFonts w:cs="Linux Libertine"/>
          <w:i/>
          <w:iCs/>
          <w:lang w:val="en-US"/>
        </w:rPr>
        <w:t>p</w:t>
      </w:r>
      <w:r w:rsidR="001517BB" w:rsidRPr="00672A6A">
        <w:rPr>
          <w:rFonts w:cs="Linux Libertine"/>
          <w:i/>
          <w:iCs/>
          <w:lang w:val="en-US"/>
        </w:rPr>
        <w:t xml:space="preserve">revention of </w:t>
      </w:r>
      <w:r w:rsidR="001517BB">
        <w:rPr>
          <w:rFonts w:cs="Linux Libertine"/>
          <w:i/>
          <w:iCs/>
          <w:lang w:val="en-US"/>
        </w:rPr>
        <w:t>r</w:t>
      </w:r>
      <w:r w:rsidR="001517BB" w:rsidRPr="00672A6A">
        <w:rPr>
          <w:rFonts w:cs="Linux Libertine"/>
          <w:i/>
          <w:iCs/>
          <w:lang w:val="en-US"/>
        </w:rPr>
        <w:t xml:space="preserve">eligious </w:t>
      </w:r>
      <w:r w:rsidR="001517BB">
        <w:rPr>
          <w:rFonts w:cs="Linux Libertine"/>
          <w:i/>
          <w:iCs/>
          <w:lang w:val="en-US"/>
        </w:rPr>
        <w:t>b</w:t>
      </w:r>
      <w:r w:rsidR="001517BB" w:rsidRPr="00672A6A">
        <w:rPr>
          <w:rFonts w:cs="Linux Libertine"/>
          <w:i/>
          <w:iCs/>
          <w:lang w:val="en-US"/>
        </w:rPr>
        <w:t>lasphemy is still necessary and has no problem with the 1945 Constitution's protection of human rights.</w:t>
      </w:r>
      <w:r w:rsidR="001517BB" w:rsidRPr="00672A6A">
        <w:rPr>
          <w:rStyle w:val="FootnoteReference"/>
          <w:rFonts w:cs="Linux Libertine"/>
          <w:lang w:val="en-US"/>
        </w:rPr>
        <w:t xml:space="preserve"> </w:t>
      </w:r>
      <w:r w:rsidR="001517BB" w:rsidRPr="00672A6A">
        <w:rPr>
          <w:rStyle w:val="FootnoteReference"/>
          <w:rFonts w:cs="Linux Libertine"/>
          <w:lang w:val="en-US"/>
        </w:rPr>
        <w:footnoteReference w:id="74"/>
      </w:r>
      <w:r w:rsidR="001517BB" w:rsidRPr="00672A6A">
        <w:rPr>
          <w:rFonts w:cs="Linux Libertine"/>
          <w:i/>
          <w:iCs/>
          <w:lang w:val="en-US"/>
        </w:rPr>
        <w:t>“</w:t>
      </w:r>
      <w:r w:rsidR="001517BB" w:rsidRPr="00672A6A">
        <w:rPr>
          <w:rFonts w:cs="Linux Libertine"/>
          <w:lang w:val="en-US"/>
        </w:rPr>
        <w:t xml:space="preserve"> The judgment is based on Article 28J of the 1945 Constitution and is limited to communication with the IHRL accepted by Indonesia. The CCIR did not address the </w:t>
      </w:r>
      <w:r w:rsidR="001517BB">
        <w:rPr>
          <w:rFonts w:cs="Linux Libertine"/>
          <w:lang w:val="en-US"/>
        </w:rPr>
        <w:t>law</w:t>
      </w:r>
      <w:r w:rsidR="001517BB" w:rsidRPr="00672A6A">
        <w:rPr>
          <w:rFonts w:cs="Linux Libertine"/>
          <w:lang w:val="en-US"/>
        </w:rPr>
        <w:t>'s flaws, which may have been sufficient grounds to declare it illegal.</w:t>
      </w:r>
    </w:p>
    <w:p w14:paraId="285457D9" w14:textId="36A3222E"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“the anti-blasphemy law threatens anybody who openly shows enmity against other religions or who communicates divergent doctrines to the major religions</w:t>
      </w:r>
      <w:r w:rsidR="006E58BD">
        <w:rPr>
          <w:rFonts w:cs="Linux Libertine"/>
          <w:i/>
          <w:iCs/>
          <w:lang w:val="en-US"/>
        </w:rPr>
        <w:t>.</w:t>
      </w:r>
      <w:r w:rsidRPr="00672A6A">
        <w:rPr>
          <w:rFonts w:cs="Linux Libertine"/>
          <w:i/>
          <w:iCs/>
          <w:lang w:val="en-US"/>
        </w:rPr>
        <w:t xml:space="preserve">” </w:t>
      </w:r>
      <w:r w:rsidR="006E58BD">
        <w:rPr>
          <w:rFonts w:cs="Linux Libertine"/>
          <w:i/>
          <w:iCs/>
          <w:lang w:val="en-US"/>
        </w:rPr>
        <w:t xml:space="preserve">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Default="006C242A" w:rsidP="006C242A">
      <w:pPr>
        <w:pStyle w:val="ParagraphNormal"/>
        <w:rPr>
          <w:rFonts w:cs="Linux Libertine"/>
          <w:lang w:val="en-US"/>
        </w:rPr>
      </w:pPr>
      <w:r>
        <w:rPr>
          <w:rFonts w:cs="Linux Libertine"/>
          <w:lang w:val="en-US"/>
        </w:rPr>
        <w:t xml:space="preserve">In conclusion, </w:t>
      </w:r>
      <w:r w:rsidR="006E58BD">
        <w:rPr>
          <w:rFonts w:cs="Linux Libertine"/>
          <w:lang w:val="en-US"/>
        </w:rPr>
        <w:t>the current development of ABL in Indonesia during the Joko Widodo’s administration still</w:t>
      </w:r>
      <w:r w:rsidR="001517BB" w:rsidRPr="00672A6A">
        <w:rPr>
          <w:rFonts w:cs="Linux Libertine"/>
          <w:lang w:val="en-US"/>
        </w:rPr>
        <w:t xml:space="preserve"> maintains th</w:t>
      </w:r>
      <w:r w:rsidR="006E58BD">
        <w:rPr>
          <w:rFonts w:cs="Linux Libertine"/>
          <w:lang w:val="en-US"/>
        </w:rPr>
        <w:t>e</w:t>
      </w:r>
      <w:r w:rsidR="001517BB" w:rsidRPr="00672A6A">
        <w:rPr>
          <w:rFonts w:cs="Linux Libertine"/>
          <w:lang w:val="en-US"/>
        </w:rPr>
        <w:t xml:space="preserve"> deficiencies in the substance of legislation</w:t>
      </w:r>
      <w:r w:rsidR="006E58BD">
        <w:rPr>
          <w:rFonts w:cs="Linux Libertine"/>
          <w:lang w:val="en-US"/>
        </w:rPr>
        <w:t xml:space="preserve">.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6F3DE1D5" w14:textId="3F8858E6" w:rsidR="00221ECF" w:rsidRPr="00672A6A" w:rsidRDefault="00221ECF" w:rsidP="00221ECF">
      <w:pPr>
        <w:pStyle w:val="Heading3"/>
        <w:rPr>
          <w:rFonts w:cs="Linux Libertine"/>
        </w:rPr>
      </w:pPr>
      <w:r>
        <w:rPr>
          <w:rFonts w:cs="Linux Libertine"/>
        </w:rPr>
        <w:t xml:space="preserve">(ii) </w:t>
      </w:r>
      <w:r w:rsidR="003D0446" w:rsidRPr="003D0446">
        <w:rPr>
          <w:rFonts w:cs="Linux Libertine"/>
        </w:rPr>
        <w:t>Godly nationalism may threaten the supremacy of law.</w:t>
      </w:r>
    </w:p>
    <w:p w14:paraId="340DA31D" w14:textId="1FD0A968" w:rsidR="00221ECF" w:rsidRPr="00672A6A" w:rsidRDefault="00221ECF" w:rsidP="00221EC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Menchik </w:t>
      </w:r>
      <w:r w:rsidRPr="00672A6A">
        <w:rPr>
          <w:rFonts w:cs="Linux Libertine"/>
          <w:lang w:val="en-US"/>
        </w:rPr>
        <w:fldChar w:fldCharType="begin"/>
      </w:r>
      <w:r w:rsidR="00496D7D">
        <w:rPr>
          <w:rFonts w:cs="Linux Libertine"/>
          <w:lang w:val="en-US"/>
        </w:rPr>
        <w:instrText xml:space="preserve"> ADDIN ZOTERO_ITEM CSL_CITATION {"citationID":"LJKQ95ps","properties":{"formattedCitation":"(2014)","plainCitation":"(2014)","noteIndex":0},"citationItems":[{"id":1806,"uris":["http://zotero.org/users/6396655/items/XYN34VLG"],"itemData":{"id":1806,"type":"article-journal","container-title":"Comparative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00496D7D">
        <w:rPr>
          <w:rFonts w:cs="Linux Libertine"/>
          <w:lang w:val="en-US"/>
        </w:rPr>
        <w:t>(2014)</w:t>
      </w:r>
      <w:r w:rsidRPr="00672A6A">
        <w:rPr>
          <w:rFonts w:cs="Linux Libertine"/>
          <w:lang w:val="en-US"/>
        </w:rPr>
        <w:fldChar w:fldCharType="end"/>
      </w:r>
      <w:r w:rsidRPr="00672A6A">
        <w:rPr>
          <w:rFonts w:cs="Linux Libertine"/>
          <w:lang w:val="en-US"/>
        </w:rPr>
        <w:t xml:space="preserve"> in his study argues that Godly nationalism that is upheld in Indonesia </w:t>
      </w:r>
      <w:r w:rsidRPr="00672A6A">
        <w:rPr>
          <w:rFonts w:cs="Linux Libertine"/>
          <w:lang w:val="en-US"/>
        </w:rPr>
        <w:lastRenderedPageBreak/>
        <w:t xml:space="preserve">produces religious intolerance. Menchik believes that the value of God Almighty is central to the First Sila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0A375765" w14:textId="77777777" w:rsidR="00221ECF" w:rsidRPr="00672A6A" w:rsidRDefault="00221ECF" w:rsidP="00221EC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75"/>
      </w:r>
    </w:p>
    <w:p w14:paraId="08207897" w14:textId="77777777" w:rsidR="00221ECF" w:rsidRPr="00672A6A" w:rsidRDefault="00221ECF" w:rsidP="00221EC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60BEE37D" w14:textId="77777777" w:rsidR="00221ECF" w:rsidRPr="00672A6A" w:rsidRDefault="00221ECF" w:rsidP="00221EC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162A19D0" w14:textId="77777777" w:rsidR="00221ECF" w:rsidRPr="00672A6A" w:rsidRDefault="00221ECF" w:rsidP="00221EC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682D0D83" w14:textId="2B057389" w:rsidR="00221ECF" w:rsidRPr="00672A6A" w:rsidRDefault="00221ECF" w:rsidP="00221EC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00496D7D">
        <w:rPr>
          <w:rFonts w:cs="Linux Libertine"/>
          <w:lang w:val="en-US"/>
        </w:rPr>
        <w:instrText xml:space="preserve"> ADDIN ZOTERO_ITEM CSL_CITATION {"citationID":"PTR9MtP4","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00496D7D">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w:t>
      </w:r>
      <w:r w:rsidRPr="00672A6A">
        <w:rPr>
          <w:rFonts w:cs="Linux Libertine"/>
          <w:lang w:val="en-US"/>
        </w:rPr>
        <w:lastRenderedPageBreak/>
        <w:t xml:space="preserve">faiths from intolerant acts or remarks that degrade their sanctity. The Soeharto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6C4956" w14:textId="77777777" w:rsidR="00221ECF" w:rsidRPr="00672A6A" w:rsidRDefault="00221ECF" w:rsidP="00221ECF">
      <w:pPr>
        <w:pStyle w:val="ParagraphNormal"/>
        <w:rPr>
          <w:rFonts w:cs="Linux Libertine"/>
          <w:color w:val="252525"/>
          <w:szCs w:val="24"/>
          <w:lang w:val="en-US" w:eastAsia="en-GB" w:bidi="ar-SA"/>
          <w14:ligatures w14:val="none"/>
          <w14:numSpacing w14:val="default"/>
        </w:rPr>
      </w:pPr>
      <w:r w:rsidRPr="00672A6A">
        <w:rPr>
          <w:rFonts w:cs="Linux Libertine"/>
          <w:lang w:val="en-US"/>
        </w:rPr>
        <w:t>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Sila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76"/>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Rizieq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w:t>
      </w:r>
      <w:r w:rsidRPr="00672A6A">
        <w:rPr>
          <w:rFonts w:cs="Linux Libertine"/>
          <w:color w:val="252525"/>
          <w:szCs w:val="24"/>
          <w:lang w:val="en-US" w:eastAsia="en-GB" w:bidi="ar-SA"/>
          <w14:ligatures w14:val="none"/>
          <w14:numSpacing w14:val="default"/>
        </w:rPr>
        <w:lastRenderedPageBreak/>
        <w:t>(p. 12). When charges of blasphemy are made against an individual or group of individuals, the FPI is frequently involved in the vigilante justice.</w:t>
      </w:r>
    </w:p>
    <w:p w14:paraId="0C462D8E" w14:textId="77777777" w:rsidR="00221ECF" w:rsidRPr="00672A6A" w:rsidRDefault="00221ECF" w:rsidP="00221EC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B4E54BC" w14:textId="77777777" w:rsidR="00221ECF" w:rsidRPr="00672A6A" w:rsidRDefault="00221ECF" w:rsidP="00221ECF">
      <w:pPr>
        <w:pStyle w:val="ParagraphNormal"/>
        <w:rPr>
          <w:rFonts w:cs="Linux Libertine"/>
          <w:lang w:val="en-US"/>
        </w:rPr>
      </w:pPr>
      <w:r w:rsidRPr="00672A6A">
        <w:rPr>
          <w:rFonts w:cs="Linux Libertine"/>
          <w:lang w:val="en-US"/>
        </w:rPr>
        <w:t>But on the other hand, when the blasphemy law regime is strong, the vigilante justice phenomenon increases. For instance, a study conducted by Yilmaz and Barton (2021) states that Front Defender of Islam (FPI) is a hard-liner Islamic organization, where under the leadership of Rizieq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Sendiri accompanies it which FPI is often involved in.</w:t>
      </w:r>
    </w:p>
    <w:p w14:paraId="07159A53" w14:textId="77777777" w:rsidR="00221ECF" w:rsidRDefault="00221ECF" w:rsidP="00221EC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E315C4D" w14:textId="77777777" w:rsidR="00D4599E" w:rsidRDefault="00D4599E" w:rsidP="00D4599E">
      <w:pPr>
        <w:pStyle w:val="ParagraphNormal"/>
        <w:ind w:firstLine="0"/>
        <w:rPr>
          <w:rFonts w:cs="Linux Libertine"/>
          <w:lang w:val="en-US"/>
        </w:rPr>
      </w:pPr>
    </w:p>
    <w:p w14:paraId="7976EA60" w14:textId="77777777" w:rsidR="00221ECF" w:rsidRDefault="00D4599E" w:rsidP="00D4599E">
      <w:pPr>
        <w:pStyle w:val="ParagraphNormal"/>
        <w:ind w:firstLine="0"/>
        <w:rPr>
          <w:rFonts w:cs="Linux Libertine"/>
          <w:b/>
          <w:bCs/>
          <w:lang w:val="en-US"/>
        </w:rPr>
      </w:pPr>
      <w:r w:rsidRPr="001517BB">
        <w:rPr>
          <w:rFonts w:cs="Linux Libertine"/>
          <w:b/>
          <w:bCs/>
          <w:lang w:val="en-US"/>
        </w:rPr>
        <w:t xml:space="preserve">4.6.2  </w:t>
      </w:r>
      <w:r w:rsidR="00221ECF">
        <w:rPr>
          <w:rFonts w:cs="Linux Libertine"/>
          <w:b/>
          <w:bCs/>
          <w:lang w:val="en-US"/>
        </w:rPr>
        <w:t>The impact of the ABL’s Development on Enjoyment of Human Rights.</w:t>
      </w:r>
    </w:p>
    <w:p w14:paraId="43E146E2" w14:textId="6FB0104D" w:rsidR="00D4599E" w:rsidRPr="001517BB" w:rsidRDefault="00221ECF" w:rsidP="00D4599E">
      <w:pPr>
        <w:pStyle w:val="ParagraphNormal"/>
        <w:ind w:firstLine="0"/>
        <w:rPr>
          <w:rFonts w:cs="Linux Libertine"/>
          <w:b/>
          <w:bCs/>
          <w:lang w:val="en-US"/>
        </w:rPr>
      </w:pPr>
      <w:r>
        <w:rPr>
          <w:rFonts w:cs="Linux Libertine"/>
          <w:b/>
          <w:bCs/>
          <w:lang w:val="en-US"/>
        </w:rPr>
        <w:t xml:space="preserve">(i) </w:t>
      </w:r>
      <w:r w:rsidR="003D0446" w:rsidRPr="003D0446">
        <w:rPr>
          <w:rFonts w:cs="Linux Libertine"/>
          <w:b/>
          <w:bCs/>
          <w:lang w:val="en-US"/>
        </w:rPr>
        <w:t>The threat to religious freedom rights continues to persist.</w:t>
      </w:r>
    </w:p>
    <w:p w14:paraId="4F9CAEF0"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lastRenderedPageBreak/>
        <w:t>The rule of law requires that the state fulfills its obligation to respect, protect, and fulfill the human rights of every citizen. However, the development and implementation of the ABL during Joko Widodo's era further threaten the right to freedom of religion. The guarantee of the right to freedom of religion in the Constitution (Article 29, Article 28E) and international instruments, such as Article 18 of the UDHR and Article 18 of the ICCPR were not used as a basis for the creation of the EIT Law and the Criminal Code to address the weaknesses in the 1965 ABL.</w:t>
      </w:r>
    </w:p>
    <w:p w14:paraId="39AF5BB6"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t xml:space="preserve">Various regulations threaten "the right to freedom of religion for individuals." Firstly, according to Article 1, the primary purpose of the ABL is to defend orthodox religions instead of treating all religions or beliefs equally. Anyone who spreads teachings that are different from orthodox religious teachings is prohibited or can be classified as committing the offense of "religious blasphemy". This means that there is no protection for those who embrace, believe, or spread new religious teachings. </w:t>
      </w:r>
    </w:p>
    <w:p w14:paraId="1B4BE534" w14:textId="0F7F09BF" w:rsidR="006E58BD" w:rsidRDefault="00F257F5" w:rsidP="00F257F5">
      <w:pPr>
        <w:pStyle w:val="ParagraphNormal"/>
        <w:ind w:firstLine="720"/>
        <w:rPr>
          <w:rFonts w:cs="Linux Libertine"/>
          <w:color w:val="FF0000"/>
          <w:lang w:val="en-US"/>
        </w:rPr>
      </w:pPr>
      <w:r w:rsidRPr="00F257F5">
        <w:rPr>
          <w:rFonts w:cs="Linux Libertine"/>
          <w:color w:val="FF0000"/>
          <w:lang w:val="en-US"/>
        </w:rPr>
        <w:t>Secondly, although the 1965 ABL or EIT Law does not provide categories for deviant sects, the policies used to determine those sects are based on MUI Fatwas.</w:t>
      </w:r>
    </w:p>
    <w:p w14:paraId="32F09CD3" w14:textId="77777777" w:rsidR="006E58BD" w:rsidRDefault="006E58BD" w:rsidP="006E58BD">
      <w:pPr>
        <w:pStyle w:val="ParagraphNormal"/>
        <w:ind w:firstLine="720"/>
        <w:rPr>
          <w:rFonts w:cs="Linux Libertine"/>
          <w:color w:val="FF0000"/>
          <w:lang w:val="en-US"/>
        </w:rPr>
      </w:pPr>
    </w:p>
    <w:p w14:paraId="5E6DEE09" w14:textId="613C217E" w:rsidR="006E58BD" w:rsidRPr="006C242A" w:rsidRDefault="00F257F5" w:rsidP="006E58BD">
      <w:pPr>
        <w:pStyle w:val="ParagraphNormal"/>
        <w:ind w:firstLine="0"/>
        <w:rPr>
          <w:rFonts w:cs="Linux Libertine"/>
          <w:b/>
          <w:bCs/>
          <w:color w:val="FF0000"/>
          <w:sz w:val="20"/>
          <w:szCs w:val="20"/>
          <w:lang w:val="en-US"/>
        </w:rPr>
      </w:pPr>
      <w:r w:rsidRPr="00F257F5">
        <w:rPr>
          <w:rFonts w:cs="Linux Libertine"/>
          <w:b/>
          <w:bCs/>
          <w:color w:val="FF0000"/>
          <w:sz w:val="20"/>
          <w:szCs w:val="20"/>
          <w:lang w:val="en-US"/>
        </w:rPr>
        <w:t>List of new religious sects accused of deviance based on MUI Fatwas from 1976 to 2010.</w:t>
      </w:r>
    </w:p>
    <w:tbl>
      <w:tblPr>
        <w:tblStyle w:val="TableGrid"/>
        <w:tblW w:w="8075" w:type="dxa"/>
        <w:tblLook w:val="04A0" w:firstRow="1" w:lastRow="0" w:firstColumn="1" w:lastColumn="0" w:noHBand="0" w:noVBand="1"/>
      </w:tblPr>
      <w:tblGrid>
        <w:gridCol w:w="562"/>
        <w:gridCol w:w="3119"/>
        <w:gridCol w:w="4394"/>
      </w:tblGrid>
      <w:tr w:rsidR="006E58BD" w:rsidRPr="00985C39" w14:paraId="01B1213F" w14:textId="77777777" w:rsidTr="00794EBF">
        <w:tc>
          <w:tcPr>
            <w:tcW w:w="562" w:type="dxa"/>
          </w:tcPr>
          <w:p w14:paraId="3A51B7DF"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6C07AF5D"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Nama Aliran</w:t>
            </w:r>
          </w:p>
        </w:tc>
        <w:tc>
          <w:tcPr>
            <w:tcW w:w="4394" w:type="dxa"/>
          </w:tcPr>
          <w:p w14:paraId="7DDF7C51"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6E58BD" w:rsidRPr="00985C39" w14:paraId="36E30BF0" w14:textId="77777777" w:rsidTr="00794EBF">
        <w:tc>
          <w:tcPr>
            <w:tcW w:w="562" w:type="dxa"/>
          </w:tcPr>
          <w:p w14:paraId="03551E1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736F442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Kerajaan Ubur-ubur</w:t>
            </w:r>
          </w:p>
        </w:tc>
        <w:tc>
          <w:tcPr>
            <w:tcW w:w="4394" w:type="dxa"/>
          </w:tcPr>
          <w:p w14:paraId="0E964BB5"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of Serang</w:t>
            </w:r>
            <w:r>
              <w:rPr>
                <w:rFonts w:cs="Linux Libertine"/>
                <w:sz w:val="20"/>
                <w:szCs w:val="20"/>
                <w:lang w:val="en-US"/>
              </w:rPr>
              <w:t>,</w:t>
            </w:r>
            <w:r w:rsidRPr="00985C39">
              <w:rPr>
                <w:rFonts w:cs="Linux Libertine"/>
                <w:sz w:val="20"/>
                <w:szCs w:val="20"/>
                <w:lang w:val="en-US"/>
              </w:rPr>
              <w:t xml:space="preserve"> Banten</w:t>
            </w:r>
            <w:r>
              <w:rPr>
                <w:rFonts w:cs="Linux Libertine"/>
                <w:sz w:val="20"/>
                <w:szCs w:val="20"/>
                <w:lang w:val="en-US"/>
              </w:rPr>
              <w:t xml:space="preserve"> Province.</w:t>
            </w:r>
          </w:p>
        </w:tc>
      </w:tr>
      <w:tr w:rsidR="006E58BD" w:rsidRPr="00985C39" w14:paraId="0C2542E0" w14:textId="77777777" w:rsidTr="00794EBF">
        <w:tc>
          <w:tcPr>
            <w:tcW w:w="562" w:type="dxa"/>
          </w:tcPr>
          <w:p w14:paraId="3F4DBDF8"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47DAD6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Hakekok</w:t>
            </w:r>
            <w:r>
              <w:rPr>
                <w:rFonts w:cs="Linux Libertine"/>
                <w:sz w:val="20"/>
                <w:szCs w:val="20"/>
                <w:lang w:val="en-US"/>
              </w:rPr>
              <w:t xml:space="preserve"> Bslakatsu</w:t>
            </w:r>
          </w:p>
        </w:tc>
        <w:tc>
          <w:tcPr>
            <w:tcW w:w="4394" w:type="dxa"/>
          </w:tcPr>
          <w:p w14:paraId="04715DB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w:t>
            </w:r>
            <w:r>
              <w:rPr>
                <w:rFonts w:cs="Linux Libertine"/>
                <w:sz w:val="20"/>
                <w:szCs w:val="20"/>
                <w:lang w:val="en-US"/>
              </w:rPr>
              <w:t>Fatwa, in Banten Province.</w:t>
            </w:r>
          </w:p>
        </w:tc>
      </w:tr>
      <w:tr w:rsidR="006E58BD" w:rsidRPr="00985C39" w14:paraId="07429C84" w14:textId="77777777" w:rsidTr="00794EBF">
        <w:tc>
          <w:tcPr>
            <w:tcW w:w="562" w:type="dxa"/>
          </w:tcPr>
          <w:p w14:paraId="0C83357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0A7B30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Ahmadiyah Qadhiyan</w:t>
            </w:r>
          </w:p>
        </w:tc>
        <w:tc>
          <w:tcPr>
            <w:tcW w:w="4394" w:type="dxa"/>
          </w:tcPr>
          <w:p w14:paraId="5C8C23B4"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6E58BD" w:rsidRPr="00985C39" w14:paraId="11722BE7" w14:textId="77777777" w:rsidTr="00794EBF">
        <w:tc>
          <w:tcPr>
            <w:tcW w:w="562" w:type="dxa"/>
          </w:tcPr>
          <w:p w14:paraId="217B2B8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0D42918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Lia Eden or Salamullah</w:t>
            </w:r>
          </w:p>
        </w:tc>
        <w:tc>
          <w:tcPr>
            <w:tcW w:w="4394" w:type="dxa"/>
          </w:tcPr>
          <w:p w14:paraId="4DD5783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6E58BD" w:rsidRPr="00985C39" w14:paraId="0F938234" w14:textId="77777777" w:rsidTr="00794EBF">
        <w:tc>
          <w:tcPr>
            <w:tcW w:w="562" w:type="dxa"/>
          </w:tcPr>
          <w:p w14:paraId="640B06C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16109DB3"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Al-Qiyadah Al-Islamiyah</w:t>
            </w:r>
          </w:p>
        </w:tc>
        <w:tc>
          <w:tcPr>
            <w:tcW w:w="4394" w:type="dxa"/>
          </w:tcPr>
          <w:p w14:paraId="167E8A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6E58BD" w:rsidRPr="00985C39" w14:paraId="79D408B2" w14:textId="77777777" w:rsidTr="00794EBF">
        <w:tc>
          <w:tcPr>
            <w:tcW w:w="562" w:type="dxa"/>
          </w:tcPr>
          <w:p w14:paraId="28F6BF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D1CD38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Gerakan Fajar Nusantara (Gafatar)</w:t>
            </w:r>
          </w:p>
        </w:tc>
        <w:tc>
          <w:tcPr>
            <w:tcW w:w="4394" w:type="dxa"/>
          </w:tcPr>
          <w:p w14:paraId="75EC004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6E58BD" w:rsidRPr="00985C39" w14:paraId="627634E7" w14:textId="77777777" w:rsidTr="00794EBF">
        <w:tc>
          <w:tcPr>
            <w:tcW w:w="562" w:type="dxa"/>
          </w:tcPr>
          <w:p w14:paraId="565E919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7.</w:t>
            </w:r>
          </w:p>
        </w:tc>
        <w:tc>
          <w:tcPr>
            <w:tcW w:w="3119" w:type="dxa"/>
          </w:tcPr>
          <w:p w14:paraId="05036017"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Tarekat Tajul Khalwatiyah Syekh Yusuf Gowa</w:t>
            </w:r>
          </w:p>
        </w:tc>
        <w:tc>
          <w:tcPr>
            <w:tcW w:w="4394" w:type="dxa"/>
          </w:tcPr>
          <w:p w14:paraId="6D8A01D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01/MUI-Gowa/XI/2016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6039D6AD" w14:textId="77777777" w:rsidR="006E58BD" w:rsidRDefault="006E58BD" w:rsidP="006E58BD">
      <w:pPr>
        <w:pStyle w:val="ParagraphNormal"/>
        <w:rPr>
          <w:rFonts w:cs="Linux Libertine"/>
          <w:color w:val="FF0000"/>
          <w:lang w:val="en-US"/>
        </w:rPr>
      </w:pPr>
    </w:p>
    <w:p w14:paraId="3B4783CF" w14:textId="611142FA" w:rsidR="006E58BD" w:rsidRDefault="00F257F5" w:rsidP="006E58BD">
      <w:pPr>
        <w:pStyle w:val="ParagraphNormal"/>
        <w:ind w:firstLine="720"/>
      </w:pPr>
      <w:r w:rsidRPr="00F257F5">
        <w:rPr>
          <w:rFonts w:cs="Linux Libertine"/>
          <w:color w:val="FF0000"/>
          <w:lang w:val="en-US"/>
        </w:rPr>
        <w:t xml:space="preserve">Regardless of the veracity of the claims articulated by MUI, their fatwas that declare these religious schools of thoughts as "deviant" have been cited by the government to craft policies that discriminate against their adherents. This testifies to the fact that public laws and policies are enacted by the state to afford special protection to adherents of established religions, namely Islam. The government has </w:t>
      </w:r>
      <w:r w:rsidRPr="00F257F5">
        <w:rPr>
          <w:rFonts w:cs="Linux Libertine"/>
          <w:color w:val="FF0000"/>
          <w:lang w:val="en-US"/>
        </w:rPr>
        <w:lastRenderedPageBreak/>
        <w:t>thus confined the meaning of the right to religious freedom, limiting it to "established religions" exclusively. In addition, Article 1 of the ABL presupposes uniformity of religion, thereby prohibiting advocacy of atheism or non-conforming interpretation of the doctrines of major religions (Lindsey and Pausacker, 2017). Although the essential principles of FoRB are expressed in several articles of the Indonesia Constitution, such as articles 28D, 28E, 28I, and 29, the ABL assigns distinctive ideals and standards, as Article 29 of the Constitution proclaims that Indonesia is founded upon the "Belief in One God, the Almighty".</w:t>
      </w:r>
      <w:r w:rsidR="006E58BD" w:rsidRPr="00E0754A">
        <w:t xml:space="preserve"> </w:t>
      </w:r>
    </w:p>
    <w:p w14:paraId="63B7EAF3" w14:textId="51A3DE68" w:rsidR="006E58BD" w:rsidRPr="006E58BD" w:rsidRDefault="00F257F5" w:rsidP="006E58BD">
      <w:pPr>
        <w:pStyle w:val="ParagraphNormal"/>
        <w:ind w:firstLine="720"/>
        <w:rPr>
          <w:rFonts w:cs="Linux Libertine"/>
          <w:color w:val="FF0000"/>
          <w:lang w:val="en-US"/>
        </w:rPr>
      </w:pPr>
      <w:r w:rsidRPr="00F257F5">
        <w:t>Thus, under the ABL regime, the respect and fulfillment of the right to religious freedom are challenging to achieve. This is mainly because Indonesia still differentiates orthodox religions, new religions, and beliefs or non-religious groups. The ABL only protects the right to religious freedom for orthodox religions, yet it fails to provide a place for or even criminalizes those who practice or propagate different beliefs, new religions, or atheism.</w:t>
      </w:r>
      <w:r w:rsidR="006E58BD">
        <w:t xml:space="preserve"> </w:t>
      </w:r>
    </w:p>
    <w:p w14:paraId="5D60D7CF" w14:textId="77777777" w:rsidR="00D4599E" w:rsidRDefault="00D4599E" w:rsidP="00D4599E">
      <w:pPr>
        <w:pStyle w:val="ParagraphNormal"/>
        <w:ind w:firstLine="0"/>
        <w:rPr>
          <w:rFonts w:cs="Linux Libertine"/>
          <w:lang w:val="en-US"/>
        </w:rPr>
      </w:pPr>
    </w:p>
    <w:p w14:paraId="4256AF5A" w14:textId="77777777" w:rsidR="003D0446" w:rsidRDefault="00221ECF" w:rsidP="003D0446">
      <w:pPr>
        <w:pStyle w:val="ParagraphNormal"/>
        <w:ind w:firstLine="0"/>
        <w:rPr>
          <w:rFonts w:cs="Linux Libertine"/>
          <w:b/>
          <w:bCs/>
          <w:color w:val="FF0000"/>
          <w:lang w:val="en-US"/>
        </w:rPr>
      </w:pPr>
      <w:r>
        <w:rPr>
          <w:rFonts w:cs="Linux Libertine"/>
          <w:b/>
          <w:bCs/>
          <w:color w:val="FF0000"/>
          <w:lang w:val="en-US"/>
        </w:rPr>
        <w:t>(ii)</w:t>
      </w:r>
      <w:r w:rsidR="003D0446" w:rsidRPr="003D0446">
        <w:t xml:space="preserve"> </w:t>
      </w:r>
      <w:r w:rsidR="003D0446" w:rsidRPr="003D0446">
        <w:rPr>
          <w:rFonts w:cs="Linux Libertine"/>
          <w:b/>
          <w:bCs/>
          <w:color w:val="FF0000"/>
          <w:lang w:val="en-US"/>
        </w:rPr>
        <w:t>Targeting religious minorities</w:t>
      </w:r>
    </w:p>
    <w:p w14:paraId="2CEA1BDF" w14:textId="60128A76" w:rsidR="00D4599E" w:rsidRDefault="00F257F5" w:rsidP="003D0446">
      <w:pPr>
        <w:pStyle w:val="ParagraphNormal"/>
        <w:ind w:firstLine="0"/>
        <w:rPr>
          <w:rFonts w:cs="Linux Libertine"/>
          <w:lang w:val="en-US"/>
        </w:rPr>
      </w:pPr>
      <w:r w:rsidRPr="00F257F5">
        <w:rPr>
          <w:rFonts w:cs="Linux Libertine"/>
          <w:lang w:val="en-US"/>
        </w:rPr>
        <w:t>The concept of the rule of law dictates that laws must be applied equally to everyone, regardless of their religion, race, gender, or other differences. Article 18 of the Universal Declaration of Human Rights (UDHR) and Article 18 of the International Covenant on Civil and Political Rights (ICCPR) protect an individual's freedom to maintain a neutral religious identity or practice his or her chosen faith. The state, through its legal and political systems, has the obligation to treat every person equally, without any interference, restriction, or other conditions that impede the exercise of this right (Henkin, 2009). In Indonesia, principles of non-discrimination and equality are expressly safeguarded by Articles 27, 28I, 28D, and 28H of the 1945 Constitution (Eddyono, 2016).</w:t>
      </w:r>
      <w:r w:rsidR="00D4599E" w:rsidRPr="00672A6A">
        <w:rPr>
          <w:rFonts w:cs="Linux Libertine"/>
          <w:lang w:val="en-US"/>
        </w:rPr>
        <w:t xml:space="preserve"> </w:t>
      </w:r>
    </w:p>
    <w:p w14:paraId="782683A9" w14:textId="68A45B1C" w:rsidR="001517BB" w:rsidRPr="006E58BD" w:rsidRDefault="006E58BD" w:rsidP="00F257F5">
      <w:pPr>
        <w:pStyle w:val="ParagraphNormal"/>
      </w:pPr>
      <w:r w:rsidRPr="006E58BD">
        <w:rPr>
          <w:rFonts w:cs="Linux Libertine"/>
          <w:color w:val="FF0000"/>
          <w:lang w:val="en-US"/>
        </w:rPr>
        <w:tab/>
      </w:r>
      <w:r w:rsidR="00F257F5" w:rsidRPr="00F257F5">
        <w:t xml:space="preserve">Article 1 of the ABL defines "religions" as the six religions recognized by the government: Islam, Hinduism, Buddhism, Christianity, Catholicism, and Confucianism. Law enforcement's interpretation of this article is that the law only protects these major religions. As a result, faiths outside of these six are often excluded from legal protection. Furthermore, Article 4 of the ABL in conjunction with Article 156a of the Criminal Code, as well as Articles 27 and 28 of the EIT Law, threaten </w:t>
      </w:r>
      <w:r w:rsidR="00F257F5" w:rsidRPr="00F257F5">
        <w:lastRenderedPageBreak/>
        <w:t>punishments for those who propagate religious teachings that deviate from orthodox religions or those who advocate for non-religious beliefs. Under these provisions, the main targets for punishments under the ABL are minority religious groups whose doctrines differ from orthodox religions or non-religious groups. Empirically, the existence of Indonesia's ABL has manifested as a law that is unequal and discriminatory, particularly for minority religious groups. Studies indicate that the primary targets of punishment using the ABL are members of minority religious groups. These groups can be divided into two categories: first, religions practiced in Indonesia with a small number of followers (minorities) such as Buddhism, Christianity, Hinduism, and Catholicism. The second category includes new religions and minorities' beliefs. Evidently, in various blasphemy trials, more than 150 individuals from minority religious groups were convicted and criminalized under the ABL (Andreas, 2019).</w:t>
      </w:r>
    </w:p>
    <w:p w14:paraId="4258B1EF" w14:textId="6E1A8029" w:rsidR="001517BB" w:rsidRPr="00D110A5" w:rsidRDefault="00F257F5" w:rsidP="00D110A5">
      <w:pPr>
        <w:pStyle w:val="ParagraphNormal"/>
        <w:rPr>
          <w:rFonts w:cs="Linux Libertine"/>
          <w:lang w:val="en-US"/>
        </w:rPr>
      </w:pPr>
      <w:r w:rsidRPr="00F257F5">
        <w:rPr>
          <w:rFonts w:cs="Linux Libertine"/>
          <w:color w:val="FF0000"/>
          <w:lang w:val="en-US"/>
        </w:rPr>
        <w:t>The decisions made by the CCIR during Joko Widodo's era are vastly different from the previous rulings of the Constitutional Court, which strongly upheld the principles of non-discrimination and equality in a number of important cases. For instance, in judgment number 97/PUU-XVI/2016, the Court invalidated a provision of the Residency Law that deprived traditionalists of obtaining resident identification cards and family cards. The Court reasoned that "restrictions based on religious beliefs that result in unequal treatment of citizens are discriminatory." This consideration is consistent with previous decisions, including judgments 070/PUU-II/2004, 27/PUU-V/2007, and 024/PUU-III/2005. Additionally, the Court has nullified discriminatory laws in other cases, such as decision number 011-017/PUU-1/2003, wherein the Court determined that Article 60s of the General Election Law, which prohibited former Communist Party members from running for office, is a form of discriminatory policy that is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r w:rsidR="001517BB" w:rsidRPr="00672A6A">
        <w:rPr>
          <w:rFonts w:cs="Linux Libertine"/>
          <w:lang w:val="en-US"/>
        </w:rPr>
        <w:t xml:space="preserve"> </w:t>
      </w:r>
    </w:p>
    <w:p w14:paraId="34FE579F" w14:textId="77723A2F" w:rsidR="006E58BD" w:rsidRDefault="00F257F5" w:rsidP="006E58BD">
      <w:pPr>
        <w:pStyle w:val="ParagraphNormal"/>
      </w:pPr>
      <w:r w:rsidRPr="00F257F5">
        <w:t xml:space="preserve">In conclusion, unlike the rule of law principle, which demands that no individual or group should receive special protection based on their religion, the ABL comprises </w:t>
      </w:r>
      <w:r w:rsidRPr="00F257F5">
        <w:lastRenderedPageBreak/>
        <w:t>discriminatory provisions as it solely targets minority religious groups. Rather than preventing hatred, numerous cases tried under the ABL only punish those who insult religious symbols or hold beliefs different from major religions. Therefore, the ABL does not comply with the principles set forth in the IHRL because it merely safeguards the religious establishment or personal feelings of others (Temperman, 2015).</w:t>
      </w:r>
    </w:p>
    <w:p w14:paraId="0655D4D9" w14:textId="77777777" w:rsidR="006E58BD" w:rsidRDefault="006E58BD" w:rsidP="006E58BD">
      <w:pPr>
        <w:pStyle w:val="ParagraphNormal"/>
      </w:pPr>
    </w:p>
    <w:p w14:paraId="79FFC19C" w14:textId="06E25494" w:rsidR="006E58BD" w:rsidRDefault="00221ECF" w:rsidP="006E58BD">
      <w:pPr>
        <w:pStyle w:val="Heading3"/>
        <w:rPr>
          <w:rFonts w:cs="Linux Libertine"/>
        </w:rPr>
      </w:pPr>
      <w:r>
        <w:rPr>
          <w:rFonts w:cs="Linux Libertine"/>
        </w:rPr>
        <w:t xml:space="preserve">(iii) </w:t>
      </w:r>
      <w:r w:rsidR="006E58BD">
        <w:rPr>
          <w:rFonts w:cs="Linux Libertine"/>
        </w:rPr>
        <w:t xml:space="preserve"> The </w:t>
      </w:r>
      <w:r>
        <w:rPr>
          <w:rFonts w:cs="Linux Libertine"/>
        </w:rPr>
        <w:t xml:space="preserve">Right </w:t>
      </w:r>
      <w:r w:rsidR="006E58BD">
        <w:rPr>
          <w:rFonts w:cs="Linux Libertine"/>
        </w:rPr>
        <w:t>to religious expression</w:t>
      </w:r>
    </w:p>
    <w:p w14:paraId="17ADB40D" w14:textId="24E2E066" w:rsidR="00F257F5" w:rsidRDefault="00F257F5" w:rsidP="006E58BD">
      <w:pPr>
        <w:pStyle w:val="ParagraphNormal"/>
        <w:rPr>
          <w:color w:val="FF0000"/>
        </w:rPr>
      </w:pPr>
      <w:r w:rsidRPr="00F257F5">
        <w:rPr>
          <w:color w:val="FF0000"/>
        </w:rPr>
        <w:t>Based on the concept of the rule of law, if two rights overlap, any limitation on those rights should be done lawfully, with important and proportional reasoning, and without any discriminatory intentions. The ABL not only restricts the right to freedom of religion but also restricts the right to freedom of expression, especially religious expressions. Article 28E of the Indonesian Constitution guarantees the right to freedom of expression, which states that "everyone shall have the right to the freedom of worship and to express his opinion and thoughts in accordance with his/her conscience." The IHRL has been incorporated into the Indonesian Constitution in Chapter IV Articles 28A to 28J since 2002.</w:t>
      </w:r>
      <w:r>
        <w:rPr>
          <w:rStyle w:val="FootnoteReference"/>
          <w:color w:val="FF0000"/>
        </w:rPr>
        <w:footnoteReference w:id="77"/>
      </w:r>
      <w:r w:rsidRPr="00F257F5">
        <w:rPr>
          <w:color w:val="FF0000"/>
        </w:rPr>
        <w:t xml:space="preserve"> However, the ABL tends to curtail the ability of members of religious or philosophical minorities to express their religious beliefs, which contradicts the IHRL. Limitations on the expression of religious beliefs under Article 4 of the ABL in conjunction with Article 156a of the Criminal Code are not consistent with Article 20 (2) and General Comment No. 34 because the limitation does not fall under "incitement to discrimination, hatred, or violence."</w:t>
      </w:r>
      <w:r>
        <w:rPr>
          <w:rStyle w:val="FootnoteReference"/>
          <w:color w:val="FF0000"/>
        </w:rPr>
        <w:footnoteReference w:id="78"/>
      </w:r>
      <w:r w:rsidRPr="00F257F5">
        <w:rPr>
          <w:color w:val="FF0000"/>
        </w:rPr>
        <w:t xml:space="preserve"> Moreover, the prosecution of someone because of their religious beliefs is considered to be irregular and violates Article 19 of the International Covenant on Civil and Political Rights (ICCPR). While a person's freedom to express their religious convictions may be subject to restrictions under Article 18 (3) or 19 (3), the State is not allowed to penalize </w:t>
      </w:r>
      <w:r w:rsidRPr="00F257F5">
        <w:rPr>
          <w:color w:val="FF0000"/>
        </w:rPr>
        <w:lastRenderedPageBreak/>
        <w:t>the individual unless the speech incites discrimination, hatred, or violence as stated in Article 20 (2) and (3).</w:t>
      </w:r>
    </w:p>
    <w:p w14:paraId="2D9EE5A5" w14:textId="1E478A8A" w:rsidR="00F257F5" w:rsidRDefault="00F257F5" w:rsidP="006E58BD">
      <w:pPr>
        <w:pStyle w:val="ParagraphNormal"/>
        <w:rPr>
          <w:color w:val="FF0000"/>
        </w:rPr>
      </w:pPr>
      <w:r w:rsidRPr="00F257F5">
        <w:rPr>
          <w:color w:val="FF0000"/>
        </w:rPr>
        <w:t>The ABL protects something abstract like "religious feelings," which is different from the objective of IHRL that aims to protect "an individual's right to express oneself." According to Jeroen Temperman (2015), Article 19 protects the right to freedom of speech for everyone, but the ICCPR does not protect an individual's right not to have their feelings hurt or offended. However, in the Otto Preminger v. Austria case, the ECtHR</w:t>
      </w:r>
      <w:r>
        <w:rPr>
          <w:rStyle w:val="FootnoteReference"/>
          <w:color w:val="FF0000"/>
        </w:rPr>
        <w:footnoteReference w:id="79"/>
      </w:r>
      <w:r w:rsidRPr="00F257F5">
        <w:rPr>
          <w:color w:val="FF0000"/>
        </w:rPr>
        <w:t xml:space="preserve"> ruled that protecting the right not to offend others' religious sensibilities was a reasonable objective.</w:t>
      </w:r>
      <w:r>
        <w:rPr>
          <w:rStyle w:val="FootnoteReference"/>
          <w:color w:val="FF0000"/>
        </w:rPr>
        <w:footnoteReference w:id="80"/>
      </w:r>
      <w:r w:rsidRPr="00F257F5">
        <w:rPr>
          <w:color w:val="FF0000"/>
        </w:rPr>
        <w:t xml:space="preserve"> State intervention in the freedom of expression is permissible if such an expression intends to hurt or offend the religious sentiments of others. In light of this, the Otto Preminger v. Austria case should be viewed as contradictory to Article 20 (2), and the accused should be acquitted (Temperman, 2015).</w:t>
      </w:r>
      <w:r>
        <w:rPr>
          <w:color w:val="FF0000"/>
        </w:rPr>
        <w:t xml:space="preserve">  </w:t>
      </w:r>
    </w:p>
    <w:p w14:paraId="55A421C5" w14:textId="426B2217" w:rsidR="006E58BD" w:rsidRPr="00E0754A" w:rsidRDefault="006E58BD" w:rsidP="006E58BD">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00496D7D">
        <w:instrText xml:space="preserve"> ADDIN ZOTERO_ITEM CSL_CITATION {"citationID":"FoveL1is","properties":{"formattedCitation":"(Shepherd 2017)","plainCitation":"(Shepherd 2017)","noteIndex":0},"citationItems":[{"id":1907,"uris":["http://zotero.org/users/6396655/items/BIRFQNHT"],"itemData":{"id":1907,"type":"article-journal","container-title":"Utrecht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00496D7D">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human rights. This means treating everyone equally regardless of colour, religion, gender, or other factors </w:t>
      </w:r>
      <w:r w:rsidRPr="00E0754A">
        <w:fldChar w:fldCharType="begin"/>
      </w:r>
      <w:r w:rsidR="00496D7D">
        <w:instrText xml:space="preserve"> ADDIN ZOTERO_ITEM CSL_CITATION {"citationID":"xRrRtGtA","properties":{"formattedCitation":"(Bielefeldt 2012)","plainCitation":"(Bielefeldt 2012)","noteIndex":0},"citationItems":[{"id":2100,"uris":["http://zotero.org/users/6396655/items/Q3JE9GTN"],"itemData":{"id":2100,"type":"book","publisher":"Erlangen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00496D7D">
        <w:rPr>
          <w:rFonts w:cs="Linux Libertine"/>
        </w:rPr>
        <w:t>(Bielefeldt 2012)</w:t>
      </w:r>
      <w:r w:rsidRPr="00E0754A">
        <w:fldChar w:fldCharType="end"/>
      </w:r>
      <w:r w:rsidRPr="00E0754A">
        <w:t>.</w:t>
      </w:r>
      <w:r w:rsidRPr="00E0754A">
        <w:rPr>
          <w:rStyle w:val="FootnoteReference"/>
        </w:rPr>
        <w:t xml:space="preserve"> </w:t>
      </w:r>
    </w:p>
    <w:p w14:paraId="3C2D9F4A" w14:textId="28F04256" w:rsidR="006E58BD" w:rsidRDefault="006E58BD" w:rsidP="006E58BD">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81"/>
      </w:r>
      <w:r w:rsidRPr="00E0754A">
        <w:t xml:space="preserve">  The only individual who may be accused with hate speech is a leader who purposefully incites his audience to attack another person based on their hatred of his religion or </w:t>
      </w:r>
      <w:r w:rsidRPr="00E0754A">
        <w:lastRenderedPageBreak/>
        <w:t xml:space="preserve">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{"citationID":"cPVzes8g","properties":{"formattedCitation":"(Crouch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496D7D">
        <w:rPr>
          <w:rFonts w:cs="Linux Libertine"/>
        </w:rPr>
        <w:t>(Crouch 2011)</w:t>
      </w:r>
      <w:r w:rsidRPr="00E0754A">
        <w:fldChar w:fldCharType="end"/>
      </w:r>
      <w:r w:rsidRPr="00E0754A">
        <w:t>.</w:t>
      </w:r>
    </w:p>
    <w:p w14:paraId="0DCFDA8B" w14:textId="162114B0" w:rsidR="006E58BD" w:rsidRDefault="001C3216" w:rsidP="006E58BD">
      <w:pPr>
        <w:pStyle w:val="ParagraphNormal"/>
      </w:pPr>
      <w:r w:rsidRPr="001C3216">
        <w:rPr>
          <w:rFonts w:cs="Linux Libertine"/>
          <w:color w:val="FF0000"/>
          <w:lang w:val="en-US"/>
        </w:rPr>
        <w:t>From a legal and political perspective, the CCIR’s emphasis on the constitutionality of the flawed ABL in Indonesia has ignored the essential principle of non-discrimination. The CCIR contends that if a limitation on religious expression is enacted by law, then the limitation is reasonable, regardless of whether or not it results in discriminatory treatment of certain religious groups.</w:t>
      </w:r>
      <w:r w:rsidR="006E58BD" w:rsidRPr="00D4599E">
        <w:rPr>
          <w:rStyle w:val="FootnoteReference"/>
          <w:rFonts w:cs="Linux Libertine"/>
          <w:color w:val="FF0000"/>
          <w:lang w:val="en-US"/>
        </w:rPr>
        <w:footnoteReference w:id="82"/>
      </w:r>
      <w:r w:rsidR="006E58BD" w:rsidRPr="00D4599E">
        <w:rPr>
          <w:rFonts w:cs="Linux Libertine"/>
          <w:color w:val="FF0000"/>
          <w:lang w:val="en-US"/>
        </w:rPr>
        <w:t xml:space="preserve"> </w:t>
      </w:r>
    </w:p>
    <w:p w14:paraId="5FA0D0EE" w14:textId="77777777" w:rsidR="00DC0B47" w:rsidRPr="00DC0B47" w:rsidRDefault="00DC0B47" w:rsidP="002C4402">
      <w:pPr>
        <w:rPr>
          <w:rFonts w:cs="Linux Libertine"/>
          <w:color w:val="70AD47" w:themeColor="accent6"/>
        </w:rPr>
      </w:pPr>
    </w:p>
    <w:p w14:paraId="2D607D92" w14:textId="77777777" w:rsidR="003C7864" w:rsidRPr="003C7864" w:rsidRDefault="003C7864" w:rsidP="003C7864">
      <w:pPr>
        <w:pStyle w:val="ParagraphNormal"/>
        <w:rPr>
          <w:rFonts w:cs="Linux Libertine"/>
          <w:lang w:val="en-US"/>
        </w:rPr>
      </w:pPr>
    </w:p>
    <w:p w14:paraId="7AB72FB4" w14:textId="746929C8" w:rsidR="000F720D" w:rsidRPr="00672A6A" w:rsidRDefault="00DE60E7" w:rsidP="002C4402">
      <w:pPr>
        <w:pStyle w:val="Heading3"/>
        <w:rPr>
          <w:rFonts w:cs="Linux Libertine"/>
        </w:rPr>
      </w:pPr>
      <w:r>
        <w:rPr>
          <w:rFonts w:cs="Linux Libertine"/>
        </w:rPr>
        <w:t>4.7. Conclusion</w:t>
      </w:r>
    </w:p>
    <w:p w14:paraId="0F3B9573" w14:textId="59511115" w:rsidR="009C7DB5" w:rsidRDefault="009C7DB5" w:rsidP="009C7DB5">
      <w:pPr>
        <w:pStyle w:val="ParagraphNormal"/>
        <w:rPr>
          <w:rFonts w:cs="Linux Libertine"/>
          <w:lang w:val="en-US"/>
        </w:rPr>
      </w:pP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D98F7ED" w14:textId="065C841E" w:rsidR="00162E8A" w:rsidRPr="00672A6A" w:rsidRDefault="00162E8A" w:rsidP="00162E8A">
      <w:pPr>
        <w:pStyle w:val="ParagraphNormal"/>
        <w:rPr>
          <w:rFonts w:cs="Linux Libertine"/>
          <w:lang w:val="en-US"/>
        </w:rPr>
      </w:pPr>
      <w:r w:rsidRPr="00672A6A">
        <w:rPr>
          <w:rFonts w:cs="Linux Libertine"/>
          <w:lang w:val="en-US"/>
        </w:rPr>
        <w:t xml:space="preserve">However, the CCIR disregards the fact that the FoRB has two components: the forum-internum, which cannot be limited under any circumstances, and the forum-externum, which can be limited. While the Court has strictly construed Article 28J of the 1945 Constitution, it does not distinguish between the forum-internum and the forum-externum, both of which may be limited by the State. This view is problematic since neither the Constitution nor the IABL expressly define the normal ban on religious speech. The four phases of legitimate and proportional limits under GC </w:t>
      </w:r>
      <w:r w:rsidRPr="00672A6A">
        <w:rPr>
          <w:rFonts w:cs="Linux Libertine"/>
          <w:lang w:val="en-US"/>
        </w:rPr>
        <w:lastRenderedPageBreak/>
        <w:t xml:space="preserve">No.22, namely, the legitimacy test, the necessity test, the proportionality test, and the non-discrimination test, are not considered by the CCIR </w:t>
      </w:r>
      <w:r w:rsidRPr="00672A6A">
        <w:rPr>
          <w:rFonts w:cs="Linux Libertine"/>
          <w:lang w:val="en-US"/>
        </w:rPr>
        <w:fldChar w:fldCharType="begin"/>
      </w:r>
      <w:r w:rsidR="00496D7D">
        <w:rPr>
          <w:rFonts w:cs="Linux Libertine"/>
          <w:lang w:val="en-US"/>
        </w:rPr>
        <w:instrText xml:space="preserve"> ADDIN ZOTERO_ITEM CSL_CITATION {"citationID":"jyHHZ9Ue","properties":{"formattedCitation":"(W.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00496D7D">
        <w:rPr>
          <w:rFonts w:cs="Linux Libertine"/>
          <w:lang w:val="en-US"/>
        </w:rPr>
        <w:t>(W. Durham 2011)</w:t>
      </w:r>
      <w:r w:rsidRPr="00672A6A">
        <w:rPr>
          <w:rFonts w:cs="Linux Libertine"/>
          <w:lang w:val="en-US"/>
        </w:rPr>
        <w:fldChar w:fldCharType="end"/>
      </w:r>
      <w:r w:rsidRPr="00672A6A">
        <w:rPr>
          <w:rFonts w:cs="Linux Libertine"/>
          <w:lang w:val="en-US"/>
        </w:rPr>
        <w:t>.</w:t>
      </w:r>
    </w:p>
    <w:p w14:paraId="706C39FA" w14:textId="1D3D8E4B"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FoE, notably the legality test, Durham </w:t>
      </w:r>
      <w:r w:rsidRPr="00672A6A">
        <w:rPr>
          <w:rFonts w:cs="Linux Libertine"/>
          <w:lang w:val="en-US"/>
        </w:rPr>
        <w:fldChar w:fldCharType="begin"/>
      </w:r>
      <w:r w:rsidR="00496D7D">
        <w:rPr>
          <w:rFonts w:cs="Linux Libertine"/>
          <w:lang w:val="en-US"/>
        </w:rPr>
        <w:instrText xml:space="preserve"> ADDIN ZOTERO_ITEM CSL_CITATION {"citationID":"sPioZAZp","properties":{"formattedCitation":"(2011)","plainCitation":"(2011)","noteIndex":0},"citationItems":[{"id":1491,"uris":["http://zotero.org/users/6396655/items/MWJZRQKQ"],"itemData":{"id":1491,"type":"article-journal","container-title":"Pontifical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00496D7D">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Gafatar's followers.</w:t>
      </w:r>
    </w:p>
    <w:p w14:paraId="02F927D5" w14:textId="055BF321"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83"/>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forum-internum and the forum-externum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00496D7D">
        <w:rPr>
          <w:rFonts w:cs="Linux Libertine"/>
          <w:lang w:val="en-US"/>
        </w:rPr>
        <w:instrText xml:space="preserve"> ADDIN ZOTERO_ITEM CSL_CITATION {"citationID":"kdw0ewOq","properties":{"formattedCitation":"(Tehusijarana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00496D7D">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0A604B84" w14:textId="760E97D8" w:rsidR="00162E8A" w:rsidRPr="00E0754A" w:rsidRDefault="00162E8A" w:rsidP="00162E8A">
      <w:pPr>
        <w:pStyle w:val="ParagraphNormal"/>
        <w:rPr>
          <w:cs/>
        </w:rPr>
      </w:pPr>
      <w:r w:rsidRPr="00E0754A">
        <w:lastRenderedPageBreak/>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00496D7D">
        <w:instrText xml:space="preserve"> ADDIN ZOTERO_ITEM CSL_CITATION {"citationID":"zXnKfla7","properties":{"formattedCitation":"(Henkin 2009)","plainCitation":"(Henkin 2009)","noteIndex":0},"citationItems":[{"id":1453,"uris":["http://zotero.org/users/6396655/items/PQMB5JA4"],"itemData":{"id":1453,"type":"book","edition":"2nd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00496D7D">
        <w:rPr>
          <w:rFonts w:cs="Linux Libertine"/>
        </w:rPr>
        <w:t>(Henkin 2009)</w:t>
      </w:r>
      <w:r w:rsidRPr="00E0754A">
        <w:fldChar w:fldCharType="end"/>
      </w:r>
      <w:r w:rsidRPr="00E0754A">
        <w:t xml:space="preserve">. Articles 27, 28I, 28D, and 28H of the Indonesian Constitution of 1945 expressly protect both the nondiscrimination and equality values </w:t>
      </w:r>
      <w:r w:rsidRPr="00E0754A">
        <w:fldChar w:fldCharType="begin"/>
      </w:r>
      <w:r w:rsidR="00496D7D">
        <w:instrText xml:space="preserve"> ADDIN ZOTERO_ITEM CSL_CITATION {"citationID":"UYZ6Uhwt","properties":{"formattedCitation":"(Eddyono 2016)","plainCitation":"(Eddyono 2016)","noteIndex":0},"citationItems":[{"id":1886,"uris":["http://zotero.org/users/6396655/items/3LPJS4V5"],"itemData":{"id":1886,"type":"article-journal","container-title":"Constitutional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00496D7D">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18798E99" w14:textId="69BE241A" w:rsidR="00162E8A" w:rsidRPr="003C7864" w:rsidRDefault="00162E8A" w:rsidP="003C7864">
      <w:pPr>
        <w:pStyle w:val="ParagraphNormal"/>
      </w:pPr>
      <w:r w:rsidRPr="00E0754A">
        <w:t xml:space="preserve">The CCIR has supported the principles of nondiscrimination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84"/>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85"/>
      </w:r>
      <w:r w:rsidRPr="00E0754A">
        <w:t xml:space="preserve"> In this regard, the CCIR has utilized the Particular Constitutionalism theory, which interprets the Constitution's enshrined Human Rights principles in a restrictive meaning.</w:t>
      </w:r>
    </w:p>
    <w:p w14:paraId="3D3C57EF" w14:textId="77777777" w:rsidR="003C7864" w:rsidRPr="00672A6A" w:rsidRDefault="003C7864" w:rsidP="003C7864">
      <w:pPr>
        <w:pStyle w:val="ParagraphNormal"/>
        <w:rPr>
          <w:rFonts w:cs="Linux Libertine"/>
          <w:lang w:val="en-US"/>
        </w:rPr>
      </w:pPr>
      <w:r w:rsidRPr="00672A6A">
        <w:rPr>
          <w:rFonts w:cs="Linux Libertine"/>
          <w:lang w:val="en-US"/>
        </w:rPr>
        <w:lastRenderedPageBreak/>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672A6A" w:rsidRDefault="003C7864" w:rsidP="003C7864">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86"/>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672A6A" w:rsidRDefault="003C7864" w:rsidP="003C7864">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t>
      </w:r>
      <w:r w:rsidRPr="00672A6A">
        <w:rPr>
          <w:rFonts w:cs="Linux Libertine"/>
          <w:lang w:val="en-US"/>
        </w:rPr>
        <w:lastRenderedPageBreak/>
        <w:t xml:space="preserve">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672A6A" w:rsidRDefault="00441CCC" w:rsidP="00441CCC">
      <w:pPr>
        <w:rPr>
          <w:rFonts w:cs="Linux Libertine"/>
        </w:rPr>
      </w:pPr>
    </w:p>
    <w:p w14:paraId="569DB1FC" w14:textId="77777777" w:rsidR="001C3216" w:rsidRPr="001C3216" w:rsidRDefault="003C7864" w:rsidP="001C3216">
      <w:pPr>
        <w:spacing w:line="360" w:lineRule="auto"/>
        <w:jc w:val="both"/>
        <w:rPr>
          <w:rFonts w:cs="Linux Libertine"/>
          <w:color w:val="FF0000"/>
        </w:rPr>
      </w:pPr>
      <w:r w:rsidRPr="003C7864">
        <w:rPr>
          <w:rFonts w:cs="Linux Libertine"/>
          <w:color w:val="FF0000"/>
        </w:rPr>
        <w:tab/>
      </w:r>
      <w:r w:rsidR="001C3216" w:rsidRPr="001C3216">
        <w:rPr>
          <w:rFonts w:cs="Linux Libertine"/>
          <w:color w:val="FF0000"/>
        </w:rPr>
        <w:t>The current development of Indonesia's ABL, especially during the era of Joko Widodo, has increasingly undermined the principle of the rule of law. The principle of the rule of law requires law to be supreme, which necessitates precise and clear laws that cannot be achieved under the ABL regime, which contains ambiguous provisions that have yet to be revised or even maintained with the approval of the EIT Law in 2008 and its amendment in 2016.</w:t>
      </w:r>
    </w:p>
    <w:p w14:paraId="5A22FF2D" w14:textId="7AC1EE5B" w:rsidR="003C7864" w:rsidRDefault="001C3216" w:rsidP="00C8473A">
      <w:pPr>
        <w:spacing w:line="360" w:lineRule="auto"/>
        <w:ind w:firstLine="720"/>
        <w:jc w:val="both"/>
        <w:rPr>
          <w:rFonts w:cs="Linux Libertine"/>
          <w:color w:val="FF0000"/>
        </w:rPr>
      </w:pPr>
      <w:r w:rsidRPr="001C3216">
        <w:rPr>
          <w:rFonts w:cs="Linux Libertine"/>
          <w:color w:val="FF0000"/>
        </w:rPr>
        <w:t>Upholding the rule of law means giving optimal respect for the human rights of citizens. The Constitutional Court, expected to be a human rights protector, failed to annul the discriminatory provisions of the ABL. The ABL, which provides primary protection for orthodox religions and targets new religions or traditional beliefs or non-religious beliefs, was not deemed discriminatory by the Constitutional Court as a norm that could damage the constitutionality of a Law. The inability of the Constitutional Court to distinguish between the internal and external aspects of freedom of religion and its failure to incorporate the principle of non-discrimination in limiting the right to practice religion in external spaces indicates that the Court does not fully understand the norms of international human rights law. Though the Court has been able to effectively adopt the principle of non-discrimination in other cases, such as when it invalidated an article in the Citizenship Law that prohibited citizens from indicating their "belief" on their identification card, it did not consider the principle of non-discrimination as violated by the Anti-Blasphemy Law when it was reviewed. The pressure from hardline Islamic groups and strong government support for upholding the Anti-Blasphemy Law during the trial indicate that the Court's independence is being questioned.</w:t>
      </w:r>
    </w:p>
    <w:p w14:paraId="5E396304" w14:textId="4E5157ED" w:rsidR="003C7864" w:rsidRPr="003C7864" w:rsidRDefault="001C3216" w:rsidP="003C7864">
      <w:pPr>
        <w:spacing w:line="360" w:lineRule="auto"/>
        <w:ind w:firstLine="720"/>
        <w:jc w:val="both"/>
        <w:rPr>
          <w:rFonts w:cs="Linux Libertine"/>
          <w:color w:val="FF0000"/>
        </w:rPr>
      </w:pPr>
      <w:r w:rsidRPr="001C3216">
        <w:rPr>
          <w:rFonts w:cs="Linux Libertine"/>
          <w:color w:val="FF0000"/>
        </w:rPr>
        <w:t xml:space="preserve">Furthermore, the Constitutional Court has also disregarded the principle of legitimate and proportionate limitations. The ABL is continually being used to criminalize any act or statement that contains an interpretation of religious teachings that differs from orthodox religion or an urging to not follow a religion, which could </w:t>
      </w:r>
      <w:r w:rsidRPr="001C3216">
        <w:rPr>
          <w:rFonts w:cs="Linux Libertine"/>
          <w:color w:val="FF0000"/>
        </w:rPr>
        <w:lastRenderedPageBreak/>
        <w:t>be stigmatized as a deviant religious teaching and subject the perpetrator to criminal charges. This indicates that the development of the Anti-Blasphemy Law's legal and political aspect is moving in the opposite direction to the principles of the rule of law and degrading human rights.</w:t>
      </w:r>
    </w:p>
    <w:p w14:paraId="27EC635B" w14:textId="77777777" w:rsidR="00441CCC" w:rsidRPr="00672A6A" w:rsidRDefault="00441CCC" w:rsidP="003C7864">
      <w:pPr>
        <w:spacing w:line="360" w:lineRule="auto"/>
        <w:rPr>
          <w:rFonts w:cs="Linux Libertine"/>
        </w:rPr>
      </w:pPr>
    </w:p>
    <w:p w14:paraId="1988B707" w14:textId="77777777" w:rsidR="00441CCC" w:rsidRPr="00672A6A" w:rsidRDefault="00441CCC" w:rsidP="003C7864">
      <w:pPr>
        <w:spacing w:line="360" w:lineRule="auto"/>
        <w:rPr>
          <w:rFonts w:cs="Linux Libertine"/>
        </w:rPr>
      </w:pPr>
    </w:p>
    <w:p w14:paraId="7F3B3242" w14:textId="77777777" w:rsidR="00441CCC" w:rsidRPr="00672A6A" w:rsidRDefault="00441CCC" w:rsidP="003C7864">
      <w:pPr>
        <w:spacing w:line="360" w:lineRule="auto"/>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39071CF0" w:rsidR="00441CCC" w:rsidRPr="00672A6A" w:rsidRDefault="008C07D6" w:rsidP="00CC45BD">
      <w:pPr>
        <w:pStyle w:val="Heading1"/>
        <w:rPr>
          <w:rFonts w:cs="Linux Libertine"/>
        </w:rPr>
      </w:pPr>
      <w:r w:rsidRPr="00672A6A">
        <w:rPr>
          <w:rFonts w:cs="Linux Libertine"/>
        </w:rPr>
        <w:t xml:space="preserve">LAW ENFORCEMENT OF </w:t>
      </w:r>
      <w:r w:rsidR="001F5938">
        <w:rPr>
          <w:rFonts w:cs="Linux Libertine"/>
        </w:rPr>
        <w:t xml:space="preserve">THE </w:t>
      </w:r>
      <w:r w:rsidRPr="00672A6A">
        <w:rPr>
          <w:rFonts w:cs="Linux Libertine"/>
        </w:rPr>
        <w:t>INDONESIA'S ABL</w:t>
      </w:r>
      <w:r w:rsidR="00C6591A">
        <w:rPr>
          <w:rFonts w:cs="Linux Libertine"/>
        </w:rPr>
        <w:t xml:space="preserve"> AND </w:t>
      </w:r>
      <w:r w:rsidRPr="00672A6A">
        <w:rPr>
          <w:rFonts w:cs="Linux Libertine"/>
        </w:rPr>
        <w:t xml:space="preserve"> POLITICAL MANIPULATION </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2A006B35" w:rsidR="006A2A0F" w:rsidRDefault="006A2A0F" w:rsidP="006A2A0F">
      <w:pPr>
        <w:pStyle w:val="ParagraphafSubheader"/>
        <w:ind w:firstLine="540"/>
        <w:rPr>
          <w:rFonts w:cs="Linux Libertine"/>
        </w:rPr>
      </w:pPr>
      <w:r w:rsidRPr="00672A6A">
        <w:rPr>
          <w:rFonts w:cs="Linux Libertine"/>
        </w:rPr>
        <w:t xml:space="preserve">Several publications on Indonesia's anti-blasphemy legislation have highlighted normative legal study throughout the past decade </w:t>
      </w:r>
      <w:r w:rsidRPr="00672A6A">
        <w:rPr>
          <w:rFonts w:cs="Linux Libertine"/>
        </w:rPr>
        <w:fldChar w:fldCharType="begin"/>
      </w:r>
      <w:r w:rsidR="00496D7D">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2010)","noteIndex":0},"citationItems":[{"id":1443,"uris":["http://zotero.org/users/6396655/items/ZZFFLSGP"],"itemData":{"id":1443,"type":"book","event-place":"Jakarta","ISBN":"978-979-97057-8-5","number-of-pages":"125","publisher":"Indonesian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A"}],"issued":{"date-parts":[["2011"]]}}},{"id":1425,"uris":["http://zotero.org/users/6396655/items/9P7C6C9Z"],"itemData":{"id":1425,"type":"book","publisher":"United States Commission on International Religious Freedom","title":"Respecting Rights?: Measuring the World's Blasphemy Laws","URL":"https://books.google.co.id/books?id=35RsswEACAAJ","author":[{"family":"Fiss","given":"J."},{"family":"Kestenbaum","given":"J.G."}],"issued":{"date-parts":[["2017"]]}}},{"id":1444,"uris":["http://zotero.org/users/6396655/items/YVQ7UJUY"],"itemData":{"id":1444,"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00496D7D" w:rsidRPr="00496D7D">
        <w:rPr>
          <w:rFonts w:cs="Linux Libertine"/>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w:t>
      </w:r>
      <w:r w:rsidR="00C75C62">
        <w:rPr>
          <w:rFonts w:cs="Linux Libertine"/>
        </w:rPr>
        <w:t>l</w:t>
      </w:r>
      <w:r w:rsidRPr="00672A6A">
        <w:rPr>
          <w:rFonts w:cs="Linux Libertine"/>
        </w:rPr>
        <w:t xml:space="preserve">egislation </w:t>
      </w:r>
      <w:r w:rsidR="00C75C62">
        <w:rPr>
          <w:rFonts w:cs="Linux Libertine"/>
        </w:rPr>
        <w:t>a</w:t>
      </w:r>
      <w:r w:rsidRPr="00672A6A">
        <w:rPr>
          <w:rFonts w:cs="Linux Libertine"/>
        </w:rPr>
        <w:t xml:space="preserve">gainst </w:t>
      </w:r>
      <w:r w:rsidR="00C75C62">
        <w:rPr>
          <w:rFonts w:cs="Linux Libertine"/>
        </w:rPr>
        <w:t>b</w:t>
      </w:r>
      <w:r w:rsidRPr="00672A6A">
        <w:rPr>
          <w:rFonts w:cs="Linux Libertine"/>
        </w:rPr>
        <w:t xml:space="preserve">lasphemy of </w:t>
      </w:r>
      <w:r w:rsidR="00C75C62">
        <w:rPr>
          <w:rFonts w:cs="Linux Libertine"/>
        </w:rPr>
        <w:t>r</w:t>
      </w:r>
      <w:r w:rsidRPr="00672A6A">
        <w:rPr>
          <w:rFonts w:cs="Linux Libertine"/>
        </w:rPr>
        <w:t xml:space="preserve">eligion, where the substance is inconsistent with international human rights law, resulting in discriminatory treatment of minority religious groups and a danger to religious liberty. </w:t>
      </w:r>
    </w:p>
    <w:p w14:paraId="2B63C275" w14:textId="177053B7" w:rsidR="001F5938" w:rsidRPr="00672A6A" w:rsidRDefault="001F5938" w:rsidP="00C75C62">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r w:rsidR="00C75C62">
        <w:rPr>
          <w:rFonts w:cs="Linux Libertine"/>
        </w:rPr>
        <w:t xml:space="preserve"> </w:t>
      </w: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550B37CE" w14:textId="77777777" w:rsidR="00C75C62" w:rsidRDefault="001F5938" w:rsidP="00C75C62">
      <w:pPr>
        <w:spacing w:line="360" w:lineRule="auto"/>
        <w:ind w:firstLine="720"/>
        <w:jc w:val="both"/>
        <w:rPr>
          <w:rFonts w:cs="Linux Libertine"/>
        </w:rPr>
      </w:pPr>
      <w:r>
        <w:rPr>
          <w:rFonts w:cs="Linux Libertine"/>
        </w:rPr>
        <w:t>Furthermore, t</w:t>
      </w:r>
      <w:r w:rsidRPr="00672A6A">
        <w:rPr>
          <w:rFonts w:cs="Linux Libertine"/>
        </w:rPr>
        <w:t xml:space="preserve">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w:t>
      </w:r>
      <w:r w:rsidRPr="00672A6A">
        <w:rPr>
          <w:rFonts w:cs="Linux Libertine"/>
        </w:rPr>
        <w:lastRenderedPageBreak/>
        <w:t>"violate the human right to freedom of thought, conscience, and religion" (Amnesty International, 2021). Similarly, the United Nations has urged countries to review their blasphemy laws and ensure they comply with international human rights standards (United Nations, 2011).</w:t>
      </w:r>
      <w:r w:rsidR="00C75C62">
        <w:rPr>
          <w:rFonts w:cs="Linux Libertine"/>
        </w:rPr>
        <w:t xml:space="preserve"> </w:t>
      </w:r>
    </w:p>
    <w:p w14:paraId="39703602" w14:textId="0DB3662B" w:rsidR="00C8473A" w:rsidRPr="00C75C62" w:rsidRDefault="00C8473A" w:rsidP="00C75C62">
      <w:pPr>
        <w:spacing w:line="360" w:lineRule="auto"/>
        <w:ind w:firstLine="720"/>
        <w:jc w:val="both"/>
        <w:rPr>
          <w:rFonts w:cs="Linux Libertine"/>
        </w:rPr>
      </w:pPr>
      <w:r>
        <w:t>The essence of the rule of law stresses that social problems must be tackled through legal mechanisms established by law or by leaving the resolution to law enforcers, rather than by the community through vigilantism. Allowing individuals to take the law into their own hands is not only against the law but also a violation of human rights. The state, through its law enforcement system, has a primary obligation to safeguard the human rights of its citizens if they become victims of vigilante attacks or any other type of violence.</w:t>
      </w:r>
      <w:r w:rsidR="00C75C62">
        <w:t xml:space="preserve"> </w:t>
      </w:r>
      <w:r>
        <w:t>Article 1 paragraph 3 of the Indonesian Constitution states that "the State of Indonesia is a state based on the rule of law." However, in enforcing the ABL, there has been a noticeable phenomenon of vigilante justice or "Main Hakim Sendiri" against minority groups. Vigilante justice is one of the most prominent effects of the enforcement of the ABL, and it will be the focus of examination in this chapter.</w:t>
      </w:r>
    </w:p>
    <w:p w14:paraId="1B3E3A9A" w14:textId="49ED5F65" w:rsidR="00C8473A" w:rsidRPr="00C75C62" w:rsidRDefault="00C8473A" w:rsidP="00C75C62">
      <w:pPr>
        <w:pStyle w:val="ParagraphNormal"/>
        <w:rPr>
          <w:color w:val="FF0000"/>
        </w:rPr>
      </w:pPr>
      <w:r>
        <w:t>Accusations of blasphemy against religious minorities, such as the Ahmadiyya, Gafatar, and Meiliana cases, have led to the occurrence of vigilantism judgments, which continue to gain public attention.</w:t>
      </w:r>
      <w:r w:rsidRPr="00E0754A">
        <w:t xml:space="preserve"> Previous research suggested that </w:t>
      </w:r>
      <w:r w:rsidRPr="00E0754A">
        <w:rPr>
          <w:rStyle w:val="Emphasis"/>
          <w:color w:val="252525"/>
        </w:rPr>
        <w:t>MHS</w:t>
      </w:r>
      <w:r w:rsidRPr="00E0754A">
        <w:t xml:space="preserve"> activities typically happened during political transitions </w:t>
      </w:r>
      <w:r w:rsidRPr="00E0754A">
        <w:fldChar w:fldCharType="begin"/>
      </w:r>
      <w:r w:rsidR="00496D7D">
        <w:instrText xml:space="preserve"> ADDIN ZOTERO_ITEM CSL_CITATION {"citationID":"D4sYlag0","properties":{"formattedCitation":"(Marzuki 2017)","plainCitation":"(Marzuki 2017)","noteIndex":0},"citationItems":[{"id":2042,"uris":["http://zotero.org/users/6396655/items/TDANESSR"],"itemData":{"id":2042,"type":"book","ISBN":"978-602-7985-16-2","publisher":"Prenada Media","title":"Penelitian Hukum","author":[{"family":"Marzuki","given":"Peter Mahmud"}],"issued":{"date-parts":[["2017"]]}}}],"schema":"https://github.com/citation-style-language/schema/raw/master/csl-citation.json"} </w:instrText>
      </w:r>
      <w:r w:rsidRPr="00E0754A">
        <w:fldChar w:fldCharType="separate"/>
      </w:r>
      <w:r w:rsidR="00496D7D">
        <w:rPr>
          <w:rFonts w:cs="Linux Libertine"/>
        </w:rPr>
        <w:t>(Marzuki 2017)</w:t>
      </w:r>
      <w:r w:rsidRPr="00E0754A">
        <w:fldChar w:fldCharType="end"/>
      </w:r>
      <w:r>
        <w:t xml:space="preserve">. </w:t>
      </w:r>
      <w:r w:rsidRPr="00E0754A">
        <w:t xml:space="preserve"> </w:t>
      </w:r>
      <w:r>
        <w:t>Other</w:t>
      </w:r>
      <w:r w:rsidRPr="00E0754A">
        <w:t xml:space="preserve"> </w:t>
      </w:r>
      <w:r>
        <w:t xml:space="preserve">experts focused to study </w:t>
      </w:r>
      <w:r w:rsidRPr="00E0754A">
        <w:rPr>
          <w:rStyle w:val="Emphasis"/>
          <w:color w:val="252525"/>
        </w:rPr>
        <w:t xml:space="preserve">MHS </w:t>
      </w:r>
      <w:r>
        <w:t>in relation to</w:t>
      </w:r>
      <w:r w:rsidRPr="00E0754A">
        <w:t xml:space="preserve"> perpetrator's criminal liability </w:t>
      </w:r>
      <w:r w:rsidRPr="00E0754A">
        <w:fldChar w:fldCharType="begin"/>
      </w:r>
      <w:r w:rsidR="00496D7D">
        <w:instrText xml:space="preserve"> ADDIN ZOTERO_ITEM CSL_CITATION {"citationID":"JRvQq4Ih","properties":{"formattedCitation":"(Panjaitan and Wijaya 2018; Rambe 2018)","plainCitation":"(Panjaitan and Wijaya 2018; Rambe 2018)","noteIndex":0},"citationItems":[{"id":2037,"uris":["http://zotero.org/users/6396655/items/GBRX6LSC"],"itemData":{"id":2037,"type":"article-journal","container-title":"Jurnal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2040,"uris":["http://zotero.org/users/6396655/items/TSFG4PRC"],"itemData":{"id":2040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E0754A">
        <w:fldChar w:fldCharType="separate"/>
      </w:r>
      <w:r w:rsidR="00496D7D">
        <w:rPr>
          <w:rFonts w:cs="Linux Libertine"/>
        </w:rPr>
        <w:t>(Panjaitan and Wijaya 2018; Rambe 2018)</w:t>
      </w:r>
      <w:r w:rsidRPr="00E0754A">
        <w:fldChar w:fldCharType="end"/>
      </w:r>
      <w:r w:rsidRPr="00E0754A">
        <w:t xml:space="preserve">. This study focuses on examining the activities of </w:t>
      </w:r>
      <w:r w:rsidRPr="00E0754A">
        <w:rPr>
          <w:i/>
          <w:iCs/>
        </w:rPr>
        <w:t>MHS</w:t>
      </w:r>
      <w:r w:rsidRPr="00E0754A">
        <w:t xml:space="preserve"> that have escalated over the past decade following the </w:t>
      </w:r>
      <w:r>
        <w:t>enforcement of the ABL</w:t>
      </w:r>
      <w:r w:rsidRPr="00E0754A">
        <w:t xml:space="preserve">.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more planned acts backed by the government. Pratiwi, CS., and Sunaryo, S. </w:t>
      </w:r>
      <w:r w:rsidRPr="00E0754A">
        <w:fldChar w:fldCharType="begin"/>
      </w:r>
      <w:r w:rsidR="00496D7D">
        <w:instrText xml:space="preserve"> ADDIN ZOTERO_ITEM CSL_CITATION {"citationID":"RXYxBuJ5","properties":{"formattedCitation":"(2021)","plainCitation":"(2021)","noteIndex":0},"citationItems":[{"id":1906,"uris":["http://zotero.org/users/6396655/items/LRV9W25J"],"itemData":{"id":1906,"type":"article-journal","container-title":"Muslim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E0754A">
        <w:fldChar w:fldCharType="separate"/>
      </w:r>
      <w:r w:rsidR="00496D7D">
        <w:rPr>
          <w:rFonts w:cs="Linux Libertine"/>
        </w:rPr>
        <w:t>(2021)</w:t>
      </w:r>
      <w:r w:rsidRPr="00E0754A">
        <w:fldChar w:fldCharType="end"/>
      </w:r>
      <w:r w:rsidRPr="00E0754A">
        <w:t xml:space="preserve">  </w:t>
      </w:r>
      <w:r>
        <w:t>argue</w:t>
      </w:r>
      <w:r w:rsidRPr="00E0754A">
        <w:t xml:space="preserve"> that vigilante violence surrounding</w:t>
      </w:r>
      <w:r>
        <w:t xml:space="preserve"> </w:t>
      </w:r>
      <w:r w:rsidRPr="00E0754A">
        <w:t xml:space="preserve">charges of blasphemy in numerous nations, </w:t>
      </w:r>
      <w:r w:rsidRPr="00E0754A">
        <w:lastRenderedPageBreak/>
        <w:t>including Pakistan, Malaysia, and Indonesia, cannot be isolated from structural violence caused by the state through the preservation of legislation.</w:t>
      </w:r>
    </w:p>
    <w:p w14:paraId="35DBF7E9" w14:textId="5B0D6340" w:rsidR="00C8473A" w:rsidRDefault="00C8473A" w:rsidP="00C8473A">
      <w:pPr>
        <w:pStyle w:val="ParagraphNormal"/>
        <w:rPr>
          <w:rFonts w:cs="Linux Libertine"/>
        </w:rPr>
      </w:pPr>
      <w:r w:rsidRPr="00672A6A">
        <w:rPr>
          <w:rFonts w:cs="Linux Libertine"/>
        </w:rPr>
        <w:t xml:space="preserve">This chapter seeks to investigate </w:t>
      </w:r>
      <w:r>
        <w:rPr>
          <w:rFonts w:cs="Linux Libertine"/>
        </w:rPr>
        <w:t>factors and actors shaped blasphemy enforcement and</w:t>
      </w:r>
      <w:r w:rsidRPr="00672A6A">
        <w:rPr>
          <w:rFonts w:cs="Linux Libertine"/>
        </w:rPr>
        <w:t xml:space="preserve"> </w:t>
      </w:r>
      <w:r>
        <w:rPr>
          <w:rFonts w:cs="Linux Libertine"/>
        </w:rPr>
        <w:t>t</w:t>
      </w:r>
      <w:r w:rsidRPr="00672A6A">
        <w:rPr>
          <w:rFonts w:cs="Linux Libertine"/>
        </w:rPr>
        <w:t xml:space="preserve">o what degree is political manipulation of religion behind Indonesia's widespread prosecution of blasphemy cases? </w:t>
      </w:r>
    </w:p>
    <w:p w14:paraId="04E75CE6" w14:textId="77777777" w:rsidR="00C8473A" w:rsidRDefault="00C8473A" w:rsidP="00C8473A">
      <w:pPr>
        <w:pStyle w:val="ParagraphNormal"/>
        <w:rPr>
          <w:rFonts w:cs="Linux Libertine"/>
        </w:rPr>
      </w:pPr>
    </w:p>
    <w:p w14:paraId="09375A04" w14:textId="1272D977" w:rsidR="00C8473A" w:rsidRPr="00C8473A" w:rsidRDefault="00C8473A" w:rsidP="00C8473A">
      <w:pPr>
        <w:pStyle w:val="ParagraphNormal"/>
        <w:ind w:firstLine="0"/>
        <w:rPr>
          <w:rFonts w:cs="Linux Libertine"/>
          <w:b/>
          <w:bCs/>
        </w:rPr>
      </w:pPr>
      <w:r w:rsidRPr="00C8473A">
        <w:rPr>
          <w:rFonts w:cs="Linux Libertine"/>
          <w:b/>
          <w:bCs/>
        </w:rPr>
        <w:t xml:space="preserve">5.2. An overview of blasphemy </w:t>
      </w:r>
      <w:r>
        <w:rPr>
          <w:rFonts w:cs="Linux Libertine"/>
          <w:b/>
          <w:bCs/>
        </w:rPr>
        <w:t xml:space="preserve">law </w:t>
      </w:r>
      <w:r w:rsidRPr="00C8473A">
        <w:rPr>
          <w:rFonts w:cs="Linux Libertine"/>
          <w:b/>
          <w:bCs/>
        </w:rPr>
        <w:t>enforcement in Indonesia</w:t>
      </w:r>
    </w:p>
    <w:p w14:paraId="2576A067" w14:textId="19B154F8" w:rsidR="00C8473A" w:rsidRDefault="00C75C62" w:rsidP="00C75C62">
      <w:pPr>
        <w:pStyle w:val="ParagraphNormal"/>
        <w:ind w:firstLine="0"/>
        <w:rPr>
          <w:lang w:val="en-US"/>
        </w:rPr>
      </w:pPr>
      <w:r>
        <w:tab/>
      </w:r>
    </w:p>
    <w:p w14:paraId="52F45A58" w14:textId="77777777" w:rsidR="00C8473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C8473A" w:rsidRPr="00F56661" w14:paraId="65EB0E81" w14:textId="77777777" w:rsidTr="00ED0FE2">
        <w:tc>
          <w:tcPr>
            <w:tcW w:w="481" w:type="dxa"/>
            <w:shd w:val="clear" w:color="auto" w:fill="D9E2F3" w:themeFill="accent1" w:themeFillTint="33"/>
          </w:tcPr>
          <w:p w14:paraId="033AD463" w14:textId="77777777" w:rsidR="00C8473A" w:rsidRPr="00F56661" w:rsidRDefault="00C8473A" w:rsidP="00ED0FE2">
            <w:pPr>
              <w:rPr>
                <w:rFonts w:cs="Linux Libertine"/>
                <w:sz w:val="22"/>
                <w:szCs w:val="22"/>
              </w:rPr>
            </w:pPr>
            <w:r w:rsidRPr="00F56661">
              <w:rPr>
                <w:rFonts w:cs="Linux Libertine"/>
                <w:sz w:val="22"/>
                <w:szCs w:val="22"/>
              </w:rPr>
              <w:t>No</w:t>
            </w:r>
          </w:p>
        </w:tc>
        <w:tc>
          <w:tcPr>
            <w:tcW w:w="952" w:type="dxa"/>
            <w:shd w:val="clear" w:color="auto" w:fill="D9E2F3" w:themeFill="accent1" w:themeFillTint="33"/>
          </w:tcPr>
          <w:p w14:paraId="02F29B75" w14:textId="77777777" w:rsidR="00C8473A" w:rsidRPr="00F56661" w:rsidRDefault="00C8473A" w:rsidP="00ED0FE2">
            <w:pPr>
              <w:rPr>
                <w:rFonts w:cs="Linux Libertine"/>
                <w:sz w:val="22"/>
                <w:szCs w:val="22"/>
              </w:rPr>
            </w:pPr>
            <w:r w:rsidRPr="00F56661">
              <w:rPr>
                <w:rFonts w:cs="Linux Libertine"/>
                <w:sz w:val="22"/>
                <w:szCs w:val="22"/>
              </w:rPr>
              <w:t>Year</w:t>
            </w:r>
          </w:p>
        </w:tc>
        <w:tc>
          <w:tcPr>
            <w:tcW w:w="1696" w:type="dxa"/>
            <w:shd w:val="clear" w:color="auto" w:fill="D9E2F3" w:themeFill="accent1" w:themeFillTint="33"/>
          </w:tcPr>
          <w:p w14:paraId="3042818B" w14:textId="77777777" w:rsidR="00C8473A" w:rsidRPr="00F56661" w:rsidRDefault="00C8473A" w:rsidP="00ED0FE2">
            <w:pPr>
              <w:rPr>
                <w:rFonts w:cs="Linux Libertine"/>
                <w:sz w:val="22"/>
                <w:szCs w:val="22"/>
              </w:rPr>
            </w:pPr>
            <w:r w:rsidRPr="00F56661">
              <w:rPr>
                <w:rFonts w:cs="Linux Libertine"/>
                <w:sz w:val="22"/>
                <w:szCs w:val="22"/>
              </w:rPr>
              <w:t>Court’s Location</w:t>
            </w:r>
          </w:p>
        </w:tc>
        <w:tc>
          <w:tcPr>
            <w:tcW w:w="1557" w:type="dxa"/>
            <w:shd w:val="clear" w:color="auto" w:fill="D9E2F3" w:themeFill="accent1" w:themeFillTint="33"/>
          </w:tcPr>
          <w:p w14:paraId="02707827" w14:textId="77777777" w:rsidR="00C8473A" w:rsidRPr="00F56661" w:rsidRDefault="00C8473A" w:rsidP="00ED0FE2">
            <w:pPr>
              <w:rPr>
                <w:rFonts w:cs="Linux Libertine"/>
                <w:sz w:val="22"/>
                <w:szCs w:val="22"/>
              </w:rPr>
            </w:pPr>
            <w:r w:rsidRPr="00F56661">
              <w:rPr>
                <w:rFonts w:cs="Linux Libertine"/>
                <w:sz w:val="22"/>
                <w:szCs w:val="22"/>
              </w:rPr>
              <w:t>Defendant’s Name / Religions</w:t>
            </w:r>
          </w:p>
        </w:tc>
        <w:tc>
          <w:tcPr>
            <w:tcW w:w="2825" w:type="dxa"/>
            <w:shd w:val="clear" w:color="auto" w:fill="D9E2F3" w:themeFill="accent1" w:themeFillTint="33"/>
          </w:tcPr>
          <w:p w14:paraId="2FBE2704" w14:textId="77777777" w:rsidR="00C8473A" w:rsidRPr="00F56661" w:rsidRDefault="00C8473A" w:rsidP="00ED0FE2">
            <w:pPr>
              <w:rPr>
                <w:rFonts w:cs="Linux Libertine"/>
                <w:sz w:val="22"/>
                <w:szCs w:val="22"/>
              </w:rPr>
            </w:pPr>
            <w:r w:rsidRPr="00F56661">
              <w:rPr>
                <w:rFonts w:cs="Linux Libertine"/>
                <w:sz w:val="22"/>
                <w:szCs w:val="22"/>
              </w:rPr>
              <w:t>Allegation of Crime</w:t>
            </w:r>
          </w:p>
        </w:tc>
        <w:tc>
          <w:tcPr>
            <w:tcW w:w="1839" w:type="dxa"/>
            <w:shd w:val="clear" w:color="auto" w:fill="D9E2F3" w:themeFill="accent1" w:themeFillTint="33"/>
          </w:tcPr>
          <w:p w14:paraId="2CEB9CCC" w14:textId="77777777" w:rsidR="00C8473A" w:rsidRPr="00F56661" w:rsidRDefault="00C8473A" w:rsidP="00ED0FE2">
            <w:pPr>
              <w:rPr>
                <w:rFonts w:cs="Linux Libertine"/>
                <w:sz w:val="22"/>
                <w:szCs w:val="22"/>
              </w:rPr>
            </w:pPr>
            <w:r w:rsidRPr="00F56661">
              <w:rPr>
                <w:rFonts w:cs="Linux Libertine"/>
                <w:sz w:val="22"/>
                <w:szCs w:val="22"/>
              </w:rPr>
              <w:t>Charges</w:t>
            </w:r>
          </w:p>
        </w:tc>
      </w:tr>
      <w:tr w:rsidR="00C8473A" w:rsidRPr="00F56661" w14:paraId="378DEC33" w14:textId="77777777" w:rsidTr="00ED0FE2">
        <w:tc>
          <w:tcPr>
            <w:tcW w:w="481" w:type="dxa"/>
          </w:tcPr>
          <w:p w14:paraId="05986740" w14:textId="77777777" w:rsidR="00C8473A" w:rsidRPr="00F56661" w:rsidRDefault="00C8473A" w:rsidP="00ED0FE2">
            <w:pPr>
              <w:rPr>
                <w:rFonts w:cs="Linux Libertine"/>
                <w:sz w:val="22"/>
                <w:szCs w:val="22"/>
              </w:rPr>
            </w:pPr>
            <w:r w:rsidRPr="00F56661">
              <w:rPr>
                <w:rFonts w:cs="Linux Libertine"/>
                <w:sz w:val="22"/>
                <w:szCs w:val="22"/>
              </w:rPr>
              <w:t>1</w:t>
            </w:r>
          </w:p>
        </w:tc>
        <w:tc>
          <w:tcPr>
            <w:tcW w:w="952" w:type="dxa"/>
          </w:tcPr>
          <w:p w14:paraId="42BDA372" w14:textId="77777777" w:rsidR="00C8473A" w:rsidRPr="00F56661" w:rsidRDefault="00C8473A" w:rsidP="00ED0FE2">
            <w:pPr>
              <w:rPr>
                <w:rFonts w:cs="Linux Libertine"/>
                <w:sz w:val="22"/>
                <w:szCs w:val="22"/>
              </w:rPr>
            </w:pPr>
            <w:r w:rsidRPr="00F56661">
              <w:rPr>
                <w:rFonts w:cs="Linux Libertine"/>
                <w:sz w:val="22"/>
                <w:szCs w:val="22"/>
              </w:rPr>
              <w:t>1968</w:t>
            </w:r>
          </w:p>
        </w:tc>
        <w:tc>
          <w:tcPr>
            <w:tcW w:w="1696" w:type="dxa"/>
          </w:tcPr>
          <w:p w14:paraId="003411CD"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689BA097" w14:textId="77777777" w:rsidR="00C8473A" w:rsidRPr="00F56661" w:rsidRDefault="00C8473A" w:rsidP="00ED0FE2">
            <w:pPr>
              <w:rPr>
                <w:rFonts w:cs="Linux Libertine"/>
                <w:sz w:val="22"/>
                <w:szCs w:val="22"/>
              </w:rPr>
            </w:pPr>
            <w:r w:rsidRPr="00F56661">
              <w:rPr>
                <w:rFonts w:cs="Linux Libertine"/>
                <w:sz w:val="22"/>
                <w:szCs w:val="22"/>
              </w:rPr>
              <w:t>HB. Jassin / Moslem</w:t>
            </w:r>
          </w:p>
        </w:tc>
        <w:tc>
          <w:tcPr>
            <w:tcW w:w="2825" w:type="dxa"/>
          </w:tcPr>
          <w:p w14:paraId="356CA6C3" w14:textId="77777777" w:rsidR="00C8473A" w:rsidRPr="00F56661" w:rsidRDefault="00C8473A" w:rsidP="00ED0FE2">
            <w:pPr>
              <w:rPr>
                <w:rFonts w:cs="Linux Libertine"/>
                <w:sz w:val="22"/>
                <w:szCs w:val="22"/>
              </w:rPr>
            </w:pPr>
            <w:r w:rsidRPr="00F56661">
              <w:rPr>
                <w:rFonts w:cs="Linux Libertine"/>
                <w:sz w:val="22"/>
                <w:szCs w:val="22"/>
              </w:rPr>
              <w:t>As the head publisher of Sastra magazine that published the short story "The Sky is Getting Cloudy" by Ki Pandji Kusmin, in the year 1968.</w:t>
            </w:r>
          </w:p>
        </w:tc>
        <w:tc>
          <w:tcPr>
            <w:tcW w:w="1839" w:type="dxa"/>
          </w:tcPr>
          <w:p w14:paraId="244649E7"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 in addition to a two-year probationary term.</w:t>
            </w:r>
          </w:p>
        </w:tc>
      </w:tr>
      <w:tr w:rsidR="00C8473A" w:rsidRPr="00F56661" w14:paraId="51A03968" w14:textId="77777777" w:rsidTr="00ED0FE2">
        <w:tc>
          <w:tcPr>
            <w:tcW w:w="481" w:type="dxa"/>
          </w:tcPr>
          <w:p w14:paraId="5AAB2CBA" w14:textId="77777777" w:rsidR="00C8473A" w:rsidRPr="00F56661" w:rsidRDefault="00C8473A" w:rsidP="00ED0FE2">
            <w:pPr>
              <w:rPr>
                <w:rFonts w:cs="Linux Libertine"/>
                <w:sz w:val="22"/>
                <w:szCs w:val="22"/>
              </w:rPr>
            </w:pPr>
            <w:r w:rsidRPr="00F56661">
              <w:rPr>
                <w:rFonts w:cs="Linux Libertine"/>
                <w:sz w:val="22"/>
                <w:szCs w:val="22"/>
              </w:rPr>
              <w:t>2</w:t>
            </w:r>
          </w:p>
        </w:tc>
        <w:tc>
          <w:tcPr>
            <w:tcW w:w="952" w:type="dxa"/>
          </w:tcPr>
          <w:p w14:paraId="73DFD15B" w14:textId="77777777" w:rsidR="00C8473A" w:rsidRPr="00F56661" w:rsidRDefault="00C8473A" w:rsidP="00ED0FE2">
            <w:pPr>
              <w:rPr>
                <w:rFonts w:cs="Linux Libertine"/>
                <w:sz w:val="22"/>
                <w:szCs w:val="22"/>
              </w:rPr>
            </w:pPr>
            <w:r w:rsidRPr="00F56661">
              <w:rPr>
                <w:rFonts w:cs="Linux Libertine"/>
                <w:sz w:val="22"/>
                <w:szCs w:val="22"/>
              </w:rPr>
              <w:t>2005</w:t>
            </w:r>
          </w:p>
        </w:tc>
        <w:tc>
          <w:tcPr>
            <w:tcW w:w="1696" w:type="dxa"/>
          </w:tcPr>
          <w:p w14:paraId="6C6F7E93" w14:textId="77777777" w:rsidR="00C8473A" w:rsidRPr="00F56661" w:rsidRDefault="00C8473A" w:rsidP="00ED0FE2">
            <w:pPr>
              <w:rPr>
                <w:rFonts w:cs="Linux Libertine"/>
                <w:sz w:val="22"/>
                <w:szCs w:val="22"/>
              </w:rPr>
            </w:pPr>
            <w:r w:rsidRPr="00F56661">
              <w:rPr>
                <w:rFonts w:cs="Linux Libertine"/>
                <w:sz w:val="22"/>
                <w:szCs w:val="22"/>
              </w:rPr>
              <w:t>Polewali Mandar District Court</w:t>
            </w:r>
          </w:p>
        </w:tc>
        <w:tc>
          <w:tcPr>
            <w:tcW w:w="1557" w:type="dxa"/>
          </w:tcPr>
          <w:p w14:paraId="0C57CA9C" w14:textId="77777777" w:rsidR="00C8473A" w:rsidRPr="00F56661" w:rsidRDefault="00C8473A" w:rsidP="00ED0FE2">
            <w:pPr>
              <w:rPr>
                <w:rFonts w:cs="Linux Libertine"/>
                <w:sz w:val="22"/>
                <w:szCs w:val="22"/>
              </w:rPr>
            </w:pPr>
            <w:r w:rsidRPr="00F56661">
              <w:rPr>
                <w:rFonts w:cs="Linux Libertine"/>
                <w:sz w:val="22"/>
                <w:szCs w:val="22"/>
              </w:rPr>
              <w:t>Sumardin Tappayya / Moslem Minority</w:t>
            </w:r>
          </w:p>
        </w:tc>
        <w:tc>
          <w:tcPr>
            <w:tcW w:w="2825" w:type="dxa"/>
          </w:tcPr>
          <w:p w14:paraId="1F048A3B" w14:textId="77777777" w:rsidR="00C8473A" w:rsidRPr="00F56661" w:rsidRDefault="00C8473A" w:rsidP="00ED0FE2">
            <w:pPr>
              <w:rPr>
                <w:rFonts w:cs="Linux Libertine"/>
                <w:sz w:val="22"/>
                <w:szCs w:val="22"/>
              </w:rPr>
            </w:pPr>
            <w:r w:rsidRPr="00F56661">
              <w:rPr>
                <w:rFonts w:cs="Linux Libertine"/>
                <w:sz w:val="22"/>
                <w:szCs w:val="22"/>
              </w:rPr>
              <w:t>The village elder who practices whistle during prayer as a form of worship.</w:t>
            </w:r>
          </w:p>
        </w:tc>
        <w:tc>
          <w:tcPr>
            <w:tcW w:w="1839" w:type="dxa"/>
          </w:tcPr>
          <w:p w14:paraId="0C37BED2"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 in addition to a one year probationary term.</w:t>
            </w:r>
          </w:p>
        </w:tc>
      </w:tr>
      <w:tr w:rsidR="00C8473A" w:rsidRPr="00F56661" w14:paraId="29AEA4A5" w14:textId="77777777" w:rsidTr="00ED0FE2">
        <w:tc>
          <w:tcPr>
            <w:tcW w:w="481" w:type="dxa"/>
          </w:tcPr>
          <w:p w14:paraId="0AC730B0" w14:textId="77777777" w:rsidR="00C8473A" w:rsidRPr="00F56661" w:rsidRDefault="00C8473A" w:rsidP="00ED0FE2">
            <w:pPr>
              <w:rPr>
                <w:rFonts w:cs="Linux Libertine"/>
                <w:sz w:val="22"/>
                <w:szCs w:val="22"/>
              </w:rPr>
            </w:pPr>
            <w:r w:rsidRPr="00F56661">
              <w:rPr>
                <w:rFonts w:cs="Linux Libertine"/>
                <w:sz w:val="22"/>
                <w:szCs w:val="22"/>
              </w:rPr>
              <w:t>3</w:t>
            </w:r>
          </w:p>
        </w:tc>
        <w:tc>
          <w:tcPr>
            <w:tcW w:w="952" w:type="dxa"/>
          </w:tcPr>
          <w:p w14:paraId="16A3849D" w14:textId="77777777" w:rsidR="00C8473A" w:rsidRPr="00F56661" w:rsidRDefault="00C8473A" w:rsidP="00ED0FE2">
            <w:pPr>
              <w:rPr>
                <w:rFonts w:cs="Linux Libertine"/>
                <w:sz w:val="22"/>
                <w:szCs w:val="22"/>
              </w:rPr>
            </w:pPr>
            <w:r w:rsidRPr="00F56661">
              <w:rPr>
                <w:rFonts w:cs="Linux Libertine"/>
                <w:sz w:val="22"/>
                <w:szCs w:val="22"/>
              </w:rPr>
              <w:t>2008</w:t>
            </w:r>
          </w:p>
        </w:tc>
        <w:tc>
          <w:tcPr>
            <w:tcW w:w="1696" w:type="dxa"/>
          </w:tcPr>
          <w:p w14:paraId="1A23491D" w14:textId="77777777" w:rsidR="00C8473A" w:rsidRPr="00F56661" w:rsidRDefault="00C8473A" w:rsidP="00ED0FE2">
            <w:pPr>
              <w:rPr>
                <w:rFonts w:cs="Linux Libertine"/>
                <w:sz w:val="22"/>
                <w:szCs w:val="22"/>
              </w:rPr>
            </w:pPr>
            <w:r w:rsidRPr="00F56661">
              <w:rPr>
                <w:rFonts w:cs="Linux Libertine"/>
                <w:sz w:val="22"/>
                <w:szCs w:val="22"/>
              </w:rPr>
              <w:t>Makassar District Court</w:t>
            </w:r>
          </w:p>
        </w:tc>
        <w:tc>
          <w:tcPr>
            <w:tcW w:w="1557" w:type="dxa"/>
          </w:tcPr>
          <w:p w14:paraId="56B89B5A" w14:textId="77777777" w:rsidR="00C8473A" w:rsidRPr="00F56661" w:rsidRDefault="00C8473A" w:rsidP="00ED0FE2">
            <w:pPr>
              <w:rPr>
                <w:rFonts w:cs="Linux Libertine"/>
                <w:sz w:val="22"/>
                <w:szCs w:val="22"/>
              </w:rPr>
            </w:pPr>
            <w:r w:rsidRPr="00F56661">
              <w:rPr>
                <w:rFonts w:cs="Linux Libertine"/>
                <w:sz w:val="22"/>
                <w:szCs w:val="22"/>
              </w:rPr>
              <w:t>Hikmat Faturiddin, Abdul Qadri, Fadli, Maulid Syawal and Asrul AB / Moslem Minority</w:t>
            </w:r>
          </w:p>
        </w:tc>
        <w:tc>
          <w:tcPr>
            <w:tcW w:w="2825" w:type="dxa"/>
          </w:tcPr>
          <w:p w14:paraId="032C9FEB" w14:textId="77777777" w:rsidR="00C8473A" w:rsidRPr="00F56661" w:rsidRDefault="00C8473A" w:rsidP="00ED0FE2">
            <w:pPr>
              <w:rPr>
                <w:rFonts w:cs="Linux Libertine"/>
                <w:sz w:val="22"/>
                <w:szCs w:val="22"/>
              </w:rPr>
            </w:pPr>
            <w:r w:rsidRPr="00F56661">
              <w:rPr>
                <w:rFonts w:cs="Linux Libertine"/>
                <w:sz w:val="22"/>
                <w:szCs w:val="22"/>
              </w:rPr>
              <w:t>To become a member of the Al-Qiyadah faith.</w:t>
            </w:r>
          </w:p>
        </w:tc>
        <w:tc>
          <w:tcPr>
            <w:tcW w:w="1839" w:type="dxa"/>
          </w:tcPr>
          <w:p w14:paraId="61FFB424"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 in addition to a six months probationary term.</w:t>
            </w:r>
          </w:p>
        </w:tc>
      </w:tr>
      <w:tr w:rsidR="00C8473A" w:rsidRPr="00F56661" w14:paraId="089B723A" w14:textId="77777777" w:rsidTr="00ED0FE2">
        <w:tc>
          <w:tcPr>
            <w:tcW w:w="481" w:type="dxa"/>
          </w:tcPr>
          <w:p w14:paraId="2BEF1713" w14:textId="77777777" w:rsidR="00C8473A" w:rsidRPr="00F56661" w:rsidRDefault="00C8473A" w:rsidP="00ED0FE2">
            <w:pPr>
              <w:rPr>
                <w:rFonts w:cs="Linux Libertine"/>
                <w:sz w:val="22"/>
                <w:szCs w:val="22"/>
              </w:rPr>
            </w:pPr>
            <w:r w:rsidRPr="00F56661">
              <w:rPr>
                <w:rFonts w:cs="Linux Libertine"/>
                <w:sz w:val="22"/>
                <w:szCs w:val="22"/>
              </w:rPr>
              <w:t>4</w:t>
            </w:r>
          </w:p>
        </w:tc>
        <w:tc>
          <w:tcPr>
            <w:tcW w:w="952" w:type="dxa"/>
          </w:tcPr>
          <w:p w14:paraId="0E54F22C"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6BDB3349" w14:textId="77777777" w:rsidR="00C8473A" w:rsidRPr="00F56661" w:rsidRDefault="00C8473A" w:rsidP="00ED0FE2">
            <w:pPr>
              <w:rPr>
                <w:rFonts w:cs="Linux Libertine"/>
                <w:sz w:val="22"/>
                <w:szCs w:val="22"/>
              </w:rPr>
            </w:pPr>
            <w:r w:rsidRPr="00F56661">
              <w:rPr>
                <w:rFonts w:cs="Linux Libertine"/>
                <w:sz w:val="22"/>
                <w:szCs w:val="22"/>
              </w:rPr>
              <w:t>Kupang District Court</w:t>
            </w:r>
          </w:p>
        </w:tc>
        <w:tc>
          <w:tcPr>
            <w:tcW w:w="1557" w:type="dxa"/>
          </w:tcPr>
          <w:p w14:paraId="534B654A" w14:textId="77777777" w:rsidR="00C8473A" w:rsidRPr="00F56661" w:rsidRDefault="00C8473A" w:rsidP="00ED0FE2">
            <w:pPr>
              <w:rPr>
                <w:rFonts w:cs="Linux Libertine"/>
                <w:sz w:val="22"/>
                <w:szCs w:val="22"/>
              </w:rPr>
            </w:pPr>
            <w:r w:rsidRPr="00F56661">
              <w:rPr>
                <w:rFonts w:cs="Linux Libertine"/>
                <w:sz w:val="22"/>
                <w:szCs w:val="22"/>
              </w:rPr>
              <w:t>Nimrot Lasbaun and Friends / Christian</w:t>
            </w:r>
          </w:p>
        </w:tc>
        <w:tc>
          <w:tcPr>
            <w:tcW w:w="2825" w:type="dxa"/>
          </w:tcPr>
          <w:p w14:paraId="0E79A5C5" w14:textId="77777777" w:rsidR="00C8473A" w:rsidRPr="00F56661" w:rsidRDefault="00C8473A" w:rsidP="00ED0FE2">
            <w:pPr>
              <w:rPr>
                <w:rFonts w:cs="Linux Libertine"/>
                <w:sz w:val="22"/>
                <w:szCs w:val="22"/>
              </w:rPr>
            </w:pPr>
            <w:r w:rsidRPr="00F56661">
              <w:rPr>
                <w:rFonts w:cs="Linux Libertine"/>
                <w:sz w:val="22"/>
                <w:szCs w:val="22"/>
              </w:rPr>
              <w:t>They held a belief that Zion was the divine city of God.</w:t>
            </w:r>
          </w:p>
        </w:tc>
        <w:tc>
          <w:tcPr>
            <w:tcW w:w="1839" w:type="dxa"/>
          </w:tcPr>
          <w:p w14:paraId="6BD940E5"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w:t>
            </w:r>
          </w:p>
        </w:tc>
      </w:tr>
      <w:tr w:rsidR="00C8473A" w:rsidRPr="00F56661" w14:paraId="71AD05FB" w14:textId="77777777" w:rsidTr="00ED0FE2">
        <w:tc>
          <w:tcPr>
            <w:tcW w:w="481" w:type="dxa"/>
          </w:tcPr>
          <w:p w14:paraId="4E79D73D" w14:textId="77777777" w:rsidR="00C8473A" w:rsidRPr="00F56661" w:rsidRDefault="00C8473A" w:rsidP="00ED0FE2">
            <w:pPr>
              <w:rPr>
                <w:rFonts w:cs="Linux Libertine"/>
                <w:sz w:val="22"/>
                <w:szCs w:val="22"/>
              </w:rPr>
            </w:pPr>
            <w:r w:rsidRPr="00F56661">
              <w:rPr>
                <w:rFonts w:cs="Linux Libertine"/>
                <w:sz w:val="22"/>
                <w:szCs w:val="22"/>
              </w:rPr>
              <w:t>5</w:t>
            </w:r>
          </w:p>
        </w:tc>
        <w:tc>
          <w:tcPr>
            <w:tcW w:w="952" w:type="dxa"/>
          </w:tcPr>
          <w:p w14:paraId="33431388"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2F51101D" w14:textId="77777777" w:rsidR="00C8473A" w:rsidRPr="00F56661" w:rsidRDefault="00C8473A" w:rsidP="00ED0FE2">
            <w:pPr>
              <w:rPr>
                <w:rFonts w:cs="Linux Libertine"/>
                <w:sz w:val="22"/>
                <w:szCs w:val="22"/>
              </w:rPr>
            </w:pPr>
            <w:r w:rsidRPr="00F56661">
              <w:rPr>
                <w:rFonts w:cs="Linux Libertine"/>
                <w:sz w:val="22"/>
                <w:szCs w:val="22"/>
              </w:rPr>
              <w:t>District Court Ambon</w:t>
            </w:r>
          </w:p>
        </w:tc>
        <w:tc>
          <w:tcPr>
            <w:tcW w:w="1557" w:type="dxa"/>
          </w:tcPr>
          <w:p w14:paraId="53E3FBDB" w14:textId="77777777" w:rsidR="00C8473A" w:rsidRPr="00F56661" w:rsidRDefault="00C8473A" w:rsidP="00ED0FE2">
            <w:pPr>
              <w:rPr>
                <w:rFonts w:cs="Linux Libertine"/>
                <w:sz w:val="22"/>
                <w:szCs w:val="22"/>
              </w:rPr>
            </w:pPr>
            <w:r w:rsidRPr="00F56661">
              <w:rPr>
                <w:rFonts w:cs="Linux Libertine"/>
                <w:sz w:val="22"/>
                <w:szCs w:val="22"/>
              </w:rPr>
              <w:t>Wilhelmina Holle / Christian</w:t>
            </w:r>
          </w:p>
        </w:tc>
        <w:tc>
          <w:tcPr>
            <w:tcW w:w="2825" w:type="dxa"/>
          </w:tcPr>
          <w:p w14:paraId="6C41D9CC" w14:textId="77777777" w:rsidR="00C8473A" w:rsidRPr="00F56661" w:rsidRDefault="00C8473A" w:rsidP="00ED0FE2">
            <w:pPr>
              <w:rPr>
                <w:rFonts w:cs="Linux Libertine"/>
                <w:sz w:val="22"/>
                <w:szCs w:val="22"/>
              </w:rPr>
            </w:pPr>
            <w:r w:rsidRPr="00F56661">
              <w:rPr>
                <w:rFonts w:cs="Linux Libertine"/>
                <w:sz w:val="22"/>
                <w:szCs w:val="22"/>
              </w:rPr>
              <w:t>Musohi - Maluku Public Unrest</w:t>
            </w:r>
          </w:p>
        </w:tc>
        <w:tc>
          <w:tcPr>
            <w:tcW w:w="1839" w:type="dxa"/>
          </w:tcPr>
          <w:p w14:paraId="354D4DC3"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10E20457" w14:textId="77777777" w:rsidTr="00ED0FE2">
        <w:tc>
          <w:tcPr>
            <w:tcW w:w="481" w:type="dxa"/>
          </w:tcPr>
          <w:p w14:paraId="15CB6DB7" w14:textId="77777777" w:rsidR="00C8473A" w:rsidRPr="00F56661" w:rsidRDefault="00C8473A" w:rsidP="00ED0FE2">
            <w:pPr>
              <w:rPr>
                <w:rFonts w:cs="Linux Libertine"/>
                <w:sz w:val="22"/>
                <w:szCs w:val="22"/>
              </w:rPr>
            </w:pPr>
            <w:r w:rsidRPr="00F56661">
              <w:rPr>
                <w:rFonts w:cs="Linux Libertine"/>
                <w:sz w:val="22"/>
                <w:szCs w:val="22"/>
              </w:rPr>
              <w:t>6</w:t>
            </w:r>
          </w:p>
        </w:tc>
        <w:tc>
          <w:tcPr>
            <w:tcW w:w="952" w:type="dxa"/>
          </w:tcPr>
          <w:p w14:paraId="383CBEF4" w14:textId="77777777" w:rsidR="00C8473A" w:rsidRPr="00F56661" w:rsidRDefault="00C8473A" w:rsidP="00ED0FE2">
            <w:pPr>
              <w:rPr>
                <w:rFonts w:cs="Linux Libertine"/>
                <w:sz w:val="22"/>
                <w:szCs w:val="22"/>
              </w:rPr>
            </w:pPr>
            <w:r w:rsidRPr="00F56661">
              <w:rPr>
                <w:rFonts w:cs="Linux Libertine"/>
                <w:sz w:val="22"/>
                <w:szCs w:val="22"/>
              </w:rPr>
              <w:t>2011</w:t>
            </w:r>
          </w:p>
        </w:tc>
        <w:tc>
          <w:tcPr>
            <w:tcW w:w="1696" w:type="dxa"/>
          </w:tcPr>
          <w:p w14:paraId="0D765655" w14:textId="77777777" w:rsidR="00C8473A" w:rsidRPr="00F56661" w:rsidRDefault="00C8473A" w:rsidP="00ED0FE2">
            <w:pPr>
              <w:rPr>
                <w:rFonts w:cs="Linux Libertine"/>
                <w:sz w:val="22"/>
                <w:szCs w:val="22"/>
              </w:rPr>
            </w:pPr>
            <w:r w:rsidRPr="00F56661">
              <w:rPr>
                <w:rFonts w:cs="Linux Libertine"/>
                <w:sz w:val="22"/>
                <w:szCs w:val="22"/>
              </w:rPr>
              <w:t>Blitar District Court</w:t>
            </w:r>
          </w:p>
        </w:tc>
        <w:tc>
          <w:tcPr>
            <w:tcW w:w="1557" w:type="dxa"/>
          </w:tcPr>
          <w:p w14:paraId="0FDABD7E" w14:textId="77777777" w:rsidR="00C8473A" w:rsidRPr="00F56661" w:rsidRDefault="00C8473A" w:rsidP="00ED0FE2">
            <w:pPr>
              <w:rPr>
                <w:rFonts w:cs="Linux Libertine"/>
                <w:sz w:val="22"/>
                <w:szCs w:val="22"/>
              </w:rPr>
            </w:pPr>
            <w:r w:rsidRPr="00F56661">
              <w:rPr>
                <w:rFonts w:cs="Linux Libertine"/>
                <w:sz w:val="22"/>
                <w:szCs w:val="22"/>
              </w:rPr>
              <w:t>Miftakhur Rosyidin bin Winarko (RIP) / Moslem</w:t>
            </w:r>
          </w:p>
        </w:tc>
        <w:tc>
          <w:tcPr>
            <w:tcW w:w="2825" w:type="dxa"/>
          </w:tcPr>
          <w:p w14:paraId="55A4509B" w14:textId="77777777" w:rsidR="00C8473A" w:rsidRPr="00F56661" w:rsidRDefault="00C8473A" w:rsidP="00ED0FE2">
            <w:pPr>
              <w:rPr>
                <w:rFonts w:cs="Linux Libertine"/>
                <w:sz w:val="22"/>
                <w:szCs w:val="22"/>
              </w:rPr>
            </w:pPr>
            <w:r w:rsidRPr="00F56661">
              <w:rPr>
                <w:rFonts w:cs="Linux Libertine"/>
                <w:sz w:val="22"/>
                <w:szCs w:val="22"/>
              </w:rPr>
              <w:t>A Muslim person who drew a cross inside a mosque.</w:t>
            </w:r>
          </w:p>
        </w:tc>
        <w:tc>
          <w:tcPr>
            <w:tcW w:w="1839" w:type="dxa"/>
          </w:tcPr>
          <w:p w14:paraId="1BB52F3D"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w:t>
            </w:r>
          </w:p>
        </w:tc>
      </w:tr>
      <w:tr w:rsidR="00C8473A" w:rsidRPr="00F56661" w14:paraId="72616A66" w14:textId="77777777" w:rsidTr="00ED0FE2">
        <w:tc>
          <w:tcPr>
            <w:tcW w:w="481" w:type="dxa"/>
          </w:tcPr>
          <w:p w14:paraId="49CD3487" w14:textId="77777777" w:rsidR="00C8473A" w:rsidRPr="00F56661" w:rsidRDefault="00C8473A" w:rsidP="00ED0FE2">
            <w:pPr>
              <w:rPr>
                <w:rFonts w:cs="Linux Libertine"/>
                <w:sz w:val="22"/>
                <w:szCs w:val="22"/>
              </w:rPr>
            </w:pPr>
            <w:r w:rsidRPr="00F56661">
              <w:rPr>
                <w:rFonts w:cs="Linux Libertine"/>
                <w:sz w:val="22"/>
                <w:szCs w:val="22"/>
              </w:rPr>
              <w:lastRenderedPageBreak/>
              <w:t>7</w:t>
            </w:r>
          </w:p>
        </w:tc>
        <w:tc>
          <w:tcPr>
            <w:tcW w:w="952" w:type="dxa"/>
          </w:tcPr>
          <w:p w14:paraId="6064FE5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D7E9E56" w14:textId="77777777" w:rsidR="00C8473A" w:rsidRPr="00F56661" w:rsidRDefault="00C8473A" w:rsidP="00ED0FE2">
            <w:pPr>
              <w:rPr>
                <w:rFonts w:cs="Linux Libertine"/>
                <w:sz w:val="22"/>
                <w:szCs w:val="22"/>
              </w:rPr>
            </w:pPr>
            <w:r w:rsidRPr="00F56661">
              <w:rPr>
                <w:rFonts w:cs="Linux Libertine"/>
                <w:sz w:val="22"/>
                <w:szCs w:val="22"/>
              </w:rPr>
              <w:t>Garut District Court</w:t>
            </w:r>
          </w:p>
        </w:tc>
        <w:tc>
          <w:tcPr>
            <w:tcW w:w="1557" w:type="dxa"/>
          </w:tcPr>
          <w:p w14:paraId="1D8D0257" w14:textId="77777777" w:rsidR="00C8473A" w:rsidRPr="00F56661" w:rsidRDefault="00C8473A" w:rsidP="00ED0FE2">
            <w:pPr>
              <w:rPr>
                <w:rFonts w:cs="Linux Libertine"/>
                <w:sz w:val="22"/>
                <w:szCs w:val="22"/>
              </w:rPr>
            </w:pPr>
            <w:r w:rsidRPr="00F56661">
              <w:rPr>
                <w:rFonts w:cs="Linux Libertine"/>
                <w:sz w:val="22"/>
                <w:szCs w:val="22"/>
              </w:rPr>
              <w:t>Sensen Komara / Moslem minority</w:t>
            </w:r>
          </w:p>
        </w:tc>
        <w:tc>
          <w:tcPr>
            <w:tcW w:w="2825" w:type="dxa"/>
          </w:tcPr>
          <w:p w14:paraId="459F86D1" w14:textId="77777777" w:rsidR="00C8473A" w:rsidRPr="00F56661" w:rsidRDefault="00C8473A" w:rsidP="00ED0FE2">
            <w:pPr>
              <w:rPr>
                <w:rFonts w:cs="Linux Libertine"/>
                <w:sz w:val="22"/>
                <w:szCs w:val="22"/>
              </w:rPr>
            </w:pPr>
            <w:r w:rsidRPr="00F56661">
              <w:rPr>
                <w:rFonts w:cs="Linux Libertine"/>
                <w:sz w:val="22"/>
                <w:szCs w:val="22"/>
              </w:rPr>
              <w:t>A follower of Indonesian Islamic Nation.</w:t>
            </w:r>
          </w:p>
        </w:tc>
        <w:tc>
          <w:tcPr>
            <w:tcW w:w="1839" w:type="dxa"/>
          </w:tcPr>
          <w:p w14:paraId="1403D725" w14:textId="77777777" w:rsidR="00C8473A" w:rsidRPr="00F56661" w:rsidRDefault="00C8473A" w:rsidP="00ED0FE2">
            <w:pPr>
              <w:rPr>
                <w:rFonts w:cs="Linux Libertine"/>
                <w:sz w:val="22"/>
                <w:szCs w:val="22"/>
              </w:rPr>
            </w:pPr>
            <w:r w:rsidRPr="00F56661">
              <w:rPr>
                <w:rFonts w:cs="Linux Libertine"/>
                <w:sz w:val="22"/>
                <w:szCs w:val="22"/>
              </w:rPr>
              <w:t>1-year treatment in mental Institution</w:t>
            </w:r>
          </w:p>
        </w:tc>
      </w:tr>
      <w:tr w:rsidR="00C8473A" w:rsidRPr="00F56661" w14:paraId="780F93B9" w14:textId="77777777" w:rsidTr="00ED0FE2">
        <w:tc>
          <w:tcPr>
            <w:tcW w:w="481" w:type="dxa"/>
          </w:tcPr>
          <w:p w14:paraId="1E3BC198" w14:textId="77777777" w:rsidR="00C8473A" w:rsidRPr="00F56661" w:rsidRDefault="00C8473A" w:rsidP="00ED0FE2">
            <w:pPr>
              <w:rPr>
                <w:rFonts w:cs="Linux Libertine"/>
                <w:sz w:val="22"/>
                <w:szCs w:val="22"/>
              </w:rPr>
            </w:pPr>
            <w:r w:rsidRPr="00F56661">
              <w:rPr>
                <w:rFonts w:cs="Linux Libertine"/>
                <w:sz w:val="22"/>
                <w:szCs w:val="22"/>
              </w:rPr>
              <w:t>8</w:t>
            </w:r>
          </w:p>
        </w:tc>
        <w:tc>
          <w:tcPr>
            <w:tcW w:w="952" w:type="dxa"/>
          </w:tcPr>
          <w:p w14:paraId="757EA57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69F418B" w14:textId="77777777" w:rsidR="00C8473A" w:rsidRPr="00F56661" w:rsidRDefault="00C8473A" w:rsidP="00ED0FE2">
            <w:pPr>
              <w:rPr>
                <w:rFonts w:cs="Linux Libertine"/>
                <w:sz w:val="22"/>
                <w:szCs w:val="22"/>
              </w:rPr>
            </w:pPr>
            <w:r w:rsidRPr="00F56661">
              <w:rPr>
                <w:rFonts w:cs="Linux Libertine"/>
                <w:sz w:val="22"/>
                <w:szCs w:val="22"/>
              </w:rPr>
              <w:t>Sampang District Court</w:t>
            </w:r>
          </w:p>
        </w:tc>
        <w:tc>
          <w:tcPr>
            <w:tcW w:w="1557" w:type="dxa"/>
          </w:tcPr>
          <w:p w14:paraId="76A22DA9" w14:textId="77777777" w:rsidR="00C8473A" w:rsidRPr="00F56661" w:rsidRDefault="00C8473A" w:rsidP="00ED0FE2">
            <w:pPr>
              <w:rPr>
                <w:rFonts w:cs="Linux Libertine"/>
                <w:sz w:val="22"/>
                <w:szCs w:val="22"/>
              </w:rPr>
            </w:pPr>
            <w:r w:rsidRPr="00F56661">
              <w:rPr>
                <w:rFonts w:cs="Linux Libertine"/>
                <w:sz w:val="22"/>
                <w:szCs w:val="22"/>
              </w:rPr>
              <w:t>Tajul Muluk / Moslem minority</w:t>
            </w:r>
          </w:p>
        </w:tc>
        <w:tc>
          <w:tcPr>
            <w:tcW w:w="2825" w:type="dxa"/>
          </w:tcPr>
          <w:p w14:paraId="46BEA721" w14:textId="77777777" w:rsidR="00C8473A" w:rsidRPr="00F56661" w:rsidRDefault="00C8473A" w:rsidP="00ED0FE2">
            <w:pPr>
              <w:rPr>
                <w:rFonts w:cs="Linux Libertine"/>
                <w:sz w:val="22"/>
                <w:szCs w:val="22"/>
              </w:rPr>
            </w:pPr>
            <w:r w:rsidRPr="00F56661">
              <w:rPr>
                <w:rFonts w:cs="Linux Libertine"/>
                <w:sz w:val="22"/>
                <w:szCs w:val="22"/>
              </w:rPr>
              <w:t>A Shia leader</w:t>
            </w:r>
          </w:p>
        </w:tc>
        <w:tc>
          <w:tcPr>
            <w:tcW w:w="1839" w:type="dxa"/>
          </w:tcPr>
          <w:p w14:paraId="1B1E64D9" w14:textId="77777777" w:rsidR="00C8473A" w:rsidRPr="00F56661" w:rsidRDefault="00C8473A" w:rsidP="00ED0FE2">
            <w:pPr>
              <w:rPr>
                <w:rFonts w:cs="Linux Libertine"/>
                <w:sz w:val="22"/>
                <w:szCs w:val="22"/>
              </w:rPr>
            </w:pPr>
            <w:r w:rsidRPr="00F56661">
              <w:rPr>
                <w:rFonts w:cs="Linux Libertine"/>
                <w:sz w:val="22"/>
                <w:szCs w:val="22"/>
              </w:rPr>
              <w:t>A sentence of 1-year incarceration  and Increased to four years by High Court</w:t>
            </w:r>
          </w:p>
        </w:tc>
      </w:tr>
      <w:tr w:rsidR="00C8473A" w:rsidRPr="00F56661" w14:paraId="0BC27CF2" w14:textId="77777777" w:rsidTr="00ED0FE2">
        <w:tc>
          <w:tcPr>
            <w:tcW w:w="481" w:type="dxa"/>
          </w:tcPr>
          <w:p w14:paraId="08A31792" w14:textId="77777777" w:rsidR="00C8473A" w:rsidRPr="00F56661" w:rsidRDefault="00C8473A" w:rsidP="00ED0FE2">
            <w:pPr>
              <w:rPr>
                <w:rFonts w:cs="Linux Libertine"/>
                <w:sz w:val="22"/>
                <w:szCs w:val="22"/>
              </w:rPr>
            </w:pPr>
            <w:r w:rsidRPr="00F56661">
              <w:rPr>
                <w:rFonts w:cs="Linux Libertine"/>
                <w:sz w:val="22"/>
                <w:szCs w:val="22"/>
              </w:rPr>
              <w:t>9</w:t>
            </w:r>
          </w:p>
        </w:tc>
        <w:tc>
          <w:tcPr>
            <w:tcW w:w="952" w:type="dxa"/>
          </w:tcPr>
          <w:p w14:paraId="73CBFD26"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73BB9516" w14:textId="77777777" w:rsidR="00C8473A" w:rsidRPr="00F56661" w:rsidRDefault="00C8473A" w:rsidP="00ED0FE2">
            <w:pPr>
              <w:rPr>
                <w:rFonts w:cs="Linux Libertine"/>
                <w:sz w:val="22"/>
                <w:szCs w:val="22"/>
              </w:rPr>
            </w:pPr>
            <w:r w:rsidRPr="00F56661">
              <w:rPr>
                <w:rFonts w:cs="Linux Libertine"/>
                <w:sz w:val="22"/>
                <w:szCs w:val="22"/>
              </w:rPr>
              <w:t>Dompu District Court</w:t>
            </w:r>
          </w:p>
        </w:tc>
        <w:tc>
          <w:tcPr>
            <w:tcW w:w="1557" w:type="dxa"/>
          </w:tcPr>
          <w:p w14:paraId="7E53579D" w14:textId="77777777" w:rsidR="00C8473A" w:rsidRPr="00F56661" w:rsidRDefault="00C8473A" w:rsidP="00ED0FE2">
            <w:pPr>
              <w:rPr>
                <w:rFonts w:cs="Linux Libertine"/>
                <w:sz w:val="22"/>
                <w:szCs w:val="22"/>
              </w:rPr>
            </w:pPr>
            <w:r w:rsidRPr="00F56661">
              <w:rPr>
                <w:rFonts w:cs="Linux Libertine"/>
                <w:sz w:val="22"/>
                <w:szCs w:val="22"/>
              </w:rPr>
              <w:t>Charles Sitorus / Christian</w:t>
            </w:r>
          </w:p>
        </w:tc>
        <w:tc>
          <w:tcPr>
            <w:tcW w:w="2825" w:type="dxa"/>
          </w:tcPr>
          <w:p w14:paraId="5E550E28" w14:textId="77777777" w:rsidR="00C8473A" w:rsidRPr="00F56661" w:rsidRDefault="00C8473A" w:rsidP="00ED0FE2">
            <w:pPr>
              <w:rPr>
                <w:rFonts w:cs="Linux Libertine"/>
                <w:sz w:val="22"/>
                <w:szCs w:val="22"/>
              </w:rPr>
            </w:pPr>
            <w:r w:rsidRPr="00F56661">
              <w:rPr>
                <w:rFonts w:cs="Linux Libertine"/>
                <w:sz w:val="22"/>
                <w:szCs w:val="22"/>
              </w:rPr>
              <w:t>Christianity Teaching of Kindness Books distribution</w:t>
            </w:r>
          </w:p>
        </w:tc>
        <w:tc>
          <w:tcPr>
            <w:tcW w:w="1839" w:type="dxa"/>
          </w:tcPr>
          <w:p w14:paraId="000CF292" w14:textId="77777777" w:rsidR="00C8473A" w:rsidRPr="00F56661" w:rsidRDefault="00C8473A" w:rsidP="00ED0FE2">
            <w:pPr>
              <w:rPr>
                <w:rFonts w:cs="Linux Libertine"/>
                <w:sz w:val="22"/>
                <w:szCs w:val="22"/>
              </w:rPr>
            </w:pPr>
            <w:r w:rsidRPr="00F56661">
              <w:rPr>
                <w:rFonts w:cs="Linux Libertine"/>
                <w:sz w:val="22"/>
                <w:szCs w:val="22"/>
              </w:rPr>
              <w:t xml:space="preserve">A sentence of 1-year and two months incarceration  </w:t>
            </w:r>
          </w:p>
        </w:tc>
      </w:tr>
      <w:tr w:rsidR="00C8473A" w:rsidRPr="00F56661" w14:paraId="1CCB06B5" w14:textId="77777777" w:rsidTr="00ED0FE2">
        <w:tc>
          <w:tcPr>
            <w:tcW w:w="481" w:type="dxa"/>
          </w:tcPr>
          <w:p w14:paraId="3F400258" w14:textId="77777777" w:rsidR="00C8473A" w:rsidRPr="00F56661" w:rsidRDefault="00C8473A" w:rsidP="00ED0FE2">
            <w:pPr>
              <w:rPr>
                <w:rFonts w:cs="Linux Libertine"/>
                <w:sz w:val="22"/>
                <w:szCs w:val="22"/>
              </w:rPr>
            </w:pPr>
            <w:r w:rsidRPr="00F56661">
              <w:rPr>
                <w:rFonts w:cs="Linux Libertine"/>
                <w:sz w:val="22"/>
                <w:szCs w:val="22"/>
              </w:rPr>
              <w:t>10</w:t>
            </w:r>
          </w:p>
        </w:tc>
        <w:tc>
          <w:tcPr>
            <w:tcW w:w="952" w:type="dxa"/>
          </w:tcPr>
          <w:p w14:paraId="15A6B47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7662055" w14:textId="77777777" w:rsidR="00C8473A" w:rsidRPr="00F56661" w:rsidRDefault="00C8473A" w:rsidP="00ED0FE2">
            <w:pPr>
              <w:rPr>
                <w:rFonts w:cs="Linux Libertine"/>
                <w:sz w:val="22"/>
                <w:szCs w:val="22"/>
              </w:rPr>
            </w:pPr>
            <w:r w:rsidRPr="00F56661">
              <w:rPr>
                <w:rFonts w:cs="Linux Libertine"/>
                <w:sz w:val="22"/>
                <w:szCs w:val="22"/>
              </w:rPr>
              <w:t>Kalabahi District Court</w:t>
            </w:r>
          </w:p>
        </w:tc>
        <w:tc>
          <w:tcPr>
            <w:tcW w:w="1557" w:type="dxa"/>
          </w:tcPr>
          <w:p w14:paraId="63F33451" w14:textId="77777777" w:rsidR="00C8473A" w:rsidRPr="00F56661" w:rsidRDefault="00C8473A" w:rsidP="00ED0FE2">
            <w:pPr>
              <w:rPr>
                <w:rFonts w:cs="Linux Libertine"/>
                <w:sz w:val="22"/>
                <w:szCs w:val="22"/>
              </w:rPr>
            </w:pPr>
            <w:r w:rsidRPr="00F56661">
              <w:rPr>
                <w:rFonts w:cs="Linux Libertine"/>
                <w:sz w:val="22"/>
                <w:szCs w:val="22"/>
              </w:rPr>
              <w:t>Alfred Waang / Christian</w:t>
            </w:r>
          </w:p>
        </w:tc>
        <w:tc>
          <w:tcPr>
            <w:tcW w:w="2825" w:type="dxa"/>
          </w:tcPr>
          <w:p w14:paraId="042B06A8" w14:textId="77777777" w:rsidR="00C8473A" w:rsidRPr="00F56661" w:rsidRDefault="00C8473A" w:rsidP="00ED0FE2">
            <w:pPr>
              <w:rPr>
                <w:rFonts w:cs="Linux Libertine"/>
                <w:sz w:val="22"/>
                <w:szCs w:val="22"/>
              </w:rPr>
            </w:pPr>
            <w:r w:rsidRPr="00F56661">
              <w:rPr>
                <w:rFonts w:cs="Linux Libertine"/>
                <w:sz w:val="22"/>
                <w:szCs w:val="22"/>
              </w:rPr>
              <w:t>Forced a moslem kid to eat pork.</w:t>
            </w:r>
          </w:p>
        </w:tc>
        <w:tc>
          <w:tcPr>
            <w:tcW w:w="1839" w:type="dxa"/>
          </w:tcPr>
          <w:p w14:paraId="01AB1ED8"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29CC8063" w14:textId="77777777" w:rsidTr="00ED0FE2">
        <w:tc>
          <w:tcPr>
            <w:tcW w:w="481" w:type="dxa"/>
          </w:tcPr>
          <w:p w14:paraId="33CD171D" w14:textId="77777777" w:rsidR="00C8473A" w:rsidRPr="00F56661" w:rsidRDefault="00C8473A" w:rsidP="00ED0FE2">
            <w:pPr>
              <w:rPr>
                <w:rFonts w:cs="Linux Libertine"/>
                <w:sz w:val="22"/>
                <w:szCs w:val="22"/>
              </w:rPr>
            </w:pPr>
            <w:r w:rsidRPr="00F56661">
              <w:rPr>
                <w:rFonts w:cs="Linux Libertine"/>
                <w:sz w:val="22"/>
                <w:szCs w:val="22"/>
              </w:rPr>
              <w:t>11</w:t>
            </w:r>
          </w:p>
        </w:tc>
        <w:tc>
          <w:tcPr>
            <w:tcW w:w="952" w:type="dxa"/>
          </w:tcPr>
          <w:p w14:paraId="5DFC775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97B5392" w14:textId="77777777" w:rsidR="00C8473A" w:rsidRPr="00F56661" w:rsidRDefault="00C8473A" w:rsidP="00ED0FE2">
            <w:pPr>
              <w:rPr>
                <w:rFonts w:cs="Linux Libertine"/>
                <w:sz w:val="22"/>
                <w:szCs w:val="22"/>
              </w:rPr>
            </w:pPr>
            <w:r w:rsidRPr="00F56661">
              <w:rPr>
                <w:rFonts w:cs="Linux Libertine"/>
                <w:sz w:val="22"/>
                <w:szCs w:val="22"/>
              </w:rPr>
              <w:t>District Court Denpasar</w:t>
            </w:r>
          </w:p>
        </w:tc>
        <w:tc>
          <w:tcPr>
            <w:tcW w:w="1557" w:type="dxa"/>
          </w:tcPr>
          <w:p w14:paraId="4B41D165" w14:textId="77777777" w:rsidR="00C8473A" w:rsidRPr="00F56661" w:rsidRDefault="00C8473A" w:rsidP="00ED0FE2">
            <w:pPr>
              <w:rPr>
                <w:rFonts w:cs="Linux Libertine"/>
                <w:sz w:val="22"/>
                <w:szCs w:val="22"/>
              </w:rPr>
            </w:pPr>
            <w:r w:rsidRPr="00F56661">
              <w:rPr>
                <w:rFonts w:cs="Linux Libertine"/>
                <w:sz w:val="22"/>
                <w:szCs w:val="22"/>
              </w:rPr>
              <w:t>Rusgiani / Christian</w:t>
            </w:r>
          </w:p>
        </w:tc>
        <w:tc>
          <w:tcPr>
            <w:tcW w:w="2825" w:type="dxa"/>
          </w:tcPr>
          <w:p w14:paraId="370AE2DD" w14:textId="77777777" w:rsidR="00C8473A" w:rsidRPr="00F56661" w:rsidRDefault="00C8473A" w:rsidP="00ED0FE2">
            <w:pPr>
              <w:rPr>
                <w:rFonts w:cs="Linux Libertine"/>
                <w:sz w:val="22"/>
                <w:szCs w:val="22"/>
              </w:rPr>
            </w:pPr>
            <w:r w:rsidRPr="00F56661">
              <w:rPr>
                <w:rFonts w:cs="Linux Libertine"/>
                <w:sz w:val="22"/>
                <w:szCs w:val="22"/>
              </w:rPr>
              <w:t>Disrupt the harmony amongst religious communities and could potentially dishonor the Hindu religion.</w:t>
            </w:r>
          </w:p>
        </w:tc>
        <w:tc>
          <w:tcPr>
            <w:tcW w:w="1839" w:type="dxa"/>
          </w:tcPr>
          <w:p w14:paraId="37AE0397" w14:textId="77777777" w:rsidR="00C8473A" w:rsidRPr="00F56661" w:rsidRDefault="00C8473A" w:rsidP="00ED0FE2">
            <w:pPr>
              <w:rPr>
                <w:rFonts w:cs="Linux Libertine"/>
                <w:sz w:val="22"/>
                <w:szCs w:val="22"/>
              </w:rPr>
            </w:pPr>
            <w:r w:rsidRPr="00F56661">
              <w:rPr>
                <w:rFonts w:cs="Linux Libertine"/>
                <w:sz w:val="22"/>
                <w:szCs w:val="22"/>
              </w:rPr>
              <w:t>One year and 2 months of incarceration.</w:t>
            </w:r>
          </w:p>
        </w:tc>
      </w:tr>
      <w:tr w:rsidR="00C8473A" w:rsidRPr="00F56661" w14:paraId="088905C6" w14:textId="77777777" w:rsidTr="00ED0FE2">
        <w:tc>
          <w:tcPr>
            <w:tcW w:w="481" w:type="dxa"/>
          </w:tcPr>
          <w:p w14:paraId="25662936" w14:textId="77777777" w:rsidR="00C8473A" w:rsidRPr="00F56661" w:rsidRDefault="00C8473A" w:rsidP="00ED0FE2">
            <w:pPr>
              <w:rPr>
                <w:rFonts w:cs="Linux Libertine"/>
                <w:sz w:val="22"/>
                <w:szCs w:val="22"/>
              </w:rPr>
            </w:pPr>
            <w:r w:rsidRPr="00F56661">
              <w:rPr>
                <w:rFonts w:cs="Linux Libertine"/>
                <w:sz w:val="22"/>
                <w:szCs w:val="22"/>
              </w:rPr>
              <w:t>12</w:t>
            </w:r>
          </w:p>
        </w:tc>
        <w:tc>
          <w:tcPr>
            <w:tcW w:w="952" w:type="dxa"/>
          </w:tcPr>
          <w:p w14:paraId="5B47CEE3" w14:textId="77777777" w:rsidR="00C8473A" w:rsidRPr="00F56661" w:rsidRDefault="00C8473A" w:rsidP="00ED0FE2">
            <w:pPr>
              <w:rPr>
                <w:rFonts w:cs="Linux Libertine"/>
                <w:sz w:val="22"/>
                <w:szCs w:val="22"/>
              </w:rPr>
            </w:pPr>
            <w:r w:rsidRPr="00F56661">
              <w:rPr>
                <w:rFonts w:cs="Linux Libertine"/>
                <w:sz w:val="22"/>
                <w:szCs w:val="22"/>
              </w:rPr>
              <w:t>2018</w:t>
            </w:r>
          </w:p>
        </w:tc>
        <w:tc>
          <w:tcPr>
            <w:tcW w:w="1696" w:type="dxa"/>
          </w:tcPr>
          <w:p w14:paraId="6CD8C53C"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531388C7" w14:textId="77777777" w:rsidR="00C8473A" w:rsidRPr="00F56661" w:rsidRDefault="00C8473A" w:rsidP="00ED0FE2">
            <w:pPr>
              <w:rPr>
                <w:rFonts w:cs="Linux Libertine"/>
                <w:sz w:val="22"/>
                <w:szCs w:val="22"/>
              </w:rPr>
            </w:pPr>
            <w:r w:rsidRPr="00F56661">
              <w:rPr>
                <w:rFonts w:cs="Linux Libertine"/>
                <w:sz w:val="22"/>
                <w:szCs w:val="22"/>
              </w:rPr>
              <w:t>Meiliana / Buddhist</w:t>
            </w:r>
          </w:p>
        </w:tc>
        <w:tc>
          <w:tcPr>
            <w:tcW w:w="2825" w:type="dxa"/>
          </w:tcPr>
          <w:p w14:paraId="2F732F68" w14:textId="77777777" w:rsidR="00C8473A" w:rsidRPr="00F56661" w:rsidRDefault="00C8473A" w:rsidP="00ED0FE2">
            <w:pPr>
              <w:rPr>
                <w:rFonts w:cs="Linux Libertine"/>
                <w:sz w:val="22"/>
                <w:szCs w:val="22"/>
              </w:rPr>
            </w:pPr>
            <w:r w:rsidRPr="00F56661">
              <w:rPr>
                <w:rFonts w:cs="Linux Libertine"/>
                <w:sz w:val="22"/>
                <w:szCs w:val="22"/>
              </w:rPr>
              <w:t xml:space="preserve">Complaining to a mosque’s admin for setting the mosque’s loudspeaker </w:t>
            </w:r>
            <w:r>
              <w:rPr>
                <w:rFonts w:cs="Linux Libertine"/>
                <w:sz w:val="22"/>
                <w:szCs w:val="22"/>
              </w:rPr>
              <w:t xml:space="preserve">too loudly </w:t>
            </w:r>
            <w:r w:rsidRPr="00F56661">
              <w:rPr>
                <w:rFonts w:cs="Linux Libertine"/>
                <w:sz w:val="22"/>
                <w:szCs w:val="22"/>
              </w:rPr>
              <w:t>for Athan</w:t>
            </w:r>
            <w:r>
              <w:rPr>
                <w:rFonts w:cs="Linux Libertine"/>
                <w:sz w:val="22"/>
                <w:szCs w:val="22"/>
              </w:rPr>
              <w:t>.</w:t>
            </w:r>
          </w:p>
        </w:tc>
        <w:tc>
          <w:tcPr>
            <w:tcW w:w="1839" w:type="dxa"/>
          </w:tcPr>
          <w:p w14:paraId="70EE7EF2" w14:textId="77777777" w:rsidR="00C8473A" w:rsidRPr="00F56661" w:rsidRDefault="00C8473A" w:rsidP="00ED0FE2">
            <w:pPr>
              <w:rPr>
                <w:rFonts w:cs="Linux Libertine"/>
                <w:sz w:val="22"/>
                <w:szCs w:val="22"/>
              </w:rPr>
            </w:pPr>
            <w:r w:rsidRPr="00F56661">
              <w:rPr>
                <w:rFonts w:cs="Linux Libertine"/>
                <w:sz w:val="22"/>
                <w:szCs w:val="22"/>
              </w:rPr>
              <w:t>A sentence of 1 year and 6 months incarceration.</w:t>
            </w:r>
          </w:p>
        </w:tc>
      </w:tr>
    </w:tbl>
    <w:p w14:paraId="0BAF3A26" w14:textId="77777777" w:rsidR="00C8473A" w:rsidRDefault="00C8473A" w:rsidP="00C8473A">
      <w:pPr>
        <w:rPr>
          <w:lang w:bidi="th-TH"/>
        </w:rPr>
      </w:pPr>
    </w:p>
    <w:p w14:paraId="5C5686A4" w14:textId="77777777" w:rsidR="00C8473A" w:rsidRPr="00672A6A" w:rsidRDefault="00C8473A" w:rsidP="00C8473A">
      <w:pPr>
        <w:pStyle w:val="ParagraphNormal"/>
        <w:rPr>
          <w:rFonts w:cs="Linux Libertine"/>
          <w:lang w:val="en-US"/>
        </w:rPr>
      </w:pPr>
    </w:p>
    <w:p w14:paraId="7E781C50"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672A6A"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672A6A" w:rsidRDefault="00C8473A" w:rsidP="00ED0FE2">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672A6A" w:rsidRDefault="00C8473A" w:rsidP="00ED0FE2">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672A6A" w:rsidRDefault="00C8473A" w:rsidP="00ED0FE2">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672A6A" w:rsidRDefault="00C8473A" w:rsidP="00ED0FE2">
            <w:pPr>
              <w:ind w:left="48" w:right="161"/>
              <w:jc w:val="both"/>
              <w:rPr>
                <w:rFonts w:cs="Linux Libertine"/>
                <w:sz w:val="18"/>
                <w:szCs w:val="18"/>
              </w:rPr>
            </w:pPr>
            <w:r w:rsidRPr="00672A6A">
              <w:rPr>
                <w:rFonts w:cs="Linux Libertine"/>
                <w:sz w:val="18"/>
                <w:szCs w:val="18"/>
              </w:rPr>
              <w:t>Punishment</w:t>
            </w:r>
          </w:p>
        </w:tc>
      </w:tr>
      <w:tr w:rsidR="00C8473A" w:rsidRPr="00672A6A"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Aswendo Atmowiloto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672A6A" w:rsidRDefault="00C8473A" w:rsidP="00ED0FE2">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Situbondo</w:t>
            </w:r>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672A6A" w:rsidRDefault="00C8473A" w:rsidP="00ED0FE2">
            <w:pPr>
              <w:ind w:left="54" w:right="68"/>
              <w:jc w:val="both"/>
              <w:rPr>
                <w:rFonts w:cs="Linux Libertine"/>
                <w:sz w:val="18"/>
                <w:szCs w:val="18"/>
              </w:rPr>
            </w:pPr>
            <w:r w:rsidRPr="00672A6A">
              <w:rPr>
                <w:rFonts w:cs="Linux Libertine"/>
                <w:sz w:val="18"/>
                <w:szCs w:val="18"/>
              </w:rPr>
              <w:t>Kalabahi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Ir. Charisal Matsen, Agustinus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672A6A" w:rsidRDefault="00C8473A" w:rsidP="00ED0FE2">
            <w:pPr>
              <w:ind w:right="87"/>
              <w:rPr>
                <w:rFonts w:cs="Linux Libertine"/>
                <w:sz w:val="18"/>
                <w:szCs w:val="18"/>
              </w:rPr>
            </w:pPr>
            <w:r w:rsidRPr="00672A6A">
              <w:rPr>
                <w:rFonts w:cs="Linux Libertine"/>
                <w:sz w:val="18"/>
                <w:szCs w:val="18"/>
              </w:rPr>
              <w:t xml:space="preserve">Muslim who made a Book cover design of “Alor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Bale Endah</w:t>
            </w:r>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Mangapin Sibuea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672A6A" w:rsidRDefault="00C8473A" w:rsidP="00ED0FE2">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672A6A" w:rsidRDefault="00C8473A" w:rsidP="00ED0FE2">
            <w:pPr>
              <w:ind w:left="54" w:right="68"/>
              <w:jc w:val="both"/>
              <w:rPr>
                <w:rFonts w:cs="Linux Libertine"/>
                <w:sz w:val="18"/>
                <w:szCs w:val="18"/>
              </w:rPr>
            </w:pPr>
            <w:r w:rsidRPr="00672A6A">
              <w:rPr>
                <w:rFonts w:cs="Linux Libertine"/>
                <w:sz w:val="18"/>
                <w:szCs w:val="18"/>
              </w:rPr>
              <w:t>Probolinggo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Ardi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672A6A" w:rsidRDefault="00C8473A" w:rsidP="00ED0FE2">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Aminuddin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672A6A" w:rsidRDefault="00C8473A" w:rsidP="00ED0FE2">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Abdul Rachman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672A6A" w:rsidRDefault="00C8473A" w:rsidP="00ED0FE2">
            <w:pPr>
              <w:ind w:right="87"/>
              <w:rPr>
                <w:rFonts w:cs="Linux Libertine"/>
                <w:sz w:val="18"/>
                <w:szCs w:val="18"/>
              </w:rPr>
            </w:pPr>
            <w:r w:rsidRPr="00672A6A">
              <w:rPr>
                <w:rFonts w:cs="Linux Libertine"/>
                <w:sz w:val="18"/>
                <w:szCs w:val="18"/>
              </w:rPr>
              <w:t xml:space="preserve">A   Salamullah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672A6A" w:rsidRDefault="00C8473A" w:rsidP="00ED0FE2">
            <w:pPr>
              <w:ind w:left="74" w:right="145"/>
              <w:jc w:val="both"/>
              <w:rPr>
                <w:rFonts w:cs="Linux Libertine"/>
                <w:sz w:val="18"/>
                <w:szCs w:val="18"/>
              </w:rPr>
            </w:pPr>
            <w:r w:rsidRPr="00672A6A">
              <w:rPr>
                <w:rFonts w:cs="Linux Libertine"/>
                <w:sz w:val="18"/>
                <w:szCs w:val="18"/>
              </w:rPr>
              <w:t>Ahmad Musadeq</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672A6A" w:rsidRDefault="00C8473A" w:rsidP="00ED0FE2">
            <w:pPr>
              <w:ind w:right="87"/>
              <w:rPr>
                <w:rFonts w:cs="Linux Libertine"/>
                <w:sz w:val="18"/>
                <w:szCs w:val="18"/>
              </w:rPr>
            </w:pPr>
            <w:r w:rsidRPr="00672A6A">
              <w:rPr>
                <w:rFonts w:cs="Linux Libertine"/>
                <w:sz w:val="18"/>
                <w:szCs w:val="18"/>
              </w:rPr>
              <w:t>A follower of Alqiyadah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672A6A" w:rsidRDefault="00C8473A" w:rsidP="00ED0FE2">
            <w:pPr>
              <w:ind w:left="48" w:right="161"/>
              <w:rPr>
                <w:rFonts w:cs="Linux Libertine"/>
                <w:sz w:val="18"/>
                <w:szCs w:val="18"/>
              </w:rPr>
            </w:pPr>
            <w:r w:rsidRPr="00672A6A">
              <w:rPr>
                <w:rFonts w:cs="Linux Libertine"/>
                <w:sz w:val="18"/>
                <w:szCs w:val="18"/>
              </w:rPr>
              <w:t>4 years sentence</w:t>
            </w:r>
          </w:p>
        </w:tc>
      </w:tr>
      <w:tr w:rsidR="00C8473A" w:rsidRPr="00672A6A"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672A6A" w:rsidRDefault="00C8473A" w:rsidP="00ED0FE2">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672A6A" w:rsidRDefault="00C8473A" w:rsidP="00ED0FE2">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672A6A" w:rsidRDefault="00C8473A" w:rsidP="00ED0FE2">
            <w:pPr>
              <w:ind w:left="48" w:right="161"/>
              <w:rPr>
                <w:rFonts w:cs="Linux Libertine"/>
                <w:sz w:val="18"/>
                <w:szCs w:val="18"/>
              </w:rPr>
            </w:pPr>
            <w:r w:rsidRPr="00672A6A">
              <w:rPr>
                <w:rFonts w:cs="Linux Libertine"/>
                <w:sz w:val="18"/>
                <w:szCs w:val="18"/>
              </w:rPr>
              <w:t>3 years and 6 months sentence</w:t>
            </w:r>
          </w:p>
        </w:tc>
      </w:tr>
      <w:tr w:rsidR="00C8473A" w:rsidRPr="00672A6A"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Dedi Priadi and Garry Lutfi Yudistira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672A6A" w:rsidRDefault="00C8473A" w:rsidP="00ED0FE2">
            <w:pPr>
              <w:ind w:right="87"/>
              <w:rPr>
                <w:rFonts w:cs="Linux Libertine"/>
                <w:sz w:val="18"/>
                <w:szCs w:val="18"/>
              </w:rPr>
            </w:pPr>
            <w:r w:rsidRPr="00672A6A">
              <w:rPr>
                <w:rFonts w:cs="Linux Libertine"/>
                <w:sz w:val="18"/>
                <w:szCs w:val="18"/>
              </w:rPr>
              <w:t xml:space="preserve">Al-Qiyadah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672A6A" w:rsidRDefault="00C8473A" w:rsidP="00ED0FE2">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Edi Ridwan, Amir, Sudibyo and Warsito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672A6A" w:rsidRDefault="00C8473A" w:rsidP="00ED0FE2">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672A6A" w:rsidRDefault="00C8473A" w:rsidP="00ED0FE2">
            <w:pPr>
              <w:ind w:left="54" w:right="68"/>
              <w:rPr>
                <w:rFonts w:cs="Linux Libertine"/>
                <w:sz w:val="18"/>
                <w:szCs w:val="18"/>
              </w:rPr>
            </w:pPr>
            <w:r w:rsidRPr="00672A6A">
              <w:rPr>
                <w:rFonts w:cs="Linux Libertine"/>
                <w:sz w:val="18"/>
                <w:szCs w:val="18"/>
              </w:rPr>
              <w:t>District Court of Tasikmalaya</w:t>
            </w:r>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Ishak Suhendra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672A6A" w:rsidRDefault="00C8473A" w:rsidP="00ED0FE2">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Aminudin / Salamullah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672A6A" w:rsidRDefault="00C8473A" w:rsidP="00ED0FE2">
            <w:pPr>
              <w:ind w:right="87"/>
              <w:rPr>
                <w:rFonts w:cs="Linux Libertine"/>
                <w:sz w:val="18"/>
                <w:szCs w:val="18"/>
              </w:rPr>
            </w:pPr>
            <w:r w:rsidRPr="00672A6A">
              <w:rPr>
                <w:rFonts w:cs="Linux Libertine"/>
                <w:sz w:val="18"/>
                <w:szCs w:val="18"/>
              </w:rPr>
              <w:t>Habib Abdurrahman Assegaf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Wahyu Andito Putro Wibisono / Salamullah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672A6A" w:rsidRDefault="00C8473A" w:rsidP="00ED0FE2">
            <w:pPr>
              <w:ind w:right="87"/>
              <w:rPr>
                <w:rFonts w:cs="Linux Libertine"/>
                <w:sz w:val="18"/>
                <w:szCs w:val="18"/>
              </w:rPr>
            </w:pPr>
            <w:r w:rsidRPr="00672A6A">
              <w:rPr>
                <w:rFonts w:cs="Linux Libertine"/>
                <w:sz w:val="18"/>
                <w:szCs w:val="18"/>
              </w:rPr>
              <w:t>Habib Abdurrahman Assegaf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w:t>
            </w:r>
          </w:p>
        </w:tc>
      </w:tr>
      <w:tr w:rsidR="00C8473A" w:rsidRPr="00672A6A"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672A6A" w:rsidRDefault="00C8473A" w:rsidP="00ED0FE2">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672A6A" w:rsidRDefault="00C8473A" w:rsidP="00ED0FE2">
            <w:pPr>
              <w:ind w:left="74" w:right="145"/>
              <w:jc w:val="both"/>
              <w:rPr>
                <w:rFonts w:cs="Linux Libertine"/>
                <w:sz w:val="18"/>
                <w:szCs w:val="18"/>
              </w:rPr>
            </w:pPr>
            <w:r w:rsidRPr="00672A6A">
              <w:rPr>
                <w:rFonts w:cs="Linux Libertine"/>
                <w:sz w:val="18"/>
                <w:szCs w:val="18"/>
              </w:rPr>
              <w:t>Agus Imam Solihin / Satriyo Piningit</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672A6A" w:rsidRDefault="00C8473A" w:rsidP="00ED0FE2">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672A6A" w:rsidRDefault="00C8473A" w:rsidP="00ED0FE2">
            <w:pPr>
              <w:ind w:left="54" w:right="68"/>
              <w:rPr>
                <w:rFonts w:cs="Linux Libertine"/>
                <w:sz w:val="18"/>
                <w:szCs w:val="18"/>
              </w:rPr>
            </w:pPr>
            <w:r w:rsidRPr="00672A6A">
              <w:rPr>
                <w:rFonts w:cs="Linux Libertine"/>
                <w:sz w:val="18"/>
                <w:szCs w:val="18"/>
              </w:rPr>
              <w:t>Ciamis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Ondon Juhana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672A6A" w:rsidRDefault="00C8473A" w:rsidP="00ED0FE2">
            <w:pPr>
              <w:ind w:right="87"/>
              <w:rPr>
                <w:rFonts w:cs="Linux Libertine"/>
                <w:sz w:val="18"/>
                <w:szCs w:val="18"/>
              </w:rPr>
            </w:pPr>
            <w:r w:rsidRPr="00672A6A">
              <w:rPr>
                <w:rFonts w:cs="Linux Libertine"/>
                <w:sz w:val="18"/>
                <w:szCs w:val="18"/>
              </w:rPr>
              <w:t>Sri Asriyati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672A6A" w:rsidRDefault="00C8473A" w:rsidP="00ED0FE2">
            <w:pPr>
              <w:ind w:left="54" w:right="68"/>
              <w:rPr>
                <w:rFonts w:cs="Linux Libertine"/>
                <w:sz w:val="18"/>
                <w:szCs w:val="18"/>
              </w:rPr>
            </w:pPr>
            <w:r w:rsidRPr="00672A6A">
              <w:rPr>
                <w:rFonts w:cs="Linux Libertine"/>
                <w:sz w:val="18"/>
                <w:szCs w:val="18"/>
              </w:rPr>
              <w:t>District Court of Tasikmalaya</w:t>
            </w:r>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Oben Sarbeni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672A6A" w:rsidRDefault="00C8473A" w:rsidP="00ED0FE2">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672A6A" w:rsidRDefault="00C8473A" w:rsidP="00ED0FE2">
            <w:pPr>
              <w:ind w:left="54" w:right="68"/>
              <w:rPr>
                <w:rFonts w:cs="Linux Libertine"/>
                <w:sz w:val="18"/>
                <w:szCs w:val="18"/>
              </w:rPr>
            </w:pPr>
            <w:r w:rsidRPr="00672A6A">
              <w:rPr>
                <w:rFonts w:cs="Linux Libertine"/>
                <w:sz w:val="18"/>
                <w:szCs w:val="18"/>
              </w:rPr>
              <w:t>Temanggung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Antonius Richmond Bawengan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672A6A" w:rsidRDefault="00C8473A" w:rsidP="00ED0FE2">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672A6A" w:rsidRDefault="00C8473A" w:rsidP="00ED0FE2">
            <w:pPr>
              <w:ind w:left="54" w:right="68"/>
              <w:rPr>
                <w:rFonts w:cs="Linux Libertine"/>
                <w:sz w:val="18"/>
                <w:szCs w:val="18"/>
              </w:rPr>
            </w:pPr>
            <w:r w:rsidRPr="00672A6A">
              <w:rPr>
                <w:rFonts w:cs="Linux Libertine"/>
                <w:sz w:val="18"/>
                <w:szCs w:val="18"/>
              </w:rPr>
              <w:t>District Court Sumber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Tantowi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672A6A" w:rsidRDefault="00C8473A" w:rsidP="00ED0FE2">
            <w:pPr>
              <w:ind w:left="48" w:right="161"/>
              <w:jc w:val="both"/>
              <w:rPr>
                <w:rFonts w:cs="Linux Libertine"/>
                <w:sz w:val="18"/>
                <w:szCs w:val="18"/>
              </w:rPr>
            </w:pPr>
            <w:r w:rsidRPr="00672A6A">
              <w:rPr>
                <w:rFonts w:cs="Linux Libertine"/>
                <w:sz w:val="18"/>
                <w:szCs w:val="18"/>
              </w:rPr>
              <w:t>10 years sentence</w:t>
            </w:r>
          </w:p>
        </w:tc>
      </w:tr>
      <w:tr w:rsidR="00C8473A" w:rsidRPr="00672A6A"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672A6A" w:rsidRDefault="00C8473A" w:rsidP="00ED0FE2">
            <w:pPr>
              <w:ind w:left="54" w:right="68"/>
              <w:rPr>
                <w:rFonts w:cs="Linux Libertine"/>
                <w:sz w:val="18"/>
                <w:szCs w:val="18"/>
              </w:rPr>
            </w:pPr>
            <w:r w:rsidRPr="00672A6A">
              <w:rPr>
                <w:rFonts w:cs="Linux Libertine"/>
                <w:sz w:val="18"/>
                <w:szCs w:val="18"/>
              </w:rPr>
              <w:t>Klaten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Andreas Guntur Wisnu Sarsono,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672A6A" w:rsidRDefault="00C8473A" w:rsidP="00ED0FE2">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672A6A" w:rsidRDefault="00C8473A" w:rsidP="00ED0FE2">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Alexander Aan / Account Atheis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672A6A" w:rsidRDefault="00C8473A" w:rsidP="00ED0FE2">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672A6A" w:rsidRDefault="00C8473A" w:rsidP="00ED0FE2">
            <w:pPr>
              <w:ind w:left="54" w:right="68"/>
              <w:rPr>
                <w:rFonts w:cs="Linux Libertine"/>
                <w:sz w:val="18"/>
                <w:szCs w:val="18"/>
              </w:rPr>
            </w:pPr>
            <w:r w:rsidRPr="00672A6A">
              <w:rPr>
                <w:rFonts w:cs="Linux Libertine"/>
                <w:sz w:val="18"/>
                <w:szCs w:val="18"/>
              </w:rPr>
              <w:t>Ciamis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Subastian Joe Bin Abdul Hadi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672A6A" w:rsidRDefault="00C8473A" w:rsidP="00ED0FE2">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672A6A" w:rsidRDefault="00C8473A" w:rsidP="00ED0FE2">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Herison Yohanes Riwu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672A6A" w:rsidRDefault="00C8473A" w:rsidP="00ED0FE2">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672A6A" w:rsidRDefault="00C8473A" w:rsidP="00ED0FE2">
            <w:pPr>
              <w:ind w:left="54" w:right="68"/>
              <w:rPr>
                <w:rFonts w:cs="Linux Libertine"/>
                <w:sz w:val="18"/>
                <w:szCs w:val="18"/>
              </w:rPr>
            </w:pPr>
            <w:r w:rsidRPr="00672A6A">
              <w:rPr>
                <w:rFonts w:cs="Linux Libertine"/>
                <w:sz w:val="18"/>
                <w:szCs w:val="18"/>
              </w:rPr>
              <w:t>District Court Lubuk Pakam</w:t>
            </w:r>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Khairuddin or Udin / Islam Kaffah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672A6A" w:rsidRDefault="00C8473A" w:rsidP="00ED0FE2">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672A6A" w:rsidRDefault="00C8473A" w:rsidP="00ED0FE2">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Muhamad Rokhisun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Rohmansyah / Qur'aniyah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672A6A" w:rsidRDefault="00C8473A" w:rsidP="00ED0FE2">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672A6A" w:rsidRDefault="00C8473A" w:rsidP="00ED0FE2">
            <w:pPr>
              <w:ind w:left="54" w:right="68"/>
              <w:rPr>
                <w:rFonts w:cs="Linux Libertine"/>
                <w:sz w:val="18"/>
                <w:szCs w:val="18"/>
              </w:rPr>
            </w:pPr>
            <w:r w:rsidRPr="00672A6A">
              <w:rPr>
                <w:rFonts w:cs="Linux Libertine"/>
                <w:sz w:val="18"/>
                <w:szCs w:val="18"/>
              </w:rPr>
              <w:t>Sangatta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672A6A" w:rsidRDefault="00C8473A" w:rsidP="00ED0FE2">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Syeh Muhammad (Teacher of Bantil)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672A6A" w:rsidRDefault="00C8473A" w:rsidP="00ED0FE2">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672A6A" w:rsidRDefault="00C8473A" w:rsidP="00ED0FE2">
            <w:pPr>
              <w:ind w:left="48" w:right="161"/>
              <w:jc w:val="both"/>
              <w:rPr>
                <w:rFonts w:cs="Linux Libertine"/>
                <w:sz w:val="18"/>
                <w:szCs w:val="18"/>
              </w:rPr>
            </w:pPr>
            <w:r w:rsidRPr="00672A6A">
              <w:rPr>
                <w:rFonts w:cs="Linux Libertine"/>
                <w:sz w:val="18"/>
                <w:szCs w:val="18"/>
              </w:rPr>
              <w:t>3 years sentence</w:t>
            </w:r>
          </w:p>
        </w:tc>
      </w:tr>
      <w:tr w:rsidR="00C8473A" w:rsidRPr="00672A6A"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672A6A"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672A6A" w:rsidRDefault="00C8473A" w:rsidP="00ED0FE2">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672A6A"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 a</w:t>
            </w:r>
          </w:p>
        </w:tc>
      </w:tr>
      <w:tr w:rsidR="00C8473A" w:rsidRPr="00672A6A"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672A6A" w:rsidRDefault="00C8473A" w:rsidP="00ED0FE2">
            <w:pPr>
              <w:ind w:left="48" w:right="161"/>
              <w:jc w:val="both"/>
              <w:rPr>
                <w:rFonts w:cs="Linux Libertine"/>
                <w:sz w:val="18"/>
                <w:szCs w:val="18"/>
              </w:rPr>
            </w:pPr>
            <w:r w:rsidRPr="00672A6A">
              <w:rPr>
                <w:rFonts w:cs="Linux Libertine"/>
                <w:sz w:val="18"/>
                <w:szCs w:val="18"/>
              </w:rPr>
              <w:lastRenderedPageBreak/>
              <w:t>Sources: Cited from Court Decision Directory at Indonesia Supreme Court and Categorized by Author.</w:t>
            </w:r>
          </w:p>
        </w:tc>
      </w:tr>
    </w:tbl>
    <w:p w14:paraId="205381CD" w14:textId="77777777" w:rsidR="00C8473A" w:rsidRPr="00F24D9E" w:rsidRDefault="00C8473A" w:rsidP="00C8473A">
      <w:pPr>
        <w:pStyle w:val="ParagraphNormal"/>
        <w:rPr>
          <w:lang w:val="en-US"/>
        </w:rPr>
      </w:pPr>
    </w:p>
    <w:p w14:paraId="024AD873" w14:textId="77777777" w:rsidR="00C8473A" w:rsidRPr="00E0754A" w:rsidRDefault="00C8473A" w:rsidP="00C8473A">
      <w:pPr>
        <w:pStyle w:val="ParagraphNormal"/>
        <w:ind w:firstLine="0"/>
      </w:pPr>
    </w:p>
    <w:p w14:paraId="4870E838" w14:textId="2E897B78" w:rsidR="00C8473A" w:rsidRPr="00C8473A" w:rsidRDefault="006F6B45" w:rsidP="00C8473A">
      <w:pPr>
        <w:pStyle w:val="Heading2"/>
        <w:spacing w:line="360" w:lineRule="auto"/>
        <w:rPr>
          <w:rFonts w:cs="Linux Libertine"/>
        </w:rPr>
      </w:pPr>
      <w:r w:rsidRPr="00672A6A">
        <w:rPr>
          <w:rFonts w:cs="Linux Libertine"/>
        </w:rPr>
        <w:t xml:space="preserve">5.3 </w:t>
      </w:r>
      <w:r w:rsidRPr="00672A6A">
        <w:rPr>
          <w:rFonts w:cs="Linux Libertine"/>
        </w:rPr>
        <w:tab/>
        <w:t>Discussion and Analysis</w:t>
      </w:r>
    </w:p>
    <w:p w14:paraId="23B6EE23" w14:textId="6B527D3D" w:rsidR="00C8473A" w:rsidRPr="00C8473A" w:rsidRDefault="006F6B45" w:rsidP="00C8473A">
      <w:pPr>
        <w:pStyle w:val="Heading3"/>
        <w:spacing w:line="360" w:lineRule="auto"/>
        <w:rPr>
          <w:rFonts w:cs="Linux Libertine"/>
        </w:rPr>
      </w:pPr>
      <w:r>
        <w:rPr>
          <w:rFonts w:cs="Linux Libertine"/>
        </w:rPr>
        <w:t xml:space="preserve">5.3.1 Factors and </w:t>
      </w:r>
      <w:r w:rsidR="00C8473A">
        <w:rPr>
          <w:rFonts w:cs="Linux Libertine"/>
        </w:rPr>
        <w:t>A</w:t>
      </w:r>
      <w:r>
        <w:rPr>
          <w:rFonts w:cs="Linux Libertine"/>
        </w:rPr>
        <w:t xml:space="preserve">ctors </w:t>
      </w:r>
      <w:r w:rsidR="00C8473A">
        <w:rPr>
          <w:rFonts w:cs="Linux Libertine"/>
        </w:rPr>
        <w:t xml:space="preserve">Shaped </w:t>
      </w:r>
      <w:r>
        <w:rPr>
          <w:rFonts w:cs="Linux Libertine"/>
        </w:rPr>
        <w:t xml:space="preserve">the ABL’s </w:t>
      </w:r>
      <w:r w:rsidR="00C8473A">
        <w:rPr>
          <w:rFonts w:cs="Linux Libertine"/>
        </w:rPr>
        <w:t>E</w:t>
      </w:r>
      <w:r>
        <w:rPr>
          <w:rFonts w:cs="Linux Libertine"/>
        </w:rPr>
        <w:t>nforcement in Indonesia.</w:t>
      </w:r>
    </w:p>
    <w:p w14:paraId="64138393" w14:textId="10620F89" w:rsidR="00C8473A" w:rsidRDefault="006F6B45" w:rsidP="00C8473A">
      <w:pPr>
        <w:pStyle w:val="Heading4"/>
        <w:spacing w:line="360" w:lineRule="auto"/>
        <w:ind w:hanging="180"/>
        <w:rPr>
          <w:rFonts w:cs="Linux Libertine"/>
          <w:b/>
          <w:bCs/>
          <w:i w:val="0"/>
          <w:iCs w:val="0"/>
        </w:rPr>
      </w:pPr>
      <w:r w:rsidRPr="00C8473A">
        <w:rPr>
          <w:rFonts w:cs="Linux Libertine"/>
          <w:b/>
          <w:bCs/>
          <w:i w:val="0"/>
          <w:iCs w:val="0"/>
        </w:rPr>
        <w:t>(i)</w:t>
      </w:r>
      <w:r w:rsidR="009510D5" w:rsidRPr="00C8473A">
        <w:rPr>
          <w:rFonts w:cs="Linux Libertine"/>
          <w:b/>
          <w:bCs/>
          <w:i w:val="0"/>
          <w:iCs w:val="0"/>
        </w:rPr>
        <w:t xml:space="preserve"> </w:t>
      </w:r>
      <w:r w:rsidR="00C8473A">
        <w:rPr>
          <w:rFonts w:cs="Linux Libertine"/>
          <w:b/>
          <w:bCs/>
          <w:i w:val="0"/>
          <w:iCs w:val="0"/>
        </w:rPr>
        <w:t>Godly Nationalism Emerges in the Court’s Arguments</w:t>
      </w:r>
    </w:p>
    <w:p w14:paraId="5E901481" w14:textId="1E1D8ACA" w:rsidR="00C8473A" w:rsidRPr="00B05E2C" w:rsidRDefault="00C8473A" w:rsidP="00C8473A">
      <w:pPr>
        <w:pStyle w:val="ParagraphafSubheader"/>
        <w:ind w:firstLine="540"/>
        <w:rPr>
          <w:color w:val="FF0000"/>
        </w:rPr>
      </w:pPr>
      <w:r w:rsidRPr="00D20AED">
        <w:rPr>
          <w:color w:val="FF0000"/>
        </w:rPr>
        <w:t>Godly nationalism was the basis for Soekarno's approval of the ABL in 1965 (Menchik, 2014a: p.607-610). Article 1 of the ABL emphasizes punishment for acts of blasphemy.</w:t>
      </w:r>
      <w:r w:rsidRPr="00E0754A">
        <w:rPr>
          <w:rStyle w:val="FootnoteReference"/>
        </w:rPr>
        <w:footnoteReference w:id="87"/>
      </w:r>
      <w:r>
        <w:rPr>
          <w:color w:val="FF0000"/>
        </w:rPr>
        <w:t xml:space="preserve"> </w:t>
      </w:r>
      <w:r w:rsidRPr="00E0754A">
        <w:t xml:space="preserve">Underpinning of Godly Nationalism manufactures the prolong enforcement of the anti-blasphemy law that applaud the presence of mob violence or public protest. Menchik </w:t>
      </w:r>
      <w:r w:rsidRPr="00E0754A">
        <w:fldChar w:fldCharType="begin"/>
      </w:r>
      <w:r w:rsidR="00496D7D">
        <w:instrText xml:space="preserve"> ADDIN ZOTERO_ITEM CSL_CITATION {"citationID":"1gs1srVC","properties":{"formattedCitation":"(2014)","plainCitation":"(2014)","noteIndex":0},"citationItems":[{"id":1806,"uris":["http://zotero.org/users/6396655/items/XYN34VLG"],"itemData":{"id":1806,"type":"article-journal","container-title":"Comparative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00496D7D">
        <w:rPr>
          <w:rFonts w:cs="Linux Libertine"/>
        </w:rPr>
        <w:t>(2014)</w:t>
      </w:r>
      <w:r w:rsidRPr="00E0754A">
        <w:fldChar w:fldCharType="end"/>
      </w:r>
      <w:r w:rsidRPr="00E0754A">
        <w:t xml:space="preserve"> in his study argues that Godly nationalism that is upheld in Indonesia produces religious intolerance. Menchik believes that the value of God Almighty is central to the First Sila of Pancasila, “Believe in One God the Almighty,” in which every citizen has an intrinsic moral commitment to maintain religion as part of safeguarding the nation. In this view, insulting, blaspheming</w:t>
      </w:r>
      <w:r>
        <w:t xml:space="preserve"> others</w:t>
      </w:r>
      <w:r w:rsidRPr="00E0754A">
        <w:t xml:space="preserve"> religion</w:t>
      </w:r>
      <w:r>
        <w:t>s</w:t>
      </w:r>
      <w:r w:rsidRPr="00E0754A">
        <w:t xml:space="preserve">, and urging others to have no faith are acts that oppose holy nationalism. </w:t>
      </w:r>
    </w:p>
    <w:p w14:paraId="586F782C" w14:textId="77777777" w:rsidR="00C8473A" w:rsidRPr="00E0754A" w:rsidRDefault="00C8473A" w:rsidP="00C8473A">
      <w:pPr>
        <w:pStyle w:val="ParagraphNormal"/>
      </w:pPr>
      <w:r w:rsidRPr="00E0754A">
        <w:t xml:space="preserve">This definition of “godly nationalism” also emerges in the Constitutional Court's legal arguments in support of the Blasphemy Law's legality. The Chairperson of the Muhammadiyah </w:t>
      </w:r>
      <w:r>
        <w:t>organization believes</w:t>
      </w:r>
      <w:r w:rsidRPr="00E0754A">
        <w:t xml:space="preserve"> that Indonesia is not a secular state</w:t>
      </w:r>
      <w:r>
        <w:t xml:space="preserve">, but </w:t>
      </w:r>
      <w:r w:rsidRPr="00E0754A">
        <w:t>a country that believes in God Almighty</w:t>
      </w:r>
      <w:r>
        <w:t xml:space="preserve">. It </w:t>
      </w:r>
      <w:r w:rsidRPr="00E0754A">
        <w:t>has values that cannot be matched with those of a secular state.</w:t>
      </w:r>
      <w:r>
        <w:t xml:space="preserve"> </w:t>
      </w:r>
      <w:r w:rsidRPr="00E0754A">
        <w:t>Godly nationalism condemns anarchist activities or taking the law into one's own hands by persecuting religious groups or beliefs that are not among the six recognized by the government.</w:t>
      </w:r>
      <w:r>
        <w:t xml:space="preserve"> The principle of G</w:t>
      </w:r>
      <w:r w:rsidRPr="00E0754A">
        <w:t>odly nationalism is perpetually warped by various state policies that are oppressive, accusatory, or condemning of diverse religious groups or views and that encourage individuals to behave as their own judges.</w:t>
      </w:r>
    </w:p>
    <w:p w14:paraId="47620B9F" w14:textId="46FFC1B5" w:rsidR="00C8473A" w:rsidRPr="00E0754A" w:rsidRDefault="00C8473A" w:rsidP="00C8473A">
      <w:pPr>
        <w:pStyle w:val="ParagraphNormal"/>
      </w:pPr>
      <w:r w:rsidRPr="00E0754A">
        <w:lastRenderedPageBreak/>
        <w:t xml:space="preserve">Furthermore, Telle </w:t>
      </w:r>
      <w:r w:rsidRPr="00E0754A">
        <w:fldChar w:fldCharType="begin"/>
      </w:r>
      <w:r w:rsidR="00496D7D">
        <w:instrText xml:space="preserve"> ADDIN ZOTERO_ITEM CSL_CITATION {"citationID":"WHxB9tyq","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E0754A">
        <w:fldChar w:fldCharType="separate"/>
      </w:r>
      <w:r w:rsidR="00496D7D">
        <w:rPr>
          <w:rFonts w:cs="Linux Libertine"/>
        </w:rPr>
        <w:t>(2017)</w:t>
      </w:r>
      <w:r w:rsidRPr="00E0754A">
        <w:fldChar w:fldCharType="end"/>
      </w:r>
      <w:r w:rsidRPr="00E0754A">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w:t>
      </w:r>
      <w:r>
        <w:t>Under Soeharto’s administration, n</w:t>
      </w:r>
      <w:r w:rsidRPr="00E0754A">
        <w:t xml:space="preserve">umerous times, the </w:t>
      </w:r>
      <w:r>
        <w:t>A</w:t>
      </w:r>
      <w:r w:rsidRPr="00E0754A">
        <w:t xml:space="preserve">BL has been used to destroy communism and atheism and to restrict the liberties of non-recognized religions. At least three concerns posed a potential danger to Indonesia's unity. </w:t>
      </w:r>
      <w:r>
        <w:t>It</w:t>
      </w:r>
      <w:r w:rsidRPr="00E0754A">
        <w:t xml:space="preserve">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1764B239" w14:textId="77777777" w:rsidR="00C8473A" w:rsidRDefault="00C8473A" w:rsidP="00C8473A">
      <w:pPr>
        <w:pStyle w:val="ParagraphNormal"/>
      </w:pPr>
      <w:r w:rsidRPr="00E0754A">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0D15F7EC" w14:textId="77777777" w:rsidR="00C8473A" w:rsidRPr="00B05E2C" w:rsidRDefault="00C8473A" w:rsidP="00C8473A">
      <w:pPr>
        <w:pStyle w:val="ParagraphNormal"/>
        <w:rPr>
          <w:rFonts w:ascii="Times New Roman" w:hAnsi="Times New Roman" w:cs="Times New Roman"/>
          <w:i/>
          <w:iCs/>
          <w:color w:val="252525"/>
          <w:szCs w:val="24"/>
          <w:lang w:eastAsia="en-GB" w:bidi="ar-SA"/>
          <w14:ligatures w14:val="none"/>
          <w14:numSpacing w14:val="default"/>
        </w:rPr>
      </w:pPr>
      <w:r>
        <w:t>Furthermore, a</w:t>
      </w:r>
      <w:r w:rsidRPr="00E0754A">
        <w:t xml:space="preserve">ccording to the </w:t>
      </w:r>
      <w:r>
        <w:t>CCRI</w:t>
      </w:r>
      <w:r w:rsidRPr="00E0754A">
        <w:t xml:space="preserve">, </w:t>
      </w:r>
      <w:r>
        <w:t>G</w:t>
      </w:r>
      <w:r w:rsidRPr="00E0754A">
        <w:t>odly nationalism is reflected in Pancasila Sila I, “Belief in One God,” which is enshrined in Article 29 of the 1945 Constitution and reaffirmed by the Constitutional Court in its ratio decidendi decision when examining the constitutionality of the 1965 Anti-Blasphemy Law.</w:t>
      </w:r>
      <w:r w:rsidRPr="00E0754A">
        <w:rPr>
          <w:rStyle w:val="FootnoteReference"/>
        </w:rPr>
        <w:footnoteReference w:id="88"/>
      </w:r>
      <w:r w:rsidRPr="00E0754A">
        <w:t xml:space="preserve"> </w:t>
      </w:r>
      <w:r w:rsidRPr="00E0754A">
        <w:rPr>
          <w:rFonts w:ascii="Times New Roman" w:hAnsi="Times New Roman" w:cs="Times New Roman"/>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Rizieq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w:t>
      </w:r>
      <w:r w:rsidRPr="00E0754A">
        <w:rPr>
          <w:rFonts w:ascii="Times New Roman" w:hAnsi="Times New Roman" w:cs="Times New Roman"/>
          <w:color w:val="252525"/>
          <w:szCs w:val="24"/>
          <w:lang w:eastAsia="en-GB" w:bidi="ar-SA"/>
          <w14:ligatures w14:val="none"/>
          <w14:numSpacing w14:val="default"/>
        </w:rPr>
        <w:lastRenderedPageBreak/>
        <w:t xml:space="preserve">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B05E2C">
        <w:rPr>
          <w:rFonts w:ascii="Times New Roman" w:hAnsi="Times New Roman" w:cs="Times New Roman"/>
          <w:i/>
          <w:iCs/>
          <w:color w:val="252525"/>
          <w:szCs w:val="24"/>
          <w:lang w:eastAsia="en-GB" w:bidi="ar-SA"/>
          <w14:ligatures w14:val="none"/>
          <w14:numSpacing w14:val="default"/>
        </w:rPr>
        <w:t>MHS.</w:t>
      </w:r>
    </w:p>
    <w:p w14:paraId="1ED4C997" w14:textId="77777777" w:rsidR="00C8473A" w:rsidRPr="00E0754A" w:rsidRDefault="00C8473A" w:rsidP="00C8473A">
      <w:pPr>
        <w:pStyle w:val="ParagraphNormal"/>
      </w:pPr>
      <w:r w:rsidRPr="00E0754A">
        <w:rPr>
          <w:rFonts w:ascii="Times New Roman" w:hAnsi="Times New Roman" w:cs="Times New Roman"/>
          <w:color w:val="252525"/>
          <w:szCs w:val="24"/>
          <w:lang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644669D0" w14:textId="77777777" w:rsidR="00C8473A" w:rsidRPr="00E0754A" w:rsidRDefault="00C8473A" w:rsidP="00C8473A">
      <w:pPr>
        <w:pStyle w:val="ParagraphNormal"/>
      </w:pPr>
      <w:r w:rsidRPr="00E0754A">
        <w:t>But on the other hand, when the blasphemy law regime is strong, the vigilante phenomenon increases. For instance, a study conducted by Yilmaz and Barton (2021) states that Front Defender of Islam (FPI) is a hard-liner Islamic organization, where under the leadership of Rizieq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Sendiri accompanies it which FPI is often involved in.</w:t>
      </w:r>
    </w:p>
    <w:p w14:paraId="7C564718" w14:textId="77777777" w:rsidR="00C8473A" w:rsidRPr="00E0754A" w:rsidRDefault="00C8473A" w:rsidP="00C8473A">
      <w:pPr>
        <w:pStyle w:val="ParagraphNormal"/>
      </w:pPr>
      <w:r w:rsidRPr="00E0754A">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13773099" w14:textId="77777777" w:rsidR="00C8473A" w:rsidRPr="00C8473A" w:rsidRDefault="00C8473A" w:rsidP="00C8473A"/>
    <w:p w14:paraId="58B0BD1E" w14:textId="5FA713CD" w:rsidR="00C8473A" w:rsidRPr="00C8473A" w:rsidRDefault="00C8473A" w:rsidP="00C8473A">
      <w:pPr>
        <w:pStyle w:val="Heading4"/>
        <w:spacing w:line="360" w:lineRule="auto"/>
        <w:ind w:hanging="180"/>
        <w:rPr>
          <w:rFonts w:cs="Linux Libertine"/>
          <w:b/>
          <w:bCs/>
          <w:i w:val="0"/>
          <w:iCs w:val="0"/>
        </w:rPr>
      </w:pPr>
      <w:r>
        <w:rPr>
          <w:rFonts w:cs="Linux Libertine"/>
          <w:b/>
          <w:bCs/>
          <w:i w:val="0"/>
          <w:iCs w:val="0"/>
        </w:rPr>
        <w:lastRenderedPageBreak/>
        <w:t xml:space="preserve">(ii) </w:t>
      </w:r>
      <w:r w:rsidR="00EB123F" w:rsidRPr="00C8473A">
        <w:rPr>
          <w:rFonts w:cs="Linux Libertine"/>
          <w:b/>
          <w:bCs/>
          <w:i w:val="0"/>
          <w:iCs w:val="0"/>
        </w:rPr>
        <w:t>State Monopoly Truth</w:t>
      </w:r>
    </w:p>
    <w:p w14:paraId="1308FBEE" w14:textId="1F173749" w:rsidR="00EB123F" w:rsidRPr="00672A6A" w:rsidRDefault="00EB123F" w:rsidP="00C8473A">
      <w:pPr>
        <w:pStyle w:val="ParagraphafSubheader"/>
        <w:ind w:firstLine="540"/>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9"/>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90"/>
      </w:r>
    </w:p>
    <w:p w14:paraId="30BBFDE1" w14:textId="4F599683" w:rsidR="00EB123F" w:rsidRPr="00672A6A" w:rsidRDefault="00EB123F" w:rsidP="00EB123F">
      <w:pPr>
        <w:pStyle w:val="ParagraphNormal"/>
        <w:rPr>
          <w:rFonts w:cs="Linux Libertine"/>
          <w:lang w:val="en-US"/>
        </w:rPr>
      </w:pPr>
      <w:r w:rsidRPr="00672A6A">
        <w:rPr>
          <w:rFonts w:cs="Linux Libertine"/>
          <w:lang w:val="en-US"/>
        </w:rPr>
        <w:t xml:space="preserve">If referring to Hashim Kamali's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00496D7D">
        <w:rPr>
          <w:rFonts w:cs="Linux Libertine"/>
          <w:lang w:val="en-US"/>
        </w:rPr>
        <w:instrText xml:space="preserve"> ADDIN ZOTERO_ITEM CSL_CITATION {"citationID":"R8e8nMLa","properties":{"formattedCitation":"(Kamali 2006)","plainCitation":"(Kamali 2006)","noteIndex":0},"citationItems":[{"id":2030,"uris":["http://zotero.org/users/6396655/items/PDG37LSL"],"itemData":{"id":2030,"type":"article-journal","container-title":"Islam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00496D7D">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Kamali also asserts that “approximately 750 verses, or nearly one-eight of the Qur'an, exhort the readers to study nature, history, the Qur'an itself, and humanity at </w:t>
      </w:r>
      <w:r w:rsidRPr="00672A6A">
        <w:rPr>
          <w:rFonts w:cs="Linux Libertine"/>
          <w:lang w:val="en-US"/>
        </w:rPr>
        <w:lastRenderedPageBreak/>
        <w:t>large.”</w:t>
      </w:r>
      <w:r w:rsidRPr="00672A6A">
        <w:rPr>
          <w:rStyle w:val="FootnoteReference"/>
          <w:rFonts w:cs="Linux Libertine"/>
          <w:lang w:val="en-US"/>
        </w:rPr>
        <w:t xml:space="preserve"> </w:t>
      </w:r>
      <w:r w:rsidRPr="00672A6A">
        <w:rPr>
          <w:rStyle w:val="FootnoteReference"/>
          <w:rFonts w:cs="Linux Libertine"/>
          <w:lang w:val="en-US"/>
        </w:rPr>
        <w:footnoteReference w:id="91"/>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Mahful Muis and Ahmad Musaddeq were perpetrators of blasphemy who violated Article 165a of the Criminal Code. In an interview with the former Head of YLBHI, who is also the legal adviser to the two defendants, Asfinawati,</w:t>
      </w:r>
      <w:r w:rsidRPr="00672A6A">
        <w:rPr>
          <w:rStyle w:val="FootnoteReference"/>
          <w:rFonts w:cs="Linux Libertine"/>
          <w:lang w:val="en-US"/>
        </w:rPr>
        <w:footnoteReference w:id="92"/>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93"/>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Ahmadiyya case, both the court of first instance and the high court shared the belief that a person who has religious teachings that are different from the religion adhered to in Indonesia is prohibited from being the perpetrator of religious </w:t>
      </w:r>
      <w:r w:rsidRPr="00672A6A">
        <w:rPr>
          <w:rFonts w:cs="Linux Libertine"/>
          <w:lang w:val="en-US" w:eastAsia="en-GB" w:bidi="ar-SA"/>
        </w:rPr>
        <w:lastRenderedPageBreak/>
        <w:t>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94"/>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Qadiyan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Meiliana's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lastRenderedPageBreak/>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5"/>
      </w:r>
      <w:r w:rsidRPr="00672A6A">
        <w:rPr>
          <w:rFonts w:cs="Linux Libertine"/>
          <w:lang w:val="en-US"/>
        </w:rPr>
        <w:t xml:space="preserve"> This act of vigilantism cannot be separated from the government's policy during the reign of Soesilo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6"/>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lastRenderedPageBreak/>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hard-line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7"/>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28F93243" w14:textId="77777777" w:rsidR="00601A07" w:rsidRPr="00672A6A" w:rsidRDefault="00601A07" w:rsidP="00601A07">
      <w:pPr>
        <w:rPr>
          <w:rFonts w:cs="Linux Libertine"/>
        </w:rPr>
      </w:pPr>
    </w:p>
    <w:p w14:paraId="759CFF52" w14:textId="77777777" w:rsidR="00C8473A" w:rsidRPr="00672A6A" w:rsidRDefault="00C8473A" w:rsidP="00C8473A">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w:t>
      </w:r>
      <w:r w:rsidRPr="00672A6A">
        <w:rPr>
          <w:rFonts w:cs="Linux Libertine"/>
          <w:lang w:val="en-US"/>
        </w:rPr>
        <w:lastRenderedPageBreak/>
        <w:t>choices that favor the majority predominate. Therefore, amok's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Ahmadiyah and Gafatar teachings heretical long before a court decision was made. </w:t>
      </w:r>
    </w:p>
    <w:p w14:paraId="22FBF084" w14:textId="77777777" w:rsidR="00C8473A" w:rsidRPr="00672A6A" w:rsidRDefault="00C8473A" w:rsidP="00C8473A">
      <w:pPr>
        <w:pStyle w:val="ParagraphafSubheader"/>
        <w:ind w:firstLine="480"/>
        <w:rPr>
          <w:rFonts w:cs="Linux Libertine"/>
          <w:lang w:val="en-US" w:eastAsia="en-GB" w:bidi="ar-SA"/>
        </w:rPr>
      </w:pPr>
      <w:r w:rsidRPr="00672A6A">
        <w:rPr>
          <w:rFonts w:cs="Linux Libertine"/>
          <w:lang w:val="en-US" w:eastAsia="en-GB" w:bidi="ar-SA"/>
        </w:rPr>
        <w:t>The vigilante justice phenomenon against religious followers accused of being heretics shows the strengthening of hard-line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Unfortunately, the violent actions of hard-line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hard-line Islam and the government to defend the law.</w:t>
      </w:r>
    </w:p>
    <w:p w14:paraId="520E56E8"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hard-line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w:t>
      </w:r>
      <w:r w:rsidRPr="00672A6A">
        <w:rPr>
          <w:rFonts w:cs="Linux Libertine"/>
          <w:lang w:val="en-US" w:eastAsia="en-GB" w:bidi="ar-SA"/>
        </w:rPr>
        <w:lastRenderedPageBreak/>
        <w:t>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hard-line Muslim communities supported by millennials to look for alternative economic systems that can build prosperity.</w:t>
      </w:r>
    </w:p>
    <w:p w14:paraId="0B28D9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r w:rsidRPr="00672A6A">
        <w:rPr>
          <w:rFonts w:cs="Linux Libertine"/>
          <w:i/>
          <w:iCs/>
          <w:lang w:val="en-US" w:eastAsia="en-GB" w:bidi="ar-SA"/>
        </w:rPr>
        <w:t>hard-line</w:t>
      </w:r>
      <w:r w:rsidRPr="00672A6A">
        <w:rPr>
          <w:rFonts w:cs="Linux Libertine"/>
          <w:lang w:val="en-US" w:eastAsia="en-GB" w:bidi="ar-SA"/>
        </w:rPr>
        <w:t xml:space="preserve"> Islam and moderate Islam continues to sharpen. Intolerance rose sharply, either in the form of hate speech or the criminalization of religious minorities by hard-line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hard-line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Assyaukanie, heresy is derived from theological terms. Ma'ruf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(dalil syar'i).</w:t>
      </w:r>
      <w:r w:rsidRPr="00672A6A">
        <w:rPr>
          <w:rStyle w:val="FootnoteReference"/>
          <w:rFonts w:cs="Linux Libertine"/>
          <w:lang w:val="en-US"/>
        </w:rPr>
        <w:footnoteReference w:id="98"/>
      </w:r>
    </w:p>
    <w:p w14:paraId="2D4CDB7F" w14:textId="77777777" w:rsidR="00C8473A" w:rsidRPr="00672A6A" w:rsidRDefault="00C8473A" w:rsidP="00C8473A">
      <w:pPr>
        <w:pStyle w:val="ParagraphNormal"/>
        <w:rPr>
          <w:rFonts w:cs="Linux Libertine"/>
          <w:lang w:val="en-US"/>
        </w:rPr>
      </w:pPr>
      <w:r w:rsidRPr="00672A6A">
        <w:rPr>
          <w:rFonts w:cs="Linux Libertine"/>
          <w:lang w:val="en-US"/>
        </w:rPr>
        <w:lastRenderedPageBreak/>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672A6A" w:rsidRDefault="00601A07" w:rsidP="00601A07">
      <w:pPr>
        <w:rPr>
          <w:rFonts w:cs="Linux Libertine"/>
        </w:rPr>
      </w:pPr>
    </w:p>
    <w:p w14:paraId="68BFF7E1" w14:textId="77777777" w:rsidR="00C8473A" w:rsidRPr="00E0754A" w:rsidRDefault="00C8473A" w:rsidP="00C8473A">
      <w:pPr>
        <w:pStyle w:val="Heading3"/>
        <w:numPr>
          <w:ilvl w:val="2"/>
          <w:numId w:val="330"/>
        </w:numPr>
        <w:tabs>
          <w:tab w:val="num" w:pos="1492"/>
        </w:tabs>
        <w:ind w:left="709" w:hanging="709"/>
      </w:pPr>
      <w:bookmarkStart w:id="4" w:name="_Toc118302784"/>
      <w:bookmarkStart w:id="5" w:name="_Toc121200593"/>
      <w:r w:rsidRPr="00E0754A">
        <w:t>State actors</w:t>
      </w:r>
      <w:bookmarkEnd w:id="4"/>
      <w:bookmarkEnd w:id="5"/>
      <w:r w:rsidRPr="00E0754A">
        <w:t xml:space="preserve"> </w:t>
      </w:r>
    </w:p>
    <w:p w14:paraId="27955DBD" w14:textId="77777777" w:rsidR="00C8473A" w:rsidRDefault="00C8473A" w:rsidP="00C8473A">
      <w:pPr>
        <w:pStyle w:val="ParagraphafSubheader"/>
      </w:pPr>
    </w:p>
    <w:p w14:paraId="2839DDD3" w14:textId="77777777" w:rsidR="00C8473A" w:rsidRPr="00E0754A" w:rsidRDefault="00C8473A" w:rsidP="00C8473A">
      <w:pPr>
        <w:pStyle w:val="ParagraphafSubheader"/>
        <w:ind w:firstLine="540"/>
        <w:rPr>
          <w:color w:val="252525"/>
        </w:rPr>
      </w:pPr>
      <w:r w:rsidRPr="00E0754A">
        <w:t>Studies conducted by USCIRF (2020) with the title “Violating Rights Enforcing the World’s Blasphemy Laws” observed the implementations of blasphemy laws around the world, including in Indonesia,</w:t>
      </w:r>
      <w:r w:rsidRPr="00E0754A">
        <w:rPr>
          <w:rStyle w:val="FootnoteReference"/>
        </w:rPr>
        <w:footnoteReference w:id="99"/>
      </w:r>
      <w:r w:rsidRPr="00E0754A">
        <w:t xml:space="preserve"> states that violence or threats of community violence that accompany accusations of blasphemy generally target the accused perpetrators or bystanders and are mobilized by non-state actors, either individually or in groups (p. 7).</w:t>
      </w:r>
      <w:r w:rsidRPr="00E0754A">
        <w:rPr>
          <w:rStyle w:val="FootnoteReference"/>
        </w:rPr>
        <w:footnoteReference w:id="100"/>
      </w:r>
      <w:r w:rsidRPr="00E0754A">
        <w:t xml:space="preserve"> </w:t>
      </w:r>
      <w:r w:rsidRPr="00E0754A">
        <w:rPr>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E0754A">
        <w:rPr>
          <w:i/>
          <w:iCs/>
          <w:color w:val="252525"/>
        </w:rPr>
        <w:t>Ahmadiyya, Gafatar, and Meiliana</w:t>
      </w:r>
      <w:r w:rsidRPr="00E0754A">
        <w:rPr>
          <w:color w:val="252525"/>
        </w:rPr>
        <w:t xml:space="preserve">.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w:t>
      </w:r>
      <w:r w:rsidRPr="00E0754A">
        <w:rPr>
          <w:color w:val="252525"/>
        </w:rPr>
        <w:lastRenderedPageBreak/>
        <w:t>institutions that issue official decisions on behalf of the state stating that a heretical teaching is prohibited, or activities are prohibited, etc.</w:t>
      </w:r>
    </w:p>
    <w:p w14:paraId="4EFFAA0A" w14:textId="77777777" w:rsidR="00C8473A" w:rsidRPr="00E0754A" w:rsidRDefault="00C8473A" w:rsidP="00C8473A">
      <w:pPr>
        <w:pStyle w:val="ParagraphNormal"/>
        <w:rPr>
          <w:color w:val="252525"/>
        </w:rPr>
      </w:pPr>
      <w:r w:rsidRPr="00E0754A">
        <w:t xml:space="preserve">Learning from the tables above, this study finds that the perpetrators of vigilantism in blasphemy charges against the </w:t>
      </w:r>
      <w:r w:rsidRPr="00E0754A">
        <w:rPr>
          <w:i/>
          <w:iCs/>
        </w:rPr>
        <w:t xml:space="preserve">Ahmadiyya group, the Gafatar group, </w:t>
      </w:r>
      <w:r w:rsidRPr="00E0754A">
        <w:t>and</w:t>
      </w:r>
      <w:r w:rsidRPr="00E0754A">
        <w:rPr>
          <w:i/>
          <w:iCs/>
        </w:rPr>
        <w:t xml:space="preserve"> the Meiliana</w:t>
      </w:r>
      <w:r w:rsidRPr="00E0754A">
        <w:t xml:space="preserve"> are very diverse, as depicted in figure 6.</w:t>
      </w:r>
    </w:p>
    <w:p w14:paraId="412B18ED" w14:textId="77777777" w:rsidR="00C8473A" w:rsidRPr="00E0754A" w:rsidRDefault="00C8473A" w:rsidP="00C8473A">
      <w:r w:rsidRPr="00E0754A">
        <w:rPr>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E0754A">
        <w:rPr>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E0754A" w:rsidRDefault="00C8473A" w:rsidP="00C8473A">
      <w:pPr>
        <w:pStyle w:val="ParagraphNormal"/>
      </w:pPr>
      <w:r w:rsidRPr="00E0754A">
        <w:t>Sources: Cited from various sources and analysed by the author.</w:t>
      </w:r>
    </w:p>
    <w:p w14:paraId="0AE26399" w14:textId="77777777" w:rsidR="00C8473A" w:rsidRDefault="00C8473A" w:rsidP="00C8473A">
      <w:pPr>
        <w:rPr>
          <w:b/>
          <w:bCs/>
        </w:rPr>
      </w:pPr>
    </w:p>
    <w:p w14:paraId="2A13A612" w14:textId="77777777" w:rsidR="00C8473A" w:rsidRPr="00E0754A" w:rsidRDefault="00C8473A" w:rsidP="00C8473A">
      <w:pPr>
        <w:pStyle w:val="ParagraphafSubheader"/>
        <w:rPr>
          <w:color w:val="252525"/>
          <w:lang w:eastAsia="en-GB" w:bidi="ar-SA"/>
        </w:rPr>
      </w:pPr>
      <w:r w:rsidRPr="00E0754A">
        <w:rPr>
          <w:lang w:eastAsia="en-GB" w:bidi="ar-SA"/>
        </w:rPr>
        <w:t xml:space="preserve">In general, what is meant by “state actors” are public apparatuses acting for and on behalf of the state, working for central government institutions, regional government institutions, and the judiciary. </w:t>
      </w:r>
      <w:r w:rsidRPr="00E0754A">
        <w:rPr>
          <w:color w:val="252525"/>
          <w:lang w:eastAsia="en-GB" w:bidi="ar-SA"/>
        </w:rPr>
        <w:t xml:space="preserve">Based on the three innocent blasphemy cases against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at least three state institutions encourage the general public to perform the </w:t>
      </w:r>
      <w:r w:rsidRPr="00E0754A">
        <w:rPr>
          <w:i/>
          <w:iCs/>
          <w:color w:val="252525"/>
          <w:lang w:eastAsia="en-GB" w:bidi="ar-SA"/>
        </w:rPr>
        <w:t>Main Hakim Sendiri</w:t>
      </w:r>
      <w:r w:rsidRPr="00E0754A">
        <w:rPr>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E0754A">
        <w:rPr>
          <w:i/>
          <w:iCs/>
          <w:color w:val="252525"/>
          <w:lang w:eastAsia="en-GB" w:bidi="ar-SA"/>
        </w:rPr>
        <w:t>Ahmadiyya</w:t>
      </w:r>
      <w:r w:rsidRPr="00E0754A">
        <w:rPr>
          <w:color w:val="252525"/>
          <w:lang w:eastAsia="en-GB" w:bidi="ar-SA"/>
        </w:rPr>
        <w:t xml:space="preserve">, from 2010 to 2021, there were at least six vigilante incidents that demonstrated the failure of the police to prevent the recurrence of such violence. In the </w:t>
      </w:r>
      <w:r w:rsidRPr="00E0754A">
        <w:rPr>
          <w:i/>
          <w:iCs/>
          <w:color w:val="252525"/>
          <w:lang w:eastAsia="en-GB" w:bidi="ar-SA"/>
        </w:rPr>
        <w:t xml:space="preserve">Gafatar </w:t>
      </w:r>
      <w:r w:rsidRPr="00E0754A">
        <w:rPr>
          <w:color w:val="252525"/>
          <w:lang w:eastAsia="en-GB" w:bidi="ar-SA"/>
        </w:rPr>
        <w:t xml:space="preserve">case, the police failed to prevent violence against </w:t>
      </w:r>
      <w:r w:rsidRPr="00E0754A">
        <w:rPr>
          <w:i/>
          <w:iCs/>
          <w:color w:val="252525"/>
          <w:lang w:eastAsia="en-GB" w:bidi="ar-SA"/>
        </w:rPr>
        <w:t xml:space="preserve">Gafatar </w:t>
      </w:r>
      <w:r w:rsidRPr="00E0754A">
        <w:rPr>
          <w:color w:val="252525"/>
          <w:lang w:eastAsia="en-GB" w:bidi="ar-SA"/>
        </w:rPr>
        <w:t xml:space="preserve">members, including the expulsion </w:t>
      </w:r>
      <w:r w:rsidRPr="00E0754A">
        <w:rPr>
          <w:color w:val="252525"/>
          <w:lang w:eastAsia="en-GB" w:bidi="ar-SA"/>
        </w:rPr>
        <w:lastRenderedPageBreak/>
        <w:t xml:space="preserve">of </w:t>
      </w:r>
      <w:r w:rsidRPr="00E0754A">
        <w:rPr>
          <w:i/>
          <w:iCs/>
          <w:color w:val="252525"/>
          <w:lang w:eastAsia="en-GB" w:bidi="ar-SA"/>
        </w:rPr>
        <w:t xml:space="preserve">Gafatar </w:t>
      </w:r>
      <w:r w:rsidRPr="00E0754A">
        <w:rPr>
          <w:color w:val="252525"/>
          <w:lang w:eastAsia="en-GB" w:bidi="ar-SA"/>
        </w:rPr>
        <w:t xml:space="preserve">residents and the burning of their homes in Kalimantan. In the case of </w:t>
      </w:r>
      <w:r w:rsidRPr="00E0754A">
        <w:rPr>
          <w:i/>
          <w:iCs/>
          <w:color w:val="252525"/>
          <w:lang w:eastAsia="en-GB" w:bidi="ar-SA"/>
        </w:rPr>
        <w:t>Meiliana,</w:t>
      </w:r>
      <w:r w:rsidRPr="00E0754A">
        <w:rPr>
          <w:color w:val="252525"/>
          <w:lang w:eastAsia="en-GB" w:bidi="ar-SA"/>
        </w:rPr>
        <w:t xml:space="preserve"> the mediation initiated by the police to conduct a dialogue between residents and </w:t>
      </w:r>
      <w:r w:rsidRPr="00E0754A">
        <w:rPr>
          <w:i/>
          <w:iCs/>
          <w:color w:val="252525"/>
          <w:lang w:eastAsia="en-GB" w:bidi="ar-SA"/>
        </w:rPr>
        <w:t>Meiliana</w:t>
      </w:r>
      <w:r w:rsidRPr="00E0754A">
        <w:rPr>
          <w:color w:val="252525"/>
          <w:lang w:eastAsia="en-GB" w:bidi="ar-SA"/>
        </w:rPr>
        <w:t xml:space="preserve"> was unsuccessful, and the police failed to prevent a mob rage that took the form of burning down </w:t>
      </w:r>
      <w:r w:rsidRPr="00E0754A">
        <w:rPr>
          <w:i/>
          <w:iCs/>
          <w:color w:val="252525"/>
          <w:lang w:eastAsia="en-GB" w:bidi="ar-SA"/>
        </w:rPr>
        <w:t>Meiliana</w:t>
      </w:r>
      <w:r w:rsidRPr="00E0754A">
        <w:rPr>
          <w:color w:val="252525"/>
          <w:lang w:eastAsia="en-GB" w:bidi="ar-SA"/>
        </w:rPr>
        <w:t xml:space="preserve">'s house and even several temples. The failure of the police to prevent violence against the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groups is a form of allowing vigilante justice to occur.</w:t>
      </w:r>
    </w:p>
    <w:p w14:paraId="4ED6D0F0" w14:textId="77777777" w:rsidR="00C8473A" w:rsidRPr="00E0754A" w:rsidRDefault="00C8473A" w:rsidP="00C8473A">
      <w:pPr>
        <w:pStyle w:val="ParagraphNormal"/>
        <w:rPr>
          <w:lang w:eastAsia="en-GB" w:bidi="ar-SA"/>
        </w:rPr>
      </w:pPr>
      <w:r w:rsidRPr="00E0754A">
        <w:rPr>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E0754A">
        <w:t>Joint Decree of the Minister of Religion, the Attorney General, and the Minister of Home Affairs of the Republic of Indonesia, Number 3 of 2008, Kep. 033/a/ja/6/2008, concerning warnings and orders to adherents, members, and/or community members of the Indonesian Ahmadiyya Muslim Community (JAI)</w:t>
      </w:r>
      <w:r w:rsidRPr="00E0754A">
        <w:rPr>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E0754A">
        <w:rPr>
          <w:i/>
          <w:iCs/>
          <w:lang w:eastAsia="en-GB" w:bidi="ar-SA"/>
        </w:rPr>
        <w:t xml:space="preserve">Ahmadiyya </w:t>
      </w:r>
      <w:r w:rsidRPr="00E0754A">
        <w:rPr>
          <w:lang w:eastAsia="en-GB" w:bidi="ar-SA"/>
        </w:rPr>
        <w:t>and</w:t>
      </w:r>
      <w:r w:rsidRPr="00E0754A">
        <w:rPr>
          <w:i/>
          <w:iCs/>
          <w:lang w:eastAsia="en-GB" w:bidi="ar-SA"/>
        </w:rPr>
        <w:t xml:space="preserve"> Gafatar</w:t>
      </w:r>
      <w:r w:rsidRPr="00E0754A">
        <w:rPr>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7777777" w:rsidR="00C8473A" w:rsidRPr="00E0754A" w:rsidRDefault="00C8473A" w:rsidP="00C8473A">
      <w:pPr>
        <w:pStyle w:val="Caption"/>
        <w:keepNext/>
      </w:pPr>
      <w:r w:rsidRPr="00E0754A">
        <w:lastRenderedPageBreak/>
        <w:t xml:space="preserve">Table </w:t>
      </w:r>
      <w:r w:rsidRPr="00E0754A">
        <w:fldChar w:fldCharType="begin"/>
      </w:r>
      <w:r w:rsidRPr="00E0754A">
        <w:instrText xml:space="preserve"> SEQ Table \* ARABIC </w:instrText>
      </w:r>
      <w:r w:rsidRPr="00E0754A">
        <w:fldChar w:fldCharType="separate"/>
      </w:r>
      <w:r w:rsidRPr="00E0754A">
        <w:rPr>
          <w:noProof/>
        </w:rPr>
        <w:t>9</w:t>
      </w:r>
      <w:r w:rsidRPr="00E0754A">
        <w:fldChar w:fldCharType="end"/>
      </w:r>
      <w:r w:rsidRPr="00E0754A">
        <w:t>. State Actors Encourage Vigilantism Actions (Main Hakim Sendiri)</w:t>
      </w:r>
    </w:p>
    <w:tbl>
      <w:tblPr>
        <w:tblStyle w:val="GridTable2-Accent3"/>
        <w:tblW w:w="0" w:type="auto"/>
        <w:tblLook w:val="04A0" w:firstRow="1" w:lastRow="0" w:firstColumn="1" w:lastColumn="0" w:noHBand="0" w:noVBand="1"/>
      </w:tblPr>
      <w:tblGrid>
        <w:gridCol w:w="570"/>
        <w:gridCol w:w="2686"/>
        <w:gridCol w:w="3402"/>
        <w:gridCol w:w="1671"/>
      </w:tblGrid>
      <w:tr w:rsidR="00C8473A" w:rsidRPr="00E0754A"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E0754A" w:rsidRDefault="00C8473A" w:rsidP="00ED0FE2">
            <w:pPr>
              <w:jc w:val="center"/>
              <w:rPr>
                <w:rFonts w:cs="Linux Libertine"/>
                <w:color w:val="252525"/>
                <w:lang w:eastAsia="en-GB"/>
                <w14:ligatures w14:val="none"/>
              </w:rPr>
            </w:pPr>
            <w:r w:rsidRPr="00E0754A">
              <w:rPr>
                <w:rFonts w:cs="Linux Libertine"/>
                <w:color w:val="252525"/>
                <w:lang w:eastAsia="en-GB"/>
                <w14:ligatures w14:val="none"/>
              </w:rPr>
              <w:t>No.</w:t>
            </w:r>
          </w:p>
        </w:tc>
        <w:tc>
          <w:tcPr>
            <w:tcW w:w="2686" w:type="dxa"/>
          </w:tcPr>
          <w:p w14:paraId="255ECDF3"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State Actors</w:t>
            </w:r>
          </w:p>
        </w:tc>
        <w:tc>
          <w:tcPr>
            <w:tcW w:w="3402" w:type="dxa"/>
          </w:tcPr>
          <w:p w14:paraId="410F9E65"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Name of Regulations</w:t>
            </w:r>
          </w:p>
        </w:tc>
        <w:tc>
          <w:tcPr>
            <w:tcW w:w="1671" w:type="dxa"/>
          </w:tcPr>
          <w:p w14:paraId="0F3C6E99"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Area</w:t>
            </w:r>
          </w:p>
        </w:tc>
      </w:tr>
      <w:tr w:rsidR="00C8473A" w:rsidRPr="00E0754A"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1</w:t>
            </w:r>
          </w:p>
        </w:tc>
        <w:tc>
          <w:tcPr>
            <w:tcW w:w="2686" w:type="dxa"/>
          </w:tcPr>
          <w:p w14:paraId="786BD8E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Minister of Religion, the Attorney General and the Minister of Homa Affairs of </w:t>
            </w:r>
            <w:r w:rsidRPr="00E0754A">
              <w:rPr>
                <w:rFonts w:cs="Linux Libertine"/>
                <w:color w:val="252525"/>
              </w:rPr>
              <w:t>the Republic of Indonesia.</w:t>
            </w:r>
          </w:p>
        </w:tc>
        <w:tc>
          <w:tcPr>
            <w:tcW w:w="3402" w:type="dxa"/>
          </w:tcPr>
          <w:p w14:paraId="5C6CEA23" w14:textId="77777777" w:rsidR="00C8473A" w:rsidRPr="00E0754A"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E0754A">
              <w:rPr>
                <w:rFonts w:ascii="Linux Libertine" w:hAnsi="Linux Libertine" w:cs="Linux Libertine"/>
                <w:color w:val="252525"/>
                <w:sz w:val="20"/>
                <w:szCs w:val="20"/>
              </w:rPr>
              <w:t>Joint Decree of the Minister of Religion, the Attorney General, and the Minister of Home Affairs of the Republic of Indonesia, Number 3 of 2008, Kep. 033/a/ja/6/2008, concerning warnings and orders to adherents, members, and/or community members of the Indonesian Ahmadiyya Muslim Community (JAI).</w:t>
            </w:r>
          </w:p>
          <w:p w14:paraId="595F20D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2</w:t>
            </w:r>
          </w:p>
        </w:tc>
        <w:tc>
          <w:tcPr>
            <w:tcW w:w="2686" w:type="dxa"/>
          </w:tcPr>
          <w:p w14:paraId="702EC99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w:t>
            </w:r>
          </w:p>
          <w:p w14:paraId="4DF9C69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General of the Ministry of Religion, Attorney General</w:t>
            </w:r>
          </w:p>
          <w:p w14:paraId="0245242B"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Young Intelligence, and Director General of National Unity and Interior Ministry Politics.</w:t>
            </w:r>
          </w:p>
          <w:p w14:paraId="318942C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SE/B-1065/DDsp.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3.</w:t>
            </w:r>
          </w:p>
        </w:tc>
        <w:tc>
          <w:tcPr>
            <w:tcW w:w="2686" w:type="dxa"/>
          </w:tcPr>
          <w:p w14:paraId="05A47C3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Province.</w:t>
            </w:r>
          </w:p>
        </w:tc>
        <w:tc>
          <w:tcPr>
            <w:tcW w:w="3402" w:type="dxa"/>
          </w:tcPr>
          <w:p w14:paraId="123E561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Decree Number 188/94/KPTS/013/2011regarding the Prohibition of the Activities of the Indonesian Admadiyah Congregation (abbreviated as JAI).</w:t>
            </w:r>
          </w:p>
        </w:tc>
        <w:tc>
          <w:tcPr>
            <w:tcW w:w="1671" w:type="dxa"/>
          </w:tcPr>
          <w:p w14:paraId="7C79CA2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East Java.</w:t>
            </w:r>
          </w:p>
        </w:tc>
      </w:tr>
      <w:tr w:rsidR="00C8473A" w:rsidRPr="00E0754A"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4.</w:t>
            </w:r>
          </w:p>
        </w:tc>
        <w:tc>
          <w:tcPr>
            <w:tcW w:w="2686" w:type="dxa"/>
          </w:tcPr>
          <w:p w14:paraId="784D8BB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West Java Province.</w:t>
            </w:r>
          </w:p>
        </w:tc>
        <w:tc>
          <w:tcPr>
            <w:tcW w:w="3402" w:type="dxa"/>
          </w:tcPr>
          <w:p w14:paraId="51F6B4A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West Java.</w:t>
            </w:r>
          </w:p>
        </w:tc>
      </w:tr>
      <w:tr w:rsidR="00C8473A" w:rsidRPr="00E0754A"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5.</w:t>
            </w:r>
          </w:p>
        </w:tc>
        <w:tc>
          <w:tcPr>
            <w:tcW w:w="2686" w:type="dxa"/>
          </w:tcPr>
          <w:p w14:paraId="7EBF40AC"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Depot City.</w:t>
            </w:r>
          </w:p>
        </w:tc>
        <w:tc>
          <w:tcPr>
            <w:tcW w:w="3402" w:type="dxa"/>
          </w:tcPr>
          <w:p w14:paraId="0A20F24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Depok City Regulation No. 09</w:t>
            </w:r>
          </w:p>
          <w:p w14:paraId="2CFB12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2011 concerning the Prohibition of Indonesian Admadiyah Congregational Activities in Cities Depok.</w:t>
            </w:r>
          </w:p>
        </w:tc>
        <w:tc>
          <w:tcPr>
            <w:tcW w:w="1671" w:type="dxa"/>
          </w:tcPr>
          <w:p w14:paraId="371355A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Local Government in Deok City.</w:t>
            </w:r>
          </w:p>
        </w:tc>
      </w:tr>
      <w:tr w:rsidR="00C8473A" w:rsidRPr="00E0754A"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6.</w:t>
            </w:r>
          </w:p>
        </w:tc>
        <w:tc>
          <w:tcPr>
            <w:tcW w:w="2686" w:type="dxa"/>
          </w:tcPr>
          <w:p w14:paraId="338F712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Lombok </w:t>
            </w:r>
          </w:p>
        </w:tc>
        <w:tc>
          <w:tcPr>
            <w:tcW w:w="3402" w:type="dxa"/>
          </w:tcPr>
          <w:p w14:paraId="20F4497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Lombok Decree Kep.11/IPK.32.2/L-2.III.3/11/1983 concerning prohibition</w:t>
            </w:r>
          </w:p>
          <w:p w14:paraId="56B26C4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 East Lombok Pancor Branch dated 21 November 1983.</w:t>
            </w:r>
          </w:p>
          <w:p w14:paraId="15F200F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Province Government in East Lombok </w:t>
            </w:r>
          </w:p>
        </w:tc>
      </w:tr>
      <w:tr w:rsidR="00C8473A" w:rsidRPr="00E0754A"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7.</w:t>
            </w:r>
          </w:p>
        </w:tc>
        <w:tc>
          <w:tcPr>
            <w:tcW w:w="2686" w:type="dxa"/>
          </w:tcPr>
          <w:p w14:paraId="38C7AB8F"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Sumatera</w:t>
            </w:r>
          </w:p>
          <w:p w14:paraId="5F0D6942"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4712643D"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Governor in South Sumatera.</w:t>
            </w:r>
          </w:p>
        </w:tc>
      </w:tr>
      <w:tr w:rsidR="00C8473A" w:rsidRPr="00E0754A"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8.</w:t>
            </w:r>
          </w:p>
        </w:tc>
        <w:tc>
          <w:tcPr>
            <w:tcW w:w="2686" w:type="dxa"/>
          </w:tcPr>
          <w:p w14:paraId="1444F7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Sulawesi</w:t>
            </w:r>
          </w:p>
        </w:tc>
        <w:tc>
          <w:tcPr>
            <w:tcW w:w="3402" w:type="dxa"/>
          </w:tcPr>
          <w:p w14:paraId="34C73C7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Letter Governor of South Sulawesi Circular No. 223.2/803/Kesbang</w:t>
            </w:r>
          </w:p>
          <w:p w14:paraId="5A6678CA"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on February 10, 2011, concerning prohibition</w:t>
            </w:r>
          </w:p>
          <w:p w14:paraId="2834D100"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0D42AAE5"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Province Government of South Sulawesi.</w:t>
            </w:r>
          </w:p>
        </w:tc>
      </w:tr>
      <w:tr w:rsidR="00C8473A" w:rsidRPr="00E0754A"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9.</w:t>
            </w:r>
          </w:p>
        </w:tc>
        <w:tc>
          <w:tcPr>
            <w:tcW w:w="2686" w:type="dxa"/>
          </w:tcPr>
          <w:p w14:paraId="6CD73A2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w:t>
            </w:r>
          </w:p>
        </w:tc>
        <w:tc>
          <w:tcPr>
            <w:tcW w:w="3402" w:type="dxa"/>
          </w:tcPr>
          <w:p w14:paraId="17DF58AB"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Regulation No</w:t>
            </w:r>
          </w:p>
          <w:p w14:paraId="6E5951E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188/94/KPTS/013/2011 concerning Prohibition of Ahmadiyya Congregational Activities</w:t>
            </w:r>
          </w:p>
          <w:p w14:paraId="73A7736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Indonesia in East Java</w:t>
            </w:r>
          </w:p>
        </w:tc>
        <w:tc>
          <w:tcPr>
            <w:tcW w:w="1671" w:type="dxa"/>
          </w:tcPr>
          <w:p w14:paraId="7A029B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of East Java.</w:t>
            </w:r>
          </w:p>
        </w:tc>
      </w:tr>
    </w:tbl>
    <w:p w14:paraId="459BF455" w14:textId="77777777" w:rsidR="00C8473A" w:rsidRPr="00E0754A" w:rsidRDefault="00C8473A" w:rsidP="00C8473A">
      <w:pPr>
        <w:spacing w:line="360" w:lineRule="auto"/>
        <w:ind w:firstLine="709"/>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Sources: Cited by the Author from various resources.</w:t>
      </w:r>
    </w:p>
    <w:p w14:paraId="0AF92BF6" w14:textId="77777777" w:rsidR="00C8473A" w:rsidRDefault="00C8473A" w:rsidP="00C8473A">
      <w:pPr>
        <w:rPr>
          <w:b/>
          <w:bCs/>
        </w:rPr>
      </w:pPr>
    </w:p>
    <w:p w14:paraId="14182FFF" w14:textId="77777777" w:rsidR="00C8473A" w:rsidRPr="00E0754A" w:rsidRDefault="00C8473A" w:rsidP="00C8473A">
      <w:pPr>
        <w:pStyle w:val="Heading3"/>
        <w:numPr>
          <w:ilvl w:val="2"/>
          <w:numId w:val="330"/>
        </w:numPr>
        <w:tabs>
          <w:tab w:val="num" w:pos="1492"/>
        </w:tabs>
        <w:ind w:left="709" w:hanging="360"/>
      </w:pPr>
      <w:bookmarkStart w:id="6" w:name="_Toc121200594"/>
      <w:bookmarkStart w:id="7" w:name="_Toc118302786"/>
      <w:bookmarkStart w:id="8" w:name="_Toc121200595"/>
      <w:r w:rsidRPr="00E0754A">
        <w:t>Semi-state actors</w:t>
      </w:r>
      <w:bookmarkEnd w:id="6"/>
      <w:r w:rsidRPr="00E0754A">
        <w:t xml:space="preserve"> </w:t>
      </w:r>
    </w:p>
    <w:p w14:paraId="7EF602E1" w14:textId="77777777" w:rsidR="00C8473A" w:rsidRPr="00E0754A" w:rsidRDefault="00C8473A" w:rsidP="00C8473A">
      <w:pPr>
        <w:pStyle w:val="ParagraphafSubheader"/>
        <w:rPr>
          <w:lang w:eastAsia="en-GB" w:bidi="ar-SA"/>
        </w:rPr>
      </w:pPr>
      <w:r w:rsidRPr="00E0754A">
        <w:rPr>
          <w:lang w:eastAsia="en-GB" w:bidi="ar-SA"/>
        </w:rPr>
        <w:t>MUI stands for the Ulema Council of Indonesia. At the time of its founding during the Soeharto era, on July 26</w:t>
      </w:r>
      <w:r w:rsidRPr="00E0754A">
        <w:rPr>
          <w:vertAlign w:val="superscript"/>
          <w:lang w:eastAsia="en-GB" w:bidi="ar-SA"/>
        </w:rPr>
        <w:t>th</w:t>
      </w:r>
      <w:r w:rsidRPr="00E0754A">
        <w:rPr>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E0754A" w:rsidRDefault="00C8473A" w:rsidP="00C8473A">
      <w:pPr>
        <w:pStyle w:val="ParagraphNormal"/>
        <w:rPr>
          <w:lang w:eastAsia="en-GB" w:bidi="ar-SA"/>
        </w:rPr>
      </w:pPr>
      <w:r w:rsidRPr="00E0754A">
        <w:rPr>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Fajar Nusantara Movement (Gafatar). KH. Ma'ruf Amin, former chairman of the MUI, claimed that Gafatar was deemed heretical because: </w:t>
      </w:r>
    </w:p>
    <w:p w14:paraId="35A78B4D" w14:textId="77777777" w:rsidR="00C8473A" w:rsidRPr="00E0754A" w:rsidRDefault="00C8473A" w:rsidP="00C8473A">
      <w:pPr>
        <w:pStyle w:val="Quote"/>
        <w:rPr>
          <w:color w:val="252525"/>
          <w:lang w:eastAsia="en-GB" w:bidi="ar-SA"/>
        </w:rPr>
      </w:pPr>
      <w:r w:rsidRPr="00E0754A">
        <w:rPr>
          <w:color w:val="252525"/>
          <w:lang w:eastAsia="en-GB" w:bidi="ar-SA"/>
        </w:rPr>
        <w:t>“They went wrong because it was a transformation of Al-Qiyadah Al-Islamiyah and Ahmad Musadeq was its head.</w:t>
      </w:r>
      <w:r w:rsidRPr="00E0754A">
        <w:t xml:space="preserve"> </w:t>
      </w:r>
      <w:r w:rsidRPr="00E0754A">
        <w:rPr>
          <w:lang w:eastAsia="en-GB" w:bidi="ar-SA"/>
        </w:rPr>
        <w:t>Millah Abraham mixes Islam, Christianity, and Judaism. If you go against that belief, you will be declared an apostate and leave the teachings of Islam.</w:t>
      </w:r>
      <w:r w:rsidRPr="00E0754A">
        <w:rPr>
          <w:color w:val="252525"/>
          <w:lang w:eastAsia="en-GB" w:bidi="ar-SA"/>
        </w:rPr>
        <w:t>”</w:t>
      </w:r>
      <w:r w:rsidRPr="00E0754A">
        <w:rPr>
          <w:rStyle w:val="FootnoteReference"/>
        </w:rPr>
        <w:footnoteReference w:id="101"/>
      </w:r>
    </w:p>
    <w:p w14:paraId="7797D4A6" w14:textId="77777777" w:rsidR="00C8473A" w:rsidRPr="00E0754A" w:rsidRDefault="00C8473A" w:rsidP="00C8473A">
      <w:pPr>
        <w:pStyle w:val="ParagraphNormal"/>
        <w:rPr>
          <w:lang w:eastAsia="en-GB" w:bidi="ar-SA"/>
        </w:rPr>
      </w:pPr>
      <w:r w:rsidRPr="00E0754A">
        <w:rPr>
          <w:lang w:eastAsia="en-GB" w:bidi="ar-SA"/>
        </w:rPr>
        <w:lastRenderedPageBreak/>
        <w:t>MUI is a semi-state institution,</w:t>
      </w:r>
      <w:r w:rsidRPr="00E0754A">
        <w:t xml:space="preserve"> </w:t>
      </w:r>
      <w:r w:rsidRPr="00E0754A">
        <w:rPr>
          <w:lang w:eastAsia="en-GB" w:bidi="ar-SA"/>
        </w:rPr>
        <w:t xml:space="preserve">in the meantime, Mahful M. Tumurung, the previous head of Gafatar, stated: </w:t>
      </w:r>
    </w:p>
    <w:p w14:paraId="16C5CFAE" w14:textId="77777777" w:rsidR="00C8473A" w:rsidRPr="00E0754A" w:rsidRDefault="00C8473A" w:rsidP="00C8473A">
      <w:pPr>
        <w:pStyle w:val="Quote"/>
        <w:rPr>
          <w:lang w:eastAsia="en-GB" w:bidi="ar-SA"/>
        </w:rPr>
      </w:pPr>
      <w:r w:rsidRPr="00E0754A">
        <w:rPr>
          <w:lang w:eastAsia="en-GB" w:bidi="ar-SA"/>
        </w:rPr>
        <w:t>“Religious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Milah Abraham's teachings. As stated in our AD/ART, the Indonesian Ulama Council shouldn't issue heretical fatwas against us or Gafatar because we are a social organization based on Pancasila that works in the sociocultural area.”</w:t>
      </w:r>
      <w:r w:rsidRPr="00E0754A">
        <w:rPr>
          <w:rStyle w:val="FootnoteReference"/>
          <w:rFonts w:ascii="Times New Roman" w:hAnsi="Times New Roman" w:cs="Times New Roman"/>
          <w:color w:val="252525"/>
          <w:szCs w:val="24"/>
          <w:lang w:eastAsia="en-GB" w:bidi="ar-SA"/>
          <w14:ligatures w14:val="none"/>
          <w14:numSpacing w14:val="default"/>
        </w:rPr>
        <w:t xml:space="preserve"> </w:t>
      </w:r>
      <w:r w:rsidRPr="00E0754A">
        <w:rPr>
          <w:rStyle w:val="FootnoteReference"/>
        </w:rPr>
        <w:footnoteReference w:id="102"/>
      </w:r>
    </w:p>
    <w:p w14:paraId="3DBD04ED" w14:textId="77777777" w:rsidR="00C8473A" w:rsidRPr="00E0754A" w:rsidRDefault="00C8473A" w:rsidP="00C8473A">
      <w:pPr>
        <w:pStyle w:val="ParagraphNormal"/>
        <w:rPr>
          <w:lang w:eastAsia="en-GB" w:bidi="ar-SA"/>
        </w:rPr>
      </w:pPr>
      <w:r w:rsidRPr="00E0754A">
        <w:rPr>
          <w:lang w:eastAsia="en-GB" w:bidi="ar-SA"/>
        </w:rPr>
        <w:t xml:space="preserve">Briefly, the primary reason the MUI considers </w:t>
      </w:r>
      <w:r w:rsidRPr="00E0754A">
        <w:rPr>
          <w:i/>
          <w:iCs/>
          <w:lang w:eastAsia="en-GB" w:bidi="ar-SA"/>
        </w:rPr>
        <w:t xml:space="preserve">Gafatar </w:t>
      </w:r>
      <w:r w:rsidRPr="00E0754A">
        <w:rPr>
          <w:lang w:eastAsia="en-GB" w:bidi="ar-SA"/>
        </w:rPr>
        <w:t xml:space="preserve">to be a false religion is because, according to the MUI's mistaken viewpoint, </w:t>
      </w:r>
      <w:r w:rsidRPr="00E0754A">
        <w:rPr>
          <w:i/>
          <w:iCs/>
          <w:lang w:eastAsia="en-GB" w:bidi="ar-SA"/>
        </w:rPr>
        <w:t>Gafatar</w:t>
      </w:r>
      <w:r w:rsidRPr="00E0754A">
        <w:rPr>
          <w:lang w:eastAsia="en-GB" w:bidi="ar-SA"/>
        </w:rPr>
        <w:t xml:space="preserve"> denies Muhammad's status as the last prophet by appointing Musadeq as its head. In the meanwhile, the MUI alleged that </w:t>
      </w:r>
      <w:r w:rsidRPr="00E0754A">
        <w:rPr>
          <w:i/>
          <w:iCs/>
          <w:lang w:eastAsia="en-GB" w:bidi="ar-SA"/>
        </w:rPr>
        <w:t>Gafatar</w:t>
      </w:r>
      <w:r w:rsidRPr="00E0754A">
        <w:rPr>
          <w:lang w:eastAsia="en-GB" w:bidi="ar-SA"/>
        </w:rPr>
        <w:t xml:space="preserve"> disregarded commands for prayer, Ramadan fasting, and hajj, as well as blended Islamic, Christian, and Jewish beliefs.</w:t>
      </w:r>
    </w:p>
    <w:p w14:paraId="1772D337" w14:textId="77777777" w:rsidR="00C8473A" w:rsidRPr="00E0754A" w:rsidRDefault="00C8473A" w:rsidP="00C8473A">
      <w:pPr>
        <w:pStyle w:val="ParagraphNormal"/>
        <w:rPr>
          <w:lang w:eastAsia="en-GB" w:bidi="ar-SA"/>
        </w:rPr>
      </w:pPr>
      <w:r w:rsidRPr="00E0754A">
        <w:rPr>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E0754A" w:rsidRDefault="00C8473A" w:rsidP="00C8473A">
      <w:pPr>
        <w:pStyle w:val="ParagraphNormal"/>
      </w:pPr>
      <w:r w:rsidRPr="00E0754A">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E0754A" w:rsidRDefault="00C8473A" w:rsidP="00C8473A">
      <w:pPr>
        <w:pStyle w:val="ParagraphNormal"/>
      </w:pPr>
      <w:r w:rsidRPr="00E0754A">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E0754A" w:rsidRDefault="00C8473A" w:rsidP="00C8473A">
      <w:pPr>
        <w:pStyle w:val="ParagraphNormal"/>
      </w:pPr>
      <w:r w:rsidRPr="00E0754A">
        <w:t xml:space="preserve">The Main Hakim Sendiri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Meiliana's house was damaged by the mob, but the Buddhist temple and medical centre were also affected, burned, and damaged. Vigilante activity over blasphemy allegation did not always occur when a blasphemy case is alleged. In </w:t>
      </w:r>
      <w:r w:rsidRPr="00E0754A">
        <w:lastRenderedPageBreak/>
        <w:t>Indonesia, however, vigilantism often accompanied accusations of blasphemy. Even so, vigilante activities did not occur immediately or spontaneously. Main Hakim Sendiri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Tanjung Balai after the MUI issued the Fatwa of The Indonesian Ulama Assembly (Mui) North Sumatera Province Decree Number: 001/KF/MUI-SU/I/2017 dated January 24, 2017, regarding blasphemy of Islam by Meiliana Saudari in the City of Tanjungbalai and recommended law enforcement to punish Meiliana. Mediation that has been initiated by local police has been discontinued without any agreement.</w:t>
      </w:r>
    </w:p>
    <w:p w14:paraId="1E3790E9" w14:textId="77777777" w:rsidR="00C8473A" w:rsidRPr="00E0754A" w:rsidRDefault="00C8473A" w:rsidP="00C8473A">
      <w:pPr>
        <w:pStyle w:val="ParagraphNormal"/>
      </w:pPr>
      <w:r w:rsidRPr="00E0754A">
        <w:t>Moreover, the 1945 Indonesian Constitution guarantees the right of everyone to legal protection and a sense of security. Main Hakim Sendiri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E0754A" w:rsidRDefault="00C8473A" w:rsidP="00C8473A">
      <w:pPr>
        <w:pStyle w:val="ParagraphNormal"/>
      </w:pPr>
      <w:r w:rsidRPr="00E0754A">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E0754A" w:rsidRDefault="00C8473A" w:rsidP="00C8473A">
      <w:pPr>
        <w:pStyle w:val="ParagraphNormal"/>
      </w:pPr>
      <w:r w:rsidRPr="00E0754A">
        <w:t xml:space="preserve">By understanding why, along with the strengthening of law enforcement against blasphemy, the phenomenon of vigilantism has increased, this chapter aims to identify actors and factors driving the rise of vigilantism against those accused of blasphemy. </w:t>
      </w:r>
      <w:r w:rsidRPr="00E0754A">
        <w:lastRenderedPageBreak/>
        <w:t>This chapter will structure as follows: in the first section describes the Actors of Main Hakim Sendiri During Blasphemy Allegations of Meiliana, Gafatar and Ahmadiyya. The second section examines Main Hakim Sendiri Sparked by Islamic Populism in Indonesia. In the third section analyse Various Factors Influence the Occurrence of Main Hakim Sendiri. The last section discusses the extent to which Main Hakim Sendiri Threaten the Principle of Presumption of Innocence and Religious Freedoms.</w:t>
      </w:r>
    </w:p>
    <w:p w14:paraId="1B56D8F5" w14:textId="77777777" w:rsidR="00C8473A" w:rsidRPr="00E0754A" w:rsidRDefault="00C8473A" w:rsidP="00C8473A">
      <w:pPr>
        <w:pStyle w:val="Heading3"/>
        <w:numPr>
          <w:ilvl w:val="2"/>
          <w:numId w:val="330"/>
        </w:numPr>
        <w:tabs>
          <w:tab w:val="num" w:pos="1492"/>
        </w:tabs>
        <w:ind w:left="709" w:hanging="360"/>
      </w:pPr>
      <w:r w:rsidRPr="00E0754A">
        <w:t>Non-state actors</w:t>
      </w:r>
      <w:bookmarkEnd w:id="7"/>
      <w:bookmarkEnd w:id="8"/>
      <w:r w:rsidRPr="00E0754A">
        <w:t xml:space="preserve"> </w:t>
      </w:r>
    </w:p>
    <w:p w14:paraId="07123C9C" w14:textId="22A42B4E" w:rsidR="00C8473A" w:rsidRDefault="00C8473A" w:rsidP="00C8473A">
      <w:pPr>
        <w:pStyle w:val="ParagraphafSubheader"/>
      </w:pPr>
      <w:r w:rsidRPr="00E0754A">
        <w:t xml:space="preserve">Non-state actors are community leaders or religious leaders who support vigilante justice because they fail to prevent their followers from doing self-judgment or even participate in provoking the causes of their followers. </w:t>
      </w:r>
      <w:r w:rsidRPr="00E0754A">
        <w:rPr>
          <w:rFonts w:ascii="Times New Roman" w:hAnsi="Times New Roman" w:cs="Times New Roman"/>
          <w:color w:val="252525"/>
          <w:szCs w:val="24"/>
          <w:lang w:eastAsia="en-GB" w:bidi="ar-SA"/>
          <w14:ligatures w14:val="none"/>
          <w14:numSpacing w14:val="default"/>
        </w:rPr>
        <w:t xml:space="preserve">After the MUI issued its “deviant fatwa,” hard-line Islamic groups pushed take the actions of </w:t>
      </w:r>
      <w:r w:rsidRPr="00E0754A">
        <w:rPr>
          <w:rFonts w:ascii="Times New Roman" w:hAnsi="Times New Roman" w:cs="Times New Roman"/>
          <w:i/>
          <w:iCs/>
          <w:color w:val="252525"/>
          <w:szCs w:val="24"/>
          <w:lang w:eastAsia="en-GB" w:bidi="ar-SA"/>
          <w14:ligatures w14:val="none"/>
          <w14:numSpacing w14:val="default"/>
        </w:rPr>
        <w:t>Main Hakim Sendiri</w:t>
      </w:r>
      <w:r w:rsidRPr="00E0754A">
        <w:rPr>
          <w:rFonts w:ascii="Times New Roman" w:hAnsi="Times New Roman" w:cs="Times New Roman"/>
          <w:color w:val="252525"/>
          <w:szCs w:val="24"/>
          <w:lang w:eastAsia="en-GB" w:bidi="ar-SA"/>
          <w14:ligatures w14:val="none"/>
          <w14:numSpacing w14:val="default"/>
        </w:rPr>
        <w:t xml:space="preserve"> to attack the </w:t>
      </w:r>
      <w:r w:rsidRPr="00E0754A">
        <w:rPr>
          <w:rFonts w:ascii="Times New Roman" w:hAnsi="Times New Roman" w:cs="Times New Roman"/>
          <w:i/>
          <w:iCs/>
          <w:color w:val="252525"/>
          <w:szCs w:val="24"/>
          <w:lang w:eastAsia="en-GB" w:bidi="ar-SA"/>
          <w14:ligatures w14:val="none"/>
          <w14:numSpacing w14:val="default"/>
        </w:rPr>
        <w:t xml:space="preserve">Ahmadiyya </w:t>
      </w:r>
      <w:r w:rsidRPr="00E0754A">
        <w:rPr>
          <w:rFonts w:ascii="Times New Roman" w:hAnsi="Times New Roman" w:cs="Times New Roman"/>
          <w:color w:val="252525"/>
          <w:szCs w:val="24"/>
          <w:lang w:eastAsia="en-GB" w:bidi="ar-SA"/>
          <w14:ligatures w14:val="none"/>
          <w14:numSpacing w14:val="default"/>
        </w:rPr>
        <w:t xml:space="preserve">and </w:t>
      </w:r>
      <w:r w:rsidRPr="00E0754A">
        <w:rPr>
          <w:rFonts w:ascii="Times New Roman" w:hAnsi="Times New Roman" w:cs="Times New Roman"/>
          <w:i/>
          <w:iCs/>
          <w:color w:val="252525"/>
          <w:szCs w:val="24"/>
          <w:lang w:eastAsia="en-GB" w:bidi="ar-SA"/>
          <w14:ligatures w14:val="none"/>
          <w14:numSpacing w14:val="default"/>
        </w:rPr>
        <w:t>Gafatar</w:t>
      </w:r>
      <w:r w:rsidRPr="00E0754A">
        <w:rPr>
          <w:rFonts w:ascii="Times New Roman" w:hAnsi="Times New Roman" w:cs="Times New Roman"/>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E0754A">
        <w:t xml:space="preserve"> In fact, the practice of violence by the FPI has not received solid response by law enforcers (the police), even though the principal of action of </w:t>
      </w:r>
      <w:r w:rsidRPr="00E0754A">
        <w:rPr>
          <w:i/>
          <w:iCs/>
        </w:rPr>
        <w:t>Main Hakim Sendiri</w:t>
      </w:r>
      <w:r w:rsidRPr="00E0754A">
        <w:t xml:space="preserve"> is regular criminal act where the police do not need to wait for reports from victims or the public to punish the culprits. But this did not happen. The police tend to accept acts of violence perpetrated by the FPI</w:t>
      </w:r>
      <w:r>
        <w:t>.</w:t>
      </w:r>
    </w:p>
    <w:p w14:paraId="73CF9EF8" w14:textId="77777777" w:rsidR="00C8473A" w:rsidRPr="00C6591A" w:rsidRDefault="00C8473A" w:rsidP="00C8473A">
      <w:pPr>
        <w:pStyle w:val="Heading2"/>
        <w:rPr>
          <w:rFonts w:cs="Linux Libertine"/>
        </w:rPr>
      </w:pPr>
      <w:r w:rsidRPr="00672A6A">
        <w:rPr>
          <w:rFonts w:cs="Linux Libertine"/>
        </w:rPr>
        <w:t xml:space="preserve">5.2 </w:t>
      </w:r>
      <w:r w:rsidRPr="00672A6A">
        <w:rPr>
          <w:rFonts w:cs="Linux Libertine"/>
        </w:rPr>
        <w:tab/>
      </w:r>
      <w:r>
        <w:rPr>
          <w:rFonts w:cs="Linux Libertine"/>
        </w:rPr>
        <w:t>Political Dynamic surrounding Blasphemy Cases</w:t>
      </w:r>
    </w:p>
    <w:p w14:paraId="7F12770B" w14:textId="77777777" w:rsidR="00C8473A" w:rsidRPr="001F5938" w:rsidRDefault="00C8473A" w:rsidP="00C8473A">
      <w:pPr>
        <w:rPr>
          <w:rFonts w:cs="Linux Libertine"/>
          <w:color w:val="FF0000"/>
        </w:rPr>
      </w:pPr>
    </w:p>
    <w:p w14:paraId="026DD105"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r>
        <w:rPr>
          <w:rFonts w:cs="Linux Libertine"/>
          <w:b/>
          <w:bCs/>
        </w:rPr>
        <w:t>Ahok’s case</w:t>
      </w:r>
    </w:p>
    <w:p w14:paraId="49F84F35" w14:textId="77777777" w:rsidR="00C8473A" w:rsidRDefault="00C8473A" w:rsidP="00C8473A">
      <w:pPr>
        <w:pStyle w:val="ParagraphafSubheader"/>
        <w:ind w:firstLine="720"/>
      </w:pPr>
    </w:p>
    <w:p w14:paraId="56038C68" w14:textId="77777777" w:rsidR="00C8473A" w:rsidRPr="00C8473A" w:rsidRDefault="00C8473A" w:rsidP="00C8473A">
      <w:pPr>
        <w:pStyle w:val="ParagraphafSubheader"/>
        <w:ind w:firstLine="720"/>
      </w:pPr>
      <w:r w:rsidRPr="00E0754A">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E0754A" w:rsidRDefault="00C8473A" w:rsidP="00C8473A">
      <w:pPr>
        <w:pStyle w:val="ParagraphNormal"/>
      </w:pPr>
      <w:r w:rsidRPr="00E0754A">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Ahok's </w:t>
      </w:r>
      <w:r w:rsidRPr="00E0754A">
        <w:lastRenderedPageBreak/>
        <w:t>electability declined sharply when the blasphemy case continued to be rolled out. In fact, hard-liner Islamic groups have continually urged the court to sentence Ahok.</w:t>
      </w:r>
    </w:p>
    <w:p w14:paraId="488DBF22" w14:textId="77777777" w:rsidR="00C8473A" w:rsidRPr="00E0754A" w:rsidRDefault="00C8473A" w:rsidP="00C8473A">
      <w:pPr>
        <w:pStyle w:val="ParagraphNormal"/>
      </w:pPr>
      <w:r w:rsidRPr="00E0754A">
        <w:t>During the case, it was continuously marked by public pressure to punish Ahok, who was commanded by the 212 Movement led by RHA. Likewise, the Meiliana case which occurred at the same time as the DKI Jakarta Pilkada (election) due to the 2017 Simultaneous Election. In summary, the chronology of the Ahok and Meiliana cases can be described in the table 1 below:</w:t>
      </w:r>
      <w:r w:rsidRPr="00E0754A">
        <w:rPr>
          <w:rStyle w:val="FootnoteReference"/>
        </w:rPr>
        <w:footnoteReference w:id="103"/>
      </w:r>
      <w:r w:rsidRPr="00E0754A">
        <w:t xml:space="preserve"> </w:t>
      </w:r>
    </w:p>
    <w:p w14:paraId="00EA453C"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w:t>
      </w:r>
      <w:r w:rsidRPr="00E0754A">
        <w:rPr>
          <w:noProof/>
        </w:rPr>
        <w:fldChar w:fldCharType="end"/>
      </w:r>
      <w:r w:rsidRPr="00E0754A">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E0754A" w14:paraId="7C6F2D51" w14:textId="77777777" w:rsidTr="00ED0FE2">
        <w:trPr>
          <w:tblHeader/>
        </w:trPr>
        <w:tc>
          <w:tcPr>
            <w:tcW w:w="1345" w:type="dxa"/>
            <w:shd w:val="clear" w:color="auto" w:fill="44546A"/>
          </w:tcPr>
          <w:p w14:paraId="366EC60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150" w:type="dxa"/>
            <w:shd w:val="clear" w:color="auto" w:fill="44546A"/>
          </w:tcPr>
          <w:p w14:paraId="52AF82A3"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Socio-Political Dynamics</w:t>
            </w:r>
          </w:p>
        </w:tc>
      </w:tr>
      <w:tr w:rsidR="00C8473A" w:rsidRPr="00E0754A" w14:paraId="22B44DC6" w14:textId="77777777" w:rsidTr="00ED0FE2">
        <w:tc>
          <w:tcPr>
            <w:tcW w:w="1345" w:type="dxa"/>
          </w:tcPr>
          <w:p w14:paraId="502A6D9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27</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6BA38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made a working visit, made a speech in front of the people of the Kepulauan Seribu, conveyed the grouper breeding work program, alluded to the DKI Local Election of 2017.</w:t>
            </w:r>
          </w:p>
        </w:tc>
        <w:tc>
          <w:tcPr>
            <w:tcW w:w="3870" w:type="dxa"/>
          </w:tcPr>
          <w:p w14:paraId="310EE00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Ahok's position as the Acting Governor of DKI Jakarta, which has been recorded since September 21, 2016, is registered as a Candidate for Governor of DKI Jakarta against his rivals Anis Baswedan and Yudhoyono in the 2017-2022 Pilkada. Ahok is paired with Drs. H. DJAROT SYAIFUL HIDAYAT, MSi as a candidate for Deputy Governor of DKI Jakarta.</w:t>
            </w:r>
          </w:p>
        </w:tc>
      </w:tr>
      <w:tr w:rsidR="00C8473A" w:rsidRPr="00E0754A" w14:paraId="2A3FB040" w14:textId="77777777" w:rsidTr="00ED0FE2">
        <w:tc>
          <w:tcPr>
            <w:tcW w:w="1345" w:type="dxa"/>
          </w:tcPr>
          <w:p w14:paraId="7A185C6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28</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39CB89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DKI City Government uploaded a video of Ahok while speaking in the Kepulauan Seribu with a duration of 1 hour 40 minutes.</w:t>
            </w:r>
          </w:p>
        </w:tc>
        <w:tc>
          <w:tcPr>
            <w:tcW w:w="3870" w:type="dxa"/>
          </w:tcPr>
          <w:p w14:paraId="7E62AACF" w14:textId="77777777" w:rsidR="00C8473A" w:rsidRPr="00E0754A" w:rsidRDefault="00C8473A" w:rsidP="00ED0FE2">
            <w:pPr>
              <w:jc w:val="both"/>
              <w:rPr>
                <w:rFonts w:eastAsia="Arial Nova Cond Light" w:cs="Linux Libertine"/>
                <w:sz w:val="18"/>
                <w:szCs w:val="18"/>
              </w:rPr>
            </w:pPr>
          </w:p>
        </w:tc>
      </w:tr>
      <w:tr w:rsidR="00C8473A" w:rsidRPr="00E0754A" w14:paraId="1675362D" w14:textId="77777777" w:rsidTr="00ED0FE2">
        <w:tc>
          <w:tcPr>
            <w:tcW w:w="1345" w:type="dxa"/>
          </w:tcPr>
          <w:p w14:paraId="6859543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6001745" w14:textId="77777777" w:rsidR="00C8473A" w:rsidRPr="00E0754A" w:rsidRDefault="00C8473A" w:rsidP="00ED0FE2">
            <w:pPr>
              <w:jc w:val="both"/>
              <w:rPr>
                <w:rFonts w:eastAsia="Arial Nova Cond Light" w:cs="Linux Libertine"/>
                <w:sz w:val="18"/>
                <w:szCs w:val="18"/>
              </w:rPr>
            </w:pPr>
          </w:p>
        </w:tc>
        <w:tc>
          <w:tcPr>
            <w:tcW w:w="3870" w:type="dxa"/>
          </w:tcPr>
          <w:p w14:paraId="0C899DBE"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Budi Yani uploaded video footage of Ahok to various social media, with the addition of the provocative narrative “Blaming Religion”. The video went viral.</w:t>
            </w:r>
          </w:p>
        </w:tc>
      </w:tr>
      <w:tr w:rsidR="00C8473A" w:rsidRPr="00E0754A" w14:paraId="23C0D6AA" w14:textId="77777777" w:rsidTr="00ED0FE2">
        <w:tc>
          <w:tcPr>
            <w:tcW w:w="1345" w:type="dxa"/>
          </w:tcPr>
          <w:p w14:paraId="29AC20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 – Nov 2016.</w:t>
            </w:r>
          </w:p>
        </w:tc>
        <w:tc>
          <w:tcPr>
            <w:tcW w:w="3150" w:type="dxa"/>
          </w:tcPr>
          <w:p w14:paraId="4B54C76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After watching Budi Yani's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 </w:t>
            </w:r>
          </w:p>
          <w:p w14:paraId="4A330E85" w14:textId="77777777" w:rsidR="00C8473A" w:rsidRPr="00E0754A" w:rsidRDefault="00C8473A" w:rsidP="00ED0FE2">
            <w:pPr>
              <w:jc w:val="both"/>
              <w:rPr>
                <w:rFonts w:eastAsia="Arial Nova Cond Light" w:cs="Linux Libertine"/>
                <w:sz w:val="18"/>
                <w:szCs w:val="18"/>
              </w:rPr>
            </w:pPr>
          </w:p>
        </w:tc>
      </w:tr>
      <w:tr w:rsidR="00C8473A" w:rsidRPr="00E0754A" w14:paraId="6C57A474" w14:textId="77777777" w:rsidTr="00ED0FE2">
        <w:tc>
          <w:tcPr>
            <w:tcW w:w="1345" w:type="dxa"/>
          </w:tcPr>
          <w:p w14:paraId="37F80323"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09D2537" w14:textId="77777777" w:rsidR="00C8473A" w:rsidRPr="00E0754A"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E0754A" w14:paraId="11F62B74" w14:textId="77777777" w:rsidTr="00ED0FE2">
        <w:tc>
          <w:tcPr>
            <w:tcW w:w="1345" w:type="dxa"/>
          </w:tcPr>
          <w:p w14:paraId="794CDD6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4D62AD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knows that there is an incomplete narration and provocation from Budiyani's video, but Ahok still apologizes to the public</w:t>
            </w:r>
          </w:p>
        </w:tc>
        <w:tc>
          <w:tcPr>
            <w:tcW w:w="3870" w:type="dxa"/>
          </w:tcPr>
          <w:p w14:paraId="7736F231" w14:textId="77777777" w:rsidR="00C8473A" w:rsidRPr="00E0754A" w:rsidRDefault="00C8473A" w:rsidP="00ED0FE2">
            <w:pPr>
              <w:jc w:val="both"/>
              <w:rPr>
                <w:rFonts w:eastAsia="Arial Nova Cond Light" w:cs="Linux Libertine"/>
                <w:sz w:val="18"/>
                <w:szCs w:val="18"/>
              </w:rPr>
            </w:pPr>
          </w:p>
        </w:tc>
      </w:tr>
      <w:tr w:rsidR="00C8473A" w:rsidRPr="00E0754A" w14:paraId="7309FED9" w14:textId="77777777" w:rsidTr="00ED0FE2">
        <w:tc>
          <w:tcPr>
            <w:tcW w:w="1345" w:type="dxa"/>
          </w:tcPr>
          <w:p w14:paraId="2BEDB91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11</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9E35B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Ahok's statement as a blasphemy of Islam and recommends to the Government and law enforcement institutions to take firm action against Ahok. </w:t>
            </w:r>
          </w:p>
        </w:tc>
      </w:tr>
      <w:tr w:rsidR="00C8473A" w:rsidRPr="00E0754A" w14:paraId="424A4430" w14:textId="77777777" w:rsidTr="00ED0FE2">
        <w:tc>
          <w:tcPr>
            <w:tcW w:w="1345" w:type="dxa"/>
          </w:tcPr>
          <w:p w14:paraId="6182CFD5"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15</w:t>
            </w:r>
            <w:r w:rsidRPr="00E0754A">
              <w:rPr>
                <w:rFonts w:eastAsia="Arial Nova Cond Light" w:cs="Linux Libertine"/>
                <w:sz w:val="18"/>
                <w:szCs w:val="18"/>
                <w:vertAlign w:val="superscript"/>
              </w:rPr>
              <w:t>th</w:t>
            </w:r>
            <w:r w:rsidRPr="00E0754A">
              <w:rPr>
                <w:rFonts w:eastAsia="Arial Nova Cond Light" w:cs="Linux Libertine"/>
                <w:sz w:val="18"/>
                <w:szCs w:val="18"/>
              </w:rPr>
              <w:t xml:space="preserve"> 2016</w:t>
            </w:r>
          </w:p>
        </w:tc>
        <w:tc>
          <w:tcPr>
            <w:tcW w:w="3150" w:type="dxa"/>
          </w:tcPr>
          <w:p w14:paraId="726BF8AA"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Police carry out the case.</w:t>
            </w:r>
          </w:p>
        </w:tc>
        <w:tc>
          <w:tcPr>
            <w:tcW w:w="3870" w:type="dxa"/>
          </w:tcPr>
          <w:p w14:paraId="332F8D3E" w14:textId="77777777" w:rsidR="00C8473A" w:rsidRPr="00E0754A" w:rsidRDefault="00C8473A" w:rsidP="00ED0FE2">
            <w:pPr>
              <w:spacing w:line="360" w:lineRule="auto"/>
              <w:jc w:val="both"/>
              <w:rPr>
                <w:rFonts w:eastAsia="Arial Nova Cond Light" w:cs="Linux Libertine"/>
                <w:sz w:val="18"/>
                <w:szCs w:val="18"/>
              </w:rPr>
            </w:pPr>
          </w:p>
        </w:tc>
      </w:tr>
      <w:tr w:rsidR="00C8473A" w:rsidRPr="00E0754A" w14:paraId="09A046A5" w14:textId="77777777" w:rsidTr="00ED0FE2">
        <w:tc>
          <w:tcPr>
            <w:tcW w:w="1345" w:type="dxa"/>
          </w:tcPr>
          <w:p w14:paraId="3626B5E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October 16, 2016</w:t>
            </w:r>
          </w:p>
        </w:tc>
        <w:tc>
          <w:tcPr>
            <w:tcW w:w="3150" w:type="dxa"/>
          </w:tcPr>
          <w:p w14:paraId="061D88A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Police issued a warrant for Ahok's investigation to be named a suspect.</w:t>
            </w:r>
          </w:p>
        </w:tc>
        <w:tc>
          <w:tcPr>
            <w:tcW w:w="3870" w:type="dxa"/>
          </w:tcPr>
          <w:p w14:paraId="360F724A" w14:textId="77777777" w:rsidR="00C8473A" w:rsidRPr="00E0754A" w:rsidRDefault="00C8473A" w:rsidP="00ED0FE2">
            <w:pPr>
              <w:jc w:val="both"/>
              <w:rPr>
                <w:rFonts w:eastAsia="Arial Nova Cond Light" w:cs="Linux Libertine"/>
                <w:sz w:val="18"/>
                <w:szCs w:val="18"/>
              </w:rPr>
            </w:pPr>
          </w:p>
        </w:tc>
      </w:tr>
      <w:tr w:rsidR="00C8473A" w:rsidRPr="00E0754A" w14:paraId="1BFD57D8" w14:textId="77777777" w:rsidTr="00ED0FE2">
        <w:tc>
          <w:tcPr>
            <w:tcW w:w="1345" w:type="dxa"/>
          </w:tcPr>
          <w:p w14:paraId="64C2DF8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November 4</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2306826F" w14:textId="77777777" w:rsidR="00C8473A" w:rsidRPr="00E0754A" w:rsidRDefault="00C8473A" w:rsidP="00ED0FE2">
            <w:pPr>
              <w:jc w:val="both"/>
              <w:rPr>
                <w:rFonts w:eastAsia="Arial Nova Cond Light" w:cs="Linux Libertine"/>
                <w:sz w:val="18"/>
                <w:szCs w:val="18"/>
              </w:rPr>
            </w:pPr>
          </w:p>
        </w:tc>
        <w:tc>
          <w:tcPr>
            <w:tcW w:w="3870" w:type="dxa"/>
          </w:tcPr>
          <w:p w14:paraId="4BC692D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demonstration of Defending the Qur'an was attended by 200,000 people at the Hotel Indonesia roundabout area, attended by various political figures, Chairman of the MPR Amin Rais, Deputy Speaker of the DPR Fahri Hamzah, Fadli Zon, Ahmad Dhani, religious leader Rizieg Shihab (chairman of FPI) demanded that Ahok punished. The demonstration ended in chaos, 2 residents and 79 police officers were injured.</w:t>
            </w:r>
            <w:r w:rsidRPr="00E0754A">
              <w:rPr>
                <w:rStyle w:val="FootnoteReference"/>
                <w:rFonts w:eastAsia="Arial Nova Cond Light"/>
              </w:rPr>
              <w:footnoteReference w:id="104"/>
            </w:r>
          </w:p>
        </w:tc>
      </w:tr>
      <w:tr w:rsidR="00C8473A" w:rsidRPr="00E0754A" w14:paraId="388058F4" w14:textId="77777777" w:rsidTr="00ED0FE2">
        <w:tc>
          <w:tcPr>
            <w:tcW w:w="1345" w:type="dxa"/>
          </w:tcPr>
          <w:p w14:paraId="611FC35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w:t>
            </w:r>
            <w:r w:rsidRPr="00E0754A">
              <w:rPr>
                <w:rFonts w:eastAsia="Arial Nova Cond Light" w:cs="Linux Libertine"/>
                <w:sz w:val="18"/>
                <w:szCs w:val="18"/>
                <w:vertAlign w:val="superscript"/>
              </w:rPr>
              <w:t>nd</w:t>
            </w:r>
            <w:r w:rsidRPr="00E0754A">
              <w:rPr>
                <w:rFonts w:eastAsia="Arial Nova Cond Light" w:cs="Linux Libertine"/>
                <w:sz w:val="18"/>
                <w:szCs w:val="18"/>
              </w:rPr>
              <w:t>, 2016</w:t>
            </w:r>
          </w:p>
        </w:tc>
        <w:tc>
          <w:tcPr>
            <w:tcW w:w="3150" w:type="dxa"/>
          </w:tcPr>
          <w:p w14:paraId="1A960AE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is not arrested</w:t>
            </w:r>
          </w:p>
        </w:tc>
        <w:tc>
          <w:tcPr>
            <w:tcW w:w="3870" w:type="dxa"/>
          </w:tcPr>
          <w:p w14:paraId="092DAE3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E0754A" w14:paraId="7E370343" w14:textId="77777777" w:rsidTr="00ED0FE2">
        <w:tc>
          <w:tcPr>
            <w:tcW w:w="1345" w:type="dxa"/>
          </w:tcPr>
          <w:p w14:paraId="2EE1699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13</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89CEE1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tried for the first time at the North Jakarta District Court</w:t>
            </w:r>
          </w:p>
        </w:tc>
        <w:tc>
          <w:tcPr>
            <w:tcW w:w="3870" w:type="dxa"/>
          </w:tcPr>
          <w:p w14:paraId="5765FA0F" w14:textId="77777777" w:rsidR="00C8473A" w:rsidRPr="00E0754A" w:rsidRDefault="00C8473A" w:rsidP="00ED0FE2">
            <w:pPr>
              <w:jc w:val="both"/>
              <w:rPr>
                <w:rFonts w:eastAsia="Arial Nova Cond Light" w:cs="Linux Libertine"/>
                <w:sz w:val="18"/>
                <w:szCs w:val="18"/>
              </w:rPr>
            </w:pPr>
          </w:p>
        </w:tc>
      </w:tr>
      <w:tr w:rsidR="00C8473A" w:rsidRPr="00E0754A" w14:paraId="67AF35F8" w14:textId="77777777" w:rsidTr="00ED0FE2">
        <w:tc>
          <w:tcPr>
            <w:tcW w:w="1345" w:type="dxa"/>
          </w:tcPr>
          <w:p w14:paraId="1F851E2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0E3492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Ahok's second trial was held.</w:t>
            </w:r>
          </w:p>
        </w:tc>
        <w:tc>
          <w:tcPr>
            <w:tcW w:w="3870" w:type="dxa"/>
          </w:tcPr>
          <w:p w14:paraId="3A79A4A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public demonstrated in front of the court demanding that Ahok be imprisoned.</w:t>
            </w:r>
            <w:r w:rsidRPr="00E0754A">
              <w:rPr>
                <w:rStyle w:val="FootnoteReference"/>
                <w:rFonts w:eastAsia="Arial Nova Cond Light"/>
              </w:rPr>
              <w:footnoteReference w:id="105"/>
            </w:r>
          </w:p>
        </w:tc>
      </w:tr>
      <w:tr w:rsidR="00C8473A" w:rsidRPr="00E0754A" w14:paraId="521DED94" w14:textId="77777777" w:rsidTr="00ED0FE2">
        <w:tc>
          <w:tcPr>
            <w:tcW w:w="1345" w:type="dxa"/>
          </w:tcPr>
          <w:p w14:paraId="47B662F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20</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B0002A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E0754A" w:rsidRDefault="00C8473A" w:rsidP="00ED0FE2">
            <w:pPr>
              <w:jc w:val="both"/>
              <w:rPr>
                <w:rFonts w:eastAsia="Arial Nova Cond Light" w:cs="Linux Libertine"/>
                <w:sz w:val="18"/>
                <w:szCs w:val="18"/>
              </w:rPr>
            </w:pPr>
          </w:p>
        </w:tc>
      </w:tr>
      <w:tr w:rsidR="00C8473A" w:rsidRPr="00E0754A" w14:paraId="4D37742D" w14:textId="77777777" w:rsidTr="00ED0FE2">
        <w:tc>
          <w:tcPr>
            <w:tcW w:w="1345" w:type="dxa"/>
          </w:tcPr>
          <w:p w14:paraId="613019C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25</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0D5A17C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E0754A" w:rsidRDefault="00C8473A" w:rsidP="00ED0FE2">
            <w:pPr>
              <w:jc w:val="both"/>
              <w:rPr>
                <w:rFonts w:eastAsia="Arial Nova Cond Light" w:cs="Linux Libertine"/>
                <w:sz w:val="18"/>
                <w:szCs w:val="18"/>
              </w:rPr>
            </w:pPr>
          </w:p>
        </w:tc>
      </w:tr>
      <w:tr w:rsidR="00C8473A" w:rsidRPr="00E0754A" w14:paraId="1EE03745" w14:textId="77777777" w:rsidTr="00ED0FE2">
        <w:tc>
          <w:tcPr>
            <w:tcW w:w="1345" w:type="dxa"/>
          </w:tcPr>
          <w:p w14:paraId="6370BBA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8</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76DC3003" w14:textId="77777777" w:rsidR="00C8473A" w:rsidRPr="00E0754A" w:rsidRDefault="00C8473A" w:rsidP="00ED0FE2">
            <w:pPr>
              <w:jc w:val="both"/>
              <w:rPr>
                <w:rFonts w:eastAsia="Arial Nova Cond Light" w:cs="Linux Libertine"/>
                <w:sz w:val="18"/>
                <w:szCs w:val="18"/>
              </w:rPr>
            </w:pPr>
          </w:p>
        </w:tc>
        <w:tc>
          <w:tcPr>
            <w:tcW w:w="3870" w:type="dxa"/>
          </w:tcPr>
          <w:p w14:paraId="782AD95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E0754A">
              <w:rPr>
                <w:rStyle w:val="FootnoteReference"/>
                <w:rFonts w:eastAsia="Arial Nova Cond Light"/>
              </w:rPr>
              <w:footnoteReference w:id="106"/>
            </w:r>
          </w:p>
        </w:tc>
      </w:tr>
      <w:tr w:rsidR="00C8473A" w:rsidRPr="00E0754A" w14:paraId="1762B1D3" w14:textId="77777777" w:rsidTr="00ED0FE2">
        <w:tc>
          <w:tcPr>
            <w:tcW w:w="1345" w:type="dxa"/>
          </w:tcPr>
          <w:p w14:paraId="1AB51E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February 17</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1514CC0" w14:textId="77777777" w:rsidR="00C8473A" w:rsidRPr="00E0754A" w:rsidRDefault="00C8473A" w:rsidP="00ED0FE2">
            <w:pPr>
              <w:jc w:val="both"/>
              <w:rPr>
                <w:rFonts w:eastAsia="Arial Nova Cond Light" w:cs="Linux Libertine"/>
                <w:sz w:val="18"/>
                <w:szCs w:val="18"/>
              </w:rPr>
            </w:pPr>
          </w:p>
        </w:tc>
        <w:tc>
          <w:tcPr>
            <w:tcW w:w="3870" w:type="dxa"/>
          </w:tcPr>
          <w:p w14:paraId="16FA3227"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Dhikr and Tausiah action at the Istiqlal Mosque were attended by various political figures such as the General Chair of PAN Amin Rais, Former Minister of Education M. Nuh, Governor candidate Agus Harimurti, Governor candidate Anis Baswedan, Deputy Governor Candidate Sandiaga Uno (Ahok's rival) and was also attended by former MPR chairman Hidayat Nurwahid, former Minister of the Economy Hatta Radjasa, and FPI leader Rizieq Shihab.</w:t>
            </w:r>
          </w:p>
        </w:tc>
      </w:tr>
      <w:tr w:rsidR="00C8473A" w:rsidRPr="00E0754A" w14:paraId="1C151597" w14:textId="77777777" w:rsidTr="00ED0FE2">
        <w:tc>
          <w:tcPr>
            <w:tcW w:w="1345" w:type="dxa"/>
          </w:tcPr>
          <w:p w14:paraId="404CB33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9</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5983E40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found guilty of blasphemy and sentenced to 2 years-probation.</w:t>
            </w:r>
          </w:p>
        </w:tc>
        <w:tc>
          <w:tcPr>
            <w:tcW w:w="3870" w:type="dxa"/>
          </w:tcPr>
          <w:p w14:paraId="33CEB57C" w14:textId="77777777" w:rsidR="00C8473A" w:rsidRPr="00E0754A" w:rsidRDefault="00C8473A" w:rsidP="00ED0FE2">
            <w:pPr>
              <w:jc w:val="both"/>
              <w:rPr>
                <w:rFonts w:eastAsia="Arial Nova Cond Light" w:cs="Linux Libertine"/>
                <w:sz w:val="18"/>
                <w:szCs w:val="18"/>
              </w:rPr>
            </w:pPr>
          </w:p>
        </w:tc>
      </w:tr>
    </w:tbl>
    <w:p w14:paraId="6FE9F687" w14:textId="77777777" w:rsidR="00C8473A" w:rsidRPr="00E0754A" w:rsidRDefault="00C8473A" w:rsidP="00C8473A"/>
    <w:p w14:paraId="7DA38D7A" w14:textId="77777777" w:rsidR="00C8473A" w:rsidRPr="00E0754A" w:rsidRDefault="00C8473A" w:rsidP="00C8473A">
      <w:pPr>
        <w:pStyle w:val="ParagraphNormal"/>
      </w:pPr>
      <w:r w:rsidRPr="00E0754A">
        <w:t xml:space="preserve">The table 1 describes how the religious and political dimensions are strongly figure out in the Ahok case. Religious issues can be seen that Ahok's case is like a conflict between Islam and Christianity, where Ahok as a Christian is accused of insulting Islam, when criticizing the opportunist leader candidates who often take </w:t>
      </w:r>
      <w:r w:rsidRPr="00E0754A">
        <w:lastRenderedPageBreak/>
        <w:t>refuge behind QS Al Maidah verse 51 so that Muslims do not choose non-Muslim leaders. The hate-spin begins since Ahok's speech was uploaded; Budi Yani (the follower of Hardliner Islam) has quoted Ahok's speech with a provocative narrative that Ahok has tarnished Islam. Budi Yani, a week after the video of Ahok's speech was uploaded, uploaded a 30-second snippet plus a provocative comment and posted it on his Facebook page on Friday, October 6, 2016.  The transcript of the video says: “Blame of Religion?” …Father and Mother (Muslim voters) …being lied to by Al Maidah…and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Default="00C8473A" w:rsidP="00C8473A">
      <w:pPr>
        <w:pStyle w:val="ParagraphNormal"/>
      </w:pPr>
      <w:r w:rsidRPr="00E0754A">
        <w:t>Political brokers, hardline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Default="00C8473A" w:rsidP="00C8473A">
      <w:pPr>
        <w:pStyle w:val="ParagraphNormal"/>
      </w:pPr>
    </w:p>
    <w:p w14:paraId="33C7F5A6"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r>
        <w:rPr>
          <w:rFonts w:cs="Linux Libertine"/>
          <w:b/>
          <w:bCs/>
        </w:rPr>
        <w:t>Meiliana’s case</w:t>
      </w:r>
    </w:p>
    <w:p w14:paraId="1927B97F" w14:textId="77777777" w:rsidR="00C8473A" w:rsidRPr="00C8473A" w:rsidRDefault="00C8473A" w:rsidP="00C8473A">
      <w:pPr>
        <w:rPr>
          <w:rFonts w:cs="Linux Libertine"/>
          <w:b/>
          <w:bCs/>
        </w:rPr>
      </w:pPr>
    </w:p>
    <w:p w14:paraId="24040EF6" w14:textId="77777777" w:rsidR="00C8473A" w:rsidRDefault="00C8473A" w:rsidP="00C8473A">
      <w:pPr>
        <w:pStyle w:val="ParagraphNormal"/>
      </w:pPr>
      <w:r w:rsidRPr="00E0754A">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w:t>
      </w:r>
      <w:r w:rsidRPr="00E0754A">
        <w:lastRenderedPageBreak/>
        <w:t>The apology from Meiliana’s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E0754A" w:rsidRDefault="00C8473A" w:rsidP="00C8473A">
      <w:pPr>
        <w:pStyle w:val="ParagraphNormal"/>
      </w:pPr>
    </w:p>
    <w:p w14:paraId="1118E6DD"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2</w:t>
      </w:r>
      <w:r w:rsidRPr="00E0754A">
        <w:rPr>
          <w:noProof/>
        </w:rPr>
        <w:fldChar w:fldCharType="end"/>
      </w:r>
      <w:r w:rsidRPr="00E0754A">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E0754A" w14:paraId="391A1622" w14:textId="77777777" w:rsidTr="00ED0FE2">
        <w:trPr>
          <w:tblHeader/>
        </w:trPr>
        <w:tc>
          <w:tcPr>
            <w:tcW w:w="1684" w:type="dxa"/>
            <w:shd w:val="clear" w:color="auto" w:fill="44546A"/>
          </w:tcPr>
          <w:p w14:paraId="035D78CA"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531" w:type="dxa"/>
            <w:shd w:val="clear" w:color="auto" w:fill="44546A"/>
          </w:tcPr>
          <w:p w14:paraId="33EFA251"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Socio-Political Context</w:t>
            </w:r>
          </w:p>
        </w:tc>
      </w:tr>
      <w:tr w:rsidR="00C8473A" w:rsidRPr="00E0754A" w14:paraId="7C19D1B7" w14:textId="77777777" w:rsidTr="00ED0FE2">
        <w:tc>
          <w:tcPr>
            <w:tcW w:w="1684" w:type="dxa"/>
          </w:tcPr>
          <w:p w14:paraId="38CFEF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July 29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531" w:type="dxa"/>
          </w:tcPr>
          <w:p w14:paraId="1C161B4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protested to Nazir Masjid [Kasidi] about the very loud sound of Adzana from Al Maksun Mosque. “Sis, please tell the uak, lower the mosque's voice, Sis, my ears hurt, it's noisy. Sis in the past the sound of our mosque was not that big, right, now it's a bit bigger.”</w:t>
            </w:r>
          </w:p>
        </w:tc>
        <w:tc>
          <w:tcPr>
            <w:tcW w:w="3150" w:type="dxa"/>
          </w:tcPr>
          <w:p w14:paraId="172185E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is an ordinary housewife, Buddhist and of Chinese descent.</w:t>
            </w:r>
          </w:p>
        </w:tc>
      </w:tr>
      <w:tr w:rsidR="00C8473A" w:rsidRPr="00E0754A" w14:paraId="7308F564" w14:textId="77777777" w:rsidTr="00ED0FE2">
        <w:tc>
          <w:tcPr>
            <w:tcW w:w="1684" w:type="dxa"/>
          </w:tcPr>
          <w:p w14:paraId="058F568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29 Juli 2016 sekira pukul 10.00 Wib</w:t>
            </w:r>
          </w:p>
        </w:tc>
        <w:tc>
          <w:tcPr>
            <w:tcW w:w="3531" w:type="dxa"/>
          </w:tcPr>
          <w:p w14:paraId="66F7A5C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Witness Kasidik met with the Head of BKM, SJAJUTI on Jalan Bahagia, Tanjungbalai Selatan Subdistrict, Tanjungbalai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E0754A" w:rsidRDefault="00C8473A" w:rsidP="00ED0FE2">
            <w:pPr>
              <w:jc w:val="both"/>
              <w:rPr>
                <w:rFonts w:eastAsia="Arial Nova Cond Light" w:cs="Linux Libertine"/>
                <w:sz w:val="18"/>
                <w:szCs w:val="18"/>
              </w:rPr>
            </w:pPr>
          </w:p>
        </w:tc>
      </w:tr>
      <w:tr w:rsidR="00C8473A" w:rsidRPr="00E0754A" w14:paraId="70EEBEED" w14:textId="77777777" w:rsidTr="00ED0FE2">
        <w:tc>
          <w:tcPr>
            <w:tcW w:w="1684" w:type="dxa"/>
          </w:tcPr>
          <w:p w14:paraId="39BAEA4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pukul 16.00 Wib selesai</w:t>
            </w:r>
          </w:p>
        </w:tc>
        <w:tc>
          <w:tcPr>
            <w:tcW w:w="3531" w:type="dxa"/>
          </w:tcPr>
          <w:p w14:paraId="52BA5D7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After the Azhar prayer, Witness Kasidik met with Witness SAHRIR TANJUNG and said “Er, the Chinese in front asked to reduce the volume of this mosque, his ears were noisy, what's the solution” then Witness SAHRIR TANJUNG replied “yes, we'll let you know later, Mr. Lobe and Mr. Dai Lami”</w:t>
            </w:r>
          </w:p>
        </w:tc>
        <w:tc>
          <w:tcPr>
            <w:tcW w:w="3150" w:type="dxa"/>
          </w:tcPr>
          <w:p w14:paraId="52A0767F" w14:textId="77777777" w:rsidR="00C8473A" w:rsidRPr="00E0754A" w:rsidRDefault="00C8473A" w:rsidP="00ED0FE2">
            <w:pPr>
              <w:jc w:val="both"/>
              <w:rPr>
                <w:rFonts w:eastAsia="Arial Nova Cond Light" w:cs="Linux Libertine"/>
                <w:sz w:val="18"/>
                <w:szCs w:val="18"/>
              </w:rPr>
            </w:pPr>
          </w:p>
        </w:tc>
      </w:tr>
      <w:tr w:rsidR="00C8473A" w:rsidRPr="00E0754A" w14:paraId="71F0D8A1" w14:textId="77777777" w:rsidTr="00ED0FE2">
        <w:tc>
          <w:tcPr>
            <w:tcW w:w="1684" w:type="dxa"/>
          </w:tcPr>
          <w:p w14:paraId="121F6D4E"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Pukul 19.00 wib</w:t>
            </w:r>
          </w:p>
        </w:tc>
        <w:tc>
          <w:tcPr>
            <w:tcW w:w="3531" w:type="dxa"/>
          </w:tcPr>
          <w:p w14:paraId="5AB10F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After Maghrib Prayer, Witness Kasidik met with Mr. ZUL SAMBAS, Witness HARIS TUA MARPAUNG aka PAK LOBE and Witness DAILAMI then Witness Kasidik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E0754A" w:rsidRDefault="00C8473A" w:rsidP="00ED0FE2">
            <w:pPr>
              <w:jc w:val="both"/>
              <w:rPr>
                <w:rFonts w:eastAsia="Arial Nova Cond Light" w:cs="Linux Libertine"/>
                <w:sz w:val="18"/>
                <w:szCs w:val="18"/>
              </w:rPr>
            </w:pPr>
          </w:p>
        </w:tc>
      </w:tr>
      <w:tr w:rsidR="00C8473A" w:rsidRPr="00E0754A" w14:paraId="03E75318" w14:textId="77777777" w:rsidTr="00ED0FE2">
        <w:tc>
          <w:tcPr>
            <w:tcW w:w="1684" w:type="dxa"/>
          </w:tcPr>
          <w:p w14:paraId="3FB39EC3" w14:textId="77777777" w:rsidR="00C8473A" w:rsidRPr="00E0754A" w:rsidRDefault="00C8473A" w:rsidP="00ED0FE2">
            <w:pPr>
              <w:jc w:val="both"/>
              <w:rPr>
                <w:rFonts w:eastAsia="Arial Nova Cond Light" w:cs="Linux Libertine"/>
                <w:sz w:val="18"/>
                <w:szCs w:val="18"/>
              </w:rPr>
            </w:pPr>
          </w:p>
        </w:tc>
        <w:tc>
          <w:tcPr>
            <w:tcW w:w="3531" w:type="dxa"/>
          </w:tcPr>
          <w:p w14:paraId="68DE657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Isya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E0754A" w:rsidRDefault="00C8473A" w:rsidP="00ED0FE2">
            <w:pPr>
              <w:jc w:val="both"/>
              <w:rPr>
                <w:rFonts w:eastAsia="Arial Nova Cond Light" w:cs="Linux Libertine"/>
                <w:sz w:val="18"/>
                <w:szCs w:val="18"/>
              </w:rPr>
            </w:pPr>
          </w:p>
        </w:tc>
      </w:tr>
      <w:tr w:rsidR="00C8473A" w:rsidRPr="00E0754A" w14:paraId="40C0D95D" w14:textId="77777777" w:rsidTr="00ED0FE2">
        <w:tc>
          <w:tcPr>
            <w:tcW w:w="1684" w:type="dxa"/>
          </w:tcPr>
          <w:p w14:paraId="5C6B784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21.00 Wib</w:t>
            </w:r>
          </w:p>
        </w:tc>
        <w:tc>
          <w:tcPr>
            <w:tcW w:w="3531" w:type="dxa"/>
          </w:tcPr>
          <w:p w14:paraId="21F28E0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Witness SJAJUTI Alias ​​SAYUTI together with the Head of the Environment came to the Defendant's house and took the Defendant to the Kelurahan Office.</w:t>
            </w:r>
          </w:p>
        </w:tc>
        <w:tc>
          <w:tcPr>
            <w:tcW w:w="3150" w:type="dxa"/>
          </w:tcPr>
          <w:p w14:paraId="714009B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At around 23.00 WIB, the people were crowded and shouted “burn... burn” then shouted “Allahu Akbar, Allahu Akbar” and because of the Defendant's actions, Witness ALRIFAI ZUHERISA Alias ​​ALDO and Witness BUDI ARIYANTO along with other masses damaged the Defendant's house and the monastery / Pekong in Tanjungbalai City.</w:t>
            </w:r>
          </w:p>
        </w:tc>
      </w:tr>
      <w:tr w:rsidR="00C8473A" w:rsidRPr="00E0754A" w14:paraId="2276FD48" w14:textId="77777777" w:rsidTr="00ED0FE2">
        <w:tc>
          <w:tcPr>
            <w:tcW w:w="1684" w:type="dxa"/>
          </w:tcPr>
          <w:p w14:paraId="415FAD9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2 Desember 2016</w:t>
            </w:r>
          </w:p>
        </w:tc>
        <w:tc>
          <w:tcPr>
            <w:tcW w:w="3531" w:type="dxa"/>
          </w:tcPr>
          <w:p w14:paraId="0E9417E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HARIS TUA MARPAUNG, Witness Drs. DAILAMI, M.Pd. and Witness Rifai made a Statement Letter </w:t>
            </w:r>
            <w:r w:rsidRPr="00E0754A">
              <w:rPr>
                <w:rFonts w:eastAsia="Arial Nova Cond Light" w:cs="Linux Libertine"/>
                <w:sz w:val="18"/>
                <w:szCs w:val="18"/>
              </w:rPr>
              <w:lastRenderedPageBreak/>
              <w:t>dated December 2, 2016, regarding asking the Police to conduct an investigation against Ms. MELIANA who we considered to have committed harassment, blasphemy and expressed hatred towards Islamic Religious Worship activities at Masjid Al-Maksum Jalan Karya Tanjungbalai and signed at on the stamp of six thousand.</w:t>
            </w:r>
          </w:p>
        </w:tc>
      </w:tr>
      <w:tr w:rsidR="00C8473A" w:rsidRPr="00E0754A" w14:paraId="4CFAA927" w14:textId="77777777" w:rsidTr="00ED0FE2">
        <w:tc>
          <w:tcPr>
            <w:tcW w:w="1684" w:type="dxa"/>
          </w:tcPr>
          <w:p w14:paraId="49DF71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14 Desember 2016,</w:t>
            </w:r>
          </w:p>
        </w:tc>
        <w:tc>
          <w:tcPr>
            <w:tcW w:w="3531" w:type="dxa"/>
          </w:tcPr>
          <w:p w14:paraId="1C03946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United Independent Student and Community Alliance (AMMIB) submitted a letter to the Chair of the MUI Tanjungbalai City with Letter Number: Ist/038/B/AMMIB-TB/XII/2016 dated December 14, 2016, regarding Requesting Audiences and MUI Fatwas Regarding Allegations of Religious Blasphemy. By An Ethnic Chinese Named MELIANA.</w:t>
            </w:r>
          </w:p>
        </w:tc>
      </w:tr>
      <w:tr w:rsidR="00C8473A" w:rsidRPr="00E0754A" w14:paraId="298227EE" w14:textId="77777777" w:rsidTr="00ED0FE2">
        <w:tc>
          <w:tcPr>
            <w:tcW w:w="1684" w:type="dxa"/>
          </w:tcPr>
          <w:p w14:paraId="47380E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19 Desember 2016</w:t>
            </w:r>
          </w:p>
        </w:tc>
        <w:tc>
          <w:tcPr>
            <w:tcW w:w="3531" w:type="dxa"/>
          </w:tcPr>
          <w:p w14:paraId="4C9587E2" w14:textId="77777777" w:rsidR="00C8473A" w:rsidRPr="00E0754A" w:rsidRDefault="00C8473A" w:rsidP="00ED0FE2">
            <w:pPr>
              <w:jc w:val="both"/>
              <w:rPr>
                <w:rFonts w:eastAsia="Arial Nova Cond Light" w:cs="Linux Libertine"/>
                <w:sz w:val="18"/>
                <w:szCs w:val="18"/>
              </w:rPr>
            </w:pPr>
          </w:p>
        </w:tc>
        <w:tc>
          <w:tcPr>
            <w:tcW w:w="3150" w:type="dxa"/>
          </w:tcPr>
          <w:p w14:paraId="1F8AC3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Tanjung Balai City MUI has held a meeting of the DP Fatwa Commission. MUI Tanjungbalai City and decided to request a fatwa from the DP. MUI North Smatera Province for the blasphemy by issuing Letter Number: A.056/DP-2/MUI/XII/2016</w:t>
            </w:r>
          </w:p>
        </w:tc>
      </w:tr>
      <w:tr w:rsidR="00C8473A" w:rsidRPr="00E0754A" w14:paraId="7CC812CB" w14:textId="77777777" w:rsidTr="00ED0FE2">
        <w:tc>
          <w:tcPr>
            <w:tcW w:w="1684" w:type="dxa"/>
          </w:tcPr>
          <w:p w14:paraId="0142AC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14 Desember 2016</w:t>
            </w:r>
          </w:p>
        </w:tc>
        <w:tc>
          <w:tcPr>
            <w:tcW w:w="3531" w:type="dxa"/>
          </w:tcPr>
          <w:p w14:paraId="75CD7455"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United Independent Student and Community Alliance (AMMIB) Number: Ist/038/B/AMMIB-TB/XII/2016 dated 14 December 2016, Request an Audience and MUI Fatwa related to blasphemy committed by an ethnic Chinese named MELIANA</w:t>
            </w:r>
          </w:p>
        </w:tc>
      </w:tr>
      <w:tr w:rsidR="00C8473A" w:rsidRPr="00E0754A" w14:paraId="7D3ED314" w14:textId="77777777" w:rsidTr="00ED0FE2">
        <w:tc>
          <w:tcPr>
            <w:tcW w:w="1684" w:type="dxa"/>
          </w:tcPr>
          <w:p w14:paraId="2285EF48" w14:textId="77777777" w:rsidR="00C8473A" w:rsidRPr="00E0754A" w:rsidRDefault="00C8473A" w:rsidP="00ED0FE2">
            <w:pPr>
              <w:jc w:val="both"/>
              <w:rPr>
                <w:rFonts w:eastAsia="Arial Nova Cond Light" w:cs="Linux Libertine"/>
                <w:sz w:val="18"/>
                <w:szCs w:val="18"/>
              </w:rPr>
            </w:pPr>
          </w:p>
        </w:tc>
        <w:tc>
          <w:tcPr>
            <w:tcW w:w="3531" w:type="dxa"/>
          </w:tcPr>
          <w:p w14:paraId="073968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Paused</w:t>
            </w:r>
          </w:p>
        </w:tc>
        <w:tc>
          <w:tcPr>
            <w:tcW w:w="3150" w:type="dxa"/>
          </w:tcPr>
          <w:p w14:paraId="406EFF2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E0754A" w14:paraId="480C9970" w14:textId="77777777" w:rsidTr="00ED0FE2">
        <w:tc>
          <w:tcPr>
            <w:tcW w:w="1684" w:type="dxa"/>
          </w:tcPr>
          <w:p w14:paraId="6E349FA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January 24</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531" w:type="dxa"/>
          </w:tcPr>
          <w:p w14:paraId="73DD8708" w14:textId="77777777" w:rsidR="00C8473A" w:rsidRPr="00E0754A" w:rsidRDefault="00C8473A" w:rsidP="00ED0FE2">
            <w:pPr>
              <w:jc w:val="both"/>
              <w:rPr>
                <w:rFonts w:eastAsia="Arial Nova Cond Light" w:cs="Linux Libertine"/>
                <w:sz w:val="18"/>
                <w:szCs w:val="18"/>
              </w:rPr>
            </w:pPr>
          </w:p>
        </w:tc>
        <w:tc>
          <w:tcPr>
            <w:tcW w:w="3150" w:type="dxa"/>
          </w:tcPr>
          <w:p w14:paraId="1492351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Tanjung Balai MUI Commission refused to issue Meiliana's Fatwa. However, the hard-liner Islamic groups FUI, HTI, Al-Washilah,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E0754A" w14:paraId="38157F86" w14:textId="77777777" w:rsidTr="00ED0FE2">
        <w:tc>
          <w:tcPr>
            <w:tcW w:w="1684" w:type="dxa"/>
          </w:tcPr>
          <w:p w14:paraId="266739D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13</w:t>
            </w:r>
            <w:r w:rsidRPr="00E0754A">
              <w:rPr>
                <w:rFonts w:eastAsia="Arial Nova Cond Light" w:cs="Linux Libertine"/>
                <w:sz w:val="18"/>
                <w:szCs w:val="18"/>
                <w:vertAlign w:val="superscript"/>
              </w:rPr>
              <w:t>th</w:t>
            </w:r>
            <w:r w:rsidRPr="00E0754A">
              <w:rPr>
                <w:rFonts w:eastAsia="Arial Nova Cond Light" w:cs="Linux Libertine"/>
                <w:sz w:val="18"/>
                <w:szCs w:val="18"/>
              </w:rPr>
              <w:t>, 2018</w:t>
            </w:r>
          </w:p>
        </w:tc>
        <w:tc>
          <w:tcPr>
            <w:tcW w:w="3531" w:type="dxa"/>
          </w:tcPr>
          <w:p w14:paraId="612323B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E0754A" w14:paraId="53F05519" w14:textId="77777777" w:rsidTr="00ED0FE2">
        <w:tc>
          <w:tcPr>
            <w:tcW w:w="1684" w:type="dxa"/>
          </w:tcPr>
          <w:p w14:paraId="2BCA095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21st, 2018</w:t>
            </w:r>
          </w:p>
        </w:tc>
        <w:tc>
          <w:tcPr>
            <w:tcW w:w="3531" w:type="dxa"/>
          </w:tcPr>
          <w:p w14:paraId="00D59B1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Verdict 1612/Pid.B/2018/PN Mdn, Meiliana is guilty of “committing a criminal act intentionally in public to express feelings or commit an act which is essentially hostile, abuse or blasphemy against a religion professed in Indonesia […] with a sentence of imprisonment for 1 (ONE) YEAR 6 (SIX) </w:t>
            </w:r>
            <w:r w:rsidRPr="00E0754A">
              <w:rPr>
                <w:rFonts w:eastAsia="Arial Nova Cond Light" w:cs="Linux Libertine"/>
                <w:color w:val="000000"/>
                <w:sz w:val="18"/>
                <w:szCs w:val="18"/>
              </w:rPr>
              <w:lastRenderedPageBreak/>
              <w:t>MONTHS reduced while the Defendant is in temporary detention.</w:t>
            </w:r>
            <w:r w:rsidRPr="00E0754A">
              <w:rPr>
                <w:rStyle w:val="FootnoteReference"/>
                <w:rFonts w:eastAsia="Arial Nova Cond Light"/>
              </w:rPr>
              <w:footnoteReference w:id="107"/>
            </w:r>
          </w:p>
        </w:tc>
        <w:tc>
          <w:tcPr>
            <w:tcW w:w="3150" w:type="dxa"/>
          </w:tcPr>
          <w:p w14:paraId="1DAB6938" w14:textId="77777777" w:rsidR="00C8473A" w:rsidRPr="00E0754A" w:rsidRDefault="00C8473A" w:rsidP="00ED0FE2">
            <w:pPr>
              <w:jc w:val="both"/>
              <w:rPr>
                <w:rFonts w:eastAsia="Arial Nova Cond Light" w:cs="Linux Libertine"/>
                <w:sz w:val="18"/>
                <w:szCs w:val="18"/>
              </w:rPr>
            </w:pPr>
          </w:p>
        </w:tc>
      </w:tr>
      <w:tr w:rsidR="00C8473A" w:rsidRPr="00E0754A" w14:paraId="0162244D" w14:textId="77777777" w:rsidTr="00ED0FE2">
        <w:tc>
          <w:tcPr>
            <w:tcW w:w="1684" w:type="dxa"/>
          </w:tcPr>
          <w:p w14:paraId="45FD779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27 Agustus 2018. </w:t>
            </w:r>
          </w:p>
          <w:p w14:paraId="27E09872" w14:textId="77777777" w:rsidR="00C8473A" w:rsidRPr="00E0754A" w:rsidRDefault="00C8473A" w:rsidP="00ED0FE2">
            <w:pPr>
              <w:jc w:val="both"/>
              <w:rPr>
                <w:rFonts w:eastAsia="Arial Nova Cond Light" w:cs="Linux Libertine"/>
                <w:sz w:val="18"/>
                <w:szCs w:val="18"/>
              </w:rPr>
            </w:pPr>
          </w:p>
        </w:tc>
        <w:tc>
          <w:tcPr>
            <w:tcW w:w="3531" w:type="dxa"/>
          </w:tcPr>
          <w:p w14:paraId="6E450B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Defendant's Legal Counsel has submitted a request for an appeal as stated in the Deed of Appeal made by the Registrar of the Medan District Court Number 200/Akta.Pid/2018/PN Mdn</w:t>
            </w:r>
          </w:p>
        </w:tc>
        <w:tc>
          <w:tcPr>
            <w:tcW w:w="3150" w:type="dxa"/>
          </w:tcPr>
          <w:p w14:paraId="69DDE9E0" w14:textId="77777777" w:rsidR="00C8473A" w:rsidRPr="00E0754A" w:rsidRDefault="00C8473A" w:rsidP="00ED0FE2">
            <w:pPr>
              <w:jc w:val="both"/>
              <w:rPr>
                <w:rFonts w:eastAsia="Arial Nova Cond Light" w:cs="Linux Libertine"/>
                <w:sz w:val="18"/>
                <w:szCs w:val="18"/>
              </w:rPr>
            </w:pPr>
          </w:p>
        </w:tc>
      </w:tr>
      <w:tr w:rsidR="00C8473A" w:rsidRPr="00E0754A" w14:paraId="7B6B58BE" w14:textId="77777777" w:rsidTr="00ED0FE2">
        <w:tc>
          <w:tcPr>
            <w:tcW w:w="1684" w:type="dxa"/>
          </w:tcPr>
          <w:p w14:paraId="2D173CF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Kamis, tanggal 25 Oktober 2018 </w:t>
            </w:r>
          </w:p>
          <w:p w14:paraId="6F8BBDC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E0754A">
              <w:rPr>
                <w:rStyle w:val="FootnoteReference"/>
                <w:rFonts w:eastAsia="Arial Nova Cond Light"/>
              </w:rPr>
              <w:footnoteReference w:id="108"/>
            </w:r>
          </w:p>
          <w:p w14:paraId="72645F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Various agencies sent Amicus Currie for the court to consider not convicting Meiliana:</w:t>
            </w:r>
          </w:p>
          <w:p w14:paraId="0744C33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Judicial Monitoring Society (MaPPI) Faculty of Law, University of Indonesia (FHUI) Number 258/UN2.F5/MaPPI/BI/IX/2018 dated September 10, 2018, regarding the submission of the Amicus Curiae.</w:t>
            </w:r>
          </w:p>
          <w:p w14:paraId="74028D4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Islamic Community Alliance (AUI) of Tanjung Balai City, Number: Istimewa/013/B/AUI-TB/IX/2018 dated 17 September 2018 regarding Introduction.</w:t>
            </w:r>
          </w:p>
          <w:p w14:paraId="4158817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Commission for Disappeared Persons and Victims of Violence (KontraS) Number: 421/SK-KontraS/X/2018 dated October 12, 2018, regarding File Amicus Curiae;</w:t>
            </w:r>
          </w:p>
        </w:tc>
      </w:tr>
      <w:tr w:rsidR="00C8473A" w:rsidRPr="00E0754A" w14:paraId="15A30986" w14:textId="77777777" w:rsidTr="00ED0FE2">
        <w:tc>
          <w:tcPr>
            <w:tcW w:w="1684" w:type="dxa"/>
          </w:tcPr>
          <w:p w14:paraId="603858C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March 27, 2019</w:t>
            </w:r>
          </w:p>
        </w:tc>
        <w:tc>
          <w:tcPr>
            <w:tcW w:w="3531" w:type="dxa"/>
          </w:tcPr>
          <w:p w14:paraId="6CB379F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Meiliana's Cassation Application was rejected by the Supreme Court. Decision No. 322/K/PID/2019</w:t>
            </w:r>
          </w:p>
        </w:tc>
        <w:tc>
          <w:tcPr>
            <w:tcW w:w="3150" w:type="dxa"/>
          </w:tcPr>
          <w:p w14:paraId="3C5B4C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E0754A" w:rsidRDefault="00C8473A" w:rsidP="00C8473A">
      <w:pPr>
        <w:rPr>
          <w:sz w:val="20"/>
          <w:szCs w:val="28"/>
        </w:rPr>
      </w:pPr>
      <w:r w:rsidRPr="00E0754A">
        <w:rPr>
          <w:sz w:val="20"/>
          <w:szCs w:val="28"/>
        </w:rPr>
        <w:t>Source: Cited from various sources by the Author</w:t>
      </w:r>
    </w:p>
    <w:p w14:paraId="68970391" w14:textId="77777777" w:rsidR="00C8473A" w:rsidRPr="00E0754A" w:rsidRDefault="00C8473A" w:rsidP="00C8473A">
      <w:pPr>
        <w:pStyle w:val="ParagraphNormal"/>
      </w:pPr>
    </w:p>
    <w:p w14:paraId="0470C778" w14:textId="77777777" w:rsidR="00C8473A" w:rsidRPr="00E0754A" w:rsidRDefault="00C8473A" w:rsidP="00C8473A">
      <w:pPr>
        <w:pStyle w:val="ParagraphNormal"/>
      </w:pPr>
      <w:r w:rsidRPr="00E0754A">
        <w:t>In general, cases of blasphemy involving religious leaders or figures end with the perpetrator apologizing to the public.</w:t>
      </w:r>
      <w:r w:rsidRPr="00E0754A">
        <w:rPr>
          <w:rStyle w:val="FootnoteReference"/>
        </w:rPr>
        <w:footnoteReference w:id="109"/>
      </w:r>
      <w:r w:rsidRPr="00E0754A">
        <w:t xml:space="preserve">  But Ahok and as well as Meiliana are </w:t>
      </w:r>
      <w:r w:rsidRPr="00E0754A">
        <w:lastRenderedPageBreak/>
        <w:t>different cases. Ahok's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Meiliana's house and several Buddhist temples.</w:t>
      </w:r>
    </w:p>
    <w:p w14:paraId="75A0E862" w14:textId="77777777" w:rsidR="00C8473A" w:rsidRPr="00E0754A" w:rsidRDefault="00C8473A" w:rsidP="00C8473A">
      <w:pPr>
        <w:pStyle w:val="ParagraphNormal"/>
      </w:pPr>
      <w:r w:rsidRPr="00E0754A">
        <w:t>It is difficult to say that the complainants had no political motivation to defeat Ahok in the DKI Jakarta local election.</w:t>
      </w:r>
      <w:r w:rsidRPr="00E0754A">
        <w:rPr>
          <w:rStyle w:val="FootnoteReference"/>
        </w:rPr>
        <w:footnoteReference w:id="110"/>
      </w:r>
      <w:r w:rsidRPr="00E0754A">
        <w:t xml:space="preserve"> Even though Ahok had opposed this when stating his testimony in court.  Many people think that the Ahok case is political. For example, the day after Ahok was named a suspect, the DPRI proposed the right of inquiry to revoke Ahok's nomination as a candidate for governor in the 2017 election.</w:t>
      </w:r>
      <w:r w:rsidRPr="00E0754A">
        <w:rPr>
          <w:rStyle w:val="FootnoteReference"/>
        </w:rPr>
        <w:footnoteReference w:id="111"/>
      </w:r>
      <w:r w:rsidRPr="00E0754A">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Baswedan was a good Candidate for Governor, Ahok's punishment would bear sweet fruit for Anis Baswedan's victory. Blasphemy as a tool to get rid of Ahok can be said to be very successful.</w:t>
      </w:r>
    </w:p>
    <w:p w14:paraId="38FFF4BC" w14:textId="77777777" w:rsidR="00C8473A" w:rsidRPr="00E0754A" w:rsidRDefault="00C8473A" w:rsidP="00C8473A">
      <w:pPr>
        <w:pStyle w:val="ParagraphNormal"/>
      </w:pPr>
      <w:r w:rsidRPr="00E0754A">
        <w:t xml:space="preserve">Marshall argues that in the process of political manipulation of religion, it is usually due to the support and large role of religious leaders where this role gets quite </w:t>
      </w:r>
      <w:r w:rsidRPr="00E0754A">
        <w:lastRenderedPageBreak/>
        <w:t>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E0754A" w:rsidRDefault="00C8473A" w:rsidP="00C8473A">
      <w:pPr>
        <w:pStyle w:val="ParagraphNormal"/>
      </w:pPr>
      <w:r w:rsidRPr="00E0754A">
        <w:t>The process of law enforcement in the Ahok case starts from reporting until a court decision has permanent legal force. Ahok's case was reported by the Indonesian Ulema Council (MUI) South Sumatra, Habib Novel Chaidir Hasan, was reported to the Criminal Investigation Agency (Bareskrim) LP/1010/x/2016 on charges of violating Article 156a of the Criminal Code in conjunction with Article 28 paragraph (2) of Law Number 11 2008 concerning Electronic Transaction Information with the threat of five years in prison.</w:t>
      </w:r>
      <w:r w:rsidRPr="00E0754A">
        <w:rPr>
          <w:rStyle w:val="FootnoteReference"/>
        </w:rPr>
        <w:footnoteReference w:id="112"/>
      </w:r>
      <w:r w:rsidRPr="00E0754A">
        <w:t xml:space="preserve"> Then followed by Muhammadiyah Youth who participated in reporting Ahok with the report number TBL/4846/X/2016/PMJ/Dit Reskrimum. 2016/PMJ/Directorate of Crime.</w:t>
      </w:r>
      <w:r w:rsidRPr="00E0754A">
        <w:rPr>
          <w:rStyle w:val="FootnoteReference"/>
        </w:rPr>
        <w:footnoteReference w:id="113"/>
      </w:r>
      <w:r w:rsidRPr="00E0754A">
        <w:t xml:space="preserve">  Ahok was accused of blaspheming Islam because of his statement:</w:t>
      </w:r>
    </w:p>
    <w:p w14:paraId="5031FDD7" w14:textId="77777777" w:rsidR="00C8473A" w:rsidRPr="00E0754A" w:rsidRDefault="00C8473A" w:rsidP="00C8473A">
      <w:pPr>
        <w:pStyle w:val="Quote"/>
      </w:pPr>
      <w:r w:rsidRPr="00E0754A">
        <w:t>“[...] this [local] election is being pushed forward, so if I am not elected, I will stop it in October 2017 so if we run this program well, ladies and gentlemen, even though I am not elected as governor, this story will inspire you, so it doesn't matter. Don't worry, ah... later if you don't vote, Ahok's program will be disbanded, no... I'm until October 2017, so don't trust people, you can just in your heart you can't choose me, right? right, being lied to using Al-Maidah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Default="00C8473A" w:rsidP="00C8473A">
      <w:pPr>
        <w:pStyle w:val="ParagraphNormal"/>
      </w:pPr>
      <w:r w:rsidRPr="00E0754A">
        <w:t xml:space="preserve">Ahok's statement, which was a criticism of a political figure who abused Surah Al-Maidah verse 5 to defeat a non-Muslim leader candidate, was processed in such a </w:t>
      </w:r>
      <w:r w:rsidRPr="00E0754A">
        <w:lastRenderedPageBreak/>
        <w:t>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Ahok's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C8473A" w:rsidRDefault="00C8473A" w:rsidP="00C8473A">
      <w:pPr>
        <w:pStyle w:val="ParagraphNormal"/>
      </w:pPr>
    </w:p>
    <w:p w14:paraId="1DBB86BA" w14:textId="2F71B2D5" w:rsidR="00601A07" w:rsidRDefault="00C8473A" w:rsidP="00601A07">
      <w:pPr>
        <w:pStyle w:val="Heading3"/>
        <w:rPr>
          <w:rFonts w:cs="Linux Libertine"/>
        </w:rPr>
      </w:pPr>
      <w:r>
        <w:rPr>
          <w:rFonts w:cs="Linux Libertine"/>
        </w:rPr>
        <w:t>5.3.2. Politization of Blasphemy Cases</w:t>
      </w:r>
    </w:p>
    <w:p w14:paraId="4B8C59BD" w14:textId="77777777" w:rsidR="00C6591A" w:rsidRPr="00E0754A" w:rsidRDefault="00C6591A" w:rsidP="00C6591A">
      <w:pPr>
        <w:pStyle w:val="ParagraphNormal"/>
      </w:pPr>
      <w:r w:rsidRPr="00E0754A">
        <w:t>The politicization of the Ahok case strengthened, when the law enforcement process continued to be intervened with various demonstrations urging the court to punish Ahok. The politicization of Ahok's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E0754A" w:rsidRDefault="00C6591A" w:rsidP="00C6591A">
      <w:pPr>
        <w:pStyle w:val="Quote"/>
      </w:pPr>
      <w:r w:rsidRPr="00E0754A">
        <w:t>“PB NU institutionally did not participate in this movement. This means that all NU members (nahdlyin) remain calm and do not participate in this movement. We have our way (own).”</w:t>
      </w:r>
      <w:r w:rsidRPr="00E0754A">
        <w:rPr>
          <w:rStyle w:val="FootnoteReference"/>
        </w:rPr>
        <w:footnoteReference w:id="114"/>
      </w:r>
    </w:p>
    <w:p w14:paraId="6E3E5DBE" w14:textId="77777777" w:rsidR="00C6591A" w:rsidRPr="00E0754A" w:rsidRDefault="00C6591A" w:rsidP="00C6591A">
      <w:pPr>
        <w:pStyle w:val="ParagraphNormal"/>
      </w:pPr>
      <w:r w:rsidRPr="00E0754A">
        <w:t xml:space="preserve">Second, in the case of Meiliana, the conflict between religions depicted is between Buddhism as a representation of Meiliana and Islam. Meiliana's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E0754A" w:rsidRDefault="00C6591A" w:rsidP="00C6591A">
      <w:pPr>
        <w:pStyle w:val="ParagraphNormal"/>
      </w:pPr>
      <w:r w:rsidRPr="00E0754A">
        <w:t xml:space="preserve">Law enforcement's scepticism was evident from the time the investigation process in the Meiliana case was stopped for two years because the police did not have </w:t>
      </w:r>
      <w:r w:rsidRPr="00E0754A">
        <w:lastRenderedPageBreak/>
        <w:t>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Default="00C6591A" w:rsidP="00C6591A">
      <w:pPr>
        <w:pStyle w:val="ParagraphNormal"/>
      </w:pPr>
      <w:r w:rsidRPr="00E0754A">
        <w:t>Political dimension appeared when the Meiliana case coincided with the local election agenda.  Meiliana's protest because of the loudly volume of Adzan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E0754A" w:rsidRDefault="00C6591A" w:rsidP="00C6591A">
      <w:pPr>
        <w:pStyle w:val="ParagraphNormal"/>
      </w:pPr>
    </w:p>
    <w:p w14:paraId="5D3E5AC5" w14:textId="77777777" w:rsidR="00C6591A" w:rsidRPr="00E0754A" w:rsidRDefault="00C6591A" w:rsidP="00C6591A">
      <w:pPr>
        <w:pStyle w:val="Quote"/>
      </w:pPr>
      <w:r w:rsidRPr="00E0754A">
        <w:t>“However,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Meiliana's case had gone to court, then Muhammadiyah would respect whatever the court's decision was.”</w:t>
      </w:r>
    </w:p>
    <w:p w14:paraId="3C2D135B" w14:textId="77777777" w:rsidR="00C6591A" w:rsidRPr="00E0754A" w:rsidRDefault="00C6591A" w:rsidP="00C6591A">
      <w:pPr>
        <w:pStyle w:val="ParagraphNormal"/>
      </w:pPr>
      <w:r w:rsidRPr="00E0754A">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Meiliana's complaint directly with the statement that “There is a Chinese forbidding the call to prayer” thus sparking the anger of the people who in the end they attacked, damaged, and burned a number of Chinese houses of worship in Tanjung Balai. In addition to the hate-spin, the Court is also trapped in </w:t>
      </w:r>
      <w:r w:rsidRPr="00E0754A">
        <w:lastRenderedPageBreak/>
        <w:t>identity politics, where apart from the Court not having strong evidence about Meiliana's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Default="00C6591A" w:rsidP="00C6591A">
      <w:pPr>
        <w:pStyle w:val="ParagraphNormal"/>
      </w:pPr>
      <w:r w:rsidRPr="00E0754A">
        <w:t>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A'yun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Default="00C6591A" w:rsidP="00C8473A">
      <w:pPr>
        <w:pStyle w:val="ParagraphNormal"/>
      </w:pPr>
      <w:r w:rsidRPr="00E0754A">
        <w:t>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Meiliana's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C6591A" w:rsidRDefault="00C6591A" w:rsidP="00C6591A"/>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8E986CB"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C8473A">
        <w:rPr>
          <w:rFonts w:cs="Linux Libertine"/>
        </w:rPr>
        <w:t xml:space="preserve">Blasphemy </w:t>
      </w:r>
      <w:r w:rsidR="009510D5" w:rsidRPr="00672A6A">
        <w:rPr>
          <w:rFonts w:cs="Linux Libertine"/>
        </w:rPr>
        <w:t xml:space="preserve">Law Enforcement </w:t>
      </w:r>
      <w:r w:rsidR="00C8473A">
        <w:rPr>
          <w:rFonts w:cs="Linux Libertine"/>
        </w:rPr>
        <w:t>Prevent to Preserve Justice</w:t>
      </w:r>
    </w:p>
    <w:p w14:paraId="270980B9" w14:textId="2C9F328F"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C8473A">
        <w:rPr>
          <w:rFonts w:cs="Linux Libertine"/>
        </w:rPr>
        <w:t>Continuing Public Disorder</w:t>
      </w:r>
      <w:r w:rsidR="009510D5" w:rsidRPr="00672A6A">
        <w:rPr>
          <w:rFonts w:cs="Linux Libertine"/>
        </w:rPr>
        <w:t xml:space="preserve"> </w:t>
      </w:r>
    </w:p>
    <w:p w14:paraId="7BFA59D0" w14:textId="77777777" w:rsidR="00601A07" w:rsidRPr="00672A6A" w:rsidRDefault="00601A07" w:rsidP="00601A07">
      <w:pPr>
        <w:rPr>
          <w:rFonts w:cs="Linux Libertine"/>
        </w:rPr>
      </w:pPr>
    </w:p>
    <w:p w14:paraId="6C9CA48C" w14:textId="0C8724A5" w:rsidR="00C8473A" w:rsidRDefault="00C120A6" w:rsidP="00C8473A">
      <w:pPr>
        <w:spacing w:line="360" w:lineRule="auto"/>
        <w:jc w:val="both"/>
        <w:rPr>
          <w:color w:val="FF0000"/>
        </w:rPr>
      </w:pPr>
      <w:r w:rsidRPr="00C120A6">
        <w:rPr>
          <w:color w:val="FF0000"/>
        </w:rPr>
        <w:t>The increasing actions of Muhammad Habib Riziq Shihab against religious minority groups show that the enforcement of the ABL law has failed to uphold social justice. Members of religious minority groups, such as Gafatar or Ahmadiyya, who have been accused of religious defamation, have been tried and sentenced, but this has not satisfied the public, especially the religious vigilante groups. The court's verdict has failed to bring about social justice, as the punishment given to those who committed acts of religious defamation has not effectively deterred the community from committing similar acts, and its impact is not widely known among the public.</w:t>
      </w:r>
      <w:r>
        <w:rPr>
          <w:color w:val="FF0000"/>
        </w:rPr>
        <w:t xml:space="preserve"> </w:t>
      </w:r>
    </w:p>
    <w:p w14:paraId="74E6F910" w14:textId="77777777" w:rsidR="00C8473A" w:rsidRDefault="00C8473A" w:rsidP="00C8473A">
      <w:pPr>
        <w:pStyle w:val="ParagraphNormal"/>
        <w:rPr>
          <w:rFonts w:cs="Linux Libertine"/>
          <w:lang w:val="en-US"/>
        </w:rPr>
      </w:pPr>
      <w:r>
        <w:rPr>
          <w:color w:val="FF0000"/>
        </w:rPr>
        <w:tab/>
      </w: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w:t>
      </w:r>
      <w:r>
        <w:rPr>
          <w:rFonts w:cs="Linux Libertine"/>
          <w:lang w:val="en-US"/>
        </w:rPr>
        <w:t>ded</w:t>
      </w:r>
      <w:r w:rsidRPr="00672A6A">
        <w:rPr>
          <w:rFonts w:cs="Linux Libertine"/>
          <w:lang w:val="en-US"/>
        </w:rPr>
        <w:t xml:space="preserve"> that </w:t>
      </w:r>
      <w:r>
        <w:rPr>
          <w:rFonts w:cs="Linux Libertine"/>
          <w:lang w:val="en-US"/>
        </w:rPr>
        <w:t>Meiliana</w:t>
      </w:r>
      <w:r w:rsidRPr="00672A6A">
        <w:rPr>
          <w:rFonts w:cs="Linux Libertine"/>
          <w:lang w:val="en-US"/>
        </w:rPr>
        <w:t xml:space="preserve"> had insulted </w:t>
      </w:r>
      <w:r>
        <w:rPr>
          <w:rFonts w:cs="Linux Libertine"/>
          <w:lang w:val="en-US"/>
        </w:rPr>
        <w:t xml:space="preserve">Islamic religion. </w:t>
      </w:r>
      <w:r w:rsidRPr="00672A6A">
        <w:rPr>
          <w:rFonts w:cs="Linux Libertine"/>
          <w:lang w:val="en-US"/>
        </w:rPr>
        <w:t xml:space="preserve"> </w:t>
      </w:r>
      <w:r>
        <w:rPr>
          <w:rFonts w:cs="Linux Libertine"/>
          <w:lang w:val="en-US"/>
        </w:rPr>
        <w:t>Without backed by adequate evidence and witnesses, t</w:t>
      </w:r>
      <w:r w:rsidRPr="00672A6A">
        <w:rPr>
          <w:rFonts w:cs="Linux Libertine"/>
          <w:lang w:val="en-US"/>
        </w:rPr>
        <w:t xml:space="preserve">he court construed </w:t>
      </w:r>
      <w:r w:rsidRPr="00672A6A">
        <w:rPr>
          <w:rFonts w:cs="Linux Libertine"/>
          <w:i/>
          <w:iCs/>
          <w:lang w:val="en-US"/>
        </w:rPr>
        <w:t>Meiliana</w:t>
      </w:r>
      <w:r w:rsidRPr="00672A6A">
        <w:rPr>
          <w:rFonts w:cs="Linux Libertine"/>
          <w:lang w:val="en-US"/>
        </w:rPr>
        <w:t>'s criticism of the loudness of the mosque's loudspeaker, which was excessively loud, as blasphemy. Various defences,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15"/>
      </w:r>
    </w:p>
    <w:p w14:paraId="5BEDC8CE" w14:textId="77777777" w:rsidR="00C8473A" w:rsidRPr="00E0754A" w:rsidRDefault="00C8473A" w:rsidP="00C8473A">
      <w:pPr>
        <w:pStyle w:val="ParagraphNormal"/>
        <w:rPr>
          <w:rFonts w:ascii="Times New Roman" w:hAnsi="Times New Roman" w:cs="Times New Roman"/>
          <w:szCs w:val="24"/>
          <w:lang w:eastAsia="en-GB" w:bidi="ar-SA"/>
          <w14:ligatures w14:val="none"/>
          <w14:numSpacing w14:val="default"/>
        </w:rPr>
      </w:pPr>
      <w:r w:rsidRPr="00E0754A">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B05E2C">
        <w:rPr>
          <w:i/>
          <w:iCs/>
        </w:rPr>
        <w:t>Adhan</w:t>
      </w:r>
      <w:r w:rsidRPr="00E0754A">
        <w:t xml:space="preserve">,” thereby causing their anger. In contrast, in a </w:t>
      </w:r>
      <w:r w:rsidRPr="00E0754A">
        <w:rPr>
          <w:rStyle w:val="Emphasis"/>
          <w:color w:val="252525"/>
        </w:rPr>
        <w:t>pledoi</w:t>
      </w:r>
      <w:r w:rsidRPr="00E0754A">
        <w:t xml:space="preserve"> delivered by </w:t>
      </w:r>
      <w:r w:rsidRPr="00E0754A">
        <w:rPr>
          <w:i/>
          <w:iCs/>
        </w:rPr>
        <w:t>Meiliana's</w:t>
      </w:r>
      <w:r w:rsidRPr="00E0754A">
        <w:t xml:space="preserve"> attorney, who said that </w:t>
      </w:r>
      <w:r w:rsidRPr="00E0754A">
        <w:rPr>
          <w:i/>
          <w:iCs/>
        </w:rPr>
        <w:t xml:space="preserve">Meiliana </w:t>
      </w:r>
      <w:r w:rsidRPr="00E0754A">
        <w:t xml:space="preserve">had never banned the call to prayer, she conveyed to the shop owner in a low tone on July 22, 2016, that: </w:t>
      </w:r>
      <w:r w:rsidRPr="00B05E2C">
        <w:rPr>
          <w:i/>
          <w:iCs/>
        </w:rPr>
        <w:t>“Sis, the voice of our mosque was not that big, now it's a bit bigger, right?”</w:t>
      </w:r>
      <w:r w:rsidRPr="00E0754A">
        <w:rPr>
          <w:rStyle w:val="FootnoteReference"/>
        </w:rPr>
        <w:footnoteReference w:id="116"/>
      </w:r>
      <w:r w:rsidRPr="00E0754A">
        <w:t xml:space="preserve">  </w:t>
      </w:r>
      <w:r w:rsidRPr="00E0754A">
        <w:rPr>
          <w:rFonts w:ascii="Times New Roman" w:hAnsi="Times New Roman" w:cs="Times New Roman"/>
          <w:szCs w:val="24"/>
          <w:lang w:eastAsia="en-GB" w:bidi="ar-SA"/>
          <w14:ligatures w14:val="none"/>
          <w14:numSpacing w14:val="default"/>
        </w:rPr>
        <w:t xml:space="preserve">The twists of hatred against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managed to quickly spark public anger for violent vigilantism. Not </w:t>
      </w:r>
      <w:r w:rsidRPr="00E0754A">
        <w:rPr>
          <w:rFonts w:ascii="Times New Roman" w:hAnsi="Times New Roman" w:cs="Times New Roman"/>
          <w:szCs w:val="24"/>
          <w:lang w:eastAsia="en-GB" w:bidi="ar-SA"/>
          <w14:ligatures w14:val="none"/>
          <w14:numSpacing w14:val="default"/>
        </w:rPr>
        <w:lastRenderedPageBreak/>
        <w:t xml:space="preserve">much different from followers of religions that are considered heretical, such as </w:t>
      </w:r>
      <w:r w:rsidRPr="00E0754A">
        <w:rPr>
          <w:rFonts w:ascii="Times New Roman" w:hAnsi="Times New Roman" w:cs="Times New Roman"/>
          <w:i/>
          <w:iCs/>
          <w:szCs w:val="24"/>
          <w:lang w:eastAsia="en-GB" w:bidi="ar-SA"/>
          <w14:ligatures w14:val="none"/>
          <w14:numSpacing w14:val="default"/>
        </w:rPr>
        <w:t xml:space="preserve">Ahmadiyya </w:t>
      </w:r>
      <w:r w:rsidRPr="00E0754A">
        <w:rPr>
          <w:rFonts w:ascii="Times New Roman" w:hAnsi="Times New Roman" w:cs="Times New Roman"/>
          <w:szCs w:val="24"/>
          <w:lang w:eastAsia="en-GB" w:bidi="ar-SA"/>
          <w14:ligatures w14:val="none"/>
          <w14:numSpacing w14:val="default"/>
        </w:rPr>
        <w:t>and</w:t>
      </w:r>
      <w:r w:rsidRPr="00E0754A">
        <w:rPr>
          <w:rFonts w:ascii="Times New Roman" w:hAnsi="Times New Roman" w:cs="Times New Roman"/>
          <w:i/>
          <w:iCs/>
          <w:szCs w:val="24"/>
          <w:lang w:eastAsia="en-GB" w:bidi="ar-SA"/>
          <w14:ligatures w14:val="none"/>
          <w14:numSpacing w14:val="default"/>
        </w:rPr>
        <w:t xml:space="preserve"> Gafatar</w:t>
      </w:r>
      <w:r w:rsidRPr="00E0754A">
        <w:rPr>
          <w:rFonts w:ascii="Times New Roman" w:hAnsi="Times New Roman" w:cs="Times New Roman"/>
          <w:szCs w:val="24"/>
          <w:lang w:eastAsia="en-GB" w:bidi="ar-SA"/>
          <w14:ligatures w14:val="none"/>
          <w14:numSpacing w14:val="default"/>
        </w:rPr>
        <w:t xml:space="preserve">, followers of minority Buddhist religions like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are very vulnerable to becoming victims of hate crimes.</w:t>
      </w:r>
    </w:p>
    <w:p w14:paraId="4C3D798D" w14:textId="77777777" w:rsidR="00C8473A" w:rsidRPr="00B05E2C" w:rsidRDefault="00C8473A" w:rsidP="00C8473A">
      <w:pPr>
        <w:pStyle w:val="ParagraphNormal"/>
        <w:rPr>
          <w:rFonts w:ascii="Times New Roman" w:hAnsi="Times New Roman" w:cs="Times New Roman"/>
          <w:szCs w:val="24"/>
          <w:lang w:eastAsia="en-GB" w:bidi="ar-SA"/>
          <w14:ligatures w14:val="none"/>
          <w14:numSpacing w14:val="default"/>
        </w:rPr>
      </w:pPr>
      <w:r w:rsidRPr="00E0754A">
        <w:rPr>
          <w:rFonts w:ascii="Times New Roman" w:hAnsi="Times New Roman" w:cs="Times New Roman"/>
          <w:szCs w:val="24"/>
          <w:lang w:eastAsia="en-GB" w:bidi="ar-SA"/>
          <w14:ligatures w14:val="none"/>
          <w14:numSpacing w14:val="default"/>
        </w:rPr>
        <w:t xml:space="preserve">The Muslim community where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lives ended up taking vigilante action. They not only damaged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's house but destroyed a Buddhist place of worship. The vigilante acts carried out by mobs have damaged the Tri Ratna Temple and the Dewi Samudera Temple on the banks of the Asahan River. At least three monasteries, eight temples, two Chinese foundations, a medical center, and</w:t>
      </w:r>
      <w:r w:rsidRPr="00E0754A">
        <w:rPr>
          <w:rFonts w:ascii="Times New Roman" w:hAnsi="Times New Roman" w:cs="Times New Roman"/>
          <w:i/>
          <w:iCs/>
          <w:szCs w:val="24"/>
          <w:lang w:eastAsia="en-GB" w:bidi="ar-SA"/>
          <w14:ligatures w14:val="none"/>
          <w14:numSpacing w14:val="default"/>
        </w:rPr>
        <w:t xml:space="preserve"> Meiliana's</w:t>
      </w:r>
      <w:r w:rsidRPr="00E0754A">
        <w:rPr>
          <w:rFonts w:ascii="Times New Roman" w:hAnsi="Times New Roman" w:cs="Times New Roman"/>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Tanjung Balai Court with the head of the Panel of Judges, Ullina Marbun, and in the end they were sentenced to a very light sentence, namely 1.5 months in prison, deducted from the prison term</w:t>
      </w:r>
      <w:r w:rsidRPr="00E0754A">
        <w:t>.</w:t>
      </w:r>
      <w:r w:rsidRPr="00E0754A">
        <w:rPr>
          <w:rStyle w:val="FootnoteReference"/>
        </w:rPr>
        <w:footnoteReference w:id="117"/>
      </w:r>
      <w:r w:rsidRPr="00E0754A">
        <w:t xml:space="preserve"> Meanwhile, Meiliana herself was sentenced to 18 months in prison.</w:t>
      </w:r>
    </w:p>
    <w:p w14:paraId="6D6CF395" w14:textId="77777777" w:rsidR="00C8473A" w:rsidRDefault="00C8473A" w:rsidP="00C8473A">
      <w:pPr>
        <w:pStyle w:val="ParagraphNormal"/>
        <w:rPr>
          <w:rFonts w:cs="Linux Libertine"/>
          <w:color w:val="252525"/>
          <w:lang w:val="en-US"/>
        </w:rPr>
      </w:pPr>
      <w:r w:rsidRPr="00672A6A">
        <w:rPr>
          <w:rFonts w:cs="Linux Libertine"/>
          <w:color w:val="252525"/>
          <w:lang w:val="en-US"/>
        </w:rPr>
        <w:t xml:space="preserve">The facts above show that </w:t>
      </w:r>
      <w:r>
        <w:rPr>
          <w:rFonts w:cs="Linux Libertine"/>
          <w:color w:val="252525"/>
          <w:lang w:val="en-US"/>
        </w:rPr>
        <w:t xml:space="preserve">in </w:t>
      </w:r>
      <w:r w:rsidRPr="00672A6A">
        <w:rPr>
          <w:rFonts w:cs="Linux Libertine"/>
          <w:color w:val="252525"/>
          <w:lang w:val="en-US"/>
        </w:rPr>
        <w:t>Ahmadiyya</w:t>
      </w:r>
      <w:r>
        <w:rPr>
          <w:rFonts w:cs="Linux Libertine"/>
          <w:color w:val="252525"/>
          <w:lang w:val="en-US"/>
        </w:rPr>
        <w:t xml:space="preserve">, </w:t>
      </w:r>
      <w:r w:rsidRPr="00672A6A">
        <w:rPr>
          <w:rFonts w:cs="Linux Libertine"/>
          <w:color w:val="252525"/>
          <w:lang w:val="en-US"/>
        </w:rPr>
        <w:t>Gafatar</w:t>
      </w:r>
      <w:r>
        <w:rPr>
          <w:rFonts w:cs="Linux Libertine"/>
          <w:color w:val="252525"/>
          <w:lang w:val="en-US"/>
        </w:rPr>
        <w:t xml:space="preserve"> and Meiliana cases, their</w:t>
      </w:r>
      <w:r w:rsidRPr="00672A6A">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5D33AE84" w14:textId="07C98169" w:rsidR="00C8473A" w:rsidRDefault="00C8473A" w:rsidP="00C8473A">
      <w:pPr>
        <w:spacing w:line="360" w:lineRule="auto"/>
        <w:jc w:val="both"/>
        <w:rPr>
          <w:color w:val="FF0000"/>
        </w:rPr>
      </w:pPr>
    </w:p>
    <w:p w14:paraId="570BC8BD" w14:textId="2B942002" w:rsidR="00C8473A" w:rsidRPr="00C8473A" w:rsidRDefault="00C8473A" w:rsidP="00C8473A">
      <w:pPr>
        <w:spacing w:line="360" w:lineRule="auto"/>
        <w:ind w:firstLine="720"/>
        <w:jc w:val="both"/>
        <w:rPr>
          <w:b/>
          <w:bCs/>
        </w:rPr>
      </w:pPr>
      <w:r w:rsidRPr="00672A6A">
        <w:rPr>
          <w:rFonts w:cs="Linux Libertine"/>
        </w:rPr>
        <w:t xml:space="preserve">The act of vigilantism is a criminal act that is prohibited by the Indonesia Criminal Code, especially in Article 170 as follow: </w:t>
      </w:r>
    </w:p>
    <w:p w14:paraId="7A20E85A" w14:textId="77777777" w:rsidR="00C8473A" w:rsidRPr="00672A6A" w:rsidRDefault="00C8473A" w:rsidP="00C8473A">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w:t>
      </w:r>
      <w:r w:rsidRPr="00672A6A">
        <w:rPr>
          <w:rFonts w:cs="Linux Libertine"/>
          <w:lang w:val="en-US"/>
        </w:rPr>
        <w:lastRenderedPageBreak/>
        <w:t>imprisonment of twelve years if the violence causes the death of a person.” [Translated by the Author]</w:t>
      </w:r>
    </w:p>
    <w:p w14:paraId="5B7EC1E6"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672A6A">
        <w:rPr>
          <w:rFonts w:cs="Linux Libertine"/>
          <w:lang w:val="en-US"/>
        </w:rPr>
        <w:t>.</w:t>
      </w:r>
      <w:r w:rsidRPr="00672A6A">
        <w:rPr>
          <w:rStyle w:val="FootnoteReference"/>
          <w:rFonts w:cs="Linux Libertine"/>
          <w:lang w:val="en-US"/>
        </w:rPr>
        <w:footnoteReference w:id="118"/>
      </w:r>
      <w:r w:rsidRPr="00672A6A">
        <w:rPr>
          <w:rFonts w:cs="Linux Libertine"/>
          <w:lang w:val="en-US"/>
        </w:rPr>
        <w:t xml:space="preserve"> The West Kalimantan Police Chief, Inspector General Remigius Sigid Tri Hardjanto, explained that:</w:t>
      </w:r>
    </w:p>
    <w:p w14:paraId="28E1827A" w14:textId="77777777" w:rsidR="00C8473A" w:rsidRPr="00672A6A" w:rsidRDefault="00C8473A" w:rsidP="00C8473A">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119"/>
      </w:r>
    </w:p>
    <w:p w14:paraId="6E5747B4"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w:t>
      </w:r>
      <w:r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Miftahul Huda Mosque in Bale Harapan Village, Sintang Regency, West Kalimantan. In the verdict read on January 6, 2022, they were only sentenced to 4 months and 15 days by the Pontianak District Court Judge. </w:t>
      </w:r>
    </w:p>
    <w:p w14:paraId="2566A5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lastRenderedPageBreak/>
        <w:t xml:space="preserve">The Islamic Defenders Front, or FPI, is the hard-line Islamic community organization most frequently involved in the actions of MHS. At least in this study, FPI was recorded as being involved in the attack on </w:t>
      </w:r>
      <w:r w:rsidRPr="00672A6A">
        <w:rPr>
          <w:rFonts w:cs="Linux Libertine"/>
          <w:i/>
          <w:iCs/>
          <w:lang w:val="en-US" w:eastAsia="en-GB" w:bidi="ar-SA"/>
        </w:rPr>
        <w:t xml:space="preserve">Ahmadiyah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r w:rsidRPr="00672A6A">
        <w:rPr>
          <w:rFonts w:cs="Linux Libertine"/>
          <w:i/>
          <w:iCs/>
          <w:lang w:val="en-US" w:eastAsia="en-GB" w:bidi="ar-SA"/>
        </w:rPr>
        <w:t>Meiliana</w:t>
      </w:r>
      <w:r w:rsidRPr="00672A6A">
        <w:rPr>
          <w:rFonts w:cs="Linux Libertine"/>
          <w:lang w:val="en-US" w:eastAsia="en-GB" w:bidi="ar-SA"/>
        </w:rPr>
        <w:t xml:space="preserve">'s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672A6A"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672A6A"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2A1BC954"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70759B6"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C8473A" w:rsidRPr="00672A6A"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0A03038F"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30AC4BD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FPI's attack on the Ahmadiyya Congregation in Cikeusik, Banten</w:t>
            </w:r>
          </w:p>
        </w:tc>
      </w:tr>
      <w:tr w:rsidR="00C8473A" w:rsidRPr="00672A6A"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49ABA23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87C1F5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An-Nushrat Mosque in Makassar, South Sulawesi, to attack and destroy the mosque's nameplate and furniture.</w:t>
            </w:r>
          </w:p>
        </w:tc>
      </w:tr>
      <w:tr w:rsidR="00C8473A" w:rsidRPr="00672A6A"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1D22B4A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57788DFB"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held a demonstration to force the Ahmadiyah congregation to leave Makassar</w:t>
            </w:r>
          </w:p>
        </w:tc>
      </w:tr>
      <w:tr w:rsidR="00C8473A" w:rsidRPr="00672A6A"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760BF43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43A42BF5"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The FPI mob caused trouble and set fire to the Ahmadiyya headquarters in Lubuk Pinang District, Muko-Muko Regency, Bengkulu.</w:t>
            </w:r>
          </w:p>
        </w:tc>
      </w:tr>
      <w:tr w:rsidR="00C8473A" w:rsidRPr="00672A6A"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3323DB4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1A02EE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burn down a food stall belonging to members of the Ahmadiyya Congregation in Polewali City, Polewali Mandar Regency, West Sulawesi.</w:t>
            </w:r>
          </w:p>
        </w:tc>
      </w:tr>
      <w:tr w:rsidR="00C8473A" w:rsidRPr="00672A6A"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6</w:t>
            </w:r>
          </w:p>
        </w:tc>
        <w:tc>
          <w:tcPr>
            <w:tcW w:w="1836" w:type="dxa"/>
          </w:tcPr>
          <w:p w14:paraId="4CED42F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452EF0AC"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Dozens of mobs from the FPI occupy the Al Ghofur Mosque belonging to the Indonesian Ahmadiyya Muslim Community (JAI) in Cianjur.</w:t>
            </w:r>
          </w:p>
        </w:tc>
      </w:tr>
      <w:tr w:rsidR="00C8473A" w:rsidRPr="00672A6A"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EB475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0C07DF8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The Ahmadiyya Mosque in Cisaar Village, Cipeuyeum Village, Haurwangi District, Cianjur Regency, was attacked by hundreds of FPI mobs. As a result, several parts of the building were damaged. The mob also burned Ahmadiyah books and books. A house belonging to an Ahmadiyah figure in Tolenjeng Village, Sukagalih Village, Sukaratu District, Tasikmalaya Regency, was damaged.</w:t>
            </w:r>
          </w:p>
        </w:tc>
      </w:tr>
      <w:tr w:rsidR="00C8473A" w:rsidRPr="00672A6A"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5FD1339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7B63D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Jakarta demands the termination of the film Pocong Mandi Goyang Hip, starring Hollywood porn actress, Sasha Grey.</w:t>
            </w:r>
          </w:p>
        </w:tc>
      </w:tr>
      <w:tr w:rsidR="00C8473A" w:rsidRPr="00672A6A"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213EBA9C"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7E89BD39"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vandalize a transgender meeting place in Purwokerto, Central Java.</w:t>
            </w:r>
          </w:p>
        </w:tc>
      </w:tr>
      <w:tr w:rsidR="00C8473A" w:rsidRPr="00672A6A"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9D3688A"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0E5E2F2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members ransacked the Coto Makassar shop on Jl. AP Pettarani, Makassar for remaining open during the day during the fasting month. August 8 FPI mob destroys Rudi and Hajjah Adriani's food stall.</w:t>
            </w:r>
          </w:p>
        </w:tc>
      </w:tr>
      <w:tr w:rsidR="00C8473A" w:rsidRPr="00672A6A"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3E291AA7"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49F04C5D"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C8473A" w:rsidRPr="00672A6A"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1308B7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5074FC93"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C8473A" w:rsidRPr="00672A6A"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1C17AC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533CBCC2"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 destroys a mother's food stall in Ciamis.[3]</w:t>
            </w:r>
          </w:p>
        </w:tc>
      </w:tr>
      <w:tr w:rsidR="00C8473A" w:rsidRPr="00672A6A"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6B99BA1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3862B0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sweep a food stall selling their wares during the day in the Puncak Bogor area, West Java. The action</w:t>
            </w:r>
          </w:p>
        </w:tc>
      </w:tr>
      <w:tr w:rsidR="00C8473A" w:rsidRPr="00672A6A"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5900B12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0A9920CE"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C8473A" w:rsidRPr="00672A6A"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287B1217"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1471B8C0"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C8473A" w:rsidRPr="00672A6A"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17</w:t>
            </w:r>
          </w:p>
        </w:tc>
        <w:tc>
          <w:tcPr>
            <w:tcW w:w="1836" w:type="dxa"/>
          </w:tcPr>
          <w:p w14:paraId="7ECC5AE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C7AB9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C8473A" w:rsidRPr="00672A6A"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79E27C5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00C84716"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Residents to raid Ahmadiyya Congregation in Tebet.</w:t>
            </w:r>
          </w:p>
        </w:tc>
      </w:tr>
    </w:tbl>
    <w:p w14:paraId="40624710" w14:textId="77777777" w:rsidR="00C8473A" w:rsidRPr="00672A6A" w:rsidRDefault="00C8473A" w:rsidP="00C8473A">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154D0CB7" w14:textId="77777777" w:rsidR="00C8473A" w:rsidRPr="00672A6A" w:rsidRDefault="00C8473A" w:rsidP="00C8473A">
      <w:pPr>
        <w:pStyle w:val="ParagraphNormal"/>
        <w:rPr>
          <w:rFonts w:cs="Linux Libertine"/>
          <w:lang w:val="en-US" w:eastAsia="en-GB" w:bidi="ar-SA"/>
        </w:rPr>
      </w:pPr>
    </w:p>
    <w:p w14:paraId="47ED86D2"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Default="00C8473A" w:rsidP="00C8473A">
      <w:pPr>
        <w:rPr>
          <w:b/>
          <w:bCs/>
        </w:rPr>
      </w:pPr>
    </w:p>
    <w:p w14:paraId="7045D2D6" w14:textId="77777777" w:rsidR="00601A07" w:rsidRPr="00672A6A" w:rsidRDefault="00601A07" w:rsidP="009510D5">
      <w:pPr>
        <w:rPr>
          <w:rFonts w:cs="Linux Libertine"/>
        </w:rPr>
      </w:pPr>
    </w:p>
    <w:p w14:paraId="577724B3" w14:textId="6AF4FBB8" w:rsidR="00441CCC" w:rsidRPr="00672A6A" w:rsidRDefault="00601A07" w:rsidP="00601A07">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5DEACC07" w14:textId="77777777" w:rsidR="00441CCC" w:rsidRPr="00672A6A" w:rsidRDefault="00441CCC" w:rsidP="00441CCC">
      <w:pPr>
        <w:rPr>
          <w:rFonts w:cs="Linux Libertine"/>
        </w:rPr>
      </w:pPr>
    </w:p>
    <w:p w14:paraId="4E35E23D" w14:textId="77777777" w:rsidR="00441CCC" w:rsidRPr="00672A6A" w:rsidRDefault="00441CCC" w:rsidP="00441CCC">
      <w:pPr>
        <w:rPr>
          <w:rFonts w:cs="Linux Libertine"/>
        </w:rPr>
      </w:pPr>
    </w:p>
    <w:p w14:paraId="077000F0" w14:textId="77777777" w:rsidR="00441CCC" w:rsidRPr="00672A6A" w:rsidRDefault="00441CCC" w:rsidP="00441CCC">
      <w:pPr>
        <w:rPr>
          <w:rFonts w:cs="Linux Libertine"/>
        </w:rPr>
      </w:pPr>
    </w:p>
    <w:p w14:paraId="4EA24988" w14:textId="77777777" w:rsidR="00C8473A" w:rsidRPr="00E0754A" w:rsidRDefault="00C8473A" w:rsidP="00C8473A">
      <w:pPr>
        <w:pStyle w:val="ParagraphafSubheader"/>
        <w:ind w:firstLine="540"/>
        <w:rPr>
          <w:lang w:eastAsia="en-GB" w:bidi="ar-SA"/>
        </w:rPr>
      </w:pPr>
      <w:r w:rsidRPr="00E0754A">
        <w:rPr>
          <w:lang w:eastAsia="en-GB" w:bidi="ar-SA"/>
        </w:rPr>
        <w:t xml:space="preserve">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w:t>
      </w:r>
      <w:r w:rsidRPr="00E0754A">
        <w:rPr>
          <w:lang w:eastAsia="en-GB" w:bidi="ar-SA"/>
        </w:rPr>
        <w:lastRenderedPageBreak/>
        <w:t>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E0754A" w:rsidRDefault="00C8473A" w:rsidP="00C8473A">
      <w:pPr>
        <w:pStyle w:val="ParagraphNormal"/>
        <w:rPr>
          <w:lang w:eastAsia="en-GB" w:bidi="ar-SA"/>
        </w:rPr>
      </w:pPr>
      <w:r w:rsidRPr="00E0754A">
        <w:rPr>
          <w:lang w:eastAsia="en-GB" w:bidi="ar-SA"/>
        </w:rPr>
        <w:t>Islamic populism is rising along with the failure of democracy in Indonesia. The democracy index is decreasing, nationalist parties are involved in corruption, and people's welfare is low (the poverty rate is increasing). The Islamic Party cooperates with hardline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E0754A" w:rsidRDefault="00C8473A" w:rsidP="00C8473A">
      <w:pPr>
        <w:pStyle w:val="ParagraphNormal"/>
        <w:rPr>
          <w:lang w:eastAsia="en-GB" w:bidi="ar-SA"/>
        </w:rPr>
      </w:pPr>
      <w:r w:rsidRPr="00E0754A">
        <w:rPr>
          <w:lang w:eastAsia="en-GB" w:bidi="ar-SA"/>
        </w:rPr>
        <w:t>Unlike the Ahok case, which has a political undertone, the Ahmadiyya case is distinct from other blasphemy cases in Indonesia. The Ahmadiyya can be 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77777777" w:rsidR="00C8473A" w:rsidRDefault="00C8473A" w:rsidP="00C8473A">
      <w:pPr>
        <w:pStyle w:val="ParagraphNormal"/>
        <w:rPr>
          <w:lang w:eastAsia="en-GB" w:bidi="ar-SA"/>
        </w:rPr>
      </w:pPr>
      <w:r w:rsidRPr="00E0754A">
        <w:rPr>
          <w:lang w:eastAsia="en-GB" w:bidi="ar-SA"/>
        </w:rPr>
        <w:t xml:space="preserve">The growth of the </w:t>
      </w:r>
      <w:r w:rsidRPr="00E0754A">
        <w:rPr>
          <w:i/>
          <w:iCs/>
          <w:lang w:eastAsia="en-GB" w:bidi="ar-SA"/>
        </w:rPr>
        <w:t>Main Hakim Sendiri</w:t>
      </w:r>
      <w:r w:rsidRPr="00E0754A">
        <w:rPr>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w:t>
      </w:r>
      <w:r w:rsidRPr="00E0754A">
        <w:rPr>
          <w:lang w:eastAsia="en-GB" w:bidi="ar-SA"/>
        </w:rPr>
        <w:lastRenderedPageBreak/>
        <w:t>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w:t>
      </w:r>
      <w:r>
        <w:rPr>
          <w:lang w:eastAsia="en-GB" w:bidi="ar-SA"/>
        </w:rPr>
        <w:t xml:space="preserve"> </w:t>
      </w:r>
    </w:p>
    <w:p w14:paraId="3CDD6379" w14:textId="0580F9AF" w:rsidR="00441CCC" w:rsidRPr="00672A6A" w:rsidRDefault="00C8473A" w:rsidP="00C8473A">
      <w:pPr>
        <w:rPr>
          <w:rFonts w:cs="Linux Libertine"/>
        </w:rPr>
      </w:pPr>
      <w:r w:rsidRPr="00E0754A">
        <w:rPr>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E0754A">
        <w:t>community</w:t>
      </w: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60898EC" w14:textId="0EA4D37A"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Proselytism Law. In Austria and Belgium, only a few religions were recognized as official, while others were not.</w:t>
      </w:r>
    </w:p>
    <w:p w14:paraId="7006FE0B" w14:textId="64D048E7"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00496D7D">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00496D7D">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00496D7D">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496D7D">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Niuwenhuis's proposal. An-Na'im thoughts that Muslim countries should </w:t>
      </w:r>
      <w:r w:rsidRPr="00672A6A">
        <w:rPr>
          <w:rFonts w:cs="Linux Libertine"/>
        </w:rPr>
        <w:lastRenderedPageBreak/>
        <w:t>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2248E453"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Suaedy </w:t>
      </w:r>
      <w:r w:rsidRPr="00672A6A">
        <w:rPr>
          <w:rFonts w:cs="Linux Libertine"/>
        </w:rPr>
        <w:fldChar w:fldCharType="begin"/>
      </w:r>
      <w:r w:rsidR="00496D7D">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672A6A">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5F5759C2"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00496D7D">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00496D7D">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672A6A">
        <w:rPr>
          <w:rFonts w:cs="Linux Libertine"/>
        </w:rPr>
        <w:t xml:space="preserve">The connection between </w:t>
      </w:r>
      <w:r w:rsidRPr="00672A6A">
        <w:rPr>
          <w:rFonts w:cs="Linux Libertine"/>
        </w:rPr>
        <w:lastRenderedPageBreak/>
        <w:t>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683D5D04"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496D7D">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496D7D">
        <w:rPr>
          <w:rFonts w:cs="Linux Libertine"/>
        </w:rPr>
        <w:t>(An-Naim 2008; C. Durham and Scharffs 2019; Salim, Arskal, and Azra 2003)</w:t>
      </w:r>
      <w:r w:rsidR="006A2A0F" w:rsidRPr="00672A6A">
        <w:rPr>
          <w:rFonts w:cs="Linux Libertine"/>
        </w:rPr>
        <w:fldChar w:fldCharType="end"/>
      </w:r>
      <w:r w:rsidR="006A2A0F" w:rsidRPr="00672A6A">
        <w:rPr>
          <w:rFonts w:cs="Linux Libertine"/>
        </w:rPr>
        <w:t xml:space="preserve">. Durham and Scharffs </w:t>
      </w:r>
      <w:r w:rsidR="006A2A0F" w:rsidRPr="00672A6A">
        <w:rPr>
          <w:rFonts w:cs="Linux Libertine"/>
        </w:rPr>
        <w:fldChar w:fldCharType="begin"/>
      </w:r>
      <w:r w:rsidR="00496D7D">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496D7D">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r w:rsidR="00DE4F82" w:rsidRPr="00DE4F82">
        <w:rPr>
          <w:rFonts w:cs="Linux Libertine"/>
        </w:rPr>
        <w:t>Laïcité</w:t>
      </w:r>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9" w:name="_Toc118302792"/>
      <w:bookmarkStart w:id="10" w:name="_Toc121200602"/>
      <w:r w:rsidRPr="00672A6A">
        <w:rPr>
          <w:rFonts w:cs="Linux Libertine"/>
        </w:rPr>
        <w:t xml:space="preserve">6.3. </w:t>
      </w:r>
      <w:r w:rsidR="006A2A0F" w:rsidRPr="00672A6A">
        <w:rPr>
          <w:rFonts w:cs="Linux Libertine"/>
        </w:rPr>
        <w:t>Implication of Relationship towards Religious Freedom</w:t>
      </w:r>
      <w:bookmarkEnd w:id="9"/>
      <w:bookmarkEnd w:id="10"/>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Scharffs underline that the form of state-religion relations influences the degree of religious freedom in a country (p.123). The Authors argue that </w:t>
      </w:r>
      <w:r w:rsidRPr="00672A6A">
        <w:rPr>
          <w:rFonts w:cs="Linux Libertine"/>
          <w:color w:val="70AD47" w:themeColor="accent6"/>
        </w:rPr>
        <w:lastRenderedPageBreak/>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716A7713"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00496D7D">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496D7D">
        <w:rPr>
          <w:rFonts w:cs="Linux Libertine"/>
        </w:rPr>
        <w:t>(C. Durham and Scharffs 2019)</w:t>
      </w:r>
      <w:r w:rsidRPr="00672A6A">
        <w:rPr>
          <w:rFonts w:cs="Linux Libertine"/>
        </w:rPr>
        <w:fldChar w:fldCharType="end"/>
      </w:r>
      <w:r w:rsidRPr="00672A6A">
        <w:rPr>
          <w:rFonts w:cs="Linux Libertine"/>
        </w:rPr>
        <w:t xml:space="preserve">. Durham and Scharffs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130ED951" w:rsidR="00B84201" w:rsidRPr="00672A6A" w:rsidRDefault="006A2A0F" w:rsidP="00B84201">
      <w:pPr>
        <w:pStyle w:val="ParagraphNormal"/>
        <w:rPr>
          <w:rFonts w:cs="Linux Libertine"/>
        </w:rPr>
      </w:pPr>
      <w:r w:rsidRPr="00672A6A">
        <w:rPr>
          <w:rFonts w:cs="Linux Libertine"/>
        </w:rPr>
        <w:t xml:space="preserve">Abdullah An-Na'im </w:t>
      </w:r>
      <w:r w:rsidRPr="00672A6A">
        <w:rPr>
          <w:rFonts w:cs="Linux Libertine"/>
        </w:rPr>
        <w:fldChar w:fldCharType="begin"/>
      </w:r>
      <w:r w:rsidR="00496D7D">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496D7D">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672A6A">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in An-Na’im point of view should be understood as “secularity” as refers to the idea of Durham and Scharffs.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r w:rsidR="006A2A0F" w:rsidRPr="00672A6A">
        <w:rPr>
          <w:rFonts w:cs="Linux Libertine"/>
        </w:rPr>
        <w:t>Scharffs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Source: Cited from Durham &amp; Brett Scharffs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lastRenderedPageBreak/>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672A6A">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02DF6390"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00496D7D">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00496D7D">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672A6A">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0CF9A223"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20"/>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00496D7D">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00496D7D">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21"/>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00496D7D">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00496D7D">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22"/>
      </w:r>
      <w:r w:rsidRPr="00672A6A">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23"/>
      </w:r>
    </w:p>
    <w:p w14:paraId="454D9DC3" w14:textId="112F956D"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24"/>
      </w:r>
      <w:r w:rsidRPr="00672A6A">
        <w:rPr>
          <w:rFonts w:cs="Linux Libertine"/>
        </w:rPr>
        <w:t xml:space="preserve"> because he wanted to protect the established religions and beliefs in order to prevent </w:t>
      </w:r>
      <w:r w:rsidRPr="00672A6A">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00496D7D">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00496D7D">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25"/>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18557AAA"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00496D7D">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00496D7D">
        <w:rPr>
          <w:rFonts w:cs="Linux Libertine"/>
        </w:rPr>
        <w:t>(Nalle 2017)</w:t>
      </w:r>
      <w:r w:rsidRPr="00672A6A">
        <w:rPr>
          <w:rFonts w:cs="Linux Libertine"/>
        </w:rPr>
        <w:fldChar w:fldCharType="end"/>
      </w:r>
      <w:r w:rsidRPr="00672A6A">
        <w:rPr>
          <w:rFonts w:cs="Linux Libertine"/>
        </w:rPr>
        <w:t>.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Nalle explains that Islamic groups such as Sarekat Islam (Islamic Union) and Muhammadiyah (the followers of Muhammad) played a significant part in the Dutch colonial's suppression in 1929.</w:t>
      </w:r>
      <w:r w:rsidRPr="00672A6A">
        <w:rPr>
          <w:rStyle w:val="FootnoteReference"/>
          <w:rFonts w:cs="Linux Libertine"/>
        </w:rPr>
        <w:footnoteReference w:id="126"/>
      </w:r>
      <w:r w:rsidRPr="00672A6A">
        <w:rPr>
          <w:rFonts w:cs="Linux Libertine"/>
        </w:rPr>
        <w:t xml:space="preserve"> Many Muslim leaders, like Mohammad Hatta, Sutan Sjahrir, and Mohammad Yamin,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672A6A">
        <w:rPr>
          <w:rFonts w:cs="Linux Libertine"/>
        </w:rPr>
        <w:lastRenderedPageBreak/>
        <w:t xml:space="preserve">peoples; (3) the unity of Indonesia; and (5) socioeconomic justice for everyone </w:t>
      </w:r>
      <w:r w:rsidRPr="00672A6A">
        <w:rPr>
          <w:rFonts w:cs="Linux Libertine"/>
        </w:rPr>
        <w:fldChar w:fldCharType="begin"/>
      </w:r>
      <w:r w:rsidR="00496D7D">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00496D7D" w:rsidRPr="00496D7D">
        <w:rPr>
          <w:rFonts w:cs="Linux Libertine"/>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In the final text of Pancasila, the Belief in God with the commitment to implement the Shari'ah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lastRenderedPageBreak/>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27"/>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28"/>
      </w:r>
      <w:r w:rsidRPr="00672A6A">
        <w:rPr>
          <w:rFonts w:cs="Linux Libertine"/>
        </w:rPr>
        <w:t xml:space="preserve"> three leaders of the religious sect were detained in Jakarta on May 26 for blasphemy because, according to the Authorities, Gafatar's </w:t>
      </w:r>
      <w:r w:rsidRPr="00672A6A">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29"/>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Gafatar's freedom of expression in order to preserve the six recognized faiths, rather than for the other purposes listed in the ICCPR. The Gafatar's ruling breaches the ICCPR's guarantees of freedom of religion and speech.</w:t>
      </w:r>
    </w:p>
    <w:p w14:paraId="5DBFCB1E" w14:textId="77777777" w:rsidR="00B711DE" w:rsidRPr="00672A6A" w:rsidRDefault="00B711DE" w:rsidP="00B711DE">
      <w:pPr>
        <w:rPr>
          <w:rFonts w:cs="Linux Libertine"/>
        </w:rPr>
      </w:pPr>
      <w:r w:rsidRPr="00672A6A">
        <w:rPr>
          <w:rFonts w:cs="Linux Libertine"/>
        </w:rPr>
        <w:t>Ustad Abdul Somad, a religious leader with thousands of followers in Indonesia, faced this situation. Due to the uncertainty of the criteria in the Blasphemy Law, Ustad Somad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r w:rsidRPr="00672A6A">
        <w:rPr>
          <w:rFonts w:cs="Linux Libertine"/>
        </w:rPr>
        <w:t xml:space="preserve">Hardline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672A6A">
        <w:rPr>
          <w:rFonts w:cs="Linux Libertine"/>
        </w:rPr>
        <w:lastRenderedPageBreak/>
        <w:t>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Hardline Islamists understand that the principle of Belief in One God allows the state to prohibit irreligious propaganda and teachings that are considered heretical. This view can at least be found in various MUI fatwas on heretical teachings.</w:t>
      </w:r>
    </w:p>
    <w:p w14:paraId="5AB9E87D" w14:textId="49A587DA" w:rsidR="00DC0047" w:rsidRPr="00672A6A" w:rsidRDefault="00DC0047" w:rsidP="00DC0047">
      <w:pPr>
        <w:pStyle w:val="ParagraphNormal"/>
        <w:rPr>
          <w:rFonts w:cs="Linux Libertine"/>
          <w:b/>
          <w:bCs/>
        </w:rPr>
      </w:pPr>
      <w:r w:rsidRPr="00672A6A">
        <w:rPr>
          <w:rFonts w:cs="Linux Libertine"/>
        </w:rPr>
        <w:t>Hardline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00496D7D">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496D7D">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r w:rsidRPr="00672A6A">
        <w:rPr>
          <w:rFonts w:cs="Linux Libertine"/>
          <w:i/>
        </w:rPr>
        <w:t>Fitna</w:t>
      </w:r>
      <w:r w:rsidRPr="00672A6A">
        <w:rPr>
          <w:rFonts w:cs="Linux Libertine"/>
        </w:rPr>
        <w:t xml:space="preserve"> against Muslim Moroccans group </w:t>
      </w:r>
      <w:r w:rsidRPr="00672A6A">
        <w:rPr>
          <w:rFonts w:cs="Linux Libertine"/>
        </w:rPr>
        <w:fldChar w:fldCharType="begin"/>
      </w:r>
      <w:r w:rsidR="00496D7D">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00496D7D">
        <w:rPr>
          <w:rFonts w:cs="Linux Libertine"/>
        </w:rPr>
        <w:t>(Vrielink 2016)</w:t>
      </w:r>
      <w:r w:rsidRPr="00672A6A">
        <w:rPr>
          <w:rFonts w:cs="Linux Libertine"/>
        </w:rPr>
        <w:fldChar w:fldCharType="end"/>
      </w:r>
      <w:r w:rsidRPr="00672A6A">
        <w:rPr>
          <w:rFonts w:cs="Linux Libertine"/>
        </w:rPr>
        <w:t xml:space="preserve">. </w:t>
      </w:r>
    </w:p>
    <w:p w14:paraId="2918ED49" w14:textId="563D5F19"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w:t>
      </w:r>
      <w:r w:rsidRPr="00672A6A">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00496D7D">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00496D7D">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672A6A">
        <w:rPr>
          <w:rFonts w:cs="Linux Libertine"/>
        </w:rPr>
        <w:fldChar w:fldCharType="begin"/>
      </w:r>
      <w:r w:rsidR="00496D7D">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496D7D">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672A6A">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672A6A">
        <w:rPr>
          <w:rFonts w:cs="Linux Libertine"/>
        </w:rPr>
        <w:lastRenderedPageBreak/>
        <w:t>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Kesbangpol Province.”</w:t>
      </w:r>
      <w:r w:rsidRPr="00672A6A">
        <w:rPr>
          <w:rStyle w:val="FootnoteReference"/>
          <w:rFonts w:cs="Linux Libertine"/>
        </w:rPr>
        <w:footnoteReference w:id="130"/>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Ahok's actions might disrupt interreligious peace. The court deemed Ahok less attentive to issues that may spark rage and disrupt unity. Ahok's defense stated that he did not want to offend Muslims, but trial evidence demonstrated that Ahok was aware that Al-Maidah was a section of the Qur'an that Muslims regarded to be authentic. The Muslim holy book has been denigrated and humiliated by Ahok's statement, </w:t>
      </w:r>
      <w:r w:rsidRPr="00672A6A">
        <w:rPr>
          <w:rFonts w:cs="Linux Libertine"/>
          <w:i/>
          <w:iCs/>
        </w:rPr>
        <w:t xml:space="preserve">“Don't just trust what others say... (you) might be duped using Al-Maidah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31"/>
      </w:r>
      <w:r w:rsidRPr="00672A6A">
        <w:rPr>
          <w:rFonts w:cs="Linux Libertine"/>
        </w:rPr>
        <w:t xml:space="preserve"> Ahok's criticism of verse 51 of Al-Maidah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Ahok's speech did not provoke enmity or violence in </w:t>
      </w:r>
      <w:r w:rsidRPr="00672A6A">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672A6A">
        <w:rPr>
          <w:rFonts w:cs="Linux Libertine"/>
        </w:rPr>
        <w:t>Pseudo-secularity harvests an illusion of religious freedom</w:t>
      </w:r>
      <w:bookmarkEnd w:id="11"/>
      <w:bookmarkEnd w:id="12"/>
    </w:p>
    <w:p w14:paraId="61035B73" w14:textId="77777777" w:rsidR="00B711DE" w:rsidRPr="00672A6A" w:rsidRDefault="00B711DE" w:rsidP="00B711DE">
      <w:pPr>
        <w:pStyle w:val="ParagraphafSubheader"/>
        <w:rPr>
          <w:rFonts w:cs="Linux Libertine"/>
        </w:rPr>
      </w:pPr>
      <w:r w:rsidRPr="00672A6A">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007658F2" w:rsidR="00B711DE" w:rsidRPr="00672A6A" w:rsidRDefault="00B711DE" w:rsidP="00B711DE">
      <w:pPr>
        <w:pStyle w:val="ParagraphNormal"/>
        <w:rPr>
          <w:rFonts w:cs="Linux Libertine"/>
        </w:rPr>
      </w:pPr>
      <w:r w:rsidRPr="00672A6A">
        <w:rPr>
          <w:rFonts w:cs="Linux Libertine"/>
        </w:rPr>
        <w:t>The Constitution of 1945 does not classify Indonesia as a religious state, but it does require Indonesia to be founded on the one and only Godhead, as stated in the First Principle of Pancasila. Yudi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00496D7D">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00496D7D">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As'ad Said Ali (2009) examines the idea of the Pancasila State, he does not address the link between religion and the state throughout the reform era </w:t>
      </w:r>
      <w:r w:rsidRPr="00672A6A">
        <w:rPr>
          <w:rFonts w:cs="Linux Libertine"/>
        </w:rPr>
        <w:fldChar w:fldCharType="begin"/>
      </w:r>
      <w:r w:rsidR="00496D7D">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00496D7D" w:rsidRPr="00496D7D">
        <w:rPr>
          <w:rFonts w:cs="Linux Libertine"/>
        </w:rPr>
        <w:t>(As’ad 2009)</w:t>
      </w:r>
      <w:r w:rsidRPr="00672A6A">
        <w:rPr>
          <w:rFonts w:cs="Linux Libertine"/>
        </w:rPr>
        <w:fldChar w:fldCharType="end"/>
      </w:r>
      <w:r w:rsidRPr="00672A6A">
        <w:rPr>
          <w:rFonts w:cs="Linux Libertine"/>
        </w:rPr>
        <w:t xml:space="preserve">. According to Din Syamsudin, former Central Executive of the Moderate Islamic Organization Muhammadiyah, as cited by Moh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672A6A">
        <w:rPr>
          <w:rFonts w:cs="Linux Libertine"/>
        </w:rPr>
        <w:lastRenderedPageBreak/>
        <w:t>Al-Maududi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Syahrur, Nasr Hamid Abu Zaid, Abdurrahman Wahid, and Nurcholish Madjid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Raziq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t>In Indonesia, the pseudo-secularity of state-religion relations creates an illusion of religious liberty. Using the Durham and Scharffs model, the figure below depicts the relationship between the state and religion in Indonesia under the Anti-Defamation Law system. In his work titled “Islam and the State in Indonesia from a Legal Perspective,” M. Ali Safa'at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Scharffs model. M.'s contribution at least bolsters this result. Ali Safa'at says in his work titled “Islam and the State in Indonesia from a Legal Perspective” that the concept to replace the Nationalist group's Pancasila with Islamic Law as the state's foundation emerged in 2002.</w:t>
      </w:r>
    </w:p>
    <w:p w14:paraId="064FEBE8" w14:textId="0CF73109"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672A6A">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00496D7D">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00496D7D" w:rsidRPr="00496D7D">
        <w:rPr>
          <w:rFonts w:cs="Linux Libertine"/>
          <w:color w:val="808080"/>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Despite the fact that this proposal was shot down in writing by the Indonesian Parliament, the growth of legal politics both in the centre and in the regions gave support to the notion. In his normative approach, Safa’at also indicates that the strengthening of the application of Islamic Law can be found from the proliferation of Islamic Law adopted as Positive Law by both the Central Government and Regional Governments. Safa’at says this can be found by looking at the proliferation of Islamic Law adopted as Positive Law by both the Central Government and Regional Governments. Safa’at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672A6A">
        <w:rPr>
          <w:rFonts w:cs="Linux Libertine"/>
        </w:rPr>
        <w:lastRenderedPageBreak/>
        <w:t>logic is that when there are no rules, it doesn't turn out right, but people will make their own rules”</w:t>
      </w:r>
      <w:r w:rsidRPr="00672A6A">
        <w:rPr>
          <w:rStyle w:val="FootnoteReference"/>
          <w:rFonts w:cs="Linux Libertine"/>
        </w:rPr>
        <w:footnoteReference w:id="132"/>
      </w:r>
    </w:p>
    <w:p w14:paraId="102BE6C2" w14:textId="77777777" w:rsidR="00B711DE" w:rsidRPr="00672A6A" w:rsidRDefault="00B711DE" w:rsidP="00B711DE">
      <w:pPr>
        <w:pStyle w:val="ParagraphNormal"/>
        <w:rPr>
          <w:rFonts w:cs="Linux Libertine"/>
        </w:rPr>
      </w:pPr>
      <w:r w:rsidRPr="00672A6A">
        <w:rPr>
          <w:rFonts w:cs="Linux Libertine"/>
        </w:rPr>
        <w:t>Other moderate Muslim personalities, such as Prof. Dr. Amin Suma, Rahmat Syafi'i, Prof. Nur Syam, and MUI figures such as Dr. Adian Husaini, Amien Djamaladdin, and Yamin Rahman,</w:t>
      </w:r>
      <w:r w:rsidRPr="00672A6A">
        <w:rPr>
          <w:rStyle w:val="FootnoteReference"/>
          <w:rFonts w:cs="Linux Libertine"/>
        </w:rPr>
        <w:t xml:space="preserve"> </w:t>
      </w:r>
      <w:r w:rsidRPr="00672A6A">
        <w:rPr>
          <w:rStyle w:val="FootnoteReference"/>
          <w:rFonts w:cs="Linux Libertine"/>
        </w:rPr>
        <w:footnoteReference w:id="133"/>
      </w:r>
      <w:r w:rsidRPr="00672A6A">
        <w:rPr>
          <w:rFonts w:cs="Linux Libertine"/>
        </w:rPr>
        <w:t xml:space="preserve"> endorse Hasyim Muzadi's viewpoint.</w:t>
      </w:r>
      <w:r w:rsidRPr="00672A6A">
        <w:rPr>
          <w:rStyle w:val="FootnoteReference"/>
          <w:rFonts w:cs="Linux Libertine"/>
        </w:rPr>
        <w:t xml:space="preserve"> </w:t>
      </w:r>
      <w:r w:rsidRPr="00672A6A">
        <w:rPr>
          <w:rFonts w:cs="Linux Libertine"/>
        </w:rPr>
        <w:t>Dr. Adian Husaini,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34"/>
      </w:r>
    </w:p>
    <w:p w14:paraId="7F40505A" w14:textId="77777777" w:rsidR="00B711DE" w:rsidRPr="00672A6A" w:rsidRDefault="00B711DE" w:rsidP="00B711DE">
      <w:pPr>
        <w:pStyle w:val="ParagraphNormal"/>
        <w:rPr>
          <w:rFonts w:cs="Linux Libertine"/>
        </w:rPr>
      </w:pPr>
      <w:r w:rsidRPr="00672A6A">
        <w:rPr>
          <w:rFonts w:cs="Linux Libertine"/>
        </w:rPr>
        <w:t>In the meanwhile, Muhammadiyah, a moderate Islamic group, provides its perspective on the Blasphemy Law, which in principle cites QS Al-Baqarah verse 256 and QS AL-Kafi verse 29 that “there is no coercion in religion since it is evident which method is correct and which is incorrect. In QS Al Kafi,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35"/>
      </w:r>
      <w:r w:rsidRPr="00672A6A">
        <w:rPr>
          <w:rFonts w:cs="Linux Libertine"/>
        </w:rPr>
        <w:t xml:space="preserve"> Muhammadiyah also highlighted that Islam protects religious liberty, religious diversity, and religious views or convictions. According to our view of Surah Al-Baqarah verse 147 and AL-Maidah verse 48, this is the case.</w:t>
      </w:r>
      <w:r w:rsidRPr="00672A6A">
        <w:rPr>
          <w:rStyle w:val="FootnoteReference"/>
          <w:rFonts w:cs="Linux Libertine"/>
        </w:rPr>
        <w:t xml:space="preserve"> </w:t>
      </w:r>
      <w:r w:rsidRPr="00672A6A">
        <w:rPr>
          <w:rStyle w:val="FootnoteReference"/>
          <w:rFonts w:cs="Linux Libertine"/>
        </w:rPr>
        <w:footnoteReference w:id="136"/>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37"/>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38"/>
      </w:r>
    </w:p>
    <w:p w14:paraId="7729C0D9" w14:textId="77777777" w:rsidR="00B711DE" w:rsidRPr="00672A6A" w:rsidRDefault="00B711DE" w:rsidP="00B711DE">
      <w:pPr>
        <w:pStyle w:val="ParagraphNormal"/>
        <w:rPr>
          <w:rFonts w:cs="Linux Libertine"/>
        </w:rPr>
      </w:pPr>
      <w:r w:rsidRPr="00672A6A">
        <w:rPr>
          <w:rFonts w:cs="Linux Libertine"/>
        </w:rPr>
        <w:lastRenderedPageBreak/>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672A6A">
        <w:rPr>
          <w:rStyle w:val="FootnoteReference"/>
          <w:rFonts w:cs="Linux Libertine"/>
        </w:rPr>
        <w:footnoteReference w:id="139"/>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40"/>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672A6A">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41"/>
      </w:r>
    </w:p>
    <w:p w14:paraId="40FFF62E" w14:textId="77777777" w:rsidR="00B711DE" w:rsidRPr="00672A6A" w:rsidRDefault="00B711DE" w:rsidP="00B711DE">
      <w:pPr>
        <w:pStyle w:val="ParagraphNormal"/>
        <w:rPr>
          <w:rFonts w:cs="Linux Libertine"/>
        </w:rPr>
      </w:pPr>
      <w:r w:rsidRPr="00672A6A">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672A6A">
        <w:rPr>
          <w:rFonts w:cs="Linux Libertine"/>
        </w:rPr>
        <w:lastRenderedPageBreak/>
        <w:t>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6CD8DF65" w:rsidR="00B711DE" w:rsidRPr="00672A6A" w:rsidRDefault="00B711DE" w:rsidP="00B711DE">
      <w:pPr>
        <w:pStyle w:val="ParagraphafSubheader"/>
        <w:rPr>
          <w:rFonts w:cs="Linux Libertine"/>
        </w:rPr>
      </w:pPr>
      <w:r w:rsidRPr="00672A6A">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00496D7D">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496D7D">
        <w:rPr>
          <w:rFonts w:cs="Linux Libertine"/>
        </w:rPr>
        <w:t>(C. Durham and Scharffs 2019)</w:t>
      </w:r>
      <w:r w:rsidRPr="00672A6A">
        <w:rPr>
          <w:rFonts w:cs="Linux Libertine"/>
        </w:rPr>
        <w:fldChar w:fldCharType="end"/>
      </w:r>
      <w:r w:rsidRPr="00672A6A">
        <w:rPr>
          <w:rFonts w:cs="Linux Libertine"/>
        </w:rPr>
        <w:t>.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Scharffs’s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672A6A">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672A6A">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C68DE1" w14:textId="2975752B"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p>
    <w:p w14:paraId="382AECFC" w14:textId="77777777" w:rsidR="00C75C62" w:rsidRDefault="0025471E" w:rsidP="0025471E">
      <w:pPr>
        <w:pStyle w:val="Heading1"/>
        <w:rPr>
          <w:rFonts w:cs="Linux Libertine"/>
        </w:rPr>
      </w:pPr>
      <w:r w:rsidRPr="00672A6A">
        <w:rPr>
          <w:rFonts w:cs="Linux Libertine"/>
        </w:rPr>
        <w:t xml:space="preserve">CONCLUDING REMAKS: </w:t>
      </w:r>
    </w:p>
    <w:p w14:paraId="1F5839D2" w14:textId="2F82635E" w:rsidR="00441CCC" w:rsidRPr="00672A6A" w:rsidRDefault="0025471E" w:rsidP="0025471E">
      <w:pPr>
        <w:pStyle w:val="Heading1"/>
        <w:rPr>
          <w:rFonts w:cs="Linux Libertine"/>
        </w:rPr>
      </w:pPr>
      <w:r w:rsidRPr="00672A6A">
        <w:rPr>
          <w:rFonts w:cs="Linux Libertine"/>
        </w:rPr>
        <w:t>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social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t xml:space="preserve">Thirdly, the country's laws, including the Anti-Blasphemy Law, should not be based on recommendations from certain religious organizations. This is to prevent the </w:t>
      </w:r>
      <w:r w:rsidRPr="00257C00">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lastRenderedPageBreak/>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672A6A">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Indonesia, new sects have sprung up whose teachings are contrary </w:t>
            </w:r>
            <w:r w:rsidRPr="00672A6A">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The enforcement of blasphemy law was successful to prevent the </w:t>
            </w:r>
            <w:r w:rsidRPr="00672A6A">
              <w:rPr>
                <w:rFonts w:cs="Linux Libertine"/>
                <w:sz w:val="20"/>
                <w:szCs w:val="20"/>
              </w:rPr>
              <w:lastRenderedPageBreak/>
              <w:t>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In most blasphemy cases encourages the act of </w:t>
            </w:r>
            <w:r w:rsidRPr="00672A6A">
              <w:rPr>
                <w:rFonts w:cs="Linux Libertine"/>
                <w:i/>
                <w:iCs/>
                <w:sz w:val="20"/>
                <w:szCs w:val="20"/>
              </w:rPr>
              <w:t>Main Hakim Sendiri</w:t>
            </w:r>
            <w:r w:rsidRPr="00672A6A">
              <w:rPr>
                <w:rFonts w:cs="Linux Libertine"/>
                <w:sz w:val="20"/>
                <w:szCs w:val="20"/>
              </w:rPr>
              <w:t xml:space="preserve"> that cause </w:t>
            </w:r>
            <w:r w:rsidRPr="00672A6A">
              <w:rPr>
                <w:rFonts w:cs="Linux Libertine"/>
                <w:sz w:val="20"/>
                <w:szCs w:val="20"/>
              </w:rPr>
              <w:lastRenderedPageBreak/>
              <w:t>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lastRenderedPageBreak/>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3" w:name="_Toc121200615"/>
      <w:r w:rsidRPr="00672A6A">
        <w:rPr>
          <w:rFonts w:cs="Linux Libertine"/>
        </w:rPr>
        <w:t>Anti-Blasphemy Laws Actually Targeting Both Minority and Majority Groups of Religions</w:t>
      </w:r>
      <w:bookmarkEnd w:id="13"/>
    </w:p>
    <w:p w14:paraId="25404568" w14:textId="77777777" w:rsidR="0025471E" w:rsidRPr="00672A6A" w:rsidRDefault="0025471E" w:rsidP="0025471E">
      <w:pPr>
        <w:rPr>
          <w:rFonts w:cs="Linux Libertine"/>
        </w:rPr>
      </w:pPr>
    </w:p>
    <w:p w14:paraId="41C7877E" w14:textId="2387A1C8"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00496D7D">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00496D7D">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00496D7D">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00496D7D">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00496D7D">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00496D7D">
        <w:rPr>
          <w:rFonts w:cs="Linux Libertine"/>
        </w:rPr>
        <w:t>(van der Kroef 1953)</w:t>
      </w:r>
      <w:r w:rsidRPr="00672A6A">
        <w:rPr>
          <w:rFonts w:cs="Linux Libertine"/>
        </w:rPr>
        <w:fldChar w:fldCharType="end"/>
      </w:r>
      <w:r w:rsidRPr="00672A6A">
        <w:rPr>
          <w:rFonts w:cs="Linux Libertine"/>
        </w:rPr>
        <w:t xml:space="preserve">. </w:t>
      </w:r>
    </w:p>
    <w:p w14:paraId="1EA5D78D" w14:textId="2D9753AF" w:rsidR="00B711DE" w:rsidRPr="00672A6A" w:rsidRDefault="00B711DE" w:rsidP="00B711DE">
      <w:pPr>
        <w:pStyle w:val="ParagraphNormal"/>
        <w:rPr>
          <w:rFonts w:cs="Linux Libertine"/>
        </w:rPr>
      </w:pPr>
      <w:r w:rsidRPr="00672A6A">
        <w:rPr>
          <w:rFonts w:cs="Linux Libertine"/>
        </w:rPr>
        <w:t xml:space="preserve">Furthermore, the hardline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672A6A">
        <w:rPr>
          <w:rFonts w:cs="Linux Libertine"/>
        </w:rPr>
        <w:fldChar w:fldCharType="begin"/>
      </w:r>
      <w:r w:rsidR="00496D7D">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00496D7D">
        <w:rPr>
          <w:rFonts w:cs="Linux Libertine"/>
        </w:rPr>
        <w:t>(Lindsey and Butt 2016; Mietzner and Muhtadi 2020)</w:t>
      </w:r>
      <w:r w:rsidRPr="00672A6A">
        <w:rPr>
          <w:rFonts w:cs="Linux Libertine"/>
        </w:rPr>
        <w:fldChar w:fldCharType="end"/>
      </w:r>
      <w:r w:rsidRPr="00672A6A">
        <w:rPr>
          <w:rFonts w:cs="Linux Libertine"/>
        </w:rPr>
        <w:t xml:space="preserve">. The study of Mietnzer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Menchik </w:t>
      </w:r>
      <w:r w:rsidRPr="00672A6A">
        <w:rPr>
          <w:rFonts w:cs="Linux Libertine"/>
        </w:rPr>
        <w:fldChar w:fldCharType="begin"/>
      </w:r>
      <w:r w:rsidR="00496D7D">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00496D7D">
        <w:rPr>
          <w:rFonts w:cs="Linux Libertine"/>
        </w:rPr>
        <w:t>(2014)</w:t>
      </w:r>
      <w:r w:rsidRPr="00672A6A">
        <w:rPr>
          <w:rFonts w:cs="Linux Libertine"/>
        </w:rPr>
        <w:fldChar w:fldCharType="end"/>
      </w:r>
      <w:r w:rsidRPr="00672A6A">
        <w:rPr>
          <w:rFonts w:cs="Linux Libertine"/>
        </w:rPr>
        <w:t xml:space="preserve"> </w:t>
      </w:r>
      <w:r w:rsidRPr="00672A6A">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r w:rsidRPr="00672A6A">
        <w:rPr>
          <w:rFonts w:cs="Linux Libertine"/>
          <w:i/>
          <w:iCs/>
        </w:rPr>
        <w:t>aqeedah</w:t>
      </w:r>
      <w:r w:rsidRPr="00672A6A">
        <w:rPr>
          <w:rFonts w:cs="Linux Libertine"/>
        </w:rPr>
        <w:t xml:space="preserve"> </w:t>
      </w:r>
      <w:r w:rsidRPr="00672A6A">
        <w:rPr>
          <w:rStyle w:val="FootnoteReference"/>
          <w:rFonts w:cs="Linux Libertine"/>
        </w:rPr>
        <w:footnoteReference w:id="142"/>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43"/>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44"/>
      </w:r>
      <w:r w:rsidRPr="00672A6A">
        <w:rPr>
          <w:rFonts w:cs="Linux Libertine"/>
        </w:rPr>
        <w:t xml:space="preserve"> and the fear of the spread of communism.</w:t>
      </w:r>
      <w:r w:rsidRPr="00672A6A">
        <w:rPr>
          <w:rStyle w:val="FootnoteReference"/>
          <w:rFonts w:cs="Linux Libertine"/>
        </w:rPr>
        <w:footnoteReference w:id="145"/>
      </w:r>
      <w:r w:rsidRPr="00672A6A">
        <w:rPr>
          <w:rFonts w:cs="Linux Libertine"/>
        </w:rPr>
        <w:t xml:space="preserve"> The legislators are still </w:t>
      </w:r>
      <w:r w:rsidRPr="00672A6A">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568E8494"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Temperman,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00496D7D">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00496D7D">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FoE. This study is started from analysing the intersection between the concept of FoE, FoRB and BL, then examining why the idea to abolish the BL is not practical particularly in predominant Muslim countries and analysing why the idea of secular state proposed by An-Naim </w:t>
      </w:r>
      <w:r w:rsidRPr="00672A6A">
        <w:rPr>
          <w:rFonts w:cs="Linux Libertine"/>
        </w:rPr>
        <w:fldChar w:fldCharType="begin"/>
      </w:r>
      <w:r w:rsidR="00496D7D">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496D7D">
        <w:rPr>
          <w:rFonts w:cs="Linux Libertine"/>
        </w:rPr>
        <w:t>(2008)</w:t>
      </w:r>
      <w:r w:rsidRPr="00672A6A">
        <w:rPr>
          <w:rFonts w:cs="Linux Libertine"/>
        </w:rPr>
        <w:fldChar w:fldCharType="end"/>
      </w:r>
      <w:r w:rsidRPr="00672A6A">
        <w:rPr>
          <w:rFonts w:cs="Linux Libertine"/>
        </w:rPr>
        <w:t xml:space="preserve"> is unlikely accepted. Finally, using Temperman's ideas and the RPA of 2012 as starting point, this </w:t>
      </w:r>
      <w:r w:rsidRPr="00672A6A">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6E7E2DAF" w:rsidR="00162E8A" w:rsidRPr="00672A6A" w:rsidRDefault="00162E8A" w:rsidP="00162E8A">
      <w:pPr>
        <w:pStyle w:val="ParagraphNormal"/>
        <w:rPr>
          <w:rFonts w:cs="Linux Libertine"/>
          <w:color w:val="333333"/>
        </w:rPr>
      </w:pPr>
      <w:r w:rsidRPr="00672A6A">
        <w:rPr>
          <w:rFonts w:cs="Linux Libertine"/>
        </w:rPr>
        <w:t xml:space="preserve">Temperman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FoE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00496D7D">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00496D7D">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2011DF3F" w:rsidR="00162E8A" w:rsidRPr="00672A6A" w:rsidRDefault="00162E8A" w:rsidP="00162E8A">
      <w:pPr>
        <w:pStyle w:val="ParagraphNormal"/>
        <w:rPr>
          <w:rFonts w:cs="Linux Libertine"/>
        </w:rPr>
      </w:pPr>
      <w:r w:rsidRPr="00672A6A">
        <w:rPr>
          <w:rFonts w:cs="Linux Libertine"/>
        </w:rPr>
        <w:t>While the combating hate speech approach is more relevant with the RPA of 2012 that suggest to all members of the ICCPR to consider six aspects namely the context, speaker, intent, content, extent, and likelihood of defining restriction of FoE, incitement to hatred (Shepherd, 2017).  The later approach is also relevant with the RPA since its focus on the protection of the right of individual from the danger 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00496D7D">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00496D7D">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r w:rsidRPr="00672A6A">
        <w:rPr>
          <w:rFonts w:cs="Linux Libertine"/>
          <w:i/>
          <w:color w:val="000000"/>
        </w:rPr>
        <w:t>M'Bala M’Bala v France (2015),</w:t>
      </w:r>
      <w:r w:rsidRPr="00672A6A">
        <w:rPr>
          <w:rFonts w:cs="Linux Libertine"/>
          <w:color w:val="000000"/>
        </w:rPr>
        <w:t xml:space="preserve"> the comedian for anti-Semitic insulted a certain race against Jews. This expression also discriminated Jews people in France. In this </w:t>
      </w:r>
      <w:r w:rsidRPr="00672A6A">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The compromise way that can be done to fully realization of the protection of FoRB and FoE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“[w]hoever”….”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672A6A">
        <w:rPr>
          <w:rFonts w:cs="Linux Libertine"/>
        </w:rPr>
        <w:lastRenderedPageBreak/>
        <w:t xml:space="preserve">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04AF3727" w:rsidR="00162E8A" w:rsidRPr="00672A6A" w:rsidRDefault="00162E8A" w:rsidP="00162E8A">
      <w:pPr>
        <w:pStyle w:val="ParagraphNormal"/>
        <w:rPr>
          <w:rFonts w:cs="Linux Libertine"/>
        </w:rPr>
      </w:pPr>
      <w:bookmarkStart w:id="14" w:name="_gjdgxs" w:colFirst="0" w:colLast="0"/>
      <w:bookmarkEnd w:id="14"/>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w:t>
      </w:r>
      <w:r w:rsidRPr="00672A6A">
        <w:rPr>
          <w:rFonts w:cs="Linux Libertine"/>
        </w:rPr>
        <w:lastRenderedPageBreak/>
        <w:t xml:space="preserve">called him as </w:t>
      </w:r>
      <w:r w:rsidRPr="00672A6A">
        <w:rPr>
          <w:rFonts w:cs="Linux Libertine"/>
          <w:i/>
        </w:rPr>
        <w:t xml:space="preserve">paedophile </w:t>
      </w:r>
      <w:r w:rsidRPr="00672A6A">
        <w:rPr>
          <w:rFonts w:cs="Linux Libertine"/>
          <w:i/>
        </w:rPr>
        <w:fldChar w:fldCharType="begin"/>
      </w:r>
      <w:r w:rsidR="00496D7D">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00496D7D">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00496D7D">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00496D7D">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7022EB9B"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FoE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00496D7D">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00496D7D">
        <w:rPr>
          <w:rFonts w:cs="Linux Libertine"/>
        </w:rPr>
        <w:t>(Gerards 2013)</w:t>
      </w:r>
      <w:r w:rsidRPr="00672A6A">
        <w:rPr>
          <w:rFonts w:cs="Linux Libertine"/>
        </w:rPr>
        <w:fldChar w:fldCharType="end"/>
      </w:r>
      <w:r w:rsidRPr="00672A6A">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672A6A">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00496D7D">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00496D7D" w:rsidRPr="00496D7D">
        <w:rPr>
          <w:rFonts w:cs="Linux Libertine"/>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FoE,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579D9FD1" w:rsidR="006A6489" w:rsidRDefault="00DC0047" w:rsidP="00322058">
      <w:pPr>
        <w:spacing w:line="360" w:lineRule="auto"/>
        <w:jc w:val="both"/>
        <w:rPr>
          <w:rFonts w:cs="Linux Libertine"/>
          <w:color w:val="70AD47" w:themeColor="accent6"/>
        </w:rPr>
      </w:pPr>
      <w:r w:rsidRPr="00672A6A">
        <w:rPr>
          <w:rFonts w:cs="Linux Libertine"/>
        </w:rPr>
        <w:tab/>
      </w:r>
      <w:r w:rsidRPr="00672A6A">
        <w:rPr>
          <w:rFonts w:cs="Linux Libertine"/>
          <w:color w:val="70AD47" w:themeColor="accent6"/>
        </w:rPr>
        <w:t xml:space="preserve">Meskipun negara-negara </w:t>
      </w:r>
      <w:r w:rsidR="006A6489">
        <w:rPr>
          <w:rFonts w:cs="Linux Libertine"/>
          <w:color w:val="70AD47" w:themeColor="accent6"/>
        </w:rPr>
        <w:t>berbagai negara seperti……….</w:t>
      </w:r>
      <w:r w:rsidRPr="00672A6A">
        <w:rPr>
          <w:rFonts w:cs="Linux Libertine"/>
          <w:color w:val="70AD47" w:themeColor="accent6"/>
        </w:rPr>
        <w:t xml:space="preserve">telah berhasil menghapus UU ABL, namun jika melihat konteks sejarah, perkembangan, dan dinamika penegakan the ABL, termasuk trauma masa lalu sebagaimana diindikasikan oleh ………, </w:t>
      </w:r>
      <w:r w:rsidR="005D7A02" w:rsidRPr="005D7A02">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w:t>
      </w:r>
      <w:r w:rsidR="005D7A02" w:rsidRPr="005D7A02">
        <w:rPr>
          <w:rFonts w:cs="Linux Libertine"/>
          <w:color w:val="70AD47" w:themeColor="accent6"/>
        </w:rPr>
        <w:lastRenderedPageBreak/>
        <w:t>direction, meaning, and purpose of the Blasphemy Law to prevent 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Nevelle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Although Neville Cox's view (2020) states that the existence of blasphemy law is not inherently contrary to international human rights law, the issue lies in how the </w:t>
      </w:r>
      <w:r w:rsidRPr="005D7A02">
        <w:rPr>
          <w:rFonts w:cs="Linux Libertine"/>
          <w:color w:val="70AD47" w:themeColor="accent6"/>
        </w:rPr>
        <w:lastRenderedPageBreak/>
        <w:t>law is formulated and enforced. This study argues that if the formulation and 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lastRenderedPageBreak/>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r w:rsidRPr="00672A6A">
        <w:rPr>
          <w:rFonts w:cs="Linux Libertine"/>
        </w:rPr>
        <w:t>Banakar,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14D5EDA2" w14:textId="77777777" w:rsidR="00496D7D" w:rsidRPr="00496D7D" w:rsidRDefault="00496D7D" w:rsidP="00496D7D">
      <w:pPr>
        <w:pStyle w:val="Bibliography"/>
        <w:rPr>
          <w:rFonts w:cs="Linux Libertine"/>
          <w:color w:val="000000"/>
          <w:lang w:val="en-GB"/>
        </w:rPr>
      </w:pPr>
      <w:r>
        <w:rPr>
          <w:rFonts w:cs="Linux Libertine"/>
        </w:rPr>
        <w:fldChar w:fldCharType="begin"/>
      </w:r>
      <w:r>
        <w:rPr>
          <w:rFonts w:cs="Linux Libertine"/>
        </w:rPr>
        <w:instrText xml:space="preserve"> ADDIN ZOTERO_BIBL {"uncited":[],"omitted":[],"custom":[]} CSL_BIBLIOGRAPHY </w:instrText>
      </w:r>
      <w:r>
        <w:rPr>
          <w:rFonts w:cs="Linux Libertine"/>
        </w:rPr>
        <w:fldChar w:fldCharType="separate"/>
      </w:r>
      <w:r w:rsidRPr="00496D7D">
        <w:rPr>
          <w:rFonts w:cs="Linux Libertine"/>
          <w:color w:val="000000"/>
          <w:lang w:val="en-GB"/>
        </w:rPr>
        <w:t xml:space="preserve">Anđelković, Luka. 2017. “The Elements of Proportionality  As A Principle of Human Rights Limitations.” </w:t>
      </w:r>
      <w:r w:rsidRPr="00496D7D">
        <w:rPr>
          <w:rFonts w:cs="Linux Libertine"/>
          <w:i/>
          <w:iCs/>
          <w:color w:val="000000"/>
          <w:lang w:val="en-GB"/>
        </w:rPr>
        <w:t>Facta Universitatis, Series: Law and Politics</w:t>
      </w:r>
      <w:r w:rsidRPr="00496D7D">
        <w:rPr>
          <w:rFonts w:cs="Linux Libertine"/>
          <w:color w:val="000000"/>
          <w:lang w:val="en-GB"/>
        </w:rPr>
        <w:t>, 235. https://doi.org/10.22190/fulp1703235a.</w:t>
      </w:r>
    </w:p>
    <w:p w14:paraId="6E0A15DF"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An-Naim, Abdullahi Ahmed. 2008. </w:t>
      </w:r>
      <w:r w:rsidRPr="00496D7D">
        <w:rPr>
          <w:rFonts w:cs="Linux Libertine"/>
          <w:i/>
          <w:iCs/>
          <w:color w:val="000000"/>
          <w:lang w:val="en-GB"/>
        </w:rPr>
        <w:t>Islam and the Secular State: Negotiating the Future of Shari’a</w:t>
      </w:r>
      <w:r w:rsidRPr="00496D7D">
        <w:rPr>
          <w:rFonts w:cs="Linux Libertine"/>
          <w:color w:val="000000"/>
          <w:lang w:val="en-GB"/>
        </w:rPr>
        <w:t>. Harvard University Press.</w:t>
      </w:r>
    </w:p>
    <w:p w14:paraId="13F60ACB"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Arato, J. 2012. “Constitutionality and Constitutionalism beyond the State: Two Perspectives on the Material Constitution of the United Nations.” </w:t>
      </w:r>
      <w:r w:rsidRPr="00496D7D">
        <w:rPr>
          <w:rFonts w:cs="Linux Libertine"/>
          <w:i/>
          <w:iCs/>
          <w:color w:val="000000"/>
          <w:lang w:val="en-GB"/>
        </w:rPr>
        <w:t>International Journal of Constitutional Law</w:t>
      </w:r>
      <w:r w:rsidRPr="00496D7D">
        <w:rPr>
          <w:rFonts w:cs="Linux Libertine"/>
          <w:color w:val="000000"/>
          <w:lang w:val="en-GB"/>
        </w:rPr>
        <w:t xml:space="preserve"> 10 (3): 627–59. https://doi.org/10.1093/icon/mor079.</w:t>
      </w:r>
    </w:p>
    <w:p w14:paraId="6108CE1C"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Arief, B.N. 2012. </w:t>
      </w:r>
      <w:r w:rsidRPr="00496D7D">
        <w:rPr>
          <w:rFonts w:cs="Linux Libertine"/>
          <w:i/>
          <w:iCs/>
          <w:color w:val="000000"/>
          <w:lang w:val="en-GB"/>
        </w:rPr>
        <w:t>Delik Agama Dan Penghinaan Tuhan (Blasphemy) Di Indonesia Dan Perbandingan Beberapa Negara</w:t>
      </w:r>
      <w:r w:rsidRPr="00496D7D">
        <w:rPr>
          <w:rFonts w:cs="Linux Libertine"/>
          <w:color w:val="000000"/>
          <w:lang w:val="en-GB"/>
        </w:rPr>
        <w:t>. Semarang: Bidang Penerbit Universitas Diponegoro.</w:t>
      </w:r>
    </w:p>
    <w:p w14:paraId="29D7E323"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As’ad, Said Ali. 2009. </w:t>
      </w:r>
      <w:r w:rsidRPr="00496D7D">
        <w:rPr>
          <w:rFonts w:cs="Linux Libertine"/>
          <w:i/>
          <w:iCs/>
          <w:color w:val="000000"/>
          <w:lang w:val="en-GB"/>
        </w:rPr>
        <w:t>Negara Pancasila: Jalan Kemaslahatan Berbangsa</w:t>
      </w:r>
      <w:r w:rsidRPr="00496D7D">
        <w:rPr>
          <w:rFonts w:cs="Linux Libertine"/>
          <w:color w:val="000000"/>
          <w:lang w:val="en-GB"/>
        </w:rPr>
        <w:t>. Jakarta: LP3ES.</w:t>
      </w:r>
    </w:p>
    <w:p w14:paraId="5A317CD2"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378E6C97"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Atsushi, Ota, Okamoto Masaaki, and Ahmad Suaedy. 2010. </w:t>
      </w:r>
      <w:r w:rsidRPr="00496D7D">
        <w:rPr>
          <w:rFonts w:cs="Linux Libertine"/>
          <w:i/>
          <w:iCs/>
          <w:color w:val="000000"/>
          <w:lang w:val="en-GB"/>
        </w:rPr>
        <w:t>Islam in Contention: Rethinking Islam and State in Indonesia</w:t>
      </w:r>
      <w:r w:rsidRPr="00496D7D">
        <w:rPr>
          <w:rFonts w:cs="Linux Libertine"/>
          <w:color w:val="000000"/>
          <w:lang w:val="en-GB"/>
        </w:rPr>
        <w:t>. Jakarta: The Wahid Institute-CSEAS-CAPAS.</w:t>
      </w:r>
    </w:p>
    <w:p w14:paraId="6DE8B0B3"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Bedner, A., and J.A.C. Vel. 2010. “An Analytical Framework for Empirical Research on Access to Justice.” </w:t>
      </w:r>
      <w:r w:rsidRPr="00496D7D">
        <w:rPr>
          <w:rFonts w:cs="Linux Libertine"/>
          <w:i/>
          <w:iCs/>
          <w:color w:val="000000"/>
          <w:lang w:val="en-GB"/>
        </w:rPr>
        <w:t>Law, Social Justice &amp; Global Development Journal (LGD)</w:t>
      </w:r>
      <w:r w:rsidRPr="00496D7D">
        <w:rPr>
          <w:rFonts w:cs="Linux Libertine"/>
          <w:color w:val="000000"/>
          <w:lang w:val="en-GB"/>
        </w:rPr>
        <w:t>.</w:t>
      </w:r>
    </w:p>
    <w:p w14:paraId="12CFA6AF"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Bielefeldt, Heiner. 2012. </w:t>
      </w:r>
      <w:r w:rsidRPr="00496D7D">
        <w:rPr>
          <w:rFonts w:cs="Linux Libertine"/>
          <w:i/>
          <w:iCs/>
          <w:color w:val="000000"/>
          <w:lang w:val="en-GB"/>
        </w:rPr>
        <w:t>Streit Um Die Religionsfreiheit Aktuelle Facetten Der Internationalen Debatte</w:t>
      </w:r>
      <w:r w:rsidRPr="00496D7D">
        <w:rPr>
          <w:rFonts w:cs="Linux Libertine"/>
          <w:color w:val="000000"/>
          <w:lang w:val="en-GB"/>
        </w:rPr>
        <w:t>. Erlangen Präsident der Friedrich-Alexander-Univ.</w:t>
      </w:r>
    </w:p>
    <w:p w14:paraId="433A5187"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Biswas, Paul S. 2020. </w:t>
      </w:r>
      <w:r w:rsidRPr="00496D7D">
        <w:rPr>
          <w:rFonts w:cs="Linux Libertine"/>
          <w:i/>
          <w:iCs/>
          <w:color w:val="000000"/>
          <w:lang w:val="en-GB"/>
        </w:rPr>
        <w:t>Perceptions of Christianity Among South Asian Muslims in America</w:t>
      </w:r>
      <w:r w:rsidRPr="00496D7D">
        <w:rPr>
          <w:rFonts w:cs="Linux Libertine"/>
          <w:color w:val="000000"/>
          <w:lang w:val="en-GB"/>
        </w:rPr>
        <w:t>. WestBow Press.</w:t>
      </w:r>
    </w:p>
    <w:p w14:paraId="2F568C99"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Cohen, David. 2018. </w:t>
      </w:r>
      <w:r w:rsidRPr="00496D7D">
        <w:rPr>
          <w:rFonts w:cs="Linux Libertine"/>
          <w:i/>
          <w:iCs/>
          <w:color w:val="000000"/>
          <w:lang w:val="en-GB"/>
        </w:rPr>
        <w:t>Interpretations of Article 156a of the Indonesian Criminal Code on Blasphemy and Religious Defamation (A Legal and Human Rights Analysis)</w:t>
      </w:r>
      <w:r w:rsidRPr="00496D7D">
        <w:rPr>
          <w:rFonts w:cs="Linux Libertine"/>
          <w:color w:val="000000"/>
          <w:lang w:val="en-GB"/>
        </w:rPr>
        <w:t xml:space="preserve">. Jakarta: Indonesian Institute the Independent Judiciary Lembaga Kajian dan </w:t>
      </w:r>
      <w:r w:rsidRPr="00496D7D">
        <w:rPr>
          <w:rFonts w:cs="Linux Libertine"/>
          <w:color w:val="000000"/>
          <w:lang w:val="en-GB"/>
        </w:rPr>
        <w:lastRenderedPageBreak/>
        <w:t>Advokasi Independensi Peradilan (LeIP). https://leip.or.id/wp-content/uploads/2018/10/LeIP-Interpretations-of-Article-156A-of-The-Indonesian-Criminal-Code-On-Blasphemy-and-Religious-Defamation-a-Legal-and-Human-Right-Analysis.pdf.</w:t>
      </w:r>
    </w:p>
    <w:p w14:paraId="265C9A48"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Crouch, Melissa A. 2011. “Law and Religion in Indonesia: The Constitutional Court and the Blasphemy Law.” </w:t>
      </w:r>
      <w:r w:rsidRPr="00496D7D">
        <w:rPr>
          <w:rFonts w:cs="Linux Libertine"/>
          <w:i/>
          <w:iCs/>
          <w:color w:val="000000"/>
          <w:lang w:val="en-GB"/>
        </w:rPr>
        <w:t>Asian Journal of Comparative Law</w:t>
      </w:r>
      <w:r w:rsidRPr="00496D7D">
        <w:rPr>
          <w:rFonts w:cs="Linux Libertine"/>
          <w:color w:val="000000"/>
          <w:lang w:val="en-GB"/>
        </w:rPr>
        <w:t xml:space="preserve"> 7: 1–46. https://doi.org/10.1017/s2194607800000582.</w:t>
      </w:r>
    </w:p>
    <w:p w14:paraId="499787AF"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Debeljak, Julie. 2008. “Balancing Rights in a Democracy: The Problems with Limitations and Overrides of Rights under the Victorian Charter of Human Rights and Responsibilities Act 2006.” </w:t>
      </w:r>
      <w:r w:rsidRPr="00496D7D">
        <w:rPr>
          <w:rFonts w:cs="Linux Libertine"/>
          <w:i/>
          <w:iCs/>
          <w:color w:val="000000"/>
          <w:lang w:val="en-GB"/>
        </w:rPr>
        <w:t>MelbULawRw</w:t>
      </w:r>
      <w:r w:rsidRPr="00496D7D">
        <w:rPr>
          <w:rFonts w:cs="Linux Libertine"/>
          <w:color w:val="000000"/>
          <w:lang w:val="en-GB"/>
        </w:rPr>
        <w:t xml:space="preserve"> 14 (32): 422.</w:t>
      </w:r>
    </w:p>
    <w:p w14:paraId="553D2202"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254E93F9"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Durham, Cole, and Brett G Scharffs. 2019. </w:t>
      </w:r>
      <w:r w:rsidRPr="00496D7D">
        <w:rPr>
          <w:rFonts w:cs="Linux Libertine"/>
          <w:i/>
          <w:iCs/>
          <w:color w:val="000000"/>
          <w:lang w:val="en-GB"/>
        </w:rPr>
        <w:t>Law and Religion : National, International, and Comparative Perspectives</w:t>
      </w:r>
      <w:r w:rsidRPr="00496D7D">
        <w:rPr>
          <w:rFonts w:cs="Linux Libertine"/>
          <w:color w:val="000000"/>
          <w:lang w:val="en-GB"/>
        </w:rPr>
        <w:t>. Second edition. Wolters Kluwer.</w:t>
      </w:r>
    </w:p>
    <w:p w14:paraId="528F8ADA"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Durham, W. 2011. “Religious Freedom in a Worldwide Setting: Comparative Reflections.” </w:t>
      </w:r>
      <w:r w:rsidRPr="00496D7D">
        <w:rPr>
          <w:rFonts w:cs="Linux Libertine"/>
          <w:i/>
          <w:iCs/>
          <w:color w:val="000000"/>
          <w:lang w:val="en-GB"/>
        </w:rPr>
        <w:t>Pontifical Academy of Social Sciences</w:t>
      </w:r>
      <w:r w:rsidRPr="00496D7D">
        <w:rPr>
          <w:rFonts w:cs="Linux Libertine"/>
          <w:color w:val="000000"/>
          <w:lang w:val="en-GB"/>
        </w:rPr>
        <w:t xml:space="preserve"> 36. http://www.pass.va/content/dam/scienzesociali/pdf/acta17/acta17-durham.pdf.</w:t>
      </w:r>
    </w:p>
    <w:p w14:paraId="67CEAD67"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Eddyono, Luthfi Widagdo. 2016. “The First Ten Years Of The Constitutional Court Of Indonesia: The Establishment Of The Principle Of Equality And The Prohibition Of Discrimination.” </w:t>
      </w:r>
      <w:r w:rsidRPr="00496D7D">
        <w:rPr>
          <w:rFonts w:cs="Linux Libertine"/>
          <w:i/>
          <w:iCs/>
          <w:color w:val="000000"/>
          <w:lang w:val="en-GB"/>
        </w:rPr>
        <w:t>Constitutional Review</w:t>
      </w:r>
      <w:r w:rsidRPr="00496D7D">
        <w:rPr>
          <w:rFonts w:cs="Linux Libertine"/>
          <w:color w:val="000000"/>
          <w:lang w:val="en-GB"/>
        </w:rPr>
        <w:t xml:space="preserve"> 1 (2): 119–46.</w:t>
      </w:r>
    </w:p>
    <w:p w14:paraId="7EDF2AF2"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Fagan, Andrew. 2019. “The Gentrification of Human Rights.” </w:t>
      </w:r>
      <w:r w:rsidRPr="00496D7D">
        <w:rPr>
          <w:rFonts w:cs="Linux Libertine"/>
          <w:i/>
          <w:iCs/>
          <w:color w:val="000000"/>
          <w:lang w:val="en-GB"/>
        </w:rPr>
        <w:t>Human Rights Quarterly</w:t>
      </w:r>
      <w:r w:rsidRPr="00496D7D">
        <w:rPr>
          <w:rFonts w:cs="Linux Libertine"/>
          <w:color w:val="000000"/>
          <w:lang w:val="en-GB"/>
        </w:rPr>
        <w:t xml:space="preserve"> 41 (2): 283–308. https://doi.org/10.1353/hrq.2019.0027.</w:t>
      </w:r>
    </w:p>
    <w:p w14:paraId="527F80A5"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Fenton, Adam J. 2016. “Faith, Intolerance, Violence and Bigotry: Legal and Constitutional Issues of Freedom of Religion in Indonesia.” </w:t>
      </w:r>
      <w:r w:rsidRPr="00496D7D">
        <w:rPr>
          <w:rFonts w:cs="Linux Libertine"/>
          <w:i/>
          <w:iCs/>
          <w:color w:val="000000"/>
          <w:lang w:val="en-GB"/>
        </w:rPr>
        <w:t>Journal of Indonesian Islam</w:t>
      </w:r>
      <w:r w:rsidRPr="00496D7D">
        <w:rPr>
          <w:rFonts w:cs="Linux Libertine"/>
          <w:color w:val="000000"/>
          <w:lang w:val="en-GB"/>
        </w:rPr>
        <w:t xml:space="preserve"> 10 (2): 181–212. https://doi.org/10.15642/JIIS.2016.10.2.181-212.</w:t>
      </w:r>
    </w:p>
    <w:p w14:paraId="0077282A"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Fiss, J., and J.G. Kestenbaum. 2017. </w:t>
      </w:r>
      <w:r w:rsidRPr="00496D7D">
        <w:rPr>
          <w:rFonts w:cs="Linux Libertine"/>
          <w:i/>
          <w:iCs/>
          <w:color w:val="000000"/>
          <w:lang w:val="en-GB"/>
        </w:rPr>
        <w:t>Respecting Rights?: Measuring the World’s Blasphemy Laws</w:t>
      </w:r>
      <w:r w:rsidRPr="00496D7D">
        <w:rPr>
          <w:rFonts w:cs="Linux Libertine"/>
          <w:color w:val="000000"/>
          <w:lang w:val="en-GB"/>
        </w:rPr>
        <w:t>. United States Commission on International Religious Freedom. https://books.google.co.id/books?id=35RsswEACAAJ.</w:t>
      </w:r>
    </w:p>
    <w:p w14:paraId="764C8E26"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Forte, David F. 1994. “Apostasy and Blasphemy in Pakistan.” </w:t>
      </w:r>
      <w:r w:rsidRPr="00496D7D">
        <w:rPr>
          <w:rFonts w:cs="Linux Libertine"/>
          <w:i/>
          <w:iCs/>
          <w:color w:val="000000"/>
          <w:lang w:val="en-GB"/>
        </w:rPr>
        <w:t>Law Faculty Articles and Essays</w:t>
      </w:r>
      <w:r w:rsidRPr="00496D7D">
        <w:rPr>
          <w:rFonts w:cs="Linux Libertine"/>
          <w:color w:val="000000"/>
          <w:lang w:val="en-GB"/>
        </w:rPr>
        <w:t xml:space="preserve"> 10 (1).</w:t>
      </w:r>
    </w:p>
    <w:p w14:paraId="71F63F2A"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Fraser, Julie. 2019. “Challenging State-Centricity and Legalism: Promoting the Role of Social Institutions in the Domestic Implementation of International Human Rights Law.” </w:t>
      </w:r>
      <w:r w:rsidRPr="00496D7D">
        <w:rPr>
          <w:rFonts w:cs="Linux Libertine"/>
          <w:i/>
          <w:iCs/>
          <w:color w:val="000000"/>
          <w:lang w:val="en-GB"/>
        </w:rPr>
        <w:t>The International Journal of Human Rights</w:t>
      </w:r>
      <w:r w:rsidRPr="00496D7D">
        <w:rPr>
          <w:rFonts w:cs="Linux Libertine"/>
          <w:color w:val="000000"/>
          <w:lang w:val="en-GB"/>
        </w:rPr>
        <w:t xml:space="preserve"> 23 (6): 974–92. https://doi.org/10.1080/13642987.2019.1577539.</w:t>
      </w:r>
    </w:p>
    <w:p w14:paraId="0EE22147"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Friedmann, Lawrence M. 1975. </w:t>
      </w:r>
      <w:r w:rsidRPr="00496D7D">
        <w:rPr>
          <w:rFonts w:cs="Linux Libertine"/>
          <w:i/>
          <w:iCs/>
          <w:color w:val="000000"/>
          <w:lang w:val="en-GB"/>
        </w:rPr>
        <w:t>The Legal System: A Social Science Perspective</w:t>
      </w:r>
      <w:r w:rsidRPr="00496D7D">
        <w:rPr>
          <w:rFonts w:cs="Linux Libertine"/>
          <w:color w:val="000000"/>
          <w:lang w:val="en-GB"/>
        </w:rPr>
        <w:t>. New York: Russel Sage Foundation.</w:t>
      </w:r>
    </w:p>
    <w:p w14:paraId="14234D61"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Gerards, J. 2013. “How to Improve the Necessity Test of the European Court of Human Rights.” </w:t>
      </w:r>
      <w:r w:rsidRPr="00496D7D">
        <w:rPr>
          <w:rFonts w:cs="Linux Libertine"/>
          <w:i/>
          <w:iCs/>
          <w:color w:val="000000"/>
          <w:lang w:val="en-GB"/>
        </w:rPr>
        <w:t>International Journal of Constitutional Law</w:t>
      </w:r>
      <w:r w:rsidRPr="00496D7D">
        <w:rPr>
          <w:rFonts w:cs="Linux Libertine"/>
          <w:color w:val="000000"/>
          <w:lang w:val="en-GB"/>
        </w:rPr>
        <w:t xml:space="preserve"> 11 (2): 466–90. https://doi.org/10.1093/icon/mot004.</w:t>
      </w:r>
    </w:p>
    <w:p w14:paraId="295C38A3"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Henkin, Louis, ed. 2009. </w:t>
      </w:r>
      <w:r w:rsidRPr="00496D7D">
        <w:rPr>
          <w:rFonts w:cs="Linux Libertine"/>
          <w:i/>
          <w:iCs/>
          <w:color w:val="000000"/>
          <w:lang w:val="en-GB"/>
        </w:rPr>
        <w:t>Human Rights</w:t>
      </w:r>
      <w:r w:rsidRPr="00496D7D">
        <w:rPr>
          <w:rFonts w:cs="Linux Libertine"/>
          <w:color w:val="000000"/>
          <w:lang w:val="en-GB"/>
        </w:rPr>
        <w:t>. 2nd ed. Thomson Reuters/Foundation Press. http://www.jstor.org/stable/24219097.</w:t>
      </w:r>
    </w:p>
    <w:p w14:paraId="51F59A1C"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lastRenderedPageBreak/>
        <w:t>Howard, Erica. 2017. “Freedom of Expression, Blasphemy and Religious Hatred: A View from the United Kingdom.” In , 595–618. Cambridge University Press. https://doi.org/10.1017/9781108242189.025.</w:t>
      </w:r>
    </w:p>
    <w:p w14:paraId="5625F64B"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Joppke, Christian. 2018. “Culturalizing Religion in Western Europe: Patterns and Puzzles.” </w:t>
      </w:r>
      <w:r w:rsidRPr="00496D7D">
        <w:rPr>
          <w:rFonts w:cs="Linux Libertine"/>
          <w:i/>
          <w:iCs/>
          <w:color w:val="000000"/>
          <w:lang w:val="en-GB"/>
        </w:rPr>
        <w:t>Social Compass</w:t>
      </w:r>
      <w:r w:rsidRPr="00496D7D">
        <w:rPr>
          <w:rFonts w:cs="Linux Libertine"/>
          <w:color w:val="000000"/>
          <w:lang w:val="en-GB"/>
        </w:rPr>
        <w:t xml:space="preserve"> 65 (2): 234–46. https://doi.org/10.1177/0037768618767962.</w:t>
      </w:r>
    </w:p>
    <w:p w14:paraId="09667816"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Kamali, Mohammed Hashim. 2006. “Reading the Signs: A Qur’anic Perspective on Thinking.” </w:t>
      </w:r>
      <w:r w:rsidRPr="00496D7D">
        <w:rPr>
          <w:rFonts w:cs="Linux Libertine"/>
          <w:i/>
          <w:iCs/>
          <w:color w:val="000000"/>
          <w:lang w:val="en-GB"/>
        </w:rPr>
        <w:t>Islam and Science</w:t>
      </w:r>
      <w:r w:rsidRPr="00496D7D">
        <w:rPr>
          <w:rFonts w:cs="Linux Libertine"/>
          <w:color w:val="000000"/>
          <w:lang w:val="en-GB"/>
        </w:rPr>
        <w:t xml:space="preserve"> 4.</w:t>
      </w:r>
    </w:p>
    <w:p w14:paraId="3B19997E"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Karim, Abdul. 2005. </w:t>
      </w:r>
      <w:r w:rsidRPr="00496D7D">
        <w:rPr>
          <w:rFonts w:cs="Linux Libertine"/>
          <w:i/>
          <w:iCs/>
          <w:color w:val="000000"/>
          <w:lang w:val="en-GB"/>
        </w:rPr>
        <w:t>Religion and State Relations in Post Reformation Era</w:t>
      </w:r>
      <w:r w:rsidRPr="00496D7D">
        <w:rPr>
          <w:rFonts w:cs="Linux Libertine"/>
          <w:color w:val="000000"/>
          <w:lang w:val="en-GB"/>
        </w:rPr>
        <w:t>. 11th ed. Al-Mawarid Edition.</w:t>
      </w:r>
    </w:p>
    <w:p w14:paraId="602244C6"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Keck, Leander E and Winkley. 2015. </w:t>
      </w:r>
      <w:r w:rsidRPr="00496D7D">
        <w:rPr>
          <w:rFonts w:cs="Linux Libertine"/>
          <w:i/>
          <w:iCs/>
          <w:color w:val="000000"/>
          <w:lang w:val="en-GB"/>
        </w:rPr>
        <w:t>Echoes of the Word</w:t>
      </w:r>
      <w:r w:rsidRPr="00496D7D">
        <w:rPr>
          <w:rFonts w:cs="Linux Libertine"/>
          <w:color w:val="000000"/>
          <w:lang w:val="en-GB"/>
        </w:rPr>
        <w:t>. Cascade Books.</w:t>
      </w:r>
    </w:p>
    <w:p w14:paraId="1DB53D25"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Kroef, Justus M. van der. 1953. “Conflicts of Religious Policy in Indonesia.” </w:t>
      </w:r>
      <w:r w:rsidRPr="00496D7D">
        <w:rPr>
          <w:rFonts w:cs="Linux Libertine"/>
          <w:i/>
          <w:iCs/>
          <w:color w:val="000000"/>
          <w:lang w:val="en-GB"/>
        </w:rPr>
        <w:t>Far Eastern Survey</w:t>
      </w:r>
      <w:r w:rsidRPr="00496D7D">
        <w:rPr>
          <w:rFonts w:cs="Linux Libertine"/>
          <w:color w:val="000000"/>
          <w:lang w:val="en-GB"/>
        </w:rPr>
        <w:t xml:space="preserve"> 22 (10): 121–25. https://doi.org/10.2307/3023769.</w:t>
      </w:r>
    </w:p>
    <w:p w14:paraId="4CF7666B"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Kunelius, R., E Eide, O Hahn, and R. Schroeder. 2007. </w:t>
      </w:r>
      <w:r w:rsidRPr="00496D7D">
        <w:rPr>
          <w:rFonts w:cs="Linux Libertine"/>
          <w:i/>
          <w:iCs/>
          <w:color w:val="000000"/>
          <w:lang w:val="en-GB"/>
        </w:rPr>
        <w:t>Reading TheMohammed Cartoons Controversy. An International Analysis of Press Discourses on Freespeech and Political Spin</w:t>
      </w:r>
      <w:r w:rsidRPr="00496D7D">
        <w:rPr>
          <w:rFonts w:cs="Linux Libertine"/>
          <w:color w:val="000000"/>
          <w:lang w:val="en-GB"/>
        </w:rPr>
        <w:t>. Bochum/Freiburg: Projekt Verlag.</w:t>
      </w:r>
    </w:p>
    <w:p w14:paraId="4A20F6A1"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Kuznetsov, Dmitry. 2015. “Freedoms Collide: Freedom of Expression and Freedom of Religion in Russia in Comparative Perspective.” </w:t>
      </w:r>
      <w:r w:rsidRPr="00496D7D">
        <w:rPr>
          <w:rFonts w:cs="Linux Libertine"/>
          <w:i/>
          <w:iCs/>
          <w:color w:val="000000"/>
          <w:lang w:val="en-GB"/>
        </w:rPr>
        <w:t>Russian Law Journal</w:t>
      </w:r>
      <w:r w:rsidRPr="00496D7D">
        <w:rPr>
          <w:rFonts w:cs="Linux Libertine"/>
          <w:color w:val="000000"/>
          <w:lang w:val="en-GB"/>
        </w:rPr>
        <w:t xml:space="preserve"> 2 (2): 75. https://doi.org/10.17589/2309-8678-2014-2-2-75-100.</w:t>
      </w:r>
    </w:p>
    <w:p w14:paraId="6DA25D92"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Latif, Yudi. 2011. </w:t>
      </w:r>
      <w:r w:rsidRPr="00496D7D">
        <w:rPr>
          <w:rFonts w:cs="Linux Libertine"/>
          <w:i/>
          <w:iCs/>
          <w:color w:val="000000"/>
          <w:lang w:val="en-GB"/>
        </w:rPr>
        <w:t>Negara Paripurna: Historisitas, Rasionalitas, Dun Aktualitas Pancasila</w:t>
      </w:r>
      <w:r w:rsidRPr="00496D7D">
        <w:rPr>
          <w:rFonts w:cs="Linux Libertine"/>
          <w:color w:val="000000"/>
          <w:lang w:val="en-GB"/>
        </w:rPr>
        <w:t>. Jakarta: Gramedia Pustaka Utama.</w:t>
      </w:r>
    </w:p>
    <w:p w14:paraId="08EC9723"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Lindsey, Timothy, and Simon Butt. 2016. “State Power to Restrict Religious Freedom An Overview of the Legal Framework.” In . Routledge, Taylor &amp; Francis Group.</w:t>
      </w:r>
    </w:p>
    <w:p w14:paraId="776EDF2C"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Marzuki, Peter Mahmud. 2017. </w:t>
      </w:r>
      <w:r w:rsidRPr="00496D7D">
        <w:rPr>
          <w:rFonts w:cs="Linux Libertine"/>
          <w:i/>
          <w:iCs/>
          <w:color w:val="000000"/>
          <w:lang w:val="en-GB"/>
        </w:rPr>
        <w:t>Penelitian Hukum</w:t>
      </w:r>
      <w:r w:rsidRPr="00496D7D">
        <w:rPr>
          <w:rFonts w:cs="Linux Libertine"/>
          <w:color w:val="000000"/>
          <w:lang w:val="en-GB"/>
        </w:rPr>
        <w:t>. Prenada Media.</w:t>
      </w:r>
    </w:p>
    <w:p w14:paraId="7374836E"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Menchik, Jeremy. 2014. “Productive Intolerance: Godly Nationalism in Indonesia.” </w:t>
      </w:r>
      <w:r w:rsidRPr="00496D7D">
        <w:rPr>
          <w:rFonts w:cs="Linux Libertine"/>
          <w:i/>
          <w:iCs/>
          <w:color w:val="000000"/>
          <w:lang w:val="en-GB"/>
        </w:rPr>
        <w:t>Comparative Studies in Society and History</w:t>
      </w:r>
      <w:r w:rsidRPr="00496D7D">
        <w:rPr>
          <w:rFonts w:cs="Linux Libertine"/>
          <w:color w:val="000000"/>
          <w:lang w:val="en-GB"/>
        </w:rPr>
        <w:t xml:space="preserve"> 56 (3): 591–621. https://doi.org/10.1017/S0010417514000267.</w:t>
      </w:r>
    </w:p>
    <w:p w14:paraId="57E31B41"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Mietzner, Marcus, and Burhanuddin Muhtadi. 2020. “The Myth of Pluralism: Nahdlatul Ulama and the Politics of Religious Tolerance in Indonesia.” </w:t>
      </w:r>
      <w:r w:rsidRPr="00496D7D">
        <w:rPr>
          <w:rFonts w:cs="Linux Libertine"/>
          <w:i/>
          <w:iCs/>
          <w:color w:val="000000"/>
          <w:lang w:val="en-GB"/>
        </w:rPr>
        <w:t>Contemporary Southeast Asia</w:t>
      </w:r>
      <w:r w:rsidRPr="00496D7D">
        <w:rPr>
          <w:rFonts w:cs="Linux Libertine"/>
          <w:color w:val="000000"/>
          <w:lang w:val="en-GB"/>
        </w:rPr>
        <w:t xml:space="preserve"> 42 (1): 58–84. https://doi.org/10.1355/cs42-1c.</w:t>
      </w:r>
    </w:p>
    <w:p w14:paraId="3E99760A"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Milanovic, Marko. 2018. “Legitimizing Blasphemy Laws Through the Backdoor: The European Court’s Judgment in E.S. v. Austria.” </w:t>
      </w:r>
      <w:r w:rsidRPr="00496D7D">
        <w:rPr>
          <w:rFonts w:cs="Linux Libertine"/>
          <w:i/>
          <w:iCs/>
          <w:color w:val="000000"/>
          <w:lang w:val="en-GB"/>
        </w:rPr>
        <w:t>EJIL: Talk!</w:t>
      </w:r>
      <w:r w:rsidRPr="00496D7D">
        <w:rPr>
          <w:rFonts w:cs="Linux Libertine"/>
          <w:color w:val="000000"/>
          <w:lang w:val="en-GB"/>
        </w:rPr>
        <w:t xml:space="preserve"> (blog). October 29, 2018. https://www.ejiltalk.org/legitimizing-blasphemy-laws-through-the-backdoor-the-european-courts-judgment-in-e-s-v-austria/.</w:t>
      </w:r>
    </w:p>
    <w:p w14:paraId="205226EA"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Modood, Tariq, Randall Hansen, Erik Bleich, Brendan O’Leary, and Joseph H. Carens. 2006. “The Danish Cartoon Affair: Free Speech, Racism, Islamism, and Integration.” </w:t>
      </w:r>
      <w:r w:rsidRPr="00496D7D">
        <w:rPr>
          <w:rFonts w:cs="Linux Libertine"/>
          <w:i/>
          <w:iCs/>
          <w:color w:val="000000"/>
          <w:lang w:val="en-GB"/>
        </w:rPr>
        <w:t>International Migration</w:t>
      </w:r>
      <w:r w:rsidRPr="00496D7D">
        <w:rPr>
          <w:rFonts w:cs="Linux Libertine"/>
          <w:color w:val="000000"/>
          <w:lang w:val="en-GB"/>
        </w:rPr>
        <w:t xml:space="preserve"> 44 (5): 3–62. https://doi.org/10.1111/j.1468-2435.2006.00386.x.</w:t>
      </w:r>
    </w:p>
    <w:p w14:paraId="0AABAB37"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Mondal, Anshuman A. 2016. “Articles of Faith: Freedom of Expression and Religious Freedom in Contemporary Multiculture.” </w:t>
      </w:r>
      <w:r w:rsidRPr="00496D7D">
        <w:rPr>
          <w:rFonts w:cs="Linux Libertine"/>
          <w:i/>
          <w:iCs/>
          <w:color w:val="000000"/>
          <w:lang w:val="en-GB"/>
        </w:rPr>
        <w:t>Islam and Christian–Muslim Relations</w:t>
      </w:r>
      <w:r w:rsidRPr="00496D7D">
        <w:rPr>
          <w:rFonts w:cs="Linux Libertine"/>
          <w:color w:val="000000"/>
          <w:lang w:val="en-GB"/>
        </w:rPr>
        <w:t xml:space="preserve"> 27 (1): 3–24. https://doi.org/10.1080/09596410.2015.1114240.</w:t>
      </w:r>
    </w:p>
    <w:p w14:paraId="76D4060A"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Nalle, Victor Imanuel W. 2017. “Blasphemy Law and Public Neutrality in Indonesia.” </w:t>
      </w:r>
      <w:r w:rsidRPr="00496D7D">
        <w:rPr>
          <w:rFonts w:cs="Linux Libertine"/>
          <w:i/>
          <w:iCs/>
          <w:color w:val="000000"/>
          <w:lang w:val="en-GB"/>
        </w:rPr>
        <w:t>Mediterranean Journal of Social Sciences</w:t>
      </w:r>
      <w:r w:rsidRPr="00496D7D">
        <w:rPr>
          <w:rFonts w:cs="Linux Libertine"/>
          <w:color w:val="000000"/>
          <w:lang w:val="en-GB"/>
        </w:rPr>
        <w:t xml:space="preserve"> 8 (2): 57–62.</w:t>
      </w:r>
    </w:p>
    <w:p w14:paraId="3EF89C27"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Nieuwenhuis, Aernout J. 2012. “State and Religion, a Multidimensional Relationship: Some Comparative Law Remarks.” </w:t>
      </w:r>
      <w:r w:rsidRPr="00496D7D">
        <w:rPr>
          <w:rFonts w:cs="Linux Libertine"/>
          <w:i/>
          <w:iCs/>
          <w:color w:val="000000"/>
          <w:lang w:val="en-GB"/>
        </w:rPr>
        <w:t>International Journal of Constitutional Law</w:t>
      </w:r>
      <w:r w:rsidRPr="00496D7D">
        <w:rPr>
          <w:rFonts w:cs="Linux Libertine"/>
          <w:color w:val="000000"/>
          <w:lang w:val="en-GB"/>
        </w:rPr>
        <w:t xml:space="preserve"> 10 (1): 153–74. https://doi.org/10.1093/icon/mos001.</w:t>
      </w:r>
    </w:p>
    <w:p w14:paraId="628B5B02"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lastRenderedPageBreak/>
        <w:t xml:space="preserve">Panjaitan, Chandro, and Firman Wijaya. 2018. “Penyebab Terjadinya Tindakan Main Hakim Sendiri Atau Eigenrichting Yang Mengakibatkan Kematian (Contoh Kasus Pembakaran Pelaku Pencurian Motor Dengan Kekerasan Di Pondok Aren Tangerang).” </w:t>
      </w:r>
      <w:r w:rsidRPr="00496D7D">
        <w:rPr>
          <w:rFonts w:cs="Linux Libertine"/>
          <w:i/>
          <w:iCs/>
          <w:color w:val="000000"/>
          <w:lang w:val="en-GB"/>
        </w:rPr>
        <w:t>Jurnal Hukum Adigama</w:t>
      </w:r>
      <w:r w:rsidRPr="00496D7D">
        <w:rPr>
          <w:rFonts w:cs="Linux Libertine"/>
          <w:color w:val="000000"/>
          <w:lang w:val="en-GB"/>
        </w:rPr>
        <w:t xml:space="preserve"> 1 (1): 809. https://doi.org/10.24912/adigama.v1i1.2168.</w:t>
      </w:r>
    </w:p>
    <w:p w14:paraId="172F4993"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Pratiwi, Cekli Setya, and Sidik Sunaryo. 2021. “Blasphemy Law as a Structural Violence: A Challenge for Maintaining Sustainable Peace.” </w:t>
      </w:r>
      <w:r w:rsidRPr="00496D7D">
        <w:rPr>
          <w:rFonts w:cs="Linux Libertine"/>
          <w:i/>
          <w:iCs/>
          <w:color w:val="000000"/>
          <w:lang w:val="en-GB"/>
        </w:rPr>
        <w:t>Muslim World Journal of Human Rights</w:t>
      </w:r>
      <w:r w:rsidRPr="00496D7D">
        <w:rPr>
          <w:rFonts w:cs="Linux Libertine"/>
          <w:color w:val="000000"/>
          <w:lang w:val="en-GB"/>
        </w:rPr>
        <w:t xml:space="preserve"> 18 (1): 133–65. https://doi.org/10.1515/mwjhr-2020-0019.</w:t>
      </w:r>
    </w:p>
    <w:p w14:paraId="0C264AD2"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Prud’homme, Jo-Anne. 2010. “Policing Belief: The Impact of Blasphemy Laws on Human Rights.” Special Report. DC: Freedom House. https://freedomhouse.org/sites/default/files/2020-02/Archived_Special_Report_FH_Policing_Belief_Full.pdf.</w:t>
      </w:r>
    </w:p>
    <w:p w14:paraId="34111988"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0F0D3593"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Safa’at, Muchamad Ali. 2020. “A Comparative Study on the Recognition of the Religion in the Indigenous People Community in Indonesia According to the Constitutional Court Decisions Number 97/PUU-XIV/2016 and 140/PUU-VII/2009.” </w:t>
      </w:r>
      <w:r w:rsidRPr="00496D7D">
        <w:rPr>
          <w:rFonts w:cs="Linux Libertine"/>
          <w:i/>
          <w:iCs/>
          <w:color w:val="000000"/>
          <w:lang w:val="en-GB"/>
        </w:rPr>
        <w:t>Tadulako Law Review</w:t>
      </w:r>
      <w:r w:rsidRPr="00496D7D">
        <w:rPr>
          <w:rFonts w:cs="Linux Libertine"/>
          <w:color w:val="000000"/>
          <w:lang w:val="en-GB"/>
        </w:rPr>
        <w:t>.</w:t>
      </w:r>
    </w:p>
    <w:p w14:paraId="08CD009A"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Salim, Arskal, and Azyumardi Azra. 2003. “Negara Dan Syariat Dalam Perspektif Politik Hukum Indonesia.” In </w:t>
      </w:r>
      <w:r w:rsidRPr="00496D7D">
        <w:rPr>
          <w:rFonts w:cs="Linux Libertine"/>
          <w:i/>
          <w:iCs/>
          <w:color w:val="000000"/>
          <w:lang w:val="en-GB"/>
        </w:rPr>
        <w:t>Syariat Islam: Pandangan Muslim Liberal</w:t>
      </w:r>
      <w:r w:rsidRPr="00496D7D">
        <w:rPr>
          <w:rFonts w:cs="Linux Libertine"/>
          <w:color w:val="000000"/>
          <w:lang w:val="en-GB"/>
        </w:rPr>
        <w:t>. Jakarta: Jaringan Islam Liberal-The Asia Faoundation.</w:t>
      </w:r>
    </w:p>
    <w:p w14:paraId="3B9CD043"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Scanlon, Thomas. 1972. “A Theory of Freedom of Expression.” </w:t>
      </w:r>
      <w:r w:rsidRPr="00496D7D">
        <w:rPr>
          <w:rFonts w:cs="Linux Libertine"/>
          <w:i/>
          <w:iCs/>
          <w:color w:val="000000"/>
          <w:lang w:val="en-GB"/>
        </w:rPr>
        <w:t>Philosophy &amp; Public Affairs</w:t>
      </w:r>
      <w:r w:rsidRPr="00496D7D">
        <w:rPr>
          <w:rFonts w:cs="Linux Libertine"/>
          <w:color w:val="000000"/>
          <w:lang w:val="en-GB"/>
        </w:rPr>
        <w:t xml:space="preserve"> 1 (2): 204–26.</w:t>
      </w:r>
    </w:p>
    <w:p w14:paraId="09EE7CA6"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Scharffs, Brett G. 2017. “Towards an Understanding of Accelerants and Decelerants: A Non-Juriscentric Approach to off Ensive or Hateful Speech Concerning Religion.” In , 701–17. Cambridge University Press. https://doi.org/10.1017/9781108242189.029.</w:t>
      </w:r>
    </w:p>
    <w:p w14:paraId="1D30ABC5"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Schmitter, Philippe C, and Terry Lynn Karl. 1991. “What Democracy Is. . . and Is Not.” </w:t>
      </w:r>
      <w:r w:rsidRPr="00496D7D">
        <w:rPr>
          <w:rFonts w:cs="Linux Libertine"/>
          <w:i/>
          <w:iCs/>
          <w:color w:val="000000"/>
          <w:lang w:val="en-GB"/>
        </w:rPr>
        <w:t>Journal of Democracy</w:t>
      </w:r>
      <w:r w:rsidRPr="00496D7D">
        <w:rPr>
          <w:rFonts w:cs="Linux Libertine"/>
          <w:color w:val="000000"/>
          <w:lang w:val="en-GB"/>
        </w:rPr>
        <w:t xml:space="preserve"> 2 (3): 75–88. https://doi.org/10.1353/jod.1991.0033.</w:t>
      </w:r>
    </w:p>
    <w:p w14:paraId="6F3A78A2"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Sezgin, Y, and M Künkler. 2014. “Regulation of ‘Religion’ and the ‘Religious’: The Politics of Judicialization and Bureaucratization in India and Indonesia.” </w:t>
      </w:r>
      <w:r w:rsidRPr="00496D7D">
        <w:rPr>
          <w:rFonts w:cs="Linux Libertine"/>
          <w:i/>
          <w:iCs/>
          <w:color w:val="000000"/>
          <w:lang w:val="en-GB"/>
        </w:rPr>
        <w:t>Comparative Studies in Society and History</w:t>
      </w:r>
      <w:r w:rsidRPr="00496D7D">
        <w:rPr>
          <w:rFonts w:cs="Linux Libertine"/>
          <w:color w:val="000000"/>
          <w:lang w:val="en-GB"/>
        </w:rPr>
        <w:t xml:space="preserve"> 56 (2): 448–78.</w:t>
      </w:r>
    </w:p>
    <w:p w14:paraId="3132D76A"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Shepherd, Amy. 2017. “Extremism, Free Speech and the Rule of Law: Evaluating the Compliance of Legislation Restricting Extremist Expressions with Article 19 ICCPR.” </w:t>
      </w:r>
      <w:r w:rsidRPr="00496D7D">
        <w:rPr>
          <w:rFonts w:cs="Linux Libertine"/>
          <w:i/>
          <w:iCs/>
          <w:color w:val="000000"/>
          <w:lang w:val="en-GB"/>
        </w:rPr>
        <w:t>Utrecht Journal of International and European Law</w:t>
      </w:r>
      <w:r w:rsidRPr="00496D7D">
        <w:rPr>
          <w:rFonts w:cs="Linux Libertine"/>
          <w:color w:val="000000"/>
          <w:lang w:val="en-GB"/>
        </w:rPr>
        <w:t xml:space="preserve"> 33 (85): 62–83. https://doi.org/10.5334/ujiel.405.</w:t>
      </w:r>
    </w:p>
    <w:p w14:paraId="067EBB07"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Sihombing, Uli Parulina. 2008. “Menggugat Bakor Pakem; Kajian Hukum Terhadap Pengawasan Agama Dan Kepercayaan Di Indonesia [Challeng-Ing Bakor Pakem; Legal Study on the Oversight of Religion and Belief in Indonesia].” Jakarta: ILRC [the Indonesian Legal Resource Center].</w:t>
      </w:r>
    </w:p>
    <w:p w14:paraId="46D9B3E4"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Smet, Stijn. 2011. “Freedom of Expression and the Right to Reputation: Human Rights in Conflict.” </w:t>
      </w:r>
      <w:r w:rsidRPr="00496D7D">
        <w:rPr>
          <w:rFonts w:cs="Linux Libertine"/>
          <w:i/>
          <w:iCs/>
          <w:color w:val="000000"/>
          <w:lang w:val="en-GB"/>
        </w:rPr>
        <w:t>American University International Law Review</w:t>
      </w:r>
      <w:r w:rsidRPr="00496D7D">
        <w:rPr>
          <w:rFonts w:cs="Linux Libertine"/>
          <w:color w:val="000000"/>
          <w:lang w:val="en-GB"/>
        </w:rPr>
        <w:t>, 183–236.</w:t>
      </w:r>
    </w:p>
    <w:p w14:paraId="28D6FC15"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Tehusijarana, Karina M. 2018. “Police End Probe into Blasphemy Allegations against Sukmawati.” The Jakarta Post. 2018. </w:t>
      </w:r>
      <w:r w:rsidRPr="00496D7D">
        <w:rPr>
          <w:rFonts w:cs="Linux Libertine"/>
          <w:color w:val="000000"/>
          <w:lang w:val="en-GB"/>
        </w:rPr>
        <w:lastRenderedPageBreak/>
        <w:t>https://www.thejakartapost.com/news/2018/06/17/police-end-probe-into-blasphemy-allegations-against-sukmawati.html.</w:t>
      </w:r>
    </w:p>
    <w:p w14:paraId="5A918BB1"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Telle, Kari. 2017. “Faith on Trial: Blasphemy and ‘Lawfare’ in Indonesia.” </w:t>
      </w:r>
      <w:r w:rsidRPr="00496D7D">
        <w:rPr>
          <w:rFonts w:cs="Linux Libertine"/>
          <w:i/>
          <w:iCs/>
          <w:color w:val="000000"/>
          <w:lang w:val="en-GB"/>
        </w:rPr>
        <w:t>Ethnos</w:t>
      </w:r>
      <w:r w:rsidRPr="00496D7D">
        <w:rPr>
          <w:rFonts w:cs="Linux Libertine"/>
          <w:color w:val="000000"/>
          <w:lang w:val="en-GB"/>
        </w:rPr>
        <w:t xml:space="preserve"> 83 (2): 371–91. https://doi.org/10.1080/00141844.2017.1282973.</w:t>
      </w:r>
    </w:p>
    <w:p w14:paraId="1CA8EBE1"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Temperman, J. 2015. </w:t>
      </w:r>
      <w:r w:rsidRPr="00496D7D">
        <w:rPr>
          <w:rFonts w:cs="Linux Libertine"/>
          <w:i/>
          <w:iCs/>
          <w:color w:val="000000"/>
          <w:lang w:val="en-GB"/>
        </w:rPr>
        <w:t>Religious Hatred and International Law: The Prohibition of Incitement to Violence or Discrimination</w:t>
      </w:r>
      <w:r w:rsidRPr="00496D7D">
        <w:rPr>
          <w:rFonts w:cs="Linux Libertine"/>
          <w:color w:val="000000"/>
          <w:lang w:val="en-GB"/>
        </w:rPr>
        <w:t>. Cambridge University Press. https://books.google.com/books?id=ezDuCgAAQBAJ.</w:t>
      </w:r>
    </w:p>
    <w:p w14:paraId="176DE3C4"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Uddin, Asma T. 2015. “Provocative Speech in FRENCH Law: A Closer Look at Charlie Hebdo.” </w:t>
      </w:r>
      <w:r w:rsidRPr="00496D7D">
        <w:rPr>
          <w:rFonts w:cs="Linux Libertine"/>
          <w:i/>
          <w:iCs/>
          <w:color w:val="000000"/>
          <w:lang w:val="en-GB"/>
        </w:rPr>
        <w:t>FIU Law Review</w:t>
      </w:r>
      <w:r w:rsidRPr="00496D7D">
        <w:rPr>
          <w:rFonts w:cs="Linux Libertine"/>
          <w:color w:val="000000"/>
          <w:lang w:val="en-GB"/>
        </w:rPr>
        <w:t xml:space="preserve"> 11 (1). https://doi.org/10.25148/lawrev.11.1.14.</w:t>
      </w:r>
    </w:p>
    <w:p w14:paraId="6DC7A58D" w14:textId="77777777" w:rsidR="00496D7D" w:rsidRPr="00496D7D" w:rsidRDefault="00496D7D" w:rsidP="00496D7D">
      <w:pPr>
        <w:pStyle w:val="Bibliography"/>
        <w:rPr>
          <w:rFonts w:cs="Linux Libertine"/>
          <w:color w:val="000000"/>
          <w:lang w:val="en-GB"/>
        </w:rPr>
      </w:pPr>
      <w:r w:rsidRPr="00496D7D">
        <w:rPr>
          <w:rFonts w:cs="Linux Libertine"/>
          <w:color w:val="000000"/>
          <w:lang w:val="en-GB"/>
        </w:rPr>
        <w:t xml:space="preserve">Vrielink, Jogchum. 2016. “Do We Want ‘More or Fewer’ Prosecutions of Opinions? The Geert Wilders Trial 2.0.” </w:t>
      </w:r>
      <w:r w:rsidRPr="00496D7D">
        <w:rPr>
          <w:rFonts w:cs="Linux Libertine"/>
          <w:i/>
          <w:iCs/>
          <w:color w:val="000000"/>
          <w:lang w:val="en-GB"/>
        </w:rPr>
        <w:t>Netherlands Journal of Legal Philosophy</w:t>
      </w:r>
      <w:r w:rsidRPr="00496D7D">
        <w:rPr>
          <w:rFonts w:cs="Linux Libertine"/>
          <w:color w:val="000000"/>
          <w:lang w:val="en-GB"/>
        </w:rPr>
        <w:t xml:space="preserve"> 2: 3–11.</w:t>
      </w:r>
    </w:p>
    <w:p w14:paraId="6551FF3B" w14:textId="63A680CC" w:rsidR="00441CCC" w:rsidRPr="00672A6A" w:rsidRDefault="00496D7D" w:rsidP="00441CCC">
      <w:pPr>
        <w:rPr>
          <w:rFonts w:cs="Linux Libertine"/>
        </w:rPr>
      </w:pPr>
      <w:r>
        <w:rPr>
          <w:rFonts w:cs="Linux Libertine"/>
        </w:rPr>
        <w:fldChar w:fldCharType="end"/>
      </w:r>
    </w:p>
    <w:sectPr w:rsidR="00441CCC" w:rsidRPr="00672A6A"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35401" w14:textId="77777777" w:rsidR="00462243" w:rsidRDefault="00462243" w:rsidP="00D043F5">
      <w:r>
        <w:separator/>
      </w:r>
    </w:p>
  </w:endnote>
  <w:endnote w:type="continuationSeparator" w:id="0">
    <w:p w14:paraId="5E6ABE15" w14:textId="77777777" w:rsidR="00462243" w:rsidRDefault="00462243"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EE"/>
    <w:family w:val="auto"/>
    <w:notTrueType/>
    <w:pitch w:val="default"/>
    <w:sig w:usb0="00000005" w:usb1="00000000" w:usb2="00000000" w:usb3="00000000" w:csb0="00000002"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F8F7D" w14:textId="77777777" w:rsidR="00462243" w:rsidRDefault="00462243" w:rsidP="00D043F5">
      <w:r>
        <w:separator/>
      </w:r>
    </w:p>
  </w:footnote>
  <w:footnote w:type="continuationSeparator" w:id="0">
    <w:p w14:paraId="5A5CAE9C" w14:textId="77777777" w:rsidR="00462243" w:rsidRDefault="00462243"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Asia Bibie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r w:rsidRPr="00B80E23">
        <w:rPr>
          <w:i/>
          <w:iCs/>
          <w:sz w:val="20"/>
          <w:szCs w:val="20"/>
        </w:rPr>
        <w:t>Moh-Ezra vs. Malaysia</w:t>
      </w:r>
      <w:r w:rsidRPr="00B80E23">
        <w:rPr>
          <w:sz w:val="20"/>
          <w:szCs w:val="20"/>
        </w:rPr>
        <w:t xml:space="preserve">, In Selangor, Moh Ezra was convicted blasphemy under Section 16 of Selangor State Syariah Law after his company ZI Publications Sdn Bhd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FoE's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(ordre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Doc.CCPR/C/21/Rev.1/Add.4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(Penetapan Presiden/PNPS) or Presidential Directives (Peraturan Presiden) through the exercise of executive power. Thus, Law No.1/PNPS/1965 was enacted through a Presidential Stipulation rather than an Act (Undang-Undang).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that PNPS was issued by President Soekarno on January 20, 1965. Exactly two weeks after the massacre of Muslims in Madiun. here was a sadistic murder when the kiai (Ulama) and santri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Keputusan Presiden Nomor 150 Year 1959 concerning Back to UUD 1945. Announced at Lembaran Negara Nomor 75 Year 1959. See also Mahfud M.D., 2001. Dasar dan Struktur Ketatanegaraan Indonesia, Jakarta: Rineka Cipta,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Tabel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At this conference it was also agreed to establish the Indonesian Islamic Army (TII), the Imamah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Pancasila consists of 5 Sila (Principles). The first Sila states: “Believe in God the Almaighty.”</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 Indonesia. Pelaporan Ahok Atas tuduhan menghina agama dan pemilih.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Kompas.com. Ahok Dilaporkan Dua Organisasi ke Polda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Kenapa Ahmadiyya Dianggap Bukan Islam: Fakta dan Kontroversinya. BBC-19 Februari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54">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5">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56">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57">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8">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9">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60">
    <w:p w14:paraId="028C335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61">
    <w:p w14:paraId="5799446D"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62">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63">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64">
    <w:p w14:paraId="39057C7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Republika.co.id. Ajarkan Aliran Sesat, Aktivitas Gafatar Resmi Dilarang Pemerintah [Teaching heretical sects, Gafatar activities are officially banned by the government] https://khazanah.republika.co.id/berita/dunia-islam/islam-nusantara/16/03/24/o4jj6h377-ajarkan-aliran-sesat-pemerintah-resmi-larang-aktivitas-gafatar</w:t>
      </w:r>
    </w:p>
  </w:footnote>
  <w:footnote w:id="65">
    <w:p w14:paraId="2284DC57"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66">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t>Mantan Ketua Gafatar meminta bantuan hukum kepada Lembaga Bantuan Hukum Jakarta. See https://www.merdeka.com/peristiwa/eks-ketum-kutuk-keras-tindakan-pembakaran-lahan-milik-gafatar.html</w:t>
      </w:r>
    </w:p>
  </w:footnote>
  <w:footnote w:id="67">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68">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69">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District Court Decision of Tanjung Balai No. 461/Pid.B/2016/PN Tjb; No. 457/Pid.B/2016/PN-Tjb; No.  462/Pid.B/2016/PN Tjb; No. 463/Pid.B/2016/PN Tjb, No. 451/Pid.B/2016/PN-Tjb; No. 458/Pid.B/2016/PN-Tjb; No. 460/Pid.B/2016/PN Tjb; No. 477/Pid.B/2016/PN Tjb.</w:t>
      </w:r>
    </w:p>
  </w:footnote>
  <w:footnote w:id="70">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71">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See Banda Aceh District Court Decision Number 80 / Pid.B / 2015/PN Bna on behalf of defendant T. Abdul Fatah Bin T. Muhammad Tahib; Decision of the Jantho District Court number 03 / Pid.C / 2015 / Pn-Jth dated 6 February 2016)</w:t>
      </w:r>
    </w:p>
  </w:footnote>
  <w:footnote w:id="72">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73">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74">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5">
    <w:p w14:paraId="62CE1687"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“Penetapan Presiden No. 1/1965 tentang Pentjegahan Penjalahgunaan Dan/Atau Penodaan Agama,” Suara Merdeka, 9 Mar. 1965: 1. Cite from Menchik, Ibid. p. 608.</w:t>
      </w:r>
    </w:p>
  </w:footnote>
  <w:footnote w:id="76">
    <w:p w14:paraId="1743119C"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77">
    <w:p w14:paraId="6B858E72" w14:textId="3FECACCB" w:rsidR="00F257F5" w:rsidRPr="00F257F5" w:rsidRDefault="00F257F5">
      <w:pPr>
        <w:pStyle w:val="FootnoteText"/>
        <w:rPr>
          <w:lang w:val="en-US"/>
        </w:rPr>
      </w:pPr>
      <w:r>
        <w:rPr>
          <w:rStyle w:val="FootnoteReference"/>
        </w:rPr>
        <w:footnoteRef/>
      </w:r>
      <w:r>
        <w:t xml:space="preserve"> </w:t>
      </w:r>
      <w:r>
        <w:tab/>
      </w:r>
      <w:r w:rsidRPr="00F257F5">
        <w:t>Many authors indicate that the IHRL is embedded in the provisions of the 1945 Constitution since Indonesia has ratified 9 out of 10 of the core international human rights instruments, such as the ICCPR, the ICESCR, the CERD, the CAT, the CEDAW, the CRC, the CPD, the CMW. See Jimly Asshiddiqie, “Universalization of Democratic Constitutionalism and The Work of Constitutional Courts Today,” Constitutional Review 1, no. 2 (March 28, 2016): 1, https://doi.org/10.31078/consrev121.</w:t>
      </w:r>
    </w:p>
  </w:footnote>
  <w:footnote w:id="78">
    <w:p w14:paraId="2EC771D0" w14:textId="6FB26558"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According to Article 18 (1) of the ICCPR, the right to freedom of religion or beliefs is divided into two dimensions. One dimension is related to the right to hold and change religion. This right is also known as the forum-internum, in which no one or no state can interfere with the liberty of any person to hold or choose the religions or beliefs. The second dimension is the right to manifest the religions or beliefs or known as forum-externum. For example, everyone has the right to practice, worship, teach, and observe the religions or beliefs, either alone or in society, either private or public and could be a subject of such limitation under Art. 18 (3).</w:t>
      </w:r>
    </w:p>
  </w:footnote>
  <w:footnote w:id="79">
    <w:p w14:paraId="1C0D82C6" w14:textId="17508DC3"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ECtHR stands for European Court of Human Rights.</w:t>
      </w:r>
    </w:p>
  </w:footnote>
  <w:footnote w:id="80">
    <w:p w14:paraId="399A857C" w14:textId="6BBC7D34"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Otto Preminger v. Austria, 19 Eur. H. R. Rep. (ser. A) 34, at ¶ 56 (1994), available at http://www.echr.coe.int/echr/ application number 13470/8).</w:t>
      </w:r>
    </w:p>
  </w:footnote>
  <w:footnote w:id="81">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82">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83">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Banda Aceh District Court Decision Number 80 / Pid.B / 2015/PN Bna on behalf of defendant T. Abdul Fatah Bin T. Muhammad Tahib; Decision of the Jantho District Court number 03 / Pid.C / 2015 / Pn-Jth dated 6 February 2016)</w:t>
      </w:r>
    </w:p>
  </w:footnote>
  <w:footnote w:id="84">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85">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86">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87">
    <w:p w14:paraId="14F27190" w14:textId="77777777" w:rsidR="00C8473A" w:rsidRPr="00734ABB" w:rsidRDefault="00C8473A" w:rsidP="00C8473A">
      <w:pPr>
        <w:pStyle w:val="FootnoteText"/>
      </w:pPr>
      <w:r w:rsidRPr="00E82028">
        <w:rPr>
          <w:rStyle w:val="FootnoteReference"/>
        </w:rPr>
        <w:footnoteRef/>
      </w:r>
      <w:r w:rsidRPr="00734ABB">
        <w:t xml:space="preserve"> </w:t>
      </w:r>
      <w:r w:rsidRPr="00734ABB">
        <w:tab/>
      </w:r>
      <w:r>
        <w:t>“</w:t>
      </w:r>
      <w:r w:rsidRPr="00734ABB">
        <w:t>Penetapan Presiden No. 1/1965 tentang Pentjegahan Penjalahgunaan Dan/Atau Penodaan Agama,</w:t>
      </w:r>
      <w:r>
        <w:t>”</w:t>
      </w:r>
      <w:r w:rsidRPr="00734ABB">
        <w:t xml:space="preserve"> Suara Merdeka, 9 Mar. 1965: 1. Cite from Menchik, Ibid. p. 608.</w:t>
      </w:r>
    </w:p>
  </w:footnote>
  <w:footnote w:id="88">
    <w:p w14:paraId="33FB4EF2" w14:textId="77777777" w:rsidR="00C8473A" w:rsidRPr="00734ABB" w:rsidRDefault="00C8473A" w:rsidP="00C8473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89">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90">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1">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92">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93">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94">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 xml:space="preserve">See the ruling of the High Court Decision in Jakarta Number 105/Pid/2017/PT. Jkt. Page 27. </w:t>
      </w:r>
    </w:p>
    <w:p w14:paraId="319CADA1" w14:textId="77777777" w:rsidR="00EB123F" w:rsidRPr="000D0378" w:rsidRDefault="00EB123F" w:rsidP="00EB123F">
      <w:pPr>
        <w:pStyle w:val="FootnoteText"/>
        <w:rPr>
          <w:rFonts w:cs="Linux Libertine"/>
          <w:szCs w:val="18"/>
        </w:rPr>
      </w:pPr>
    </w:p>
  </w:footnote>
  <w:footnote w:id="95">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6">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97">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8">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99">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100">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101">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102">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103">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104">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105">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106">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107">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108">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109">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110">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111">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112">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113">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114">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115">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116">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117">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118">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19">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20">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21">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22">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23">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24">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25">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26">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27">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28">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29">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30">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31">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32">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33">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34">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35">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6">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37">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8">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39">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40">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41">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42">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43">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44">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45">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3"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5"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7"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4"/>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1"/>
  </w:num>
  <w:num w:numId="204" w16cid:durableId="1207641991">
    <w:abstractNumId w:val="16"/>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5"/>
  </w:num>
  <w:num w:numId="326" w16cid:durableId="316344978">
    <w:abstractNumId w:val="8"/>
    <w:lvlOverride w:ilvl="0">
      <w:startOverride w:val="1"/>
    </w:lvlOverride>
  </w:num>
  <w:num w:numId="327" w16cid:durableId="1672759476">
    <w:abstractNumId w:val="36"/>
  </w:num>
  <w:num w:numId="328" w16cid:durableId="693918220">
    <w:abstractNumId w:val="34"/>
  </w:num>
  <w:num w:numId="329" w16cid:durableId="195196305">
    <w:abstractNumId w:val="34"/>
    <w:lvlOverride w:ilvl="0">
      <w:startOverride w:val="3"/>
    </w:lvlOverride>
    <w:lvlOverride w:ilvl="1">
      <w:startOverride w:val="3"/>
    </w:lvlOverride>
  </w:num>
  <w:num w:numId="330" w16cid:durableId="1556820072">
    <w:abstractNumId w:val="25"/>
  </w:num>
  <w:num w:numId="331" w16cid:durableId="1470439083">
    <w:abstractNumId w:val="17"/>
  </w:num>
  <w:num w:numId="332" w16cid:durableId="538780605">
    <w:abstractNumId w:val="20"/>
  </w:num>
  <w:num w:numId="333" w16cid:durableId="130564383">
    <w:abstractNumId w:val="27"/>
  </w:num>
  <w:num w:numId="334" w16cid:durableId="1017464277">
    <w:abstractNumId w:val="19"/>
  </w:num>
  <w:num w:numId="335" w16cid:durableId="1059282091">
    <w:abstractNumId w:val="37"/>
  </w:num>
  <w:num w:numId="336" w16cid:durableId="1735424484">
    <w:abstractNumId w:val="13"/>
  </w:num>
  <w:num w:numId="337" w16cid:durableId="438718605">
    <w:abstractNumId w:val="14"/>
  </w:num>
  <w:num w:numId="338" w16cid:durableId="1660186439">
    <w:abstractNumId w:val="29"/>
  </w:num>
  <w:num w:numId="339" w16cid:durableId="940062582">
    <w:abstractNumId w:val="33"/>
  </w:num>
  <w:num w:numId="340" w16cid:durableId="520437913">
    <w:abstractNumId w:val="32"/>
  </w:num>
  <w:num w:numId="341" w16cid:durableId="1454403568">
    <w:abstractNumId w:val="12"/>
  </w:num>
  <w:num w:numId="342" w16cid:durableId="1717658541">
    <w:abstractNumId w:val="28"/>
  </w:num>
  <w:num w:numId="343" w16cid:durableId="1224371027">
    <w:abstractNumId w:val="11"/>
  </w:num>
  <w:num w:numId="344" w16cid:durableId="1701936211">
    <w:abstractNumId w:val="22"/>
  </w:num>
  <w:num w:numId="345" w16cid:durableId="1666394135">
    <w:abstractNumId w:val="30"/>
  </w:num>
  <w:num w:numId="346" w16cid:durableId="1662804866">
    <w:abstractNumId w:val="18"/>
  </w:num>
  <w:num w:numId="347" w16cid:durableId="2047751868">
    <w:abstractNumId w:val="23"/>
  </w:num>
  <w:num w:numId="348" w16cid:durableId="1619143811">
    <w:abstractNumId w:val="31"/>
  </w:num>
  <w:num w:numId="349" w16cid:durableId="955217843">
    <w:abstractNumId w:val="15"/>
  </w:num>
  <w:num w:numId="350" w16cid:durableId="6135136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865BE"/>
    <w:rsid w:val="000C21FD"/>
    <w:rsid w:val="000D0378"/>
    <w:rsid w:val="000D3ECB"/>
    <w:rsid w:val="000F720D"/>
    <w:rsid w:val="001143C7"/>
    <w:rsid w:val="00116002"/>
    <w:rsid w:val="00117785"/>
    <w:rsid w:val="00127E31"/>
    <w:rsid w:val="001356E0"/>
    <w:rsid w:val="001517BB"/>
    <w:rsid w:val="00151845"/>
    <w:rsid w:val="00162E8A"/>
    <w:rsid w:val="001C3216"/>
    <w:rsid w:val="001F5938"/>
    <w:rsid w:val="00205413"/>
    <w:rsid w:val="0021672C"/>
    <w:rsid w:val="00221ECF"/>
    <w:rsid w:val="00222081"/>
    <w:rsid w:val="00231C8E"/>
    <w:rsid w:val="00240952"/>
    <w:rsid w:val="00245C51"/>
    <w:rsid w:val="0025471E"/>
    <w:rsid w:val="00257C00"/>
    <w:rsid w:val="002B42F4"/>
    <w:rsid w:val="002B7213"/>
    <w:rsid w:val="002C3DAB"/>
    <w:rsid w:val="002C4402"/>
    <w:rsid w:val="00322058"/>
    <w:rsid w:val="00340465"/>
    <w:rsid w:val="003424F0"/>
    <w:rsid w:val="00373E09"/>
    <w:rsid w:val="003C7864"/>
    <w:rsid w:val="003D0446"/>
    <w:rsid w:val="00410DA6"/>
    <w:rsid w:val="00422F55"/>
    <w:rsid w:val="00434680"/>
    <w:rsid w:val="00441CCC"/>
    <w:rsid w:val="00462243"/>
    <w:rsid w:val="00464116"/>
    <w:rsid w:val="0046564B"/>
    <w:rsid w:val="004933D7"/>
    <w:rsid w:val="00496D7D"/>
    <w:rsid w:val="00497A00"/>
    <w:rsid w:val="004C7AD8"/>
    <w:rsid w:val="004D24CC"/>
    <w:rsid w:val="00554233"/>
    <w:rsid w:val="005D073C"/>
    <w:rsid w:val="005D7A02"/>
    <w:rsid w:val="005D7FEA"/>
    <w:rsid w:val="00601A07"/>
    <w:rsid w:val="0060217C"/>
    <w:rsid w:val="006052D0"/>
    <w:rsid w:val="00624770"/>
    <w:rsid w:val="00672A6A"/>
    <w:rsid w:val="0069487F"/>
    <w:rsid w:val="006A2A0F"/>
    <w:rsid w:val="006A6489"/>
    <w:rsid w:val="006C242A"/>
    <w:rsid w:val="006C2F51"/>
    <w:rsid w:val="006D1E4B"/>
    <w:rsid w:val="006D40D8"/>
    <w:rsid w:val="006E58BD"/>
    <w:rsid w:val="006F2583"/>
    <w:rsid w:val="006F31B5"/>
    <w:rsid w:val="006F6B45"/>
    <w:rsid w:val="00710226"/>
    <w:rsid w:val="007659EE"/>
    <w:rsid w:val="00765DC5"/>
    <w:rsid w:val="00784A47"/>
    <w:rsid w:val="00792023"/>
    <w:rsid w:val="007B5411"/>
    <w:rsid w:val="007D2DAE"/>
    <w:rsid w:val="00810280"/>
    <w:rsid w:val="00852047"/>
    <w:rsid w:val="00880512"/>
    <w:rsid w:val="008818B6"/>
    <w:rsid w:val="008907A4"/>
    <w:rsid w:val="00894684"/>
    <w:rsid w:val="008A2AB1"/>
    <w:rsid w:val="008C07D6"/>
    <w:rsid w:val="008C1605"/>
    <w:rsid w:val="008C531A"/>
    <w:rsid w:val="008D2645"/>
    <w:rsid w:val="008D3F7C"/>
    <w:rsid w:val="008E18FF"/>
    <w:rsid w:val="008F33B3"/>
    <w:rsid w:val="008F4761"/>
    <w:rsid w:val="00927779"/>
    <w:rsid w:val="009449DC"/>
    <w:rsid w:val="009510D5"/>
    <w:rsid w:val="0095484E"/>
    <w:rsid w:val="00967DD5"/>
    <w:rsid w:val="00984E50"/>
    <w:rsid w:val="00985C39"/>
    <w:rsid w:val="009A07DA"/>
    <w:rsid w:val="009C7DB5"/>
    <w:rsid w:val="009E1F33"/>
    <w:rsid w:val="00A05784"/>
    <w:rsid w:val="00A27FE0"/>
    <w:rsid w:val="00A30FB1"/>
    <w:rsid w:val="00A533A0"/>
    <w:rsid w:val="00A74389"/>
    <w:rsid w:val="00A86C28"/>
    <w:rsid w:val="00A94A2D"/>
    <w:rsid w:val="00A95BA5"/>
    <w:rsid w:val="00A97C03"/>
    <w:rsid w:val="00AD45B1"/>
    <w:rsid w:val="00B03088"/>
    <w:rsid w:val="00B05E2C"/>
    <w:rsid w:val="00B16288"/>
    <w:rsid w:val="00B56113"/>
    <w:rsid w:val="00B60435"/>
    <w:rsid w:val="00B711DE"/>
    <w:rsid w:val="00B84201"/>
    <w:rsid w:val="00BA0A52"/>
    <w:rsid w:val="00BC2CF5"/>
    <w:rsid w:val="00C120A6"/>
    <w:rsid w:val="00C1240E"/>
    <w:rsid w:val="00C12669"/>
    <w:rsid w:val="00C172FE"/>
    <w:rsid w:val="00C22992"/>
    <w:rsid w:val="00C6591A"/>
    <w:rsid w:val="00C704C4"/>
    <w:rsid w:val="00C74AC3"/>
    <w:rsid w:val="00C75C62"/>
    <w:rsid w:val="00C82BA7"/>
    <w:rsid w:val="00C8473A"/>
    <w:rsid w:val="00CB68F4"/>
    <w:rsid w:val="00CC45BD"/>
    <w:rsid w:val="00CD6D53"/>
    <w:rsid w:val="00D02C1C"/>
    <w:rsid w:val="00D043F5"/>
    <w:rsid w:val="00D110A5"/>
    <w:rsid w:val="00D12EBE"/>
    <w:rsid w:val="00D14063"/>
    <w:rsid w:val="00D17E6D"/>
    <w:rsid w:val="00D20AED"/>
    <w:rsid w:val="00D45448"/>
    <w:rsid w:val="00D4599E"/>
    <w:rsid w:val="00D957B0"/>
    <w:rsid w:val="00DA1309"/>
    <w:rsid w:val="00DC0047"/>
    <w:rsid w:val="00DC0B47"/>
    <w:rsid w:val="00DC748E"/>
    <w:rsid w:val="00DD6AEE"/>
    <w:rsid w:val="00DE4F82"/>
    <w:rsid w:val="00DE60E7"/>
    <w:rsid w:val="00E3763D"/>
    <w:rsid w:val="00E40EDE"/>
    <w:rsid w:val="00E67F55"/>
    <w:rsid w:val="00E83EAB"/>
    <w:rsid w:val="00EB123F"/>
    <w:rsid w:val="00EC7DF9"/>
    <w:rsid w:val="00EF69DE"/>
    <w:rsid w:val="00F10F58"/>
    <w:rsid w:val="00F2006E"/>
    <w:rsid w:val="00F24D9E"/>
    <w:rsid w:val="00F257F5"/>
    <w:rsid w:val="00F45525"/>
    <w:rsid w:val="00F86D3F"/>
    <w:rsid w:val="00FA2773"/>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187</Pages>
  <Words>66677</Words>
  <Characters>380059</Characters>
  <Application>Microsoft Office Word</Application>
  <DocSecurity>0</DocSecurity>
  <Lines>3167</Lines>
  <Paragraphs>891</Paragraphs>
  <ScaleCrop>false</ScaleCrop>
  <Company/>
  <LinksUpToDate>false</LinksUpToDate>
  <CharactersWithSpaces>445845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182</cp:revision>
  <dcterms:created xsi:type="dcterms:W3CDTF">2023-03-23T02:09:00Z</dcterms:created>
  <dcterms:modified xsi:type="dcterms:W3CDTF">2023-05-01T01:31:00Z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id="RYlLsYcH"/&gt;&lt;style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