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F085" w14:textId="6CD600A7" w:rsidR="00D0466F" w:rsidRPr="00FD2193" w:rsidRDefault="00D0466F" w:rsidP="00D0466F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成大醫院</w:t>
      </w:r>
    </w:p>
    <w:p w14:paraId="7A71EC75" w14:textId="4D280055" w:rsidR="00FD2193" w:rsidRPr="00FD2193" w:rsidRDefault="00D0466F" w:rsidP="00FD2193">
      <w:pPr>
        <w:jc w:val="center"/>
        <w:rPr>
          <w:rFonts w:ascii="微軟正黑體" w:eastAsia="微軟正黑體" w:hAnsi="微軟正黑體" w:cs="Times New Roman"/>
          <w:b/>
          <w:bCs/>
          <w:sz w:val="36"/>
          <w:szCs w:val="32"/>
        </w:rPr>
      </w:pPr>
      <w:r w:rsidRPr="00FD2193">
        <w:rPr>
          <w:rFonts w:ascii="微軟正黑體" w:eastAsia="微軟正黑體" w:hAnsi="微軟正黑體" w:cs="Times New Roman"/>
          <w:b/>
          <w:bCs/>
          <w:sz w:val="36"/>
          <w:szCs w:val="32"/>
        </w:rPr>
        <w:t>&lt; 自費特材說明書 &gt;</w:t>
      </w:r>
    </w:p>
    <w:p w14:paraId="12A1A123" w14:textId="77777777" w:rsidR="00FD2193" w:rsidRPr="00E83715" w:rsidRDefault="00FD2193" w:rsidP="00E83715">
      <w:pPr>
        <w:ind w:rightChars="-90" w:right="-216"/>
        <w:jc w:val="center"/>
        <w:rPr>
          <w:rFonts w:ascii="微軟正黑體" w:eastAsia="微軟正黑體" w:hAnsi="微軟正黑體" w:cs="Times New Roman"/>
          <w:b/>
          <w:bCs/>
          <w:sz w:val="22"/>
        </w:rPr>
      </w:pPr>
    </w:p>
    <w:tbl>
      <w:tblPr>
        <w:tblStyle w:val="a7"/>
        <w:tblW w:w="13750" w:type="dxa"/>
        <w:tblInd w:w="1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73"/>
        <w:gridCol w:w="11477"/>
      </w:tblGrid>
      <w:tr w:rsidR="00FD2193" w:rsidRPr="00FD2193" w14:paraId="7F4FA58B" w14:textId="77777777" w:rsidTr="00FD2193">
        <w:tc>
          <w:tcPr>
            <w:tcW w:w="2273" w:type="dxa"/>
          </w:tcPr>
          <w:p w14:paraId="5FB9CA74" w14:textId="7E94C563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品    名：</w:t>
            </w:r>
          </w:p>
        </w:tc>
        <w:tc>
          <w:tcPr>
            <w:tcW w:w="11477" w:type="dxa"/>
          </w:tcPr>
          <w:p w14:paraId="7598BB20" w14:textId="2F465BF9" w:rsidR="00FD2193" w:rsidRPr="00FD2193" w:rsidRDefault="0029113C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"</w:t>
            </w:r>
            <w:r w:rsidR="009A6D81"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柯惠</w:t>
            </w:r>
            <w:r w:rsidRPr="002A08D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"</w:t>
            </w:r>
            <w:r w:rsidR="009A6D81"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利嘉修爾含塗層</w:t>
            </w:r>
            <w:r w:rsidR="00E8371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馬</w:t>
            </w:r>
            <w:r w:rsidR="009A6D81"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里蘭鉗口單一步驟閉合器</w:t>
            </w:r>
            <w:r w:rsidR="00E8371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/</w:t>
            </w:r>
            <w:r w:rsidR="009A6D81"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分割器</w:t>
            </w:r>
            <w:r w:rsidR="009A6D81" w:rsidRPr="00E83715">
              <w:rPr>
                <w:rFonts w:ascii="微軟正黑體" w:eastAsia="微軟正黑體" w:hAnsi="微軟正黑體" w:cs="Times New Roman"/>
                <w:sz w:val="32"/>
                <w:szCs w:val="28"/>
              </w:rPr>
              <w:t>( 23CM</w:t>
            </w:r>
            <w:r w:rsidR="00E8371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 xml:space="preserve"> </w:t>
            </w:r>
            <w:r w:rsidR="009A6D81" w:rsidRPr="00E83715">
              <w:rPr>
                <w:rFonts w:ascii="微軟正黑體" w:eastAsia="微軟正黑體" w:hAnsi="微軟正黑體" w:cs="Times New Roman"/>
                <w:sz w:val="32"/>
                <w:szCs w:val="28"/>
              </w:rPr>
              <w:t>/</w:t>
            </w:r>
            <w:r w:rsidR="00E83715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 xml:space="preserve"> </w:t>
            </w:r>
            <w:r w:rsidR="009A6D81" w:rsidRPr="00E83715">
              <w:rPr>
                <w:rFonts w:ascii="微軟正黑體" w:eastAsia="微軟正黑體" w:hAnsi="微軟正黑體" w:cs="Times New Roman"/>
                <w:sz w:val="32"/>
                <w:szCs w:val="28"/>
              </w:rPr>
              <w:t>37CM )</w:t>
            </w:r>
          </w:p>
        </w:tc>
      </w:tr>
      <w:tr w:rsidR="00FD2193" w:rsidRPr="00FD2193" w14:paraId="4F0DD1EA" w14:textId="77777777" w:rsidTr="00FD2193">
        <w:tc>
          <w:tcPr>
            <w:tcW w:w="2273" w:type="dxa"/>
          </w:tcPr>
          <w:p w14:paraId="2D8ECD7E" w14:textId="666874E5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自費原因：</w:t>
            </w:r>
          </w:p>
        </w:tc>
        <w:tc>
          <w:tcPr>
            <w:tcW w:w="11477" w:type="dxa"/>
          </w:tcPr>
          <w:p w14:paraId="5A6E2853" w14:textId="50E2E229" w:rsidR="00FD2193" w:rsidRPr="00FD2193" w:rsidRDefault="00FD2193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>健保不給付</w:t>
            </w:r>
          </w:p>
        </w:tc>
      </w:tr>
      <w:tr w:rsidR="00FD2193" w:rsidRPr="00FD2193" w14:paraId="268E755C" w14:textId="77777777" w:rsidTr="00FD2193">
        <w:tc>
          <w:tcPr>
            <w:tcW w:w="2273" w:type="dxa"/>
          </w:tcPr>
          <w:p w14:paraId="603AEF13" w14:textId="507B0EFA" w:rsidR="00FD2193" w:rsidRPr="00FD2193" w:rsidRDefault="00FD2193" w:rsidP="009A6D81">
            <w:pPr>
              <w:pStyle w:val="a8"/>
              <w:numPr>
                <w:ilvl w:val="0"/>
                <w:numId w:val="4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產品特性：</w:t>
            </w:r>
          </w:p>
        </w:tc>
        <w:tc>
          <w:tcPr>
            <w:tcW w:w="11477" w:type="dxa"/>
          </w:tcPr>
          <w:p w14:paraId="70DB12F2" w14:textId="0A3F6801" w:rsidR="00FD2193" w:rsidRPr="009A6D81" w:rsidRDefault="009A6D81" w:rsidP="009A6D81">
            <w:pPr>
              <w:pStyle w:val="a8"/>
              <w:numPr>
                <w:ilvl w:val="0"/>
                <w:numId w:val="6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此產品是一種雙極電外科器械，與</w:t>
            </w:r>
            <w:r w:rsidRPr="00E83715">
              <w:rPr>
                <w:rFonts w:ascii="微軟正黑體" w:eastAsia="微軟正黑體" w:hAnsi="微軟正黑體" w:cs="Times New Roman"/>
                <w:sz w:val="32"/>
                <w:szCs w:val="28"/>
              </w:rPr>
              <w:t>ForceTriad</w:t>
            </w:r>
            <w:r w:rsidR="00E83715">
              <w:rPr>
                <w:rFonts w:ascii="微軟正黑體" w:eastAsia="微軟正黑體" w:hAnsi="微軟正黑體" w:cs="Times New Roman"/>
                <w:sz w:val="32"/>
                <w:szCs w:val="28"/>
              </w:rPr>
              <w:t xml:space="preserve"> </w:t>
            </w: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能量平台配合使用，用於血管與淋巴需要結紮和切割的一般外科</w:t>
            </w:r>
            <w:r w:rsidR="00413E23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手術</w:t>
            </w: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與婦產科腹腔鏡</w:t>
            </w:r>
            <w:r w:rsidR="00413E23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手</w:t>
            </w: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術。</w:t>
            </w:r>
          </w:p>
          <w:p w14:paraId="19005705" w14:textId="77777777" w:rsidR="009A6D81" w:rsidRDefault="009A6D81" w:rsidP="009A6D81">
            <w:pPr>
              <w:pStyle w:val="a8"/>
              <w:numPr>
                <w:ilvl w:val="0"/>
                <w:numId w:val="6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此產品藉由RF電燒能量，在鉗口處對血管組織（血管與淋巴）形成閉合。</w:t>
            </w:r>
          </w:p>
          <w:p w14:paraId="4FF2896A" w14:textId="6266B37B" w:rsidR="009A6D81" w:rsidRPr="009A6D81" w:rsidRDefault="009A6D81" w:rsidP="00E83715">
            <w:pPr>
              <w:pStyle w:val="a8"/>
              <w:numPr>
                <w:ilvl w:val="0"/>
                <w:numId w:val="6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外科醫師可以啟動器械內的刀片以分割組織。</w:t>
            </w:r>
          </w:p>
        </w:tc>
      </w:tr>
      <w:tr w:rsidR="00FD2193" w:rsidRPr="00FD2193" w14:paraId="24AC29E6" w14:textId="77777777" w:rsidTr="00FD2193">
        <w:tc>
          <w:tcPr>
            <w:tcW w:w="2273" w:type="dxa"/>
          </w:tcPr>
          <w:p w14:paraId="423919B2" w14:textId="0220539E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使用原因：</w:t>
            </w:r>
          </w:p>
        </w:tc>
        <w:tc>
          <w:tcPr>
            <w:tcW w:w="11477" w:type="dxa"/>
          </w:tcPr>
          <w:p w14:paraId="1DA45D18" w14:textId="6668292B" w:rsidR="009A6D81" w:rsidRPr="009A6D81" w:rsidRDefault="009A6D81" w:rsidP="009A6D81">
            <w:pPr>
              <w:pStyle w:val="a8"/>
              <w:numPr>
                <w:ilvl w:val="0"/>
                <w:numId w:val="5"/>
              </w:numPr>
              <w:spacing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此產品適用於血管需要結紮和切割的一般</w:t>
            </w:r>
            <w:r w:rsidR="00413E23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胸</w:t>
            </w: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腔鏡</w:t>
            </w:r>
            <w:r w:rsidR="00413E23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或腹腔鏡</w:t>
            </w: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手術，包括泌尿外科、血管外科、胸腔外科與胸腔內視鏡和婦科。</w:t>
            </w:r>
          </w:p>
          <w:p w14:paraId="239BA240" w14:textId="3C4BE6A9" w:rsidR="00FD2193" w:rsidRPr="009A6D81" w:rsidRDefault="009A6D81" w:rsidP="00E83715">
            <w:pPr>
              <w:pStyle w:val="a8"/>
              <w:numPr>
                <w:ilvl w:val="0"/>
                <w:numId w:val="5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此產品適用於直徑不超過7mm</w:t>
            </w:r>
            <w:r w:rsidR="00E83715">
              <w:rPr>
                <w:rFonts w:ascii="微軟正黑體" w:eastAsia="微軟正黑體" w:hAnsi="微軟正黑體" w:cs="Times New Roman"/>
                <w:sz w:val="32"/>
                <w:szCs w:val="28"/>
              </w:rPr>
              <w:t xml:space="preserve"> </w:t>
            </w: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(</w:t>
            </w:r>
            <w:r w:rsidR="00E83715" w:rsidRPr="00E83715">
              <w:rPr>
                <w:rFonts w:ascii="微軟正黑體" w:eastAsia="微軟正黑體" w:hAnsi="微軟正黑體" w:cs="Times New Roman"/>
                <w:sz w:val="18"/>
                <w:szCs w:val="18"/>
              </w:rPr>
              <w:t xml:space="preserve"> </w:t>
            </w: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包含7mm</w:t>
            </w:r>
            <w:r w:rsidR="00E83715">
              <w:rPr>
                <w:rFonts w:ascii="微軟正黑體" w:eastAsia="微軟正黑體" w:hAnsi="微軟正黑體" w:cs="Times New Roman"/>
                <w:sz w:val="32"/>
                <w:szCs w:val="28"/>
              </w:rPr>
              <w:t xml:space="preserve"> </w:t>
            </w: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)</w:t>
            </w:r>
            <w:r w:rsidR="00E83715" w:rsidRPr="00E83715">
              <w:rPr>
                <w:rFonts w:ascii="微軟正黑體" w:eastAsia="微軟正黑體" w:hAnsi="微軟正黑體" w:cs="Times New Roman"/>
                <w:sz w:val="16"/>
                <w:szCs w:val="16"/>
              </w:rPr>
              <w:t xml:space="preserve"> </w:t>
            </w: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的血管、淋巴管及組織束。</w:t>
            </w:r>
          </w:p>
        </w:tc>
      </w:tr>
      <w:tr w:rsidR="00FD2193" w:rsidRPr="00FD2193" w14:paraId="6B1AE15F" w14:textId="77777777" w:rsidTr="00FD2193">
        <w:tc>
          <w:tcPr>
            <w:tcW w:w="2273" w:type="dxa"/>
          </w:tcPr>
          <w:p w14:paraId="7BD01C51" w14:textId="4AD16C40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注意事項：</w:t>
            </w:r>
          </w:p>
        </w:tc>
        <w:tc>
          <w:tcPr>
            <w:tcW w:w="11477" w:type="dxa"/>
          </w:tcPr>
          <w:p w14:paraId="79DB3F5E" w14:textId="6EADDE5F" w:rsidR="00FD2193" w:rsidRPr="00FD2193" w:rsidRDefault="009A6D81" w:rsidP="00FD2193">
            <w:pPr>
              <w:spacing w:after="240" w:line="560" w:lineRule="exact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9A6D81">
              <w:rPr>
                <w:rFonts w:ascii="微軟正黑體" w:eastAsia="微軟正黑體" w:hAnsi="微軟正黑體" w:cs="Times New Roman" w:hint="eastAsia"/>
                <w:sz w:val="32"/>
                <w:szCs w:val="28"/>
              </w:rPr>
              <w:t>此產品為單次使用產品。</w:t>
            </w:r>
          </w:p>
        </w:tc>
      </w:tr>
      <w:tr w:rsidR="00FD2193" w:rsidRPr="00FD2193" w14:paraId="0C95733D" w14:textId="77777777" w:rsidTr="00FD2193">
        <w:tc>
          <w:tcPr>
            <w:tcW w:w="13750" w:type="dxa"/>
            <w:gridSpan w:val="2"/>
          </w:tcPr>
          <w:p w14:paraId="4C3E4979" w14:textId="62B4EB5E" w:rsidR="00FD2193" w:rsidRPr="00FD2193" w:rsidRDefault="00FD2193" w:rsidP="00FD2193">
            <w:pPr>
              <w:pStyle w:val="a8"/>
              <w:numPr>
                <w:ilvl w:val="0"/>
                <w:numId w:val="4"/>
              </w:numPr>
              <w:spacing w:after="240" w:line="560" w:lineRule="exact"/>
              <w:ind w:leftChars="0"/>
              <w:jc w:val="both"/>
              <w:rPr>
                <w:rFonts w:ascii="微軟正黑體" w:eastAsia="微軟正黑體" w:hAnsi="微軟正黑體" w:cs="Times New Roman"/>
                <w:sz w:val="32"/>
                <w:szCs w:val="28"/>
              </w:rPr>
            </w:pPr>
            <w:r w:rsidRPr="00FD2193">
              <w:rPr>
                <w:rFonts w:ascii="微軟正黑體" w:eastAsia="微軟正黑體" w:hAnsi="微軟正黑體" w:cs="Times New Roman"/>
                <w:b/>
                <w:bCs/>
                <w:sz w:val="32"/>
                <w:szCs w:val="28"/>
              </w:rPr>
              <w:t>與健保給付品項之療效比較：</w:t>
            </w:r>
            <w:r w:rsidR="009A6D81" w:rsidRPr="00FD2193">
              <w:rPr>
                <w:rFonts w:ascii="微軟正黑體" w:eastAsia="微軟正黑體" w:hAnsi="微軟正黑體" w:cs="Times New Roman"/>
                <w:sz w:val="32"/>
                <w:szCs w:val="28"/>
              </w:rPr>
              <w:t xml:space="preserve"> </w:t>
            </w:r>
          </w:p>
        </w:tc>
      </w:tr>
    </w:tbl>
    <w:p w14:paraId="2DE69D7E" w14:textId="77777777" w:rsidR="00D0466F" w:rsidRPr="00D0466F" w:rsidRDefault="00D0466F" w:rsidP="00E83715"/>
    <w:sectPr w:rsidR="00D0466F" w:rsidRPr="00D0466F" w:rsidSect="00E83715">
      <w:pgSz w:w="16838" w:h="11906" w:orient="landscape" w:code="9"/>
      <w:pgMar w:top="1080" w:right="1440" w:bottom="568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4F45A" w14:textId="77777777" w:rsidR="004C78E7" w:rsidRDefault="004C78E7" w:rsidP="00FD2193">
      <w:r>
        <w:separator/>
      </w:r>
    </w:p>
  </w:endnote>
  <w:endnote w:type="continuationSeparator" w:id="0">
    <w:p w14:paraId="0601E91E" w14:textId="77777777" w:rsidR="004C78E7" w:rsidRDefault="004C78E7" w:rsidP="00FD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E41BC" w14:textId="77777777" w:rsidR="004C78E7" w:rsidRDefault="004C78E7" w:rsidP="00FD2193">
      <w:r>
        <w:separator/>
      </w:r>
    </w:p>
  </w:footnote>
  <w:footnote w:type="continuationSeparator" w:id="0">
    <w:p w14:paraId="643FF990" w14:textId="77777777" w:rsidR="004C78E7" w:rsidRDefault="004C78E7" w:rsidP="00FD2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45D5"/>
    <w:multiLevelType w:val="hybridMultilevel"/>
    <w:tmpl w:val="72A820C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7527FF"/>
    <w:multiLevelType w:val="hybridMultilevel"/>
    <w:tmpl w:val="395E4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DF009E"/>
    <w:multiLevelType w:val="hybridMultilevel"/>
    <w:tmpl w:val="EBBAFFC4"/>
    <w:lvl w:ilvl="0" w:tplc="20CEC304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866102"/>
    <w:multiLevelType w:val="hybridMultilevel"/>
    <w:tmpl w:val="8A16CEC0"/>
    <w:lvl w:ilvl="0" w:tplc="1958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5C794B"/>
    <w:multiLevelType w:val="hybridMultilevel"/>
    <w:tmpl w:val="0C883828"/>
    <w:lvl w:ilvl="0" w:tplc="04090003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6CC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103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4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E01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44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E6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146382"/>
    <w:multiLevelType w:val="hybridMultilevel"/>
    <w:tmpl w:val="5E762E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6F"/>
    <w:rsid w:val="000D3DC4"/>
    <w:rsid w:val="00192021"/>
    <w:rsid w:val="001E56F1"/>
    <w:rsid w:val="0029113C"/>
    <w:rsid w:val="002A08D1"/>
    <w:rsid w:val="00400725"/>
    <w:rsid w:val="00413E23"/>
    <w:rsid w:val="004C78E7"/>
    <w:rsid w:val="005B7857"/>
    <w:rsid w:val="009A6D81"/>
    <w:rsid w:val="00D0466F"/>
    <w:rsid w:val="00E83715"/>
    <w:rsid w:val="00F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68162"/>
  <w15:chartTrackingRefBased/>
  <w15:docId w15:val="{EC19CD4B-8727-44FC-8E98-E7110B81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1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21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193"/>
    <w:rPr>
      <w:sz w:val="20"/>
      <w:szCs w:val="20"/>
    </w:rPr>
  </w:style>
  <w:style w:type="table" w:styleId="a7">
    <w:name w:val="Table Grid"/>
    <w:basedOn w:val="a1"/>
    <w:uiPriority w:val="39"/>
    <w:rsid w:val="00FD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D21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533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86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35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37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6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8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孟蓁 李</dc:creator>
  <cp:keywords/>
  <dc:description/>
  <cp:lastModifiedBy>孟蓁 李</cp:lastModifiedBy>
  <cp:revision>4</cp:revision>
  <dcterms:created xsi:type="dcterms:W3CDTF">2022-07-12T17:23:00Z</dcterms:created>
  <dcterms:modified xsi:type="dcterms:W3CDTF">2022-07-19T14:47:00Z</dcterms:modified>
</cp:coreProperties>
</file>