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single" w:color="1B474D" w:sz="14"/>
              <w:left w:val="single" w:color="1B474D" w:sz="14"/>
              <w:bottom w:val="single" w:color="1B474D" w:sz="14"/>
              <w:right w:val="single" w:color="1B474D" w:sz="14"/>
            </w:tcBorders>
            <w:shd w:fill="1B474D" w:val="clear"/>
            <w:tcMar>
              <w:top w:type="dxa" w:w="80"/>
              <w:bottom w:type="dxa" w:w="80"/>
            </w:tcMar>
          </w:tcPr>
          <w:p>
            <w:pPr>
              <w:spacing w:after="0"/>
              <w:jc w:val="center"/>
            </w:pPr>
            <w:r>
              <w:rPr>
                <w:rFonts w:ascii="Calibri" w:cs="Calibri" w:eastAsia="Calibri" w:hAnsi="Calibri"/>
                <w:b/>
                <w:bCs/>
                <w:caps/>
                <w:color w:val="FFFFFF"/>
                <w:sz w:val="20"/>
                <w:szCs w:val="20"/>
              </w:rPr>
              <w:t xml:space="preserve">[CLASSIFICATION — e.g., SECRET//SAP-[PROGRAM NAME]//NOFORN]</w:t>
            </w:r>
          </w:p>
        </w:tc>
      </w:tr>
    </w:tbl>
    <w:p>
      <w:pPr>
        <w:spacing w:after="3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500"/>
        <w:gridCol w:w="1512"/>
      </w:tblGrid>
      <w:tr>
        <w:tc>
          <w:tcPr>
            <w:tcW w:type="dxa" w:w="5200"/>
            <w:vMerge w:val="restart"/>
            <w:tcBorders>
              <w:top w:val="single" w:color="8FAAAC" w:sz="4"/>
              <w:left w:val="single" w:color="8FAAAC" w:sz="4"/>
              <w:bottom w:val="single" w:color="8FAAAC" w:sz="4"/>
              <w:right w:val="single" w:color="8FAAAC" w:sz="4"/>
            </w:tcBorders>
            <w:shd w:fill="1B474D" w:val="clear"/>
            <w:tcMar>
              <w:top w:type="dxa" w:w="90"/>
              <w:left w:type="dxa" w:w="150"/>
              <w:bottom w:type="dxa" w:w="90"/>
              <w:right w:type="dxa" w:w="150"/>
            </w:tcMar>
            <w:vAlign w:val="center"/>
          </w:tcPr>
          <w:p>
            <w:pPr>
              <w:spacing w:after="0"/>
              <w:jc w:val="center"/>
            </w:pPr>
            <w:r>
              <w:rPr>
                <w:rFonts w:ascii="Calibri" w:cs="Calibri" w:eastAsia="Calibri" w:hAnsi="Calibri"/>
                <w:b/>
                <w:bCs/>
                <w:caps/>
                <w:color w:val="FFFFFF"/>
                <w:sz w:val="28"/>
                <w:szCs w:val="28"/>
              </w:rPr>
              <w:t xml:space="preserve">MAINTENANCE REQUIREMENT CARD</w:t>
            </w:r>
          </w:p>
          <w:p>
            <w:pPr>
              <w:spacing w:after="0"/>
              <w:jc w:val="center"/>
            </w:pPr>
            <w:r>
              <w:rPr>
                <w:rFonts w:ascii="Calibri" w:cs="Calibri" w:eastAsia="Calibri" w:hAnsi="Calibri"/>
                <w:color w:val="B8D8DA"/>
                <w:sz w:val="20"/>
                <w:szCs w:val="20"/>
              </w:rPr>
              <w:t xml:space="preserve">(MRC)</w:t>
            </w:r>
          </w:p>
        </w:tc>
        <w:tc>
          <w:tcPr>
            <w:tcW w:type="dxa" w:w="2300"/>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MRC Number</w:t>
            </w:r>
          </w:p>
        </w:tc>
        <w:tc>
          <w:tcPr>
            <w:tcW w:type="dxa" w:w="1500"/>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Revision</w:t>
            </w:r>
          </w:p>
        </w:tc>
        <w:tc>
          <w:tcPr>
            <w:tcW w:type="dxa" w:w="1512"/>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Page</w:t>
            </w:r>
          </w:p>
        </w:tc>
      </w:tr>
      <w:tr>
        <w:tc>
          <w:tcPr>
            <w:vMerge w:val="continue"/>
            <w:tcBorders>
              <w:top w:val="single" w:color="8FAAAC" w:sz="4"/>
              <w:left w:val="single" w:color="8FAAAC" w:sz="4"/>
              <w:bottom w:val="single" w:color="8FAAAC" w:sz="4"/>
              <w:right w:val="single" w:color="8FAAAC" w:sz="4"/>
            </w:tcBorders>
          </w:tcPr>
          <w:p/>
        </w:tc>
        <w:tc>
          <w:tcPr>
            <w:tcW w:type="dxa" w:w="2300"/>
            <w:gridSpan w:val="1"/>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p>
              <w:pPr>
                <w:spacing w:after="0"/>
              </w:pPr>
              <w:r>
                <w:rPr>
                  <w:rFonts w:ascii="Calibri" w:cs="Calibri" w:eastAsia="Calibri" w:hAnsi="Calibri"/>
                  <w:b/>
                  <w:bCs/>
                  <w:color w:val="28251D"/>
                  <w:sz w:val="20"/>
                  <w:szCs w:val="20"/>
                </w:rPr>
                <w:t xml:space="preserve">MRC-0301-DA</w:t>
              </w:r>
            </w:p>
          </w:p>
        </w:tc>
        <w:tc>
          <w:tcPr>
            <w:tcW w:type="dxa" w:w="1500"/>
            <w:gridSpan w:val="1"/>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p>
              <w:pPr>
                <w:spacing w:after="0"/>
              </w:pPr>
              <w:r>
                <w:rPr>
                  <w:rFonts w:ascii="Calibri" w:cs="Calibri" w:eastAsia="Calibri" w:hAnsi="Calibri"/>
                  <w:color w:val="28251D"/>
                  <w:sz w:val="20"/>
                  <w:szCs w:val="20"/>
                </w:rPr>
                <w:t xml:space="preserve">Rev 1.0</w:t>
              </w:r>
            </w:p>
          </w:p>
        </w:tc>
        <w:tc>
          <w:tcPr>
            <w:tcW w:type="dxa" w:w="1512"/>
            <w:gridSpan w:val="1"/>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p>
              <w:pPr>
                <w:spacing w:after="0"/>
              </w:pPr>
              <w:r>
                <w:rPr>
                  <w:rFonts w:ascii="Calibri" w:cs="Calibri" w:eastAsia="Calibri" w:hAnsi="Calibri"/>
                  <w:color w:val="28251D"/>
                  <w:sz w:val="20"/>
                  <w:szCs w:val="20"/>
                </w:rPr>
                <w:t xml:space="preserve">1 of 1</w:t>
              </w:r>
            </w:p>
          </w:p>
        </w:tc>
      </w:tr>
    </w:tbl>
    <w:p>
      <w:pPr>
        <w:spacing w:after="2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400"/>
        <w:gridCol w:w="2712"/>
      </w:tblGrid>
      <w:tr>
        <w:tc>
          <w:tcPr>
            <w:tcW w:type="dxa" w:w="21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System / Platform</w:t>
            </w:r>
          </w:p>
        </w:tc>
        <w:tc>
          <w:tcPr>
            <w:tcW w:type="dxa" w:w="3300"/>
            <w:gridSpan w:val="1"/>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p>
              <w:pPr>
                <w:spacing w:after="0"/>
              </w:pPr>
              <w:r>
                <w:rPr>
                  <w:rFonts w:ascii="Calibri" w:cs="Calibri" w:eastAsia="Calibri" w:hAnsi="Calibri"/>
                  <w:i/>
                  <w:iCs/>
                  <w:color w:val="5A6E70"/>
                  <w:sz w:val="20"/>
                  <w:szCs w:val="20"/>
                </w:rPr>
                <w:t xml:space="preserve">[System / Platform Name — e.g., NIPR Workstation Enclave]</w:t>
              </w:r>
            </w:p>
          </w:p>
        </w:tc>
        <w:tc>
          <w:tcPr>
            <w:tcW w:type="dxa" w:w="24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Periodicity</w:t>
            </w:r>
          </w:p>
        </w:tc>
        <w:tc>
          <w:tcPr>
            <w:tcW w:type="dxa" w:w="2712"/>
            <w:gridSpan w:val="1"/>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p>
              <w:pPr>
                <w:spacing w:after="0"/>
              </w:pPr>
              <w:r>
                <w:rPr>
                  <w:rFonts w:ascii="Calibri" w:cs="Calibri" w:eastAsia="Calibri" w:hAnsi="Calibri"/>
                  <w:b/>
                  <w:bCs/>
                  <w:color w:val="1B474D"/>
                  <w:sz w:val="20"/>
                  <w:szCs w:val="20"/>
                </w:rPr>
                <w:t xml:space="preserve">DAILY</w:t>
              </w:r>
            </w:p>
          </w:p>
        </w:tc>
      </w:tr>
      <w:tr>
        <w:tc>
          <w:tcPr>
            <w:tcW w:type="dxa" w:w="21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Subsystem / Component</w:t>
            </w:r>
          </w:p>
        </w:tc>
        <w:tc>
          <w:tcPr>
            <w:tcW w:type="dxa" w:w="3300"/>
            <w:gridSpan w:val="1"/>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p>
              <w:pPr>
                <w:spacing w:after="0"/>
              </w:pPr>
              <w:r>
                <w:rPr>
                  <w:rFonts w:ascii="Calibri" w:cs="Calibri" w:eastAsia="Calibri" w:hAnsi="Calibri"/>
                  <w:b/>
                  <w:bCs/>
                  <w:color w:val="28251D"/>
                  <w:sz w:val="20"/>
                  <w:szCs w:val="20"/>
                </w:rPr>
                <w:t xml:space="preserve">Trellix ePolicy Orchestrator (ePO) — Endpoint Security (ENS) Threat Prevention</w:t>
              </w:r>
            </w:p>
          </w:p>
        </w:tc>
        <w:tc>
          <w:tcPr>
            <w:tcW w:type="dxa" w:w="24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Maintenance Type</w:t>
            </w:r>
          </w:p>
        </w:tc>
        <w:tc>
          <w:tcPr>
            <w:tcW w:type="dxa" w:w="2712"/>
            <w:gridSpan w:val="1"/>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p>
              <w:pPr>
                <w:spacing w:after="0"/>
              </w:pPr>
              <w:r>
                <w:rPr>
                  <w:rFonts w:ascii="Calibri" w:cs="Calibri" w:eastAsia="Calibri" w:hAnsi="Calibri"/>
                  <w:color w:val="28251D"/>
                  <w:sz w:val="20"/>
                  <w:szCs w:val="20"/>
                </w:rPr>
                <w:t xml:space="preserve">PREVENTIVE / INSPECT</w:t>
              </w:r>
            </w:p>
          </w:p>
        </w:tc>
      </w:tr>
      <w:tr>
        <w:tc>
          <w:tcPr>
            <w:tcW w:type="dxa" w:w="21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RIN / Control Number</w:t>
            </w:r>
          </w:p>
        </w:tc>
        <w:tc>
          <w:tcPr>
            <w:tcW w:type="dxa" w:w="3300"/>
            <w:gridSpan w:val="1"/>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p>
              <w:pPr>
                <w:spacing w:after="0"/>
              </w:pPr>
              <w:r>
                <w:rPr>
                  <w:rFonts w:ascii="Calibri" w:cs="Calibri" w:eastAsia="Calibri" w:hAnsi="Calibri"/>
                  <w:color w:val="28251D"/>
                  <w:sz w:val="20"/>
                  <w:szCs w:val="20"/>
                </w:rPr>
                <w:t xml:space="preserve">DA-AV-001</w:t>
              </w:r>
            </w:p>
          </w:p>
        </w:tc>
        <w:tc>
          <w:tcPr>
            <w:tcW w:type="dxa" w:w="24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Est. Time (HH:MM)</w:t>
            </w:r>
          </w:p>
        </w:tc>
        <w:tc>
          <w:tcPr>
            <w:tcW w:type="dxa" w:w="2712"/>
            <w:gridSpan w:val="1"/>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p>
              <w:pPr>
                <w:spacing w:after="0"/>
              </w:pPr>
              <w:r>
                <w:rPr>
                  <w:rFonts w:ascii="Calibri" w:cs="Calibri" w:eastAsia="Calibri" w:hAnsi="Calibri"/>
                  <w:color w:val="28251D"/>
                  <w:sz w:val="20"/>
                  <w:szCs w:val="20"/>
                </w:rPr>
                <w:t xml:space="preserve">00:20</w:t>
              </w:r>
            </w:p>
          </w:p>
        </w:tc>
      </w:tr>
      <w:tr>
        <w:tc>
          <w:tcPr>
            <w:tcW w:type="dxa" w:w="21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JSIG Controls</w:t>
            </w:r>
          </w:p>
        </w:tc>
        <w:tc>
          <w:tcPr>
            <w:tcW w:type="dxa" w:w="3300"/>
            <w:gridSpan w:val="1"/>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p>
              <w:pPr>
                <w:spacing w:after="0"/>
              </w:pPr>
              <w:r>
                <w:rPr>
                  <w:rFonts w:ascii="Calibri" w:cs="Calibri" w:eastAsia="Calibri" w:hAnsi="Calibri"/>
                  <w:b/>
                  <w:bCs/>
                  <w:color w:val="28251D"/>
                  <w:sz w:val="20"/>
                  <w:szCs w:val="20"/>
                </w:rPr>
                <w:t xml:space="preserve">AC-6(1) [NON-TAILORABLE], SI-3, CM-6</w:t>
              </w:r>
            </w:p>
          </w:p>
        </w:tc>
        <w:tc>
          <w:tcPr>
            <w:tcW w:type="dxa" w:w="24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Non-Tailorable</w:t>
            </w:r>
          </w:p>
        </w:tc>
        <w:tc>
          <w:tcPr>
            <w:tcW w:type="dxa" w:w="2712"/>
            <w:tcBorders>
              <w:top w:val="single" w:color="8FAAAC" w:sz="4"/>
              <w:left w:val="single" w:color="8FAAAC" w:sz="4"/>
              <w:bottom w:val="single" w:color="8FAAAC" w:sz="4"/>
              <w:right w:val="single" w:color="8FAAAC" w:sz="4"/>
            </w:tcBorders>
            <w:shd w:fill="FFF3CD" w:val="clear"/>
            <w:tcMar>
              <w:top w:type="dxa" w:w="60"/>
              <w:left w:type="dxa" w:w="110"/>
              <w:bottom w:type="dxa" w:w="60"/>
              <w:right w:type="dxa" w:w="110"/>
            </w:tcMar>
          </w:tcPr>
          <w:p>
            <w:pPr>
              <w:spacing w:after="0"/>
            </w:pPr>
            <w:r>
              <w:rPr>
                <w:rFonts w:ascii="Calibri" w:cs="Calibri" w:eastAsia="Calibri" w:hAnsi="Calibri"/>
                <w:b/>
                <w:bCs/>
                <w:color w:val="A12C7B"/>
                <w:sz w:val="18"/>
                <w:szCs w:val="18"/>
              </w:rPr>
              <w:t xml:space="preserve">⚠ AC-6(1) — Endpoint protection shall NOT be absent from any SAP system.</w:t>
            </w:r>
          </w:p>
        </w:tc>
      </w:tr>
      <w:tr>
        <w:tc>
          <w:tcPr>
            <w:tcW w:type="dxa" w:w="10512"/>
            <w:gridSpan w:val="4"/>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tcPr>
          <w:p>
            <w:pPr>
              <w:spacing w:after="0"/>
            </w:pPr>
            <w:r>
              <w:rPr>
                <w:rFonts w:ascii="Calibri" w:cs="Calibri" w:eastAsia="Calibri" w:hAnsi="Calibri"/>
                <w:b/>
                <w:bCs/>
                <w:color w:val="1B474D"/>
                <w:sz w:val="20"/>
                <w:szCs w:val="20"/>
              </w:rPr>
              <w:t xml:space="preserve">Task Title / Check Name</w:t>
            </w:r>
          </w:p>
        </w:tc>
      </w:tr>
      <w:tr>
        <w:tc>
          <w:tcPr>
            <w:tcW w:type="dxa" w:w="10512"/>
            <w:gridSpan w:val="4"/>
            <w:tcBorders>
              <w:top w:val="single" w:color="8FAAAC" w:sz="4"/>
              <w:left w:val="single" w:color="8FAAAC" w:sz="4"/>
              <w:bottom w:val="single" w:color="8FAAAC" w:sz="4"/>
              <w:right w:val="single" w:color="8FAAAC" w:sz="4"/>
            </w:tcBorders>
            <w:shd w:fill="FFFFFF" w:val="clear"/>
            <w:tcMar>
              <w:top w:type="dxa" w:w="80"/>
              <w:left w:type="dxa" w:w="130"/>
              <w:bottom w:type="dxa" w:w="80"/>
              <w:right w:type="dxa" w:w="130"/>
            </w:tcMar>
          </w:tcPr>
          <w:p>
            <w:pPr>
              <w:spacing w:after="0"/>
            </w:pPr>
            <w:r>
              <w:rPr>
                <w:rFonts w:ascii="Calibri" w:cs="Calibri" w:eastAsia="Calibri" w:hAnsi="Calibri"/>
                <w:b/>
                <w:bCs/>
                <w:color w:val="28251D"/>
                <w:sz w:val="24"/>
                <w:szCs w:val="24"/>
              </w:rPr>
              <w:t xml:space="preserve">Daily AV/EDR Definition Currency and Agent Health Verification — Trellix ePolicy Orchestrator</w:t>
            </w:r>
          </w:p>
        </w:tc>
      </w:tr>
    </w:tbl>
    <w:p>
      <w:pPr>
        <w:spacing w:after="2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00"/>
        <w:gridCol w:w="8512"/>
      </w:tblGrid>
      <w:tr>
        <w:tc>
          <w:tcPr>
            <w:tcW w:type="dxa" w:w="2000"/>
            <w:tcBorders>
              <w:top w:val="single" w:color="FFC107" w:sz="8"/>
              <w:left w:val="single" w:color="FFC107" w:sz="8"/>
              <w:bottom w:val="single" w:color="FFC107" w:sz="8"/>
              <w:right w:val="single" w:color="8FAAAC" w:sz="4"/>
            </w:tcBorders>
            <w:shd w:fill="FFF3CD" w:val="clear"/>
            <w:tcMar>
              <w:top w:type="dxa" w:w="70"/>
              <w:left w:type="dxa" w:w="110"/>
              <w:bottom w:type="dxa" w:w="70"/>
              <w:right w:type="dxa" w:w="110"/>
            </w:tcMar>
            <w:vAlign w:val="center"/>
          </w:tcPr>
          <w:p>
            <w:pPr>
              <w:spacing w:after="0"/>
              <w:jc w:val="center"/>
            </w:pPr>
            <w:r>
              <w:rPr>
                <w:rFonts w:ascii="Calibri" w:cs="Calibri" w:eastAsia="Calibri" w:hAnsi="Calibri"/>
                <w:b/>
                <w:bCs/>
                <w:caps/>
                <w:color w:val="A12C7B"/>
                <w:sz w:val="18"/>
                <w:szCs w:val="18"/>
              </w:rPr>
              <w:t xml:space="preserve">⚠  SAFETY / HAZARDS</w:t>
            </w:r>
          </w:p>
        </w:tc>
        <w:tc>
          <w:tcPr>
            <w:tcW w:type="dxa" w:w="8512"/>
            <w:tcBorders>
              <w:top w:val="single" w:color="FFC107" w:sz="8"/>
              <w:left w:val="single" w:color="8FAAAC" w:sz="4"/>
              <w:bottom w:val="single" w:color="FFC107" w:sz="8"/>
              <w:right w:val="single" w:color="FFC107" w:sz="8"/>
            </w:tcBorders>
            <w:shd w:fill="FFF3CD" w:val="clear"/>
            <w:tcMar>
              <w:top w:type="dxa" w:w="70"/>
              <w:left w:type="dxa" w:w="110"/>
              <w:bottom w:type="dxa" w:w="70"/>
              <w:right w:type="dxa" w:w="110"/>
            </w:tcMar>
          </w:tcPr>
          <w:p>
            <w:pPr>
              <w:spacing w:after="0"/>
            </w:pPr>
            <w:r>
              <w:rPr>
                <w:rFonts w:ascii="Calibri" w:cs="Calibri" w:eastAsia="Calibri" w:hAnsi="Calibri"/>
                <w:b/>
                <w:bCs/>
                <w:color w:val="A12C7B"/>
                <w:sz w:val="20"/>
                <w:szCs w:val="20"/>
              </w:rPr>
              <w:t xml:space="preserve">READ-ONLY ACCESS ONLY. </w:t>
            </w:r>
            <w:r>
              <w:rPr>
                <w:rFonts w:ascii="Calibri" w:cs="Calibri" w:eastAsia="Calibri" w:hAnsi="Calibri"/>
                <w:color w:val="28251D"/>
                <w:sz w:val="20"/>
                <w:szCs w:val="20"/>
              </w:rPr>
              <w:t xml:space="preserve">Do not modify, delete, suppress, or create exceptions in ePO without a CCB-approved Change Request and written ISSM authorization.</w:t>
            </w:r>
          </w:p>
          <w:p>
            <w:pPr>
              <w:spacing w:after="40"/>
            </w:pPr>
            <w:r>
              <w:rPr>
                <w:rFonts w:ascii="Calibri" w:cs="Calibri" w:eastAsia="Calibri" w:hAnsi="Calibri"/>
                <w:color w:val="28251D"/>
                <w:sz w:val="20"/>
                <w:szCs w:val="20"/>
              </w:rPr>
              <w:t xml:space="preserve"/>
            </w:r>
          </w:p>
          <w:p>
            <w:pPr>
              <w:spacing w:after="0"/>
            </w:pPr>
            <w:r>
              <w:rPr>
                <w:rFonts w:ascii="Calibri" w:cs="Calibri" w:eastAsia="Calibri" w:hAnsi="Calibri"/>
                <w:b/>
                <w:bCs/>
                <w:color w:val="A12C7B"/>
                <w:sz w:val="20"/>
                <w:szCs w:val="20"/>
              </w:rPr>
              <w:t xml:space="preserve">NON-TAILORABLE CONTROL: </w:t>
            </w:r>
            <w:r>
              <w:rPr>
                <w:rFonts w:ascii="Calibri" w:cs="Calibri" w:eastAsia="Calibri" w:hAnsi="Calibri"/>
                <w:color w:val="28251D"/>
                <w:sz w:val="20"/>
                <w:szCs w:val="20"/>
              </w:rPr>
              <w:t xml:space="preserve">Per JSIG, endpoint protection (AC-6(1)) SHALL NOT be absent from any SAP system. Any offline or unprotected host is an immediate reportable event — STOP and notify ISSM/ISSO before continuing.</w:t>
            </w:r>
          </w:p>
        </w:tc>
      </w:tr>
    </w:tbl>
    <w:p>
      <w:pPr>
        <w:spacing w:after="2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56"/>
        <w:gridCol w:w="5256"/>
      </w:tblGrid>
      <w:tr>
        <w:tc>
          <w:tcPr>
            <w:tcW w:type="dxa" w:w="5256"/>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Tools / Access Required</w:t>
            </w:r>
          </w:p>
        </w:tc>
        <w:tc>
          <w:tcPr>
            <w:tcW w:type="dxa" w:w="5256"/>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Reference Documents</w:t>
            </w:r>
          </w:p>
        </w:tc>
      </w:tr>
      <w:tr>
        <w:tc>
          <w:tcPr>
            <w:tcW w:type="dxa" w:w="5256"/>
            <w:gridSpan w:val="1"/>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b/>
                <w:bCs/>
                <w:color w:val="28251D"/>
                <w:sz w:val="20"/>
                <w:szCs w:val="20"/>
              </w:rPr>
              <w:t xml:space="preserve">Required Access: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 ePO Console URL: </w:t>
            </w:r>
            <w:r>
              <w:rPr>
                <w:rFonts w:ascii="Courier New" w:cs="Courier New" w:eastAsia="Courier New" w:hAnsi="Courier New"/>
                <w:color w:val="1B474D"/>
                <w:sz w:val="18"/>
                <w:szCs w:val="18"/>
              </w:rPr>
              <w:t xml:space="preserve">https://[ePO-SERVER]:8443/core/orionSplashScreen.do</w:t>
            </w:r>
          </w:p>
          <w:p>
            <w:pPr>
              <w:spacing w:after="2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 Account: </w:t>
            </w:r>
            <w:r>
              <w:rPr>
                <w:rFonts w:ascii="Calibri" w:cs="Calibri" w:eastAsia="Calibri" w:hAnsi="Calibri"/>
                <w:color w:val="28251D"/>
                <w:sz w:val="20"/>
                <w:szCs w:val="20"/>
              </w:rPr>
              <w:t xml:space="preserve">Authorized ePO admin account with at least </w:t>
            </w:r>
            <w:r>
              <w:rPr>
                <w:rFonts w:ascii="Calibri" w:cs="Calibri" w:eastAsia="Calibri" w:hAnsi="Calibri"/>
                <w:b/>
                <w:bCs/>
                <w:color w:val="28251D"/>
                <w:sz w:val="20"/>
                <w:szCs w:val="20"/>
              </w:rPr>
              <w:t xml:space="preserve">Reviewer</w:t>
            </w:r>
            <w:r>
              <w:rPr>
                <w:rFonts w:ascii="Calibri" w:cs="Calibri" w:eastAsia="Calibri" w:hAnsi="Calibri"/>
                <w:color w:val="28251D"/>
                <w:sz w:val="20"/>
                <w:szCs w:val="20"/>
              </w:rPr>
              <w:t xml:space="preserve"> role or higher on the System Tree</w:t>
            </w:r>
          </w:p>
          <w:p>
            <w:pPr>
              <w:spacing w:after="2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 Required Permission Sets: </w:t>
            </w:r>
            <w:r>
              <w:rPr>
                <w:rFonts w:ascii="Calibri" w:cs="Calibri" w:eastAsia="Calibri" w:hAnsi="Calibri"/>
                <w:color w:val="28251D"/>
                <w:sz w:val="20"/>
                <w:szCs w:val="20"/>
              </w:rPr>
              <w:t xml:space="preserve">Systems &gt; View, Queries/Reports &gt; View, Dashboards &gt; View</w:t>
            </w:r>
          </w:p>
          <w:p>
            <w:pPr>
              <w:spacing w:after="2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 Network Access: </w:t>
            </w:r>
            <w:r>
              <w:rPr>
                <w:rFonts w:ascii="Calibri" w:cs="Calibri" w:eastAsia="Calibri" w:hAnsi="Calibri"/>
                <w:color w:val="28251D"/>
                <w:sz w:val="20"/>
                <w:szCs w:val="20"/>
              </w:rPr>
              <w:t xml:space="preserve">Workstation must be able to reach ePO server on port 8443 from within the enclave</w:t>
            </w:r>
          </w:p>
          <w:p>
            <w:pPr>
              <w:spacing w:after="2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Do NOT use a shared account. Use your individually assigned privileged account.</w:t>
            </w:r>
          </w:p>
        </w:tc>
        <w:tc>
          <w:tcPr>
            <w:tcW w:type="dxa" w:w="5256"/>
            <w:gridSpan w:val="1"/>
            <w:tcBorders>
              <w:top w:val="single" w:color="8FAAAC" w:sz="4"/>
              <w:left w:val="single" w:color="8FAAAC" w:sz="4"/>
              <w:bottom w:val="single" w:color="8FAAAC" w:sz="4"/>
              <w:right w:val="single" w:color="8FAAAC" w:sz="4"/>
            </w:tcBorders>
            <w:shd w:fill="E0F0F1" w:val="clear"/>
            <w:tcMar>
              <w:top w:type="dxa" w:w="60"/>
              <w:left w:type="dxa" w:w="110"/>
              <w:bottom w:type="dxa" w:w="60"/>
              <w:right w:type="dxa" w:w="110"/>
            </w:tcMar>
            <w:vAlign w:val="top"/>
          </w:tcPr>
          <w:p>
            <w:pPr>
              <w:spacing w:after="0"/>
            </w:pPr>
            <w:r>
              <w:rPr>
                <w:rFonts w:ascii="Calibri" w:cs="Calibri" w:eastAsia="Calibri" w:hAnsi="Calibri"/>
                <w:b/>
                <w:bCs/>
                <w:color w:val="28251D"/>
                <w:sz w:val="20"/>
                <w:szCs w:val="20"/>
              </w:rPr>
              <w:t xml:space="preserve">JSIG / NIST SP 800-53 Rev. 5:</w:t>
            </w:r>
          </w:p>
          <w:p>
            <w:pPr>
              <w:spacing w:after="0"/>
            </w:pPr>
            <w:r>
              <w:rPr>
                <w:rFonts w:ascii="Calibri" w:cs="Calibri" w:eastAsia="Calibri" w:hAnsi="Calibri"/>
                <w:color w:val="28251D"/>
                <w:sz w:val="20"/>
                <w:szCs w:val="20"/>
              </w:rPr>
              <w:t xml:space="preserve">• AC-6(1) — Least Privilege [NON-TAILORABLE]</w:t>
            </w:r>
          </w:p>
          <w:p>
            <w:pPr>
              <w:spacing w:after="0"/>
            </w:pPr>
            <w:r>
              <w:rPr>
                <w:rFonts w:ascii="Calibri" w:cs="Calibri" w:eastAsia="Calibri" w:hAnsi="Calibri"/>
                <w:color w:val="28251D"/>
                <w:sz w:val="20"/>
                <w:szCs w:val="20"/>
              </w:rPr>
              <w:t xml:space="preserve">• SI-3 — Malicious Code Protection</w:t>
            </w:r>
          </w:p>
          <w:p>
            <w:pPr>
              <w:spacing w:after="0"/>
            </w:pPr>
            <w:r>
              <w:rPr>
                <w:rFonts w:ascii="Calibri" w:cs="Calibri" w:eastAsia="Calibri" w:hAnsi="Calibri"/>
                <w:color w:val="28251D"/>
                <w:sz w:val="20"/>
                <w:szCs w:val="20"/>
              </w:rPr>
              <w:t xml:space="preserve">• CM-6 — Configuration Settings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DISA STIG:</w:t>
            </w:r>
          </w:p>
          <w:p>
            <w:pPr>
              <w:spacing w:after="0"/>
            </w:pPr>
            <w:r>
              <w:rPr>
                <w:rFonts w:ascii="Calibri" w:cs="Calibri" w:eastAsia="Calibri" w:hAnsi="Calibri"/>
                <w:color w:val="28251D"/>
                <w:sz w:val="20"/>
                <w:szCs w:val="20"/>
              </w:rPr>
              <w:t xml:space="preserve">• Trellix ePO STIG — applicable benchmark</w:t>
            </w:r>
          </w:p>
          <w:p>
            <w:pPr>
              <w:spacing w:after="0"/>
            </w:pPr>
            <w:r>
              <w:rPr>
                <w:rFonts w:ascii="Calibri" w:cs="Calibri" w:eastAsia="Calibri" w:hAnsi="Calibri"/>
                <w:color w:val="28251D"/>
                <w:sz w:val="20"/>
                <w:szCs w:val="20"/>
              </w:rPr>
              <w:t xml:space="preserve">• Endpoint Security ENS STIG — V-XXXXXX</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Policy / Guidance:</w:t>
            </w:r>
          </w:p>
          <w:p>
            <w:pPr>
              <w:spacing w:after="0"/>
            </w:pPr>
            <w:r>
              <w:rPr>
                <w:rFonts w:ascii="Calibri" w:cs="Calibri" w:eastAsia="Calibri" w:hAnsi="Calibri"/>
                <w:color w:val="28251D"/>
                <w:sz w:val="20"/>
                <w:szCs w:val="20"/>
              </w:rPr>
              <w:t xml:space="preserve">• DoDM 5205.07 Vol. 1 — ISSM/ISSO responsibilities</w:t>
            </w:r>
          </w:p>
          <w:p>
            <w:pPr>
              <w:spacing w:after="0"/>
            </w:pPr>
            <w:r>
              <w:rPr>
                <w:rFonts w:ascii="Calibri" w:cs="Calibri" w:eastAsia="Calibri" w:hAnsi="Calibri"/>
                <w:color w:val="28251D"/>
                <w:sz w:val="20"/>
                <w:szCs w:val="20"/>
              </w:rPr>
              <w:t xml:space="preserve">• System Security Plan (SSP) — SI-3 implementation</w:t>
            </w:r>
          </w:p>
          <w:p>
            <w:pPr>
              <w:spacing w:after="0"/>
            </w:pPr>
            <w:r>
              <w:rPr>
                <w:rFonts w:ascii="Calibri" w:cs="Calibri" w:eastAsia="Calibri" w:hAnsi="Calibri"/>
                <w:color w:val="28251D"/>
                <w:sz w:val="20"/>
                <w:szCs w:val="20"/>
              </w:rPr>
              <w:t xml:space="preserve">• [Local SOP Reference]</w:t>
            </w:r>
          </w:p>
        </w:tc>
      </w:tr>
      <w:tr>
        <w:tc>
          <w:tcPr>
            <w:tcW w:type="dxa" w:w="5256"/>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Manpower Requirements</w:t>
            </w:r>
          </w:p>
        </w:tc>
        <w:tc>
          <w:tcPr>
            <w:tcW w:type="dxa" w:w="5256"/>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Prerequisites</w:t>
            </w:r>
          </w:p>
        </w:tc>
      </w:tr>
      <w:tr>
        <w:tc>
          <w:tcPr>
            <w:tcW w:type="dxa" w:w="5256"/>
            <w:gridSpan w:val="1"/>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b/>
                <w:bCs/>
                <w:color w:val="28251D"/>
                <w:sz w:val="20"/>
                <w:szCs w:val="20"/>
              </w:rPr>
              <w:t xml:space="preserve">Minimum: </w:t>
            </w:r>
            <w:r>
              <w:rPr>
                <w:rFonts w:ascii="Calibri" w:cs="Calibri" w:eastAsia="Calibri" w:hAnsi="Calibri"/>
                <w:color w:val="28251D"/>
                <w:sz w:val="20"/>
                <w:szCs w:val="20"/>
              </w:rPr>
              <w:t xml:space="preserve">1x System Administrator</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Clearance: </w:t>
            </w:r>
            <w:r>
              <w:rPr>
                <w:rFonts w:ascii="Calibri" w:cs="Calibri" w:eastAsia="Calibri" w:hAnsi="Calibri"/>
                <w:color w:val="28251D"/>
                <w:sz w:val="20"/>
                <w:szCs w:val="20"/>
              </w:rPr>
              <w:t xml:space="preserve">Must hold required SAP access level for this system (MA-5)</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Supervision: </w:t>
            </w:r>
            <w:r>
              <w:rPr>
                <w:rFonts w:ascii="Calibri" w:cs="Calibri" w:eastAsia="Calibri" w:hAnsi="Calibri"/>
                <w:color w:val="28251D"/>
                <w:sz w:val="20"/>
                <w:szCs w:val="20"/>
              </w:rPr>
              <w:t xml:space="preserve">Personnel without required access must be escorted by a cleared SA at all times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28251D"/>
                <w:sz w:val="20"/>
                <w:szCs w:val="20"/>
              </w:rPr>
              <w:t xml:space="preserve">ISSM/ISSO: </w:t>
            </w:r>
            <w:r>
              <w:rPr>
                <w:rFonts w:ascii="Calibri" w:cs="Calibri" w:eastAsia="Calibri" w:hAnsi="Calibri"/>
                <w:color w:val="28251D"/>
                <w:sz w:val="20"/>
                <w:szCs w:val="20"/>
              </w:rPr>
              <w:t xml:space="preserve">Must be notified immediately if any non-compliant host is identified</w:t>
            </w:r>
          </w:p>
        </w:tc>
        <w:tc>
          <w:tcPr>
            <w:tcW w:type="dxa" w:w="5256"/>
            <w:gridSpan w:val="1"/>
            <w:tcBorders>
              <w:top w:val="single" w:color="8FAAAC" w:sz="4"/>
              <w:left w:val="single" w:color="8FAAAC" w:sz="4"/>
              <w:bottom w:val="single" w:color="8FAAAC" w:sz="4"/>
              <w:right w:val="single" w:color="8FAAAC" w:sz="4"/>
            </w:tcBorders>
            <w:shd w:fill="E0F0F1"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  </w:t>
            </w:r>
            <w:r>
              <w:rPr>
                <w:rFonts w:ascii="Calibri" w:cs="Calibri" w:eastAsia="Calibri" w:hAnsi="Calibri"/>
                <w:color w:val="28251D"/>
                <w:sz w:val="20"/>
                <w:szCs w:val="20"/>
              </w:rPr>
              <w:t xml:space="preserve">ISSM written authorization is on file for this MRC series</w:t>
            </w:r>
          </w:p>
          <w:p>
            <w:pPr>
              <w:spacing w:after="0"/>
            </w:pPr>
            <w:r>
              <w:rPr>
                <w:rFonts w:ascii="Calibri" w:cs="Calibri" w:eastAsia="Calibri" w:hAnsi="Calibri"/>
                <w:color w:val="28251D"/>
                <w:sz w:val="20"/>
                <w:szCs w:val="20"/>
              </w:rPr>
              <w:t xml:space="preserve">☐  </w:t>
            </w:r>
            <w:r>
              <w:rPr>
                <w:rFonts w:ascii="Calibri" w:cs="Calibri" w:eastAsia="Calibri" w:hAnsi="Calibri"/>
                <w:color w:val="28251D"/>
                <w:sz w:val="20"/>
                <w:szCs w:val="20"/>
              </w:rPr>
              <w:t xml:space="preserve">You are logged into your individually assigned privileged account (not shared)</w:t>
            </w:r>
          </w:p>
          <w:p>
            <w:pPr>
              <w:spacing w:after="0"/>
            </w:pPr>
            <w:r>
              <w:rPr>
                <w:rFonts w:ascii="Calibri" w:cs="Calibri" w:eastAsia="Calibri" w:hAnsi="Calibri"/>
                <w:color w:val="28251D"/>
                <w:sz w:val="20"/>
                <w:szCs w:val="20"/>
              </w:rPr>
              <w:t xml:space="preserve">☐  </w:t>
            </w:r>
            <w:r>
              <w:rPr>
                <w:rFonts w:ascii="Calibri" w:cs="Calibri" w:eastAsia="Calibri" w:hAnsi="Calibri"/>
                <w:color w:val="28251D"/>
                <w:sz w:val="20"/>
                <w:szCs w:val="20"/>
              </w:rPr>
              <w:t xml:space="preserve">Your workstation can reach the ePO console (test: open browser to ePO URL)</w:t>
            </w:r>
          </w:p>
          <w:p>
            <w:pPr>
              <w:spacing w:after="0"/>
            </w:pPr>
            <w:r>
              <w:rPr>
                <w:rFonts w:ascii="Calibri" w:cs="Calibri" w:eastAsia="Calibri" w:hAnsi="Calibri"/>
                <w:color w:val="28251D"/>
                <w:sz w:val="20"/>
                <w:szCs w:val="20"/>
              </w:rPr>
              <w:t xml:space="preserve">☐  </w:t>
            </w:r>
            <w:r>
              <w:rPr>
                <w:rFonts w:ascii="Calibri" w:cs="Calibri" w:eastAsia="Calibri" w:hAnsi="Calibri"/>
                <w:color w:val="28251D"/>
                <w:sz w:val="20"/>
                <w:szCs w:val="20"/>
              </w:rPr>
              <w:t xml:space="preserve">System is within the authorized maintenance window</w:t>
            </w:r>
          </w:p>
          <w:p>
            <w:pPr>
              <w:spacing w:after="0"/>
            </w:pPr>
            <w:r>
              <w:rPr>
                <w:rFonts w:ascii="Calibri" w:cs="Calibri" w:eastAsia="Calibri" w:hAnsi="Calibri"/>
                <w:color w:val="28251D"/>
                <w:sz w:val="20"/>
                <w:szCs w:val="20"/>
              </w:rPr>
              <w:t xml:space="preserve">☐  </w:t>
            </w:r>
            <w:r>
              <w:rPr>
                <w:rFonts w:ascii="Calibri" w:cs="Calibri" w:eastAsia="Calibri" w:hAnsi="Calibri"/>
                <w:color w:val="28251D"/>
                <w:sz w:val="20"/>
                <w:szCs w:val="20"/>
              </w:rPr>
              <w:t xml:space="preserve">ISSM/ISSO contact information is available in the event escalation is needed</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i/>
                <w:iCs/>
                <w:color w:val="1A5276"/>
                <w:sz w:val="18"/>
                <w:szCs w:val="18"/>
              </w:rPr>
              <w:t xml:space="preserve">If any prerequisite cannot be satisfied, STOP — do not proceed. Contact ISSO.</w:t>
            </w:r>
          </w:p>
        </w:tc>
      </w:tr>
    </w:tbl>
    <w:p>
      <w:pPr>
        <w:spacing w:after="2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single" w:color="8FAAAC" w:sz="4"/>
              <w:left w:val="single" w:color="8FAAAC" w:sz="4"/>
              <w:bottom w:val="single" w:color="8FAAAC" w:sz="4"/>
              <w:right w:val="single" w:color="8FAAAC" w:sz="4"/>
            </w:tcBorders>
            <w:shd w:fill="EAF4FB" w:val="clear"/>
            <w:tcMar>
              <w:top w:type="dxa" w:w="80"/>
              <w:left w:type="dxa" w:w="130"/>
              <w:bottom w:type="dxa" w:w="80"/>
              <w:right w:type="dxa" w:w="130"/>
            </w:tcMar>
          </w:tcPr>
          <w:p>
            <w:pPr>
              <w:spacing w:after="0"/>
            </w:pPr>
            <w:r>
              <w:rPr>
                <w:rFonts w:ascii="Calibri" w:cs="Calibri" w:eastAsia="Calibri" w:hAnsi="Calibri"/>
                <w:b/>
                <w:bCs/>
                <w:color w:val="1A5276"/>
                <w:sz w:val="20"/>
                <w:szCs w:val="20"/>
              </w:rPr>
              <w:t xml:space="preserve">ℹ  BACKGROUND FOR NEW ADMINISTRATORS: </w:t>
            </w:r>
            <w:r>
              <w:rPr>
                <w:rFonts w:ascii="Calibri" w:cs="Calibri" w:eastAsia="Calibri" w:hAnsi="Calibri"/>
                <w:color w:val="1A5276"/>
                <w:sz w:val="20"/>
                <w:szCs w:val="20"/>
              </w:rPr>
              <w:t xml:space="preserve">Trellix ePolicy Orchestrator (ePO) is the centralized management console for all Trellix (formerly McAfee) endpoint security products. Every managed workstation and server runs a Trellix Agent that periodically checks in to ePO. That agent reports the host's current antivirus definition (DAT) file date. </w:t>
            </w:r>
          </w:p>
          <w:p>
            <w:pPr>
              <w:spacing w:after="4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This daily MRC verifies that: (1) all managed endpoints have checked in recently, (2) their DAT file date is current (within 1 calendar day), and (3) no agents are offline or unmanaged. A stale DAT date means the host is not protected against the latest known threats — in a JSIG/SAP environment this is a reportable non-compliance (AC-6(1) non-tailorable control).</w:t>
            </w:r>
          </w:p>
        </w:tc>
      </w:tr>
    </w:tbl>
    <w:p>
      <w:pPr>
        <w:spacing w:after="2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60"/>
        <w:gridCol w:w="5532"/>
        <w:gridCol w:w="4000"/>
      </w:tblGrid>
      <w:tr>
        <w:trPr>
          <w:tblHeader/>
        </w:trPr>
        <w:tc>
          <w:tcPr>
            <w:tcW w:type="dxa" w:w="520"/>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w:t>
            </w:r>
          </w:p>
        </w:tc>
        <w:tc>
          <w:tcPr>
            <w:tcW w:type="dxa" w:w="460"/>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w:t>
            </w:r>
          </w:p>
        </w:tc>
        <w:tc>
          <w:tcPr>
            <w:tcW w:type="dxa" w:w="5532"/>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Action / Procedure</w:t>
            </w:r>
          </w:p>
        </w:tc>
        <w:tc>
          <w:tcPr>
            <w:tcW w:type="dxa" w:w="4000"/>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Finding / Result / Notes</w:t>
            </w:r>
          </w:p>
        </w:tc>
      </w:tr>
      <w:tr>
        <w:tc>
          <w:tcPr>
            <w:tcW w:type="dxa" w:w="52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1</w:t>
            </w:r>
          </w:p>
        </w:tc>
        <w:tc>
          <w:tcPr>
            <w:tcW w:type="dxa" w:w="46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Log in to the Trellix ePO Console.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Navigate: </w:t>
            </w:r>
            <w:r>
              <w:rPr>
                <w:rFonts w:ascii="Courier New" w:cs="Courier New" w:eastAsia="Courier New" w:hAnsi="Courier New"/>
                <w:color w:val="1B474D"/>
                <w:sz w:val="18"/>
                <w:szCs w:val="18"/>
              </w:rPr>
              <w:t xml:space="preserve">https://[ePO-SERVER]:8443/core/orionSplashScreen.do</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Open your web browser and type the ePO URL into the address bar. You will see a Trellix login screen. Enter your individually assigned privileged SA account credentials. Do NOT use a shared account.</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ePO Dashboard loads successfully. Your username appears in the top-right corner.</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Account used: _______________________</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Login time (HH:MM): __________________</w:t>
            </w:r>
          </w:p>
        </w:tc>
        <w:tc>
          <w:tcPr>
            <w:tcW w:type="dxa" w:w="40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Login confirmed. Account name recorded.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2</w:t>
            </w:r>
          </w:p>
        </w:tc>
        <w:tc>
          <w:tcPr>
            <w:tcW w:type="dxa" w:w="46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Navigate to the ePO Dashboard and locate the Endpoint Security summary.</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Navigate: </w:t>
            </w:r>
            <w:r>
              <w:rPr>
                <w:rFonts w:ascii="Courier New" w:cs="Courier New" w:eastAsia="Courier New" w:hAnsi="Courier New"/>
                <w:color w:val="1B474D"/>
                <w:sz w:val="18"/>
                <w:szCs w:val="18"/>
              </w:rPr>
              <w:t xml:space="preserve">Menu  →  Dashboards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Select the "Endpoint Security" dashboard (or your site's designated security monitoring dashboard)</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The Dashboard gives you a high-level visual overview. Look for any red or yellow indicators that signal agents are offline or definitions are out of date. This is your starting point — not your final check.</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Dashboard loads. Note any immediately visible red indicators.</w:t>
            </w:r>
          </w:p>
        </w:tc>
        <w:tc>
          <w:tcPr>
            <w:tcW w:type="dxa" w:w="40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Screenshot or description of dashboard state recorded.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3</w:t>
            </w:r>
          </w:p>
        </w:tc>
        <w:tc>
          <w:tcPr>
            <w:tcW w:type="dxa" w:w="46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Run the "DAT Version Currency" query to identify all endpoints and their current DAT dates.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Navigate: </w:t>
            </w:r>
            <w:r>
              <w:rPr>
                <w:rFonts w:ascii="Courier New" w:cs="Courier New" w:eastAsia="Courier New" w:hAnsi="Courier New"/>
                <w:color w:val="1B474D"/>
                <w:sz w:val="18"/>
                <w:szCs w:val="18"/>
              </w:rPr>
              <w:t xml:space="preserve">Menu  →  Queries &amp; Reports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Select the "Queries &amp; Reports" option from the left navigation pane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In the query list, locate "ENS: DAT File Version by System" (or equivalent site-standard query). If not present, see Step 3a below.</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Click Run (▶) on the selected query</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Query results display a table of all managed systems with their DAT version/date.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STEP 3a — If no DAT currency query exists: Click "New Query" → Database Type: "Endpoint Security: Threat Prevention" → Result Type: "Systems" → Add columns: System Name, DAT Version, DAT Date, Agent Last Communication. Save as "MRC-0301-DA DAT Check" in your Private Queries group.</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Total systems in query results: _________</w:t>
            </w:r>
          </w:p>
        </w:tc>
        <w:tc>
          <w:tcPr>
            <w:tcW w:type="dxa" w:w="40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Query executed. Total system count noted.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4</w:t>
            </w:r>
          </w:p>
        </w:tc>
        <w:tc>
          <w:tcPr>
            <w:tcW w:type="dxa" w:w="46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Sort query results by "DAT Date" column (oldest first) to surface non-compliant endpoints at the top.</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Click the "DAT Date" column header once to sort ascending (oldest date first)</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Sorting oldest-first means any system with a stale definition will appear at the top of the list. You should see your most current systems at the bottom.</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All systems show a DAT date of today or yesterday (within 24 hours of current date/time).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A12C7B"/>
                <w:sz w:val="20"/>
                <w:szCs w:val="20"/>
              </w:rPr>
              <w:t xml:space="preserve">  ⚠ </w:t>
            </w:r>
            <w:r>
              <w:rPr>
                <w:rFonts w:ascii="Calibri" w:cs="Calibri" w:eastAsia="Calibri" w:hAnsi="Calibri"/>
                <w:color w:val="A12C7B"/>
                <w:sz w:val="20"/>
                <w:szCs w:val="20"/>
              </w:rPr>
              <w:t xml:space="preserve">Any system with a DAT date older than 1 calendar day is NON-COMPLIANT. List each one in the Non-Compliance Table on this MRC.</w:t>
            </w:r>
          </w:p>
        </w:tc>
        <w:tc>
          <w:tcPr>
            <w:tcW w:type="dxa" w:w="40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Non-compliant systems identified and listed in Non-Compliance section below.</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5</w:t>
            </w:r>
          </w:p>
        </w:tc>
        <w:tc>
          <w:tcPr>
            <w:tcW w:type="dxa" w:w="46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Check for systems that are "Offline" or have not communicated with ePO in more than 24 hours.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Navigate: </w:t>
            </w:r>
            <w:r>
              <w:rPr>
                <w:rFonts w:ascii="Courier New" w:cs="Courier New" w:eastAsia="Courier New" w:hAnsi="Courier New"/>
                <w:color w:val="1B474D"/>
                <w:sz w:val="18"/>
                <w:szCs w:val="18"/>
              </w:rPr>
              <w:t xml:space="preserve">Menu  →  System Tree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Select your top-level System Tree group (or each sub-group as applicable)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Click the "Filter" icon or use the column header to sort by "Last Communication" (oldest first)</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An agent is considered "not communicating" if the Last Communication timestamp is more than 24 hours ago. This could mean the system is powered off, disconnected from the network, or the Trellix Agent service has stopped.</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All managed systems show Last Communication within the past 24 hours.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A12C7B"/>
                <w:sz w:val="20"/>
                <w:szCs w:val="20"/>
              </w:rPr>
              <w:t xml:space="preserve">  ⚠ </w:t>
            </w:r>
            <w:r>
              <w:rPr>
                <w:rFonts w:ascii="Calibri" w:cs="Calibri" w:eastAsia="Calibri" w:hAnsi="Calibri"/>
                <w:color w:val="A12C7B"/>
                <w:sz w:val="20"/>
                <w:szCs w:val="20"/>
              </w:rPr>
              <w:t xml:space="preserve">Any system not communicating in &gt;24 hours must be investigated. List in the Non-Compliance Table. This is a potential AC-6(1) failure.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Count of non-communicating systems: _________</w:t>
            </w:r>
          </w:p>
        </w:tc>
        <w:tc>
          <w:tcPr>
            <w:tcW w:type="dxa" w:w="40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Offline / non-communicating hosts identified and listed.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6</w:t>
            </w:r>
          </w:p>
        </w:tc>
        <w:tc>
          <w:tcPr>
            <w:tcW w:type="dxa" w:w="46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Navigate to the ePO Threat Event Log to confirm no active AV detections require immediate action.</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Navigate: </w:t>
            </w:r>
            <w:r>
              <w:rPr>
                <w:rFonts w:ascii="Courier New" w:cs="Courier New" w:eastAsia="Courier New" w:hAnsi="Courier New"/>
                <w:color w:val="1B474D"/>
                <w:sz w:val="18"/>
                <w:szCs w:val="18"/>
              </w:rPr>
              <w:t xml:space="preserve">Menu  →  Threat Event Log</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Field: </w:t>
            </w:r>
            <w:r>
              <w:rPr>
                <w:rFonts w:ascii="Courier New" w:cs="Courier New" w:eastAsia="Courier New" w:hAnsi="Courier New"/>
                <w:color w:val="1B474D"/>
                <w:sz w:val="18"/>
                <w:szCs w:val="18"/>
              </w:rPr>
              <w:t xml:space="preserve">Set time range filter: Last 24 Hours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Apply filter and review results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No High or Critical severity events in an unacknowledged/open state.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A12C7B"/>
                <w:sz w:val="20"/>
                <w:szCs w:val="20"/>
              </w:rPr>
              <w:t xml:space="preserve">  ⚠ </w:t>
            </w:r>
            <w:r>
              <w:rPr>
                <w:rFonts w:ascii="Calibri" w:cs="Calibri" w:eastAsia="Calibri" w:hAnsi="Calibri"/>
                <w:color w:val="A12C7B"/>
                <w:sz w:val="20"/>
                <w:szCs w:val="20"/>
              </w:rPr>
              <w:t xml:space="preserve">If High or Critical threat events are present and unacknowledged — STOP. Do not clear or modify events. Escalate to ISSO immediately per IR-6. Record the event description and system name in the Finding column.</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Total events (24 hr): _________  | High/Critical open: _________</w:t>
            </w:r>
          </w:p>
        </w:tc>
        <w:tc>
          <w:tcPr>
            <w:tcW w:type="dxa" w:w="40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Threat log reviewed. Event count recorded.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7</w:t>
            </w:r>
          </w:p>
        </w:tc>
        <w:tc>
          <w:tcPr>
            <w:tcW w:type="dxa" w:w="46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Verify the ePO Repository is current — confirm the latest DAT package has been downloaded from Trellix.</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Navigate: </w:t>
            </w:r>
            <w:r>
              <w:rPr>
                <w:rFonts w:ascii="Courier New" w:cs="Courier New" w:eastAsia="Courier New" w:hAnsi="Courier New"/>
                <w:color w:val="1B474D"/>
                <w:sz w:val="18"/>
                <w:szCs w:val="18"/>
              </w:rPr>
              <w:t xml:space="preserve">Menu  →  Software  →  Master Repository</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Locate the "ENS Threat Prevention Content" (or "VSE DAT") package in the Current branch</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The Master Repository is where ePO stores the latest AV content packages. If the repository itself is stale, no endpoints will be able to update even if they are online.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Repository shows today's or yesterday's DAT package in the Current branch.</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A12C7B"/>
                <w:sz w:val="20"/>
                <w:szCs w:val="20"/>
              </w:rPr>
              <w:t xml:space="preserve">  ⚠ </w:t>
            </w:r>
            <w:r>
              <w:rPr>
                <w:rFonts w:ascii="Calibri" w:cs="Calibri" w:eastAsia="Calibri" w:hAnsi="Calibri"/>
                <w:color w:val="A12C7B"/>
                <w:sz w:val="20"/>
                <w:szCs w:val="20"/>
              </w:rPr>
              <w:t xml:space="preserve">If repository is more than 1 day behind: check the Pull Task schedule. Navigate to Menu → Server Tasks → locate "Repository Pull" task and verify it ran successfully. If it failed, troubleshoot and notify ISSM/ISSO.</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Repository DAT date: _______________________</w:t>
            </w:r>
          </w:p>
        </w:tc>
        <w:tc>
          <w:tcPr>
            <w:tcW w:type="dxa" w:w="40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Repository DAT date confirmed and recorded.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8</w:t>
            </w:r>
          </w:p>
        </w:tc>
        <w:tc>
          <w:tcPr>
            <w:tcW w:type="dxa" w:w="46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For each non-compliant host identified in Steps 4–5, initiate an Agent Wake-Up to force an immediate update.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Navigate: </w:t>
            </w:r>
            <w:r>
              <w:rPr>
                <w:rFonts w:ascii="Courier New" w:cs="Courier New" w:eastAsia="Courier New" w:hAnsi="Courier New"/>
                <w:color w:val="1B474D"/>
                <w:sz w:val="18"/>
                <w:szCs w:val="18"/>
              </w:rPr>
              <w:t xml:space="preserve">Menu  →  System Tree  →  [Locate non-compliant system]</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Right-click the system name → Agent → Wake Up Agent</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In the Wake-Up dialog, check "Force complete policy and task update"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Click OK</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The Agent Wake-Up sends a signal to the endpoint telling it to check in immediately, pull the latest policy, and run any pending update tasks. The system must be powered on and network-reachable for this to work. If the system does not respond after a Wake-Up, it is likely powered off or disconnected — document accordingly.</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Agent responds and re-checks in within 5–10 minutes. DAT date updates to current.</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5A6E70"/>
                <w:sz w:val="20"/>
                <w:szCs w:val="20"/>
              </w:rPr>
              <w:t xml:space="preserve">     Verify by re-running the DAT currency query from Step 3 after 10 minutes.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A12C7B"/>
                <w:sz w:val="20"/>
                <w:szCs w:val="20"/>
              </w:rPr>
              <w:t xml:space="preserve">  ⚠ </w:t>
            </w:r>
            <w:r>
              <w:rPr>
                <w:rFonts w:ascii="Calibri" w:cs="Calibri" w:eastAsia="Calibri" w:hAnsi="Calibri"/>
                <w:color w:val="A12C7B"/>
                <w:sz w:val="20"/>
                <w:szCs w:val="20"/>
              </w:rPr>
              <w:t xml:space="preserve">If wake-up fails for a system: document in Non-Compliance Table. Mark action as "Wake-Up Failed — Investigate." Notify ISSO if host cannot be remediated during this check cycle.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Number of wake-ups initiated: _________  | Successfully remediated: _________</w:t>
            </w:r>
          </w:p>
        </w:tc>
        <w:tc>
          <w:tcPr>
            <w:tcW w:type="dxa" w:w="40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Wake-up results and remediation count recorded.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9</w:t>
            </w:r>
          </w:p>
        </w:tc>
        <w:tc>
          <w:tcPr>
            <w:tcW w:type="dxa" w:w="46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Verify ePO Agent Handler and server health — confirm ePO itself is running correctly.</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Navigate: </w:t>
            </w:r>
            <w:r>
              <w:rPr>
                <w:rFonts w:ascii="Courier New" w:cs="Courier New" w:eastAsia="Courier New" w:hAnsi="Courier New"/>
                <w:color w:val="1B474D"/>
                <w:sz w:val="18"/>
                <w:szCs w:val="18"/>
              </w:rPr>
              <w:t xml:space="preserve">Menu  →  Configuration  →  Agent Handlers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Agent Handlers are the components that managed endpoints communicate with. If an Agent Handler is down, endpoints in that network segment cannot check in or receive updates.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All Agent Handlers show "Connected" status with a green indicator.</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A12C7B"/>
                <w:sz w:val="20"/>
                <w:szCs w:val="20"/>
              </w:rPr>
              <w:t xml:space="preserve">  ⚠ </w:t>
            </w:r>
            <w:r>
              <w:rPr>
                <w:rFonts w:ascii="Calibri" w:cs="Calibri" w:eastAsia="Calibri" w:hAnsi="Calibri"/>
                <w:color w:val="A12C7B"/>
                <w:sz w:val="20"/>
                <w:szCs w:val="20"/>
              </w:rPr>
              <w:t xml:space="preserve">Any Agent Handler in a degraded or disconnected state must be reported to ISSM immediately. Do not attempt to restart ePO services without ISSM authorization (this is a configuration change under CM-3).</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Agent Handler status: □ All Connected  □ Degraded — ISSM notified</w:t>
            </w:r>
          </w:p>
        </w:tc>
        <w:tc>
          <w:tcPr>
            <w:tcW w:type="dxa" w:w="40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Agent Handler status verified.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10</w:t>
            </w:r>
          </w:p>
        </w:tc>
        <w:tc>
          <w:tcPr>
            <w:tcW w:type="dxa" w:w="46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Export the DAT currency query results as a PDF or CSV for the daily ConMon artifact record.</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Navigate: </w:t>
            </w:r>
            <w:r>
              <w:rPr>
                <w:rFonts w:ascii="Courier New" w:cs="Courier New" w:eastAsia="Courier New" w:hAnsi="Courier New"/>
                <w:color w:val="1B474D"/>
                <w:sz w:val="18"/>
                <w:szCs w:val="18"/>
              </w:rPr>
              <w:t xml:space="preserve">Queries &amp; Reports  →  [Your DAT currency query]  →  Run</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Once results are displayed, click Export (📥) → Select "PDF" or "CSV"</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Save the file using the naming convention: [SystemID]_DAT_[YYYYMMDD].pdf</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This exported report is your evidence artifact (BoE) for AC-6(1) and SI-3 compliance. It must be retained per your organization's records management policy and submitted with monthly ConMon packages.</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Report file saved to designated artifact storage location.</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File name saved: _______________________</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Storage location: ______________________</w:t>
            </w:r>
          </w:p>
        </w:tc>
        <w:tc>
          <w:tcPr>
            <w:tcW w:type="dxa" w:w="40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Artifact exported and saved. File name recorded.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11</w:t>
            </w:r>
          </w:p>
        </w:tc>
        <w:tc>
          <w:tcPr>
            <w:tcW w:type="dxa" w:w="460"/>
            <w:tcBorders>
              <w:top w:val="single" w:color="8FAAAC" w:sz="4"/>
              <w:left w:val="single" w:color="8FAAAC" w:sz="4"/>
              <w:bottom w:val="single" w:color="8FAAAC" w:sz="4"/>
              <w:right w:val="single" w:color="8FAAAC" w:sz="4"/>
            </w:tcBorders>
            <w:shd w:fill="FFFFFF"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If any systems remain non-compliant after remediation attempts — open an incident ticket and notify ISSO.</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Any SAP endpoint that cannot be verified as having current AV definitions by the end of this check cycle is a non-tailorable control gap (AC-6(1)). It must be tracked, reported, and remediated as a priority.</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Open ticket in [Incident Ticketing System] with title: "MRC-0301-DA: Non-Compliant AV Endpoint(s) — [Date]"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Include system names, last communication dates, and actions taken</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Assign to SA lead; notify ISSO via secure channel</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A12C7B"/>
                <w:sz w:val="20"/>
                <w:szCs w:val="20"/>
              </w:rPr>
              <w:t xml:space="preserve">  ⚠ </w:t>
            </w:r>
            <w:r>
              <w:rPr>
                <w:rFonts w:ascii="Calibri" w:cs="Calibri" w:eastAsia="Calibri" w:hAnsi="Calibri"/>
                <w:color w:val="A12C7B"/>
                <w:sz w:val="20"/>
                <w:szCs w:val="20"/>
              </w:rPr>
              <w:t xml:space="preserve">If 10% or more of managed endpoints are non-compliant — escalate to ISSM immediately regardless of ticket status. This may require emergency remediation action.</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All unresolved non-compliance items are ticketed and ISSO is notified before end of check cycle.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Ticket # (if opened): _______________________</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B474D"/>
                <w:sz w:val="20"/>
                <w:szCs w:val="20"/>
              </w:rPr>
              <w:t xml:space="preserve">  Record: </w:t>
            </w:r>
            <w:r>
              <w:rPr>
                <w:rFonts w:ascii="Calibri" w:cs="Calibri" w:eastAsia="Calibri" w:hAnsi="Calibri"/>
                <w:color w:val="28251D"/>
                <w:sz w:val="20"/>
                <w:szCs w:val="20"/>
              </w:rPr>
              <w:t xml:space="preserve">ISSO notified: □ Yes — Time: ________  □ No — Reason: ______</w:t>
            </w:r>
          </w:p>
        </w:tc>
        <w:tc>
          <w:tcPr>
            <w:tcW w:type="dxa" w:w="40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Ticket opened if required. ISSO notification logged.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52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b/>
                <w:bCs/>
                <w:color w:val="4F98A3"/>
                <w:sz w:val="20"/>
                <w:szCs w:val="20"/>
              </w:rPr>
              <w:t xml:space="preserve">12</w:t>
            </w:r>
          </w:p>
        </w:tc>
        <w:tc>
          <w:tcPr>
            <w:tcW w:type="dxa" w:w="460"/>
            <w:tcBorders>
              <w:top w:val="single" w:color="8FAAAC" w:sz="4"/>
              <w:left w:val="single" w:color="8FAAAC" w:sz="4"/>
              <w:bottom w:val="single" w:color="8FAAAC" w:sz="4"/>
              <w:right w:val="single" w:color="8FAAAC" w:sz="4"/>
            </w:tcBorders>
            <w:shd w:fill="F2F8F8" w:val="clear"/>
            <w:tcMar>
              <w:top w:type="dxa" w:w="50"/>
              <w:left w:type="dxa" w:w="80"/>
              <w:bottom w:type="dxa" w:w="50"/>
              <w:right w:type="dxa" w:w="80"/>
            </w:tcMar>
            <w:vAlign w:val="top"/>
          </w:tcPr>
          <w:p>
            <w:pPr>
              <w:spacing w:after="0"/>
              <w:jc w:val="center"/>
            </w:pPr>
            <w:r>
              <w:rPr>
                <w:rFonts w:ascii="Calibri" w:cs="Calibri" w:eastAsia="Calibri" w:hAnsi="Calibri"/>
                <w:color w:val="01696F"/>
                <w:sz w:val="24"/>
                <w:szCs w:val="24"/>
              </w:rPr>
              <w:t xml:space="preserve">□</w:t>
            </w:r>
          </w:p>
        </w:tc>
        <w:tc>
          <w:tcPr>
            <w:tcW w:type="dxa" w:w="5532"/>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color w:val="28251D"/>
                <w:sz w:val="20"/>
                <w:szCs w:val="20"/>
              </w:rPr>
              <w:t xml:space="preserve">Log out of the ePO console. Complete and sign this MRC. File per retention policy.</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Click: </w:t>
            </w:r>
            <w:r>
              <w:rPr>
                <w:rFonts w:ascii="Calibri" w:cs="Calibri" w:eastAsia="Calibri" w:hAnsi="Calibri"/>
                <w:b/>
                <w:bCs/>
                <w:color w:val="28251D"/>
                <w:sz w:val="20"/>
                <w:szCs w:val="20"/>
              </w:rPr>
              <w:t xml:space="preserve">Click your username in the top-right corner of ePO → Logout</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color w:val="1A5276"/>
                <w:sz w:val="20"/>
                <w:szCs w:val="20"/>
              </w:rPr>
              <w:t xml:space="preserve">  ℹ </w:t>
            </w:r>
            <w:r>
              <w:rPr>
                <w:rFonts w:ascii="Calibri" w:cs="Calibri" w:eastAsia="Calibri" w:hAnsi="Calibri"/>
                <w:i/>
                <w:iCs/>
                <w:color w:val="1A5276"/>
                <w:sz w:val="18"/>
                <w:szCs w:val="18"/>
              </w:rPr>
              <w:t xml:space="preserve">Never leave an authenticated ePO session unattended. Always log out when the check is complete.</w:t>
            </w:r>
          </w:p>
          <w:p>
            <w:pPr>
              <w:spacing w:after="30"/>
            </w:pPr>
            <w:r>
              <w:rPr>
                <w:rFonts w:ascii="Calibri" w:cs="Calibri" w:eastAsia="Calibri" w:hAnsi="Calibri"/>
                <w:color w:val="28251D"/>
                <w:sz w:val="20"/>
                <w:szCs w:val="20"/>
              </w:rPr>
              <w:t xml:space="preserve"/>
            </w:r>
          </w:p>
          <w:p>
            <w:pPr>
              <w:spacing w:after="0"/>
            </w:pPr>
            <w:r>
              <w:rPr>
                <w:rFonts w:ascii="Calibri" w:cs="Calibri" w:eastAsia="Calibri" w:hAnsi="Calibri"/>
                <w:b/>
                <w:bCs/>
                <w:color w:val="1E8449"/>
                <w:sz w:val="20"/>
                <w:szCs w:val="20"/>
              </w:rPr>
              <w:t xml:space="preserve">  ✓ Expected: </w:t>
            </w:r>
            <w:r>
              <w:rPr>
                <w:rFonts w:ascii="Calibri" w:cs="Calibri" w:eastAsia="Calibri" w:hAnsi="Calibri"/>
                <w:color w:val="1E8449"/>
                <w:sz w:val="20"/>
                <w:szCs w:val="20"/>
              </w:rPr>
              <w:t xml:space="preserve">Session terminated. MRC fully completed and signed.</w:t>
            </w:r>
          </w:p>
        </w:tc>
        <w:tc>
          <w:tcPr>
            <w:tcW w:type="dxa" w:w="40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vAlign w:val="top"/>
          </w:tcPr>
          <w:p>
            <w:pPr>
              <w:spacing w:after="0"/>
            </w:pPr>
            <w:r>
              <w:rPr>
                <w:rFonts w:ascii="Calibri" w:cs="Calibri" w:eastAsia="Calibri" w:hAnsi="Calibri"/>
                <w:i/>
                <w:iCs/>
                <w:color w:val="5A6E70"/>
                <w:sz w:val="20"/>
                <w:szCs w:val="20"/>
              </w:rPr>
              <w:t xml:space="preserve">Session terminated. MRC signed and filed.</w:t>
            </w:r>
          </w:p>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bl>
    <w:p>
      <w:pPr>
        <w:spacing w:after="2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tcPr>
          <w:p>
            <w:pPr>
              <w:spacing w:after="0"/>
            </w:pPr>
            <w:r>
              <w:rPr>
                <w:rFonts w:ascii="Calibri" w:cs="Calibri" w:eastAsia="Calibri" w:hAnsi="Calibri"/>
                <w:b/>
                <w:bCs/>
                <w:caps/>
                <w:color w:val="FFFFFF"/>
                <w:sz w:val="18"/>
                <w:szCs w:val="18"/>
              </w:rPr>
              <w:t xml:space="preserve">NON-COMPLIANCE LOG  </w:t>
            </w:r>
            <w:r>
              <w:rPr>
                <w:rFonts w:ascii="Calibri" w:cs="Calibri" w:eastAsia="Calibri" w:hAnsi="Calibri"/>
                <w:color w:val="B8D8DA"/>
                <w:sz w:val="18"/>
                <w:szCs w:val="18"/>
              </w:rPr>
              <w:t xml:space="preserve">— List all hosts with stale DAT dates or offline agents below. Attach additional pages if needed.</w:t>
            </w:r>
          </w:p>
        </w:tc>
      </w:tr>
    </w:tbl>
    <w:p>
      <w:pPr>
        <w:spacing w:after="1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2500"/>
        <w:gridCol w:w="2008"/>
        <w:gridCol w:w="2500"/>
      </w:tblGrid>
      <w:tr>
        <w:trPr>
          <w:tblHeader/>
        </w:trPr>
        <w:tc>
          <w:tcPr>
            <w:tcW w:type="dxa" w:w="3504"/>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Hostname / Asset Name</w:t>
            </w:r>
          </w:p>
        </w:tc>
        <w:tc>
          <w:tcPr>
            <w:tcW w:type="dxa" w:w="2500"/>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Last DAT Date Reported</w:t>
            </w:r>
          </w:p>
        </w:tc>
        <w:tc>
          <w:tcPr>
            <w:tcW w:type="dxa" w:w="2008"/>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Agent Status</w:t>
            </w:r>
          </w:p>
        </w:tc>
        <w:tc>
          <w:tcPr>
            <w:tcW w:type="dxa" w:w="2500"/>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Action Taken / Notes</w:t>
            </w:r>
          </w:p>
        </w:tc>
      </w:tr>
      <w:tr>
        <w:tc>
          <w:tcPr>
            <w:tcW w:type="dxa" w:w="3504"/>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3504"/>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3504"/>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3504"/>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3504"/>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3504"/>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3504"/>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3504"/>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3504"/>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3504"/>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8"/>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500"/>
            <w:tcBorders>
              <w:top w:val="single" w:color="8FAAAC" w:sz="4"/>
              <w:left w:val="single" w:color="8FAAAC" w:sz="4"/>
              <w:bottom w:val="single" w:color="8FAAAC" w:sz="4"/>
              <w:right w:val="single" w:color="8FAAAC" w:sz="4"/>
            </w:tcBorders>
            <w:shd w:fill="F2F8F8"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bl>
    <w:p>
      <w:pPr>
        <w:spacing w:after="1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single" w:color="8FAAAC" w:sz="4"/>
              <w:left w:val="single" w:color="8FAAAC" w:sz="4"/>
              <w:bottom w:val="single" w:color="8FAAAC" w:sz="4"/>
              <w:right w:val="single" w:color="8FAAAC" w:sz="4"/>
            </w:tcBorders>
            <w:shd w:fill="EAF4FB" w:val="clear"/>
            <w:tcMar>
              <w:top w:type="dxa" w:w="70"/>
              <w:left w:type="dxa" w:w="110"/>
              <w:bottom w:type="dxa" w:w="70"/>
              <w:right w:type="dxa" w:w="110"/>
            </w:tcMar>
          </w:tcPr>
          <w:p>
            <w:pPr>
              <w:spacing w:after="0"/>
            </w:pPr>
            <w:r>
              <w:rPr>
                <w:rFonts w:ascii="Calibri" w:cs="Calibri" w:eastAsia="Calibri" w:hAnsi="Calibri"/>
                <w:b/>
                <w:bCs/>
                <w:color w:val="1A5276"/>
                <w:sz w:val="18"/>
                <w:szCs w:val="18"/>
              </w:rPr>
              <w:t xml:space="preserve">ℹ  Non-Compliance Disposition Guide:</w:t>
            </w:r>
            <w:r>
              <w:rPr>
                <w:rFonts w:ascii="Calibri" w:cs="Calibri" w:eastAsia="Calibri" w:hAnsi="Calibri"/>
                <w:color w:val="1A5276"/>
                <w:sz w:val="18"/>
                <w:szCs w:val="18"/>
              </w:rPr>
              <w:t xml:space="preserve"> For "Agent Status" column use: </w:t>
            </w:r>
            <w:r>
              <w:rPr>
                <w:rFonts w:ascii="Courier New" w:cs="Courier New" w:eastAsia="Courier New" w:hAnsi="Courier New"/>
                <w:color w:val="1B474D"/>
                <w:sz w:val="18"/>
                <w:szCs w:val="18"/>
              </w:rPr>
              <w:t xml:space="preserve">ONLINE-STALE</w:t>
            </w:r>
            <w:r>
              <w:rPr>
                <w:rFonts w:ascii="Calibri" w:cs="Calibri" w:eastAsia="Calibri" w:hAnsi="Calibri"/>
                <w:color w:val="1A5276"/>
                <w:sz w:val="18"/>
                <w:szCs w:val="18"/>
              </w:rPr>
              <w:t xml:space="preserve"> (agent checked in, DAT old), </w:t>
            </w:r>
            <w:r>
              <w:rPr>
                <w:rFonts w:ascii="Courier New" w:cs="Courier New" w:eastAsia="Courier New" w:hAnsi="Courier New"/>
                <w:color w:val="1B474D"/>
                <w:sz w:val="18"/>
                <w:szCs w:val="18"/>
              </w:rPr>
              <w:t xml:space="preserve">OFFLINE</w:t>
            </w:r>
            <w:r>
              <w:rPr>
                <w:rFonts w:ascii="Calibri" w:cs="Calibri" w:eastAsia="Calibri" w:hAnsi="Calibri"/>
                <w:color w:val="1A5276"/>
                <w:sz w:val="18"/>
                <w:szCs w:val="18"/>
              </w:rPr>
              <w:t xml:space="preserve"> (not communicating &gt;24hr), or </w:t>
            </w:r>
            <w:r>
              <w:rPr>
                <w:rFonts w:ascii="Courier New" w:cs="Courier New" w:eastAsia="Courier New" w:hAnsi="Courier New"/>
                <w:color w:val="1B474D"/>
                <w:sz w:val="18"/>
                <w:szCs w:val="18"/>
              </w:rPr>
              <w:t xml:space="preserve">UNMANAGED</w:t>
            </w:r>
            <w:r>
              <w:rPr>
                <w:rFonts w:ascii="Calibri" w:cs="Calibri" w:eastAsia="Calibri" w:hAnsi="Calibri"/>
                <w:color w:val="1A5276"/>
                <w:sz w:val="18"/>
                <w:szCs w:val="18"/>
              </w:rPr>
              <w:t xml:space="preserve"> (not in ePO System Tree). For "Action Taken" use: </w:t>
            </w:r>
            <w:r>
              <w:rPr>
                <w:rFonts w:ascii="Courier New" w:cs="Courier New" w:eastAsia="Courier New" w:hAnsi="Courier New"/>
                <w:color w:val="1B474D"/>
                <w:sz w:val="18"/>
                <w:szCs w:val="18"/>
              </w:rPr>
              <w:t xml:space="preserve">WAKE-UP SENT</w:t>
            </w:r>
            <w:r>
              <w:rPr>
                <w:rFonts w:ascii="Calibri" w:cs="Calibri" w:eastAsia="Calibri" w:hAnsi="Calibri"/>
                <w:color w:val="1A5276"/>
                <w:sz w:val="18"/>
                <w:szCs w:val="18"/>
              </w:rPr>
              <w:t xml:space="preserve">, </w:t>
            </w:r>
            <w:r>
              <w:rPr>
                <w:rFonts w:ascii="Courier New" w:cs="Courier New" w:eastAsia="Courier New" w:hAnsi="Courier New"/>
                <w:color w:val="1B474D"/>
                <w:sz w:val="18"/>
                <w:szCs w:val="18"/>
              </w:rPr>
              <w:t xml:space="preserve">TICKET OPENED</w:t>
            </w:r>
            <w:r>
              <w:rPr>
                <w:rFonts w:ascii="Calibri" w:cs="Calibri" w:eastAsia="Calibri" w:hAnsi="Calibri"/>
                <w:color w:val="1A5276"/>
                <w:sz w:val="18"/>
                <w:szCs w:val="18"/>
              </w:rPr>
              <w:t xml:space="preserve">, </w:t>
            </w:r>
            <w:r>
              <w:rPr>
                <w:rFonts w:ascii="Courier New" w:cs="Courier New" w:eastAsia="Courier New" w:hAnsi="Courier New"/>
                <w:color w:val="1B474D"/>
                <w:sz w:val="18"/>
                <w:szCs w:val="18"/>
              </w:rPr>
              <w:t xml:space="preserve">ISSO NOTIFIED</w:t>
            </w:r>
            <w:r>
              <w:rPr>
                <w:rFonts w:ascii="Calibri" w:cs="Calibri" w:eastAsia="Calibri" w:hAnsi="Calibri"/>
                <w:color w:val="1A5276"/>
                <w:sz w:val="18"/>
                <w:szCs w:val="18"/>
              </w:rPr>
              <w:t xml:space="preserve">, or </w:t>
            </w:r>
            <w:r>
              <w:rPr>
                <w:rFonts w:ascii="Courier New" w:cs="Courier New" w:eastAsia="Courier New" w:hAnsi="Courier New"/>
                <w:color w:val="1B474D"/>
                <w:sz w:val="18"/>
                <w:szCs w:val="18"/>
              </w:rPr>
              <w:t xml:space="preserve">REMEDIATED</w:t>
            </w:r>
            <w:r>
              <w:rPr>
                <w:rFonts w:ascii="Calibri" w:cs="Calibri" w:eastAsia="Calibri" w:hAnsi="Calibri"/>
                <w:color w:val="1A5276"/>
                <w:sz w:val="18"/>
                <w:szCs w:val="18"/>
              </w:rPr>
              <w:t xml:space="preserve">.</w:t>
            </w:r>
          </w:p>
        </w:tc>
      </w:tr>
    </w:tbl>
    <w:p>
      <w:pPr>
        <w:spacing w:after="2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tcPr>
          <w:p>
            <w:pPr>
              <w:spacing w:after="0"/>
            </w:pPr>
            <w:r>
              <w:rPr>
                <w:rFonts w:ascii="Calibri" w:cs="Calibri" w:eastAsia="Calibri" w:hAnsi="Calibri"/>
                <w:b/>
                <w:bCs/>
                <w:caps/>
                <w:color w:val="FFFFFF"/>
                <w:sz w:val="18"/>
                <w:szCs w:val="18"/>
              </w:rPr>
              <w:t xml:space="preserve">Findings Summary</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3912"/>
      </w:tblGrid>
      <w:tr>
        <w:tc>
          <w:tcPr>
            <w:tcW w:type="dxa" w:w="20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Overall Result</w:t>
            </w:r>
          </w:p>
        </w:tc>
        <w:tc>
          <w:tcPr>
            <w:tcW w:type="dxa" w:w="2600"/>
            <w:tcBorders>
              <w:top w:val="single" w:color="8FAAAC" w:sz="4"/>
              <w:left w:val="single" w:color="8FAAAC" w:sz="4"/>
              <w:bottom w:val="single" w:color="8FAAAC" w:sz="4"/>
              <w:right w:val="single" w:color="8FAAAC" w:sz="4"/>
            </w:tcBorders>
            <w:shd w:fill="FFFFFF" w:val="clear"/>
            <w:tcMar>
              <w:top w:type="dxa" w:w="70"/>
              <w:left w:type="dxa" w:w="110"/>
              <w:bottom w:type="dxa" w:w="70"/>
              <w:right w:type="dxa" w:w="110"/>
            </w:tcMar>
          </w:tcPr>
          <w:p>
            <w:pPr>
              <w:spacing w:after="0"/>
            </w:pPr>
            <w:r>
              <w:rPr>
                <w:rFonts w:ascii="Calibri" w:cs="Calibri" w:eastAsia="Calibri" w:hAnsi="Calibri"/>
                <w:color w:val="28251D"/>
                <w:sz w:val="20"/>
                <w:szCs w:val="20"/>
              </w:rPr>
              <w:t xml:space="preserve">□ SATISFACTORY     □ UNSATISFACTORY     □ N/A</w:t>
            </w:r>
          </w:p>
        </w:tc>
        <w:tc>
          <w:tcPr>
            <w:tcW w:type="dxa" w:w="20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Deficiencies Found?</w:t>
            </w:r>
          </w:p>
        </w:tc>
        <w:tc>
          <w:tcPr>
            <w:tcW w:type="dxa" w:w="3912"/>
            <w:tcBorders>
              <w:top w:val="single" w:color="8FAAAC" w:sz="4"/>
              <w:left w:val="single" w:color="8FAAAC" w:sz="4"/>
              <w:bottom w:val="single" w:color="8FAAAC" w:sz="4"/>
              <w:right w:val="single" w:color="8FAAAC" w:sz="4"/>
            </w:tcBorders>
            <w:shd w:fill="FFFFFF" w:val="clear"/>
            <w:tcMar>
              <w:top w:type="dxa" w:w="70"/>
              <w:left w:type="dxa" w:w="110"/>
              <w:bottom w:type="dxa" w:w="70"/>
              <w:right w:type="dxa" w:w="110"/>
            </w:tcMar>
          </w:tcPr>
          <w:p>
            <w:pPr>
              <w:spacing w:after="0"/>
            </w:pPr>
            <w:r>
              <w:rPr>
                <w:rFonts w:ascii="Calibri" w:cs="Calibri" w:eastAsia="Calibri" w:hAnsi="Calibri"/>
                <w:color w:val="28251D"/>
                <w:sz w:val="20"/>
                <w:szCs w:val="20"/>
              </w:rPr>
              <w:t xml:space="preserve">□ None     □ POA&amp;M Required     □ Immediate Action Required</w:t>
            </w:r>
          </w:p>
        </w:tc>
      </w:tr>
      <w:tr>
        <w:tc>
          <w:tcPr>
            <w:tcW w:type="dxa" w:w="20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AC-6(1) Non-Tailorable</w:t>
            </w:r>
          </w:p>
        </w:tc>
        <w:tc>
          <w:tcPr>
            <w:tcW w:type="dxa" w:w="2600"/>
            <w:tcBorders>
              <w:top w:val="single" w:color="8FAAAC" w:sz="4"/>
              <w:left w:val="single" w:color="8FAAAC" w:sz="4"/>
              <w:bottom w:val="single" w:color="8FAAAC" w:sz="4"/>
              <w:right w:val="single" w:color="8FAAAC" w:sz="4"/>
            </w:tcBorders>
            <w:shd w:fill="FFFFFF" w:val="clear"/>
            <w:tcMar>
              <w:top w:type="dxa" w:w="70"/>
              <w:left w:type="dxa" w:w="110"/>
              <w:bottom w:type="dxa" w:w="70"/>
              <w:right w:type="dxa" w:w="110"/>
            </w:tcMar>
          </w:tcPr>
          <w:p>
            <w:pPr>
              <w:spacing w:after="0"/>
            </w:pPr>
            <w:r>
              <w:rPr>
                <w:rFonts w:ascii="Calibri" w:cs="Calibri" w:eastAsia="Calibri" w:hAnsi="Calibri"/>
                <w:color w:val="28251D"/>
                <w:sz w:val="20"/>
                <w:szCs w:val="20"/>
              </w:rPr>
              <w:t xml:space="preserve">□ ALL ENDPOINTS PROTECTED     □ FAILURE — ISSM NOTIFIED</w:t>
            </w:r>
          </w:p>
        </w:tc>
        <w:tc>
          <w:tcPr>
            <w:tcW w:type="dxa" w:w="20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Incident Ticket #</w:t>
            </w:r>
          </w:p>
        </w:tc>
        <w:tc>
          <w:tcPr>
            <w:tcW w:type="dxa" w:w="3912"/>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20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Total Systems Checked</w:t>
            </w:r>
          </w:p>
        </w:tc>
        <w:tc>
          <w:tcPr>
            <w:tcW w:type="dxa" w:w="2600"/>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c>
          <w:tcPr>
            <w:tcW w:type="dxa" w:w="20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Non-Compliant Count</w:t>
            </w:r>
          </w:p>
        </w:tc>
        <w:tc>
          <w:tcPr>
            <w:tcW w:type="dxa" w:w="3912"/>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tc>
      </w:tr>
      <w:tr>
        <w:tc>
          <w:tcPr>
            <w:tcW w:type="dxa" w:w="20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ISSM/ISSO Notified?</w:t>
            </w:r>
          </w:p>
        </w:tc>
        <w:tc>
          <w:tcPr>
            <w:tcW w:type="dxa" w:w="2600"/>
            <w:tcBorders>
              <w:top w:val="single" w:color="8FAAAC" w:sz="4"/>
              <w:left w:val="single" w:color="8FAAAC" w:sz="4"/>
              <w:bottom w:val="single" w:color="8FAAAC" w:sz="4"/>
              <w:right w:val="single" w:color="8FAAAC" w:sz="4"/>
            </w:tcBorders>
            <w:shd w:fill="FFFFFF" w:val="clear"/>
            <w:tcMar>
              <w:top w:type="dxa" w:w="70"/>
              <w:left w:type="dxa" w:w="110"/>
              <w:bottom w:type="dxa" w:w="70"/>
              <w:right w:type="dxa" w:w="110"/>
            </w:tcMar>
          </w:tcPr>
          <w:p>
            <w:pPr>
              <w:spacing w:after="0"/>
            </w:pPr>
            <w:r>
              <w:rPr>
                <w:rFonts w:ascii="Calibri" w:cs="Calibri" w:eastAsia="Calibri" w:hAnsi="Calibri"/>
                <w:color w:val="28251D"/>
                <w:sz w:val="20"/>
                <w:szCs w:val="20"/>
              </w:rPr>
              <w:t xml:space="preserve">□ Yes   Time: __________     □ No</w:t>
            </w:r>
          </w:p>
        </w:tc>
        <w:tc>
          <w:tcPr>
            <w:tcW w:type="dxa" w:w="2000"/>
            <w:tcBorders>
              <w:top w:val="single" w:color="8FAAAC" w:sz="4"/>
              <w:left w:val="single" w:color="8FAAAC" w:sz="4"/>
              <w:bottom w:val="single" w:color="8FAAAC" w:sz="4"/>
              <w:right w:val="single" w:color="8FAAAC" w:sz="4"/>
            </w:tcBorders>
            <w:shd w:fill="D0E8EA" w:val="clear"/>
            <w:tcMar>
              <w:top w:type="dxa" w:w="60"/>
              <w:left w:type="dxa" w:w="110"/>
              <w:bottom w:type="dxa" w:w="60"/>
              <w:right w:type="dxa" w:w="110"/>
            </w:tcMar>
            <w:vAlign w:val="center"/>
          </w:tcPr>
          <w:p>
            <w:pPr>
              <w:spacing w:after="0"/>
            </w:pPr>
            <w:r>
              <w:rPr>
                <w:rFonts w:ascii="Calibri" w:cs="Calibri" w:eastAsia="Calibri" w:hAnsi="Calibri"/>
                <w:b/>
                <w:bCs/>
                <w:color w:val="1B474D"/>
                <w:sz w:val="18"/>
                <w:szCs w:val="18"/>
              </w:rPr>
              <w:t xml:space="preserve">Artifact File Saved?</w:t>
            </w:r>
          </w:p>
        </w:tc>
        <w:tc>
          <w:tcPr>
            <w:tcW w:type="dxa" w:w="3912"/>
            <w:tcBorders>
              <w:top w:val="single" w:color="8FAAAC" w:sz="4"/>
              <w:left w:val="single" w:color="8FAAAC" w:sz="4"/>
              <w:bottom w:val="single" w:color="8FAAAC" w:sz="4"/>
              <w:right w:val="single" w:color="8FAAAC" w:sz="4"/>
            </w:tcBorders>
            <w:shd w:fill="FFFFFF" w:val="clear"/>
            <w:tcMar>
              <w:top w:type="dxa" w:w="70"/>
              <w:left w:type="dxa" w:w="110"/>
              <w:bottom w:type="dxa" w:w="70"/>
              <w:right w:type="dxa" w:w="110"/>
            </w:tcMar>
          </w:tcPr>
          <w:p>
            <w:pPr>
              <w:spacing w:after="0"/>
            </w:pPr>
            <w:r>
              <w:rPr>
                <w:rFonts w:ascii="Calibri" w:cs="Calibri" w:eastAsia="Calibri" w:hAnsi="Calibri"/>
                <w:color w:val="28251D"/>
                <w:sz w:val="20"/>
                <w:szCs w:val="20"/>
              </w:rPr>
              <w:t xml:space="preserve">□ Yes   File: _________________________     □ No</w:t>
            </w:r>
          </w:p>
        </w:tc>
      </w:tr>
      <w:tr>
        <w:tc>
          <w:tcPr>
            <w:tcW w:type="dxa" w:w="10512"/>
            <w:gridSpan w:val="4"/>
            <w:tcBorders>
              <w:top w:val="single" w:color="8FAAAC" w:sz="4"/>
              <w:left w:val="single" w:color="8FAAAC" w:sz="4"/>
              <w:bottom w:val="single" w:color="8FAAAC" w:sz="4"/>
              <w:right w:val="single" w:color="8FAAAC" w:sz="4"/>
            </w:tcBorders>
            <w:shd w:fill="D0E8EA" w:val="clear"/>
            <w:tcMar>
              <w:top w:type="dxa" w:w="50"/>
              <w:left w:type="dxa" w:w="110"/>
              <w:bottom w:type="dxa" w:w="50"/>
              <w:right w:type="dxa" w:w="110"/>
            </w:tcMar>
          </w:tcPr>
          <w:p>
            <w:pPr>
              <w:spacing w:after="0"/>
            </w:pPr>
            <w:r>
              <w:rPr>
                <w:rFonts w:ascii="Calibri" w:cs="Calibri" w:eastAsia="Calibri" w:hAnsi="Calibri"/>
                <w:b/>
                <w:bCs/>
                <w:color w:val="1B474D"/>
                <w:sz w:val="20"/>
                <w:szCs w:val="20"/>
              </w:rPr>
              <w:t xml:space="preserve">Additional Notes / Remarks</w:t>
            </w:r>
          </w:p>
        </w:tc>
      </w:tr>
      <w:tr>
        <w:tc>
          <w:tcPr>
            <w:tcW w:type="dxa" w:w="10512"/>
            <w:gridSpan w:val="4"/>
            <w:tcBorders>
              <w:top w:val="single" w:color="8FAAAC" w:sz="4"/>
              <w:left w:val="single" w:color="8FAAAC" w:sz="4"/>
              <w:bottom w:val="single" w:color="8FAAAC" w:sz="4"/>
              <w:right w:val="single" w:color="8FAAAC" w:sz="4"/>
            </w:tcBorders>
            <w:shd w:fill="FFFFFF" w:val="clear"/>
            <w:tcMar>
              <w:top w:type="dxa" w:w="70"/>
              <w:left w:type="dxa" w:w="110"/>
              <w:bottom w:type="dxa" w:w="70"/>
              <w:right w:type="dxa" w:w="110"/>
            </w:tcMar>
          </w:tcPr>
          <w:p>
            <w:pPr>
              <w:spacing w:after="0"/>
            </w:pPr>
            <w:r>
              <w:rPr>
                <w:rFonts w:ascii="Calibri" w:cs="Calibri" w:eastAsia="Calibri" w:hAnsi="Calibri"/>
                <w:color w:val="28251D"/>
                <w:sz w:val="20"/>
                <w:szCs w:val="20"/>
              </w:rPr>
              <w:t xml:space="preserve"/>
            </w:r>
          </w:p>
        </w:tc>
      </w:tr>
      <w:tr>
        <w:tc>
          <w:tcPr>
            <w:tcW w:type="dxa" w:w="10512"/>
            <w:gridSpan w:val="4"/>
            <w:tcBorders>
              <w:top w:val="single" w:color="8FAAAC" w:sz="4"/>
              <w:left w:val="single" w:color="8FAAAC" w:sz="4"/>
              <w:bottom w:val="single" w:color="8FAAAC" w:sz="4"/>
              <w:right w:val="single" w:color="8FAAAC" w:sz="4"/>
            </w:tcBorders>
            <w:shd w:fill="FFFFFF" w:val="clear"/>
            <w:tcMar>
              <w:top w:type="dxa" w:w="70"/>
              <w:left w:type="dxa" w:w="110"/>
              <w:bottom w:type="dxa" w:w="70"/>
              <w:right w:type="dxa" w:w="110"/>
            </w:tcMar>
          </w:tcPr>
          <w:p>
            <w:pPr>
              <w:spacing w:after="0"/>
            </w:pPr>
            <w:r>
              <w:rPr>
                <w:rFonts w:ascii="Calibri" w:cs="Calibri" w:eastAsia="Calibri" w:hAnsi="Calibri"/>
                <w:color w:val="28251D"/>
                <w:sz w:val="20"/>
                <w:szCs w:val="20"/>
              </w:rPr>
              <w:t xml:space="preserve"/>
            </w:r>
          </w:p>
        </w:tc>
      </w:tr>
      <w:tr>
        <w:tc>
          <w:tcPr>
            <w:tcW w:type="dxa" w:w="10512"/>
            <w:gridSpan w:val="4"/>
            <w:tcBorders>
              <w:top w:val="single" w:color="8FAAAC" w:sz="4"/>
              <w:left w:val="single" w:color="8FAAAC" w:sz="4"/>
              <w:bottom w:val="single" w:color="8FAAAC" w:sz="4"/>
              <w:right w:val="single" w:color="8FAAAC" w:sz="4"/>
            </w:tcBorders>
            <w:shd w:fill="FFFFFF" w:val="clear"/>
            <w:tcMar>
              <w:top w:type="dxa" w:w="70"/>
              <w:left w:type="dxa" w:w="110"/>
              <w:bottom w:type="dxa" w:w="70"/>
              <w:right w:type="dxa" w:w="110"/>
            </w:tcMar>
          </w:tcPr>
          <w:p>
            <w:pPr>
              <w:spacing w:after="0"/>
            </w:pPr>
            <w:r>
              <w:rPr>
                <w:rFonts w:ascii="Calibri" w:cs="Calibri" w:eastAsia="Calibri" w:hAnsi="Calibri"/>
                <w:color w:val="28251D"/>
                <w:sz w:val="20"/>
                <w:szCs w:val="20"/>
              </w:rPr>
              <w:t xml:space="preserve"/>
            </w:r>
          </w:p>
        </w:tc>
      </w:tr>
      <w:tr>
        <w:tc>
          <w:tcPr>
            <w:tcW w:type="dxa" w:w="10512"/>
            <w:gridSpan w:val="4"/>
            <w:tcBorders>
              <w:top w:val="single" w:color="8FAAAC" w:sz="4"/>
              <w:left w:val="single" w:color="8FAAAC" w:sz="4"/>
              <w:bottom w:val="single" w:color="8FAAAC" w:sz="4"/>
              <w:right w:val="single" w:color="8FAAAC" w:sz="4"/>
            </w:tcBorders>
            <w:shd w:fill="FFFFFF" w:val="clear"/>
            <w:tcMar>
              <w:top w:type="dxa" w:w="70"/>
              <w:left w:type="dxa" w:w="110"/>
              <w:bottom w:type="dxa" w:w="70"/>
              <w:right w:type="dxa" w:w="110"/>
            </w:tcMar>
          </w:tcPr>
          <w:p>
            <w:pPr>
              <w:spacing w:after="0"/>
            </w:pPr>
            <w:r>
              <w:rPr>
                <w:rFonts w:ascii="Calibri" w:cs="Calibri" w:eastAsia="Calibri" w:hAnsi="Calibri"/>
                <w:color w:val="28251D"/>
                <w:sz w:val="20"/>
                <w:szCs w:val="20"/>
              </w:rPr>
              <w:t xml:space="preserve"/>
            </w:r>
          </w:p>
        </w:tc>
      </w:tr>
    </w:tbl>
    <w:p>
      <w:pPr>
        <w:spacing w:after="2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2628"/>
        <w:gridCol w:w="2628"/>
      </w:tblGrid>
      <w:tr>
        <w:tc>
          <w:tcPr>
            <w:tcW w:type="dxa" w:w="2628"/>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Performed By (SA)</w:t>
            </w:r>
          </w:p>
        </w:tc>
        <w:tc>
          <w:tcPr>
            <w:tcW w:type="dxa" w:w="2628"/>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Date / Time</w:t>
            </w:r>
          </w:p>
        </w:tc>
        <w:tc>
          <w:tcPr>
            <w:tcW w:type="dxa" w:w="2628"/>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Reviewed By (ISSM/ISSO)</w:t>
            </w:r>
          </w:p>
        </w:tc>
        <w:tc>
          <w:tcPr>
            <w:tcW w:type="dxa" w:w="2628"/>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Date / Time</w:t>
            </w:r>
          </w:p>
        </w:tc>
      </w:tr>
      <w:tr>
        <w:tc>
          <w:tcPr>
            <w:tcW w:type="dxa" w:w="262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c>
          <w:tcPr>
            <w:tcW w:type="dxa" w:w="262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c>
          <w:tcPr>
            <w:tcW w:type="dxa" w:w="262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c>
          <w:tcPr>
            <w:tcW w:type="dxa" w:w="262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r>
        <w:tc>
          <w:tcPr>
            <w:tcW w:type="dxa" w:w="2628"/>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Printed Name</w:t>
            </w:r>
          </w:p>
        </w:tc>
        <w:tc>
          <w:tcPr>
            <w:tcW w:type="dxa" w:w="2628"/>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Signature</w:t>
            </w:r>
          </w:p>
        </w:tc>
        <w:tc>
          <w:tcPr>
            <w:tcW w:type="dxa" w:w="2628"/>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Printed Name</w:t>
            </w:r>
          </w:p>
        </w:tc>
        <w:tc>
          <w:tcPr>
            <w:tcW w:type="dxa" w:w="2628"/>
            <w:gridSpan w:val="1"/>
            <w:tcBorders>
              <w:top w:val="single" w:color="8FAAAC" w:sz="4"/>
              <w:left w:val="single" w:color="8FAAAC" w:sz="4"/>
              <w:bottom w:val="single" w:color="8FAAAC" w:sz="4"/>
              <w:right w:val="single" w:color="8FAAAC" w:sz="4"/>
            </w:tcBorders>
            <w:shd w:fill="1B474D" w:val="clear"/>
            <w:tcMar>
              <w:top w:type="dxa" w:w="70"/>
              <w:left w:type="dxa" w:w="110"/>
              <w:bottom w:type="dxa" w:w="70"/>
              <w:right w:type="dxa" w:w="110"/>
            </w:tcMar>
            <w:vAlign w:val="center"/>
          </w:tcPr>
          <w:p>
            <w:pPr>
              <w:spacing w:after="0"/>
              <w:jc w:val="left"/>
            </w:pPr>
            <w:r>
              <w:rPr>
                <w:rFonts w:ascii="Calibri" w:cs="Calibri" w:eastAsia="Calibri" w:hAnsi="Calibri"/>
                <w:b/>
                <w:bCs/>
                <w:caps/>
                <w:color w:val="FFFFFF"/>
                <w:sz w:val="18"/>
                <w:szCs w:val="18"/>
              </w:rPr>
              <w:t xml:space="preserve">Signature</w:t>
            </w:r>
          </w:p>
        </w:tc>
      </w:tr>
      <w:tr>
        <w:tc>
          <w:tcPr>
            <w:tcW w:type="dxa" w:w="262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c>
          <w:tcPr>
            <w:tcW w:type="dxa" w:w="262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c>
          <w:tcPr>
            <w:tcW w:type="dxa" w:w="262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c>
          <w:tcPr>
            <w:tcW w:type="dxa" w:w="2628"/>
            <w:tcBorders>
              <w:top w:val="single" w:color="8FAAAC" w:sz="4"/>
              <w:left w:val="single" w:color="8FAAAC" w:sz="4"/>
              <w:bottom w:val="single" w:color="8FAAAC" w:sz="4"/>
              <w:right w:val="single" w:color="8FAAAC" w:sz="4"/>
            </w:tcBorders>
            <w:shd w:fill="FFFFFF" w:val="clear"/>
            <w:tcMar>
              <w:top w:type="dxa" w:w="60"/>
              <w:left w:type="dxa" w:w="110"/>
              <w:bottom w:type="dxa" w:w="60"/>
              <w:right w:type="dxa" w:w="110"/>
            </w:tcMar>
          </w:tcPr>
          <w:p>
            <w:pPr>
              <w:spacing w:after="0"/>
            </w:pPr>
            <w:r>
              <w:rPr>
                <w:rFonts w:ascii="Calibri" w:cs="Calibri" w:eastAsia="Calibri" w:hAnsi="Calibri"/>
                <w:color w:val="28251D"/>
                <w:sz w:val="20"/>
                <w:szCs w:val="20"/>
              </w:rPr>
              <w:t xml:space="preserve"/>
            </w:r>
          </w:p>
          <w:p>
            <w:pPr>
              <w:spacing w:after="0"/>
            </w:pPr>
            <w:r>
              <w:rPr>
                <w:rFonts w:ascii="Calibri" w:cs="Calibri" w:eastAsia="Calibri" w:hAnsi="Calibri"/>
                <w:color w:val="28251D"/>
                <w:sz w:val="20"/>
                <w:szCs w:val="20"/>
              </w:rPr>
              <w:t xml:space="preserve"/>
            </w:r>
          </w:p>
        </w:tc>
      </w:tr>
    </w:tbl>
    <w:p>
      <w:pPr>
        <w:spacing w:after="20"/>
      </w:pPr>
      <w:r>
        <w:rPr>
          <w:rFonts w:ascii="Calibri" w:cs="Calibri" w:eastAsia="Calibri" w:hAnsi="Calibri"/>
          <w:color w:val="28251D"/>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single" w:color="1B474D" w:sz="14"/>
              <w:left w:val="single" w:color="1B474D" w:sz="14"/>
              <w:bottom w:val="single" w:color="1B474D" w:sz="14"/>
              <w:right w:val="single" w:color="1B474D" w:sz="14"/>
            </w:tcBorders>
            <w:shd w:fill="1B474D" w:val="clear"/>
            <w:tcMar>
              <w:top w:type="dxa" w:w="80"/>
              <w:bottom w:type="dxa" w:w="80"/>
            </w:tcMar>
          </w:tcPr>
          <w:p>
            <w:pPr>
              <w:spacing w:after="0"/>
              <w:jc w:val="center"/>
            </w:pPr>
            <w:r>
              <w:rPr>
                <w:rFonts w:ascii="Calibri" w:cs="Calibri" w:eastAsia="Calibri" w:hAnsi="Calibri"/>
                <w:b/>
                <w:bCs/>
                <w:caps/>
                <w:color w:val="FFFFFF"/>
                <w:sz w:val="20"/>
                <w:szCs w:val="20"/>
              </w:rPr>
              <w:t xml:space="preserve">[CLASSIFICATION — e.g., SECRET//SAP-[PROGRAM NAME]//NOFORN]</w:t>
            </w:r>
          </w:p>
        </w:tc>
      </w:tr>
    </w:tbl>
    <w:sectPr>
      <w:headerReference w:type="default" r:id="rId7"/>
      <w:footerReference w:type="default" r:id="rId8"/>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FAAAC" w:sz="4" w:space="4"/>
      </w:pBdr>
      <w:jc w:val="center"/>
    </w:pPr>
    <w:r>
      <w:rPr>
        <w:rFonts w:ascii="Calibri" w:cs="Calibri" w:eastAsia="Calibri" w:hAnsi="Calibri"/>
        <w:color w:val="5A6E70"/>
        <w:sz w:val="16"/>
        <w:szCs w:val="16"/>
      </w:rPr>
      <w:t xml:space="preserve">Page </w:t>
    </w:r>
    <w:r>
      <w:rPr>
        <w:rFonts w:ascii="Calibri" w:cs="Calibri" w:eastAsia="Calibri" w:hAnsi="Calibri"/>
        <w:color w:val="5A6E70"/>
        <w:sz w:val="16"/>
        <w:szCs w:val="16"/>
      </w:rPr>
      <w:fldChar w:fldCharType="begin"/>
      <w:instrText xml:space="preserve">PAGE</w:instrText>
      <w:fldChar w:fldCharType="separate"/>
      <w:fldChar w:fldCharType="end"/>
    </w:r>
    <w:r>
      <w:rPr>
        <w:rFonts w:ascii="Calibri" w:cs="Calibri" w:eastAsia="Calibri" w:hAnsi="Calibri"/>
        <w:color w:val="5A6E70"/>
        <w:sz w:val="16"/>
        <w:szCs w:val="16"/>
      </w:rPr>
      <w:t xml:space="preserve"> of </w:t>
    </w:r>
    <w:r>
      <w:rPr>
        <w:rFonts w:ascii="Calibri" w:cs="Calibri" w:eastAsia="Calibri" w:hAnsi="Calibri"/>
        <w:color w:val="5A6E70"/>
        <w:sz w:val="16"/>
        <w:szCs w:val="16"/>
      </w:rPr>
      <w:fldChar w:fldCharType="begin"/>
      <w:instrText xml:space="preserve">NUMPAGES</w:instrText>
      <w:fldChar w:fldCharType="separate"/>
      <w:fldChar w:fldCharType="end"/>
    </w:r>
    <w:r>
      <w:rPr>
        <w:rFonts w:ascii="Calibri" w:cs="Calibri" w:eastAsia="Calibri" w:hAnsi="Calibri"/>
        <w:i/>
        <w:iCs/>
        <w:color w:val="5A6E70"/>
        <w:sz w:val="16"/>
        <w:szCs w:val="16"/>
      </w:rPr>
      <w:t xml:space="preserve">          Retain per applicable records management policy  |  NON-TAILORABLE: AC-6(1)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1696F" w:sz="4" w:space="4"/>
      </w:pBdr>
      <w:jc w:val="right"/>
    </w:pPr>
    <w:r>
      <w:rPr>
        <w:rFonts w:ascii="Calibri" w:cs="Calibri" w:eastAsia="Calibri" w:hAnsi="Calibri"/>
        <w:color w:val="5A6E70"/>
        <w:sz w:val="16"/>
        <w:szCs w:val="16"/>
      </w:rPr>
      <w:t xml:space="preserve">MRC-0301-DA  |  Trellix ePO  |  Daily AV/EDR Verification  |  </w:t>
    </w:r>
    <w:r>
      <w:rPr>
        <w:rFonts w:ascii="Calibri" w:cs="Calibri" w:eastAsia="Calibri" w:hAnsi="Calibri"/>
        <w:i/>
        <w:iCs/>
        <w:color w:val="5A6E70"/>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1B474D"/>
      <w:sz w:val="32"/>
      <w:szCs w:val="32"/>
    </w:rPr>
  </w:style>
  <w:style w:type="paragraph" w:styleId="Heading2">
    <w:name w:val="Heading 2"/>
    <w:basedOn w:val="Normal"/>
    <w:next w:val="Normal"/>
    <w:qFormat/>
    <w:pPr>
      <w:spacing w:after="8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2026-04-02T20:54:47.793Z</dcterms:created>
  <dcterms:modified xsi:type="dcterms:W3CDTF">2026-04-02T20:54:47.793Z</dcterms:modified>
</cp:coreProperties>
</file>

<file path=docProps/custom.xml><?xml version="1.0" encoding="utf-8"?>
<Properties xmlns="http://schemas.openxmlformats.org/officeDocument/2006/custom-properties" xmlns:vt="http://schemas.openxmlformats.org/officeDocument/2006/docPropsVTypes"/>
</file>