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dynyrtcf6rz" w:id="0"/>
      <w:bookmarkEnd w:id="0"/>
      <w:r w:rsidDel="00000000" w:rsidR="00000000" w:rsidRPr="00000000">
        <w:rPr>
          <w:rtl w:val="0"/>
        </w:rPr>
        <w:t xml:space="preserve">ByteRace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7uy664ycpvex" w:id="1"/>
      <w:bookmarkEnd w:id="1"/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 This is an online event and will be held on HackerEarth platform.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 This is an individual event and any form of violation of platform rules will lead to disqualification.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3. Competition consists of 5 algorithmic puzzles to quench your thirst for the unsolvable.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4. Participants can participate from their room or from the CC. They need to have a HackerEarth account.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yg5p7z6prqyo" w:id="2"/>
      <w:bookmarkEnd w:id="2"/>
      <w:r w:rsidDel="00000000" w:rsidR="00000000" w:rsidRPr="00000000">
        <w:rPr>
          <w:rtl w:val="0"/>
        </w:rPr>
        <w:t xml:space="preserve">Important Declaration: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1. Please keep checking the Celesta 2k18 Android app, Website and Facebook page for any future updates.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2. In case of any dispute, the decisions made by the organising committee will be considered final.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