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LLAW Deep Research</w:t>
      </w:r>
    </w:p>
    <w:p>
      <w:pPr>
        <w:jc w:val="center"/>
      </w:pPr>
      <w:r>
        <w:rPr>
          <w:color w:val="666666"/>
          <w:sz w:val="28"/>
        </w:rPr>
        <w:t>Obligations &amp; Contracts — Full Case Analysis</w:t>
      </w:r>
    </w:p>
    <w:p>
      <w:pPr>
        <w:jc w:val="center"/>
      </w:pPr>
      <w:r>
        <w:rPr>
          <w:color w:val="999999"/>
          <w:sz w:val="20"/>
        </w:rPr>
        <w:t>34 Cases | Deep Research via Gemini | March 24, 2026</w:t>
      </w:r>
    </w:p>
    <w:p>
      <w:r>
        <w:br w:type="page"/>
      </w:r>
    </w:p>
    <w:p>
      <w:pPr>
        <w:pStyle w:val="Heading1"/>
      </w:pPr>
      <w:r>
        <w:t>Table of Contents</w:t>
      </w:r>
    </w:p>
    <w:p>
      <w:r>
        <w:fldChar w:fldCharType="begin"/>
      </w:r>
      <w:r>
        <w:instrText xml:space="preserve"> TOC \o "1-3" \h \z \u </w:instrText>
      </w:r>
      <w:r>
        <w:fldChar w:fldCharType="separate"/>
      </w:r>
      <w:r>
        <w:rPr>
          <w:i/>
          <w:color w:val="999999"/>
        </w:rPr>
        <w:t>(Right-click and Update Field to generate Table of Contents)</w:t>
      </w:r>
      <w:r>
        <w:fldChar w:fldCharType="end"/>
      </w:r>
    </w:p>
    <w:p>
      <w:r>
        <w:br w:type="page"/>
      </w:r>
    </w:p>
    <w:p>
      <w:pPr>
        <w:pStyle w:val="Heading1"/>
      </w:pPr>
      <w:r>
        <w:t>Module 1A — Introductory Cases</w:t>
      </w:r>
    </w:p>
    <w:p>
      <w:pPr>
        <w:pStyle w:val="Heading2"/>
      </w:pPr>
      <w:r>
        <w:t>Case 1: Philippine Charity Sweepstakes Office v. Mendoza (2023) | G.R. No. 257849</w:t>
      </w:r>
    </w:p>
    <w:p>
      <w:pPr>
        <w:pStyle w:val="Heading2"/>
      </w:pPr>
      <w:r>
        <w:t>Analytical Case Report: Philippine Charity Sweepstakes Office v. Mendoza and the Law on Obligations and Contracts</w:t>
      </w:r>
    </w:p>
    <w:p>
      <w:r>
        <w:t xml:space="preserve">The intersection of aleatory contracts, evidentiary rules, and the interpretation of contracts of adhesion is a complex area of Philippine civil law. The Supreme Court's jurisprudence often bridges the gap between rigid institutional policies and the equitable enforcement of contractual obligations. In the landmark case of </w:t>
      </w:r>
      <w:r>
        <w:rPr>
          <w:i/>
        </w:rPr>
        <w:t>Philippine Charity Sweepstakes Office v. Antonio F. Mendoza</w:t>
      </w:r>
      <w:r>
        <w:t xml:space="preserve"> (G.R. No. 257849, March 13, 2023), the Court was tasked with resolving a high-stakes dispute over a multi-million peso lottery jackpot wherein the physical evidence of the contract—the winning ticket—was severely damaged. This case presents a profound exploration of the nature of obligations arising from games of chance, the burden of proof in specific performance suits, and the application of the Civil Code provisions regarding the interpretation of obscure contractual stipulations drafted by a dominant party.</w:t>
      </w:r>
    </w:p>
    <w:p>
      <w:pPr>
        <w:pStyle w:val="ListBullet"/>
      </w:pPr>
      <w:r/>
      <w:r>
        <w:rPr>
          <w:b/>
        </w:rPr>
        <w:t>Key Point 1:</w:t>
      </w:r>
      <w:r>
        <w:t xml:space="preserve"> The Philippine Supreme Court affirmed that the presentation of a perfectly intact lottery ticket is not the sole, absolute condition precedent for claiming a jackpot prize; the essential condition is the actual selection of the winning number combination.</w:t>
      </w:r>
    </w:p>
    <w:p>
      <w:pPr>
        <w:pStyle w:val="ListBullet"/>
      </w:pPr>
      <w:r/>
      <w:r>
        <w:rPr>
          <w:b/>
        </w:rPr>
        <w:t>Key Point 2:</w:t>
      </w:r>
      <w:r>
        <w:t xml:space="preserve"> Lottery tickets are considered contracts of adhesion. Consequently, any ambiguity in the rules promulgated by the Philippine Charity Sweepstakes Office (PCSO) regarding prize claims is construed against the PCSO and in favor of the bettor, pursuant to Article 1377 of the Civil Code.</w:t>
      </w:r>
    </w:p>
    <w:p>
      <w:pPr>
        <w:pStyle w:val="ListBullet"/>
      </w:pPr>
      <w:r/>
      <w:r>
        <w:rPr>
          <w:b/>
        </w:rPr>
        <w:t>Key Point 3:</w:t>
      </w:r>
      <w:r>
        <w:t xml:space="preserve"> The Best Evidence Rule does not strictly apply when the issue is the *existence* of a document rather than its *contents*. Secondary evidence may be admitted to prove the formation of the contract and the selection of the winning numbers.</w:t>
      </w:r>
    </w:p>
    <w:p>
      <w:pPr>
        <w:spacing w:before="120" w:after="120"/>
        <w:pBdr>
          <w:bottom w:val="single" w:sz="4" w:space="1" w:color="CCCCCC"/>
        </w:pBdr>
      </w:pPr>
    </w:p>
    <w:p>
      <w:pPr>
        <w:pStyle w:val="Heading3"/>
      </w:pPr>
      <w:r>
        <w:t>Philippine Charity Sweepstakes Office v. Mendoza (2023) | G.R. No. 257849</w:t>
      </w:r>
    </w:p>
    <w:p>
      <w:pPr>
        <w:pStyle w:val="Heading4"/>
      </w:pPr>
      <w:r>
        <w:t>1. The Parties</w:t>
      </w:r>
    </w:p>
    <w:p>
      <w:pPr>
        <w:pStyle w:val="ListBullet"/>
      </w:pPr>
      <w:r/>
      <w:r>
        <w:rPr>
          <w:b/>
        </w:rPr>
        <w:t>Petitioner:</w:t>
      </w:r>
      <w:r>
        <w:t xml:space="preserve"> </w:t>
      </w:r>
      <w:r>
        <w:rPr>
          <w:b/>
        </w:rPr>
        <w:t>Philippine Charity Sweepstakes Office (PCSO)</w:t>
      </w:r>
      <w:r>
        <w:t>. The petitioner is a government-owned and controlled corporation mandated by Republic Act No. 1169 to raise and provide funds for health programs, medical assistance and services, and charities of national character through the conduct of sweepstakes, lotteries, and other similar activities. In the context of civil obligations, the PCSO acts as the offeror and the dominant contracting party that unilaterally drafts the rules, regulations, and conditions printed on every lottery ticket it issues to the betting public.</w:t>
      </w:r>
    </w:p>
    <w:p>
      <w:pPr>
        <w:pStyle w:val="ListBullet"/>
      </w:pPr>
      <w:r/>
      <w:r>
        <w:rPr>
          <w:b/>
        </w:rPr>
        <w:t>Respondent:</w:t>
      </w:r>
      <w:r>
        <w:t xml:space="preserve"> </w:t>
      </w:r>
      <w:r>
        <w:rPr>
          <w:b/>
        </w:rPr>
        <w:t>Antonio F. Mendoza</w:t>
      </w:r>
      <w:r>
        <w:t>. The respondent is a private individual and a patron of the PCSO's lottery games. In the legal framework of the dispute, Mendoza is the offeree or the adhering party who accepted the terms of the PCSO's aleatory contract by purchasing a ticket.</w:t>
      </w:r>
    </w:p>
    <w:p>
      <w:pPr>
        <w:pStyle w:val="ListBullet"/>
      </w:pPr>
      <w:r/>
      <w:r>
        <w:rPr>
          <w:b/>
        </w:rPr>
        <w:t>Their relationship:</w:t>
      </w:r>
      <w:r>
        <w:t xml:space="preserve"> The parties entered into a contractual relationship the moment Mendoza purchased lotto tickets from an authorized PCSO outlet. This transaction generated a specialized form of contract known as an </w:t>
      </w:r>
      <w:r>
        <w:rPr>
          <w:b/>
        </w:rPr>
        <w:t>aleatory contract</w:t>
      </w:r>
      <w:r>
        <w:t>, which is governed by the Civil Code of the Philippines. Under this legal relationship, the PCSO was bound by a conditional obligation: it owed Mendoza the jackpot prize subject to the suspensive condition that the number combination selected by Mendoza matched the numbers officially drawn by the PCSO.</w:t>
      </w:r>
    </w:p>
    <w:p>
      <w:pPr>
        <w:pStyle w:val="Heading4"/>
      </w:pPr>
      <w:r>
        <w:t>2. Background &amp; Facts</w:t>
      </w:r>
    </w:p>
    <w:p>
      <w:pPr>
        <w:pStyle w:val="ListBullet"/>
      </w:pPr>
      <w:r/>
      <w:r>
        <w:rPr>
          <w:b/>
        </w:rPr>
        <w:t>What was the situation before the dispute?</w:t>
      </w:r>
      <w:r/>
    </w:p>
    <w:p>
      <w:r>
        <w:t>On October 2, 2014, Antonio F. Mendoza patronized a lotto outlet in Brgy. Dacanlao, Calaca, Batangas, where he placed three bets for the PCSO's Lotto 6/42 draw. He utilized the "lucky pick" method, meaning the terminal randomly generated the six-number combinations for him.</w:t>
      </w:r>
    </w:p>
    <w:p>
      <w:pPr>
        <w:pStyle w:val="ListBullet"/>
      </w:pPr>
      <w:r/>
      <w:r>
        <w:rPr>
          <w:b/>
        </w:rPr>
        <w:t>What did each party agree to or owe the other?</w:t>
      </w:r>
      <w:r/>
    </w:p>
    <w:p>
      <w:r>
        <w:t>By paying for the bets, an obligation arose. Mendoza agreed to the terms and conditions set by the PCSO, which included the rules for claiming prizes. The PCSO, in turn, assumed a conditional obligation to deliver the jackpot prize of PHP 12,391,600.00 to Mendoza if one of his combinations was drawn.</w:t>
      </w:r>
    </w:p>
    <w:p>
      <w:pPr>
        <w:pStyle w:val="ListBullet"/>
      </w:pPr>
      <w:r/>
      <w:r>
        <w:rPr>
          <w:b/>
        </w:rPr>
        <w:t>What actually happened that led to the case?</w:t>
      </w:r>
      <w:r/>
    </w:p>
    <w:p>
      <w:r>
        <w:t>The following morning, October 3, 2014, Mendoza discovered that one of his "lucky pick" combinations had won the Lotto 6/42 jackpot. However, a tragicomic series of domestic accidents occurred. Mendoza's young granddaughter grabbed and crumpled the winning ticket. In a well-intentioned but disastrous attempt to restore the physical integrity of the ticket, Mendoza's daughter placed a piece of cloth over it and ironed it. Because lottery tickets are printed on thermal paper, the heat from the iron caused the ticket to turn predominantly black. The only details that remained partially visible were the first two digits of the three bet combinations, the outlet details, the purchase date, the draw date, and a portion of the time of purchase.</w:t>
      </w:r>
    </w:p>
    <w:p>
      <w:r>
        <w:t>On October 5, 2014, Mendoza presented the blackened ticket to the PCSO headquarters in Mandaluyong City. The PCSO instructed him to submit a handwritten account and subsequently an affidavit detailing the incident. On October 20, 2014, the PCSO formally denied Mendoza's claim, asserting that the ticket could not be validated and invoking its strict "no ticket, no payment" policy based on the warnings printed at the back of the ticket. Desperate, Mendoza brought his case to the House of Representatives Committee on Games and Amusements, which held hearings and eventually issued Committee Report No. 717, recommending that the PCSO award the prize to Mendoza because the evidence established his ownership of the winning ticket. The PCSO obstinately refused to comply with the congressional recommendation.</w:t>
      </w:r>
    </w:p>
    <w:p>
      <w:pPr>
        <w:pStyle w:val="ListBullet"/>
      </w:pPr>
      <w:r/>
      <w:r>
        <w:rPr>
          <w:b/>
        </w:rPr>
        <w:t>Timeline of key events:</w:t>
      </w:r>
      <w:r/>
    </w:p>
    <w:p>
      <w:pPr>
        <w:pStyle w:val="ListBullet"/>
      </w:pPr>
      <w:r>
        <w:t xml:space="preserve">  </w:t>
      </w:r>
      <w:r>
        <w:rPr>
          <w:b/>
        </w:rPr>
        <w:t>October 2, 2014:</w:t>
      </w:r>
      <w:r>
        <w:t xml:space="preserve"> Mendoza buys the Lotto 6/42 tickets in Batangas.</w:t>
      </w:r>
    </w:p>
    <w:p>
      <w:pPr>
        <w:pStyle w:val="ListBullet"/>
      </w:pPr>
      <w:r>
        <w:t xml:space="preserve">  </w:t>
      </w:r>
      <w:r>
        <w:rPr>
          <w:b/>
        </w:rPr>
        <w:t>October 3, 2014:</w:t>
      </w:r>
      <w:r>
        <w:t xml:space="preserve"> Mendoza realizes he won; ticket is crumpled by his granddaughter and subsequently blackened by a hot iron.</w:t>
      </w:r>
    </w:p>
    <w:p>
      <w:pPr>
        <w:pStyle w:val="ListBullet"/>
      </w:pPr>
      <w:r>
        <w:t xml:space="preserve">  </w:t>
      </w:r>
      <w:r>
        <w:rPr>
          <w:b/>
        </w:rPr>
        <w:t>October 5–7, 2014:</w:t>
      </w:r>
      <w:r>
        <w:t xml:space="preserve"> Mendoza reports the incident to the PCSO and submits required affidavits.</w:t>
      </w:r>
    </w:p>
    <w:p>
      <w:pPr>
        <w:pStyle w:val="ListBullet"/>
      </w:pPr>
      <w:r>
        <w:t xml:space="preserve">  </w:t>
      </w:r>
      <w:r>
        <w:rPr>
          <w:b/>
        </w:rPr>
        <w:t>October 20, 2014:</w:t>
      </w:r>
      <w:r>
        <w:t xml:space="preserve"> PCSO officially refuses to release the PHP 12,391,600.00 prize.</w:t>
      </w:r>
    </w:p>
    <w:p>
      <w:pPr>
        <w:pStyle w:val="ListBullet"/>
      </w:pPr>
      <w:r>
        <w:t xml:space="preserve">  </w:t>
      </w:r>
      <w:r>
        <w:rPr>
          <w:b/>
        </w:rPr>
        <w:t>September 30, 2015:</w:t>
      </w:r>
      <w:r>
        <w:t xml:space="preserve"> Exhausting administrative appeals and legislative interventions, Mendoza files a Complaint for Specific Performance against the PCSO in the Regional Trial Court (RTC) of Balayan, Batangas.</w:t>
      </w:r>
    </w:p>
    <w:p>
      <w:pPr>
        <w:pStyle w:val="ListBullet"/>
      </w:pPr>
      <w:r>
        <w:t xml:space="preserve">  </w:t>
      </w:r>
      <w:r>
        <w:rPr>
          <w:b/>
        </w:rPr>
        <w:t>March 29, 2019:</w:t>
      </w:r>
      <w:r>
        <w:t xml:space="preserve"> The RTC rules in favor of Mendoza, allowing the use of secondary evidence and ordering the PCSO to pay the jackpot, plus moral damages and attorney's fees.</w:t>
      </w:r>
    </w:p>
    <w:p>
      <w:pPr>
        <w:pStyle w:val="ListBullet"/>
      </w:pPr>
      <w:r>
        <w:t xml:space="preserve">  </w:t>
      </w:r>
      <w:r>
        <w:rPr>
          <w:b/>
        </w:rPr>
        <w:t>October 28, 2020:</w:t>
      </w:r>
      <w:r>
        <w:t xml:space="preserve"> The Court of Appeals (CA) affirms the RTC's decision regarding the jackpot prize but deletes the award for moral damages and attorney's fees.</w:t>
      </w:r>
    </w:p>
    <w:p>
      <w:pPr>
        <w:pStyle w:val="ListBullet"/>
      </w:pPr>
      <w:r>
        <w:t xml:space="preserve">  </w:t>
      </w:r>
      <w:r>
        <w:rPr>
          <w:b/>
        </w:rPr>
        <w:t>March 13, 2023:</w:t>
      </w:r>
      <w:r>
        <w:t xml:space="preserve"> The Supreme Court (Second Division) denies the PCSO's Petition for Review on Certiorari, affirming the CA's decision.</w:t>
      </w:r>
    </w:p>
    <w:p>
      <w:pPr>
        <w:pStyle w:val="Heading4"/>
      </w:pPr>
      <w:r>
        <w:t>3. The Contract or Obligation</w:t>
      </w:r>
    </w:p>
    <w:p>
      <w:pPr>
        <w:pStyle w:val="ListBullet"/>
      </w:pPr>
      <w:r/>
      <w:r>
        <w:rPr>
          <w:b/>
        </w:rPr>
        <w:t>What was the original obligation or agreement?</w:t>
      </w:r>
      <w:r/>
    </w:p>
    <w:p>
      <w:r>
        <w:t xml:space="preserve">The original obligation falls under </w:t>
      </w:r>
      <w:r>
        <w:rPr>
          <w:b/>
        </w:rPr>
        <w:t>Article 1157 of the Civil Code</w:t>
      </w:r>
      <w:r>
        <w:t xml:space="preserve">, which enumerates the sources of obligations: law, contracts, quasi-contracts, acts or omissions punished by law, and quasi-delicts. The source of the obligation here is a </w:t>
      </w:r>
      <w:r>
        <w:rPr>
          <w:b/>
        </w:rPr>
        <w:t>contract</w:t>
      </w:r>
      <w:r>
        <w:t>. Specifically, it is a contract of adhesion.</w:t>
      </w:r>
    </w:p>
    <w:p>
      <w:r>
        <w:t>By participating in the lottery, Mendoza and the PCSO entered into a mutual agreement subject to the PCSO Amended Games Rules and Regulations for the Lotto 6/42. The terms of this agreement were literally printed on the back of the physical ticket, explicitly warning the bettor:</w:t>
      </w:r>
    </w:p>
    <w:p>
      <w:r>
        <w:t>1. "Keep ticket away from heat, hot objects, oil, water and solvents."</w:t>
      </w:r>
    </w:p>
    <w:p>
      <w:r>
        <w:t>2. "Prizes will not be paid if the ticket is altered, defaced, torn, damaged or has failed any of the validation tests by PCSO."</w:t>
      </w:r>
    </w:p>
    <w:p>
      <w:r>
        <w:t>Under these stipulations, the PCSO owed the jackpot prize to the bearer of the winning ticket, subject to conditions precedent.</w:t>
      </w:r>
    </w:p>
    <w:p>
      <w:pPr>
        <w:pStyle w:val="ListBullet"/>
      </w:pPr>
      <w:r/>
      <w:r>
        <w:rPr>
          <w:b/>
        </w:rPr>
        <w:t>Was it modified, substituted, or extinguished at any point?</w:t>
      </w:r>
      <w:r/>
    </w:p>
    <w:p>
      <w:r>
        <w:t>The PCSO argued that the obligation to pay never legally matured (or was effectively extinguished) because the suspensive condition—the presentation of an unblemished, fully machine-readable ticket—was not fulfilled. The PCSO relied heavily on the "no ticket, no payment" rule, treating the physical ticket not just as evidence of the contract, but as an indispensable element of the obligation itself.</w:t>
      </w:r>
    </w:p>
    <w:p>
      <w:r>
        <w:t xml:space="preserve">However, the courts found that the obligation was </w:t>
      </w:r>
      <w:r>
        <w:rPr>
          <w:i/>
        </w:rPr>
        <w:t>not</w:t>
      </w:r>
      <w:r>
        <w:t xml:space="preserve"> extinguished by the accidental destruction of the ticket's legibility. The contract was not the piece of thermal paper; the contract was the agreement formed when Mendoza paid his wager and the PCSO terminal recorded his numbers. Because the PCSO's own digital systems had successfully recorded the transaction (the time, location, and the exact winning "lucky pick" combination), the underlying obligation to pay the prize remained entirely valid.</w:t>
      </w:r>
    </w:p>
    <w:p>
      <w:pPr>
        <w:pStyle w:val="ListBullet"/>
      </w:pPr>
      <w:r/>
      <w:r>
        <w:rPr>
          <w:b/>
        </w:rPr>
        <w:t>Were there any side agreements or modifications?</w:t>
      </w:r>
      <w:r/>
    </w:p>
    <w:p>
      <w:r>
        <w:t>There were no side agreements. The dispute strictly centered on the interpretation of the unilateral rules established by the PCSO and whether those rules could absolutely bar recovery when a legitimate winner suffers an accidental destruction of the ticket.</w:t>
      </w:r>
    </w:p>
    <w:p>
      <w:pPr>
        <w:pStyle w:val="Heading4"/>
      </w:pPr>
      <w:r>
        <w:t>4. Legal Issues Raised</w:t>
      </w:r>
    </w:p>
    <w:p>
      <w:r>
        <w:t>The Supreme Court was tasked with resolving several core legal and evidentiary questions:</w:t>
      </w:r>
    </w:p>
    <w:p>
      <w:r>
        <w:t xml:space="preserve">1. </w:t>
      </w:r>
      <w:r>
        <w:rPr>
          <w:b/>
        </w:rPr>
        <w:t>Substantive/Contractual Issue:</w:t>
      </w:r>
      <w:r>
        <w:t xml:space="preserve"> Are the provisions in the PCSO Rules and Regulations for Lotto 6/42 strictly literal, or are they susceptible to judicial interpretation due to ambiguity? Specifically, is the presentation of an intact physical ticket an absolute condition precedent to claiming the prize, or is the essential condition merely the </w:t>
      </w:r>
      <w:r>
        <w:rPr>
          <w:i/>
        </w:rPr>
        <w:t>selection</w:t>
      </w:r>
      <w:r>
        <w:t xml:space="preserve"> of the winning number combination?</w:t>
      </w:r>
    </w:p>
    <w:p>
      <w:r>
        <w:t xml:space="preserve">2. </w:t>
      </w:r>
      <w:r>
        <w:rPr>
          <w:b/>
        </w:rPr>
        <w:t>Evidentiary Issue:</w:t>
      </w:r>
      <w:r>
        <w:t xml:space="preserve"> Did Mendoza sufficiently prove his entitlement to the PHP 12,391,600.00 jackpot prize despite his winning ticket being partially burned?</w:t>
      </w:r>
    </w:p>
    <w:p>
      <w:r>
        <w:t xml:space="preserve">3. </w:t>
      </w:r>
      <w:r>
        <w:rPr>
          <w:b/>
        </w:rPr>
        <w:t>Procedural Issue:</w:t>
      </w:r>
      <w:r>
        <w:t xml:space="preserve"> Does the Best Evidence Rule bar the admission of secondary and testimonial evidence to prove the bettor's selection of the winning numbers when the original ticket is damaged?</w:t>
      </w:r>
    </w:p>
    <w:p>
      <w:pPr>
        <w:pStyle w:val="Heading4"/>
      </w:pPr>
      <w:r>
        <w:t>5. Supreme Court Ruling</w:t>
      </w:r>
    </w:p>
    <w:p>
      <w:pPr>
        <w:pStyle w:val="ListBullet"/>
      </w:pPr>
      <w:r/>
      <w:r>
        <w:rPr>
          <w:b/>
        </w:rPr>
        <w:t>What did the SC decide?</w:t>
      </w:r>
      <w:r/>
    </w:p>
    <w:p>
      <w:r>
        <w:t>The Supreme Court, through Justice Jhosep Y. Lopez, denied the PCSO's petition and ruled decisively in favor of Mendoza. The Court ordered the PCSO to pay Mendoza the PHP 12,391,600.00 jackpot prize for the October 2, 2014 Lotto 6/42 draw.</w:t>
      </w:r>
    </w:p>
    <w:p>
      <w:pPr>
        <w:pStyle w:val="ListBullet"/>
      </w:pPr>
      <w:r/>
      <w:r>
        <w:rPr>
          <w:b/>
        </w:rPr>
        <w:t>How did it reason through the applicable Civil Code provisions?</w:t>
      </w:r>
      <w:r/>
    </w:p>
    <w:p>
      <w:pPr>
        <w:pStyle w:val="ListBullet"/>
      </w:pPr>
      <w:r>
        <w:t xml:space="preserve">  </w:t>
      </w:r>
      <w:r>
        <w:rPr>
          <w:b/>
        </w:rPr>
        <w:t>Interpretation of Contracts (Art. 1370 &amp; 1377):</w:t>
      </w:r>
      <w:r>
        <w:t xml:space="preserve"> The Supreme Court treated the PCSO Rules and the lottery ticket as a </w:t>
      </w:r>
      <w:r>
        <w:rPr>
          <w:b/>
        </w:rPr>
        <w:t>contract of adhesion</w:t>
      </w:r>
      <w:r>
        <w:t>. A contract of adhesion is one where one party (the PCSO) imposes a ready-made form of contract, which the other party (Mendoza) may only accept or reject, leaving no room for negotiation.</w:t>
      </w:r>
    </w:p>
    <w:p>
      <w:pPr>
        <w:pStyle w:val="ListBullet"/>
      </w:pPr>
      <w:r>
        <w:t xml:space="preserve">  The Court applied </w:t>
      </w:r>
      <w:r>
        <w:rPr>
          <w:b/>
        </w:rPr>
        <w:t>Article 1370 of the Civil Code</w:t>
      </w:r>
      <w:r>
        <w:t>, which states that if the terms of a contract are clear, the literal meaning controls; however, if the contract is ambiguous, the intention of the parties prevails. The SC found that the PCSO Rules were deeply ambiguous. On one hand, the rules required the presentation of a physical ticket ("no ticket, no payment"); on the other hand, the rules defined the game as a "number match game," strongly implying that the *act of selecting the winning numbers* was the true essence of the game.</w:t>
      </w:r>
    </w:p>
    <w:p>
      <w:pPr>
        <w:pStyle w:val="ListBullet"/>
      </w:pPr>
      <w:r>
        <w:t xml:space="preserve">  To resolve this ambiguity, the Court invoked </w:t>
      </w:r>
      <w:r>
        <w:rPr>
          <w:b/>
        </w:rPr>
        <w:t>Article 1377 of the Civil Code</w:t>
      </w:r>
      <w:r>
        <w:t>, which mandates that the interpretation of obscure words or stipulations in a contract shall not favor the party who caused the obscurity. Since the PCSO drafted the rules, the ambiguity was construed strictly against them and liberally in favor of the adhering party, Mendoza.</w:t>
      </w:r>
    </w:p>
    <w:p>
      <w:pPr>
        <w:pStyle w:val="ListBullet"/>
      </w:pPr>
      <w:r>
        <w:t xml:space="preserve">  </w:t>
      </w:r>
      <w:r>
        <w:rPr>
          <w:b/>
        </w:rPr>
        <w:t>Nature of the Condition Precedent:</w:t>
      </w:r>
      <w:r>
        <w:t xml:space="preserve"> The Court held that the essential condition precedent to winning the prize is the *selection of the winning number combination*, not the submission of an unblemished piece of thermal paper. The ticket is merely the physical proof of the fact that the bettor selected the winning combination; it is not the winning itself.</w:t>
      </w:r>
    </w:p>
    <w:p>
      <w:pPr>
        <w:pStyle w:val="ListBullet"/>
      </w:pPr>
      <w:r>
        <w:t xml:space="preserve">  </w:t>
      </w:r>
      <w:r>
        <w:rPr>
          <w:b/>
        </w:rPr>
        <w:t>Evidentiary Reasoning (Best Evidence Rule):</w:t>
      </w:r>
      <w:r>
        <w:t xml:space="preserve"> The PCSO argued that Mendoza's claim should fail because he could not produce the original, intact document (the ticket). The Supreme Court clarified that the </w:t>
      </w:r>
      <w:r>
        <w:rPr>
          <w:b/>
        </w:rPr>
        <w:t>Best Evidence Rule</w:t>
      </w:r>
      <w:r>
        <w:t xml:space="preserve"> (Rule 130 of the Rules of Court) only applies when the *contents* of a document are the subject of the inquiry. In this case, the *contents* of the transaction (the specific numbers generated) were already undisputed and recorded in the PCSO's own central server. The issue was whether the ticket bearing those numbers *existed* in the hands of Mendoza. For proving the existence of a document and the circumstances surrounding its destruction, secondary evidence (testimonial evidence, the partially burned ticket, affidavits, and the PCSO's own terminal logs) is perfectly admissible. Mendoza successfully established his claim by a preponderance of evidence.</w:t>
      </w:r>
    </w:p>
    <w:p>
      <w:pPr>
        <w:pStyle w:val="ListBullet"/>
      </w:pPr>
      <w:r/>
      <w:r>
        <w:rPr>
          <w:b/>
        </w:rPr>
        <w:t>What was the disposition?</w:t>
      </w:r>
      <w:r/>
    </w:p>
    <w:p>
      <w:r>
        <w:t xml:space="preserve">The Supreme Court </w:t>
      </w:r>
      <w:r>
        <w:rPr>
          <w:b/>
        </w:rPr>
        <w:t>AFFIRMED</w:t>
      </w:r>
      <w:r>
        <w:t xml:space="preserve"> the decision of the Court of Appeals with </w:t>
      </w:r>
      <w:r>
        <w:rPr>
          <w:b/>
        </w:rPr>
        <w:t>MODIFICATION</w:t>
      </w:r>
      <w:r>
        <w:t>. The modification was simply upholding the CA's deletion of the RTC's award for moral and exemplary damages and attorney's fees, finding no bad faith on the part of the PCSO, as they were merely strictly (albeit incorrectly) implementing their internal regulations. The core disposition ordered the PCSO to pay the PHP 12,391,600.00 jackpot.</w:t>
      </w:r>
    </w:p>
    <w:p>
      <w:pPr>
        <w:pStyle w:val="Heading4"/>
      </w:pPr>
      <w:r>
        <w:t>6. Key Doctrine / Civil Code Hook</w:t>
      </w:r>
    </w:p>
    <w:p>
      <w:pPr>
        <w:pStyle w:val="ListBullet"/>
      </w:pPr>
      <w:r/>
      <w:r>
        <w:rPr>
          <w:b/>
        </w:rPr>
        <w:t>State the doctrinal rule this case stands for:</w:t>
      </w:r>
      <w:r/>
    </w:p>
    <w:p>
      <w:r>
        <w:t>In a contract of adhesion such as a lottery game, the essential condition precedent for the fulfillment of the obligation to pay the jackpot prize is the bettor's act of selecting the winning number combination, not the mere physical presentation of an unblemished ticket. When the rules governing the contract are ambiguous regarding the conditions for payment, such obscurity must be construed against the party who drafted the contract (the sweepstakes office) and in favor of the adhering party. Furthermore, the Best Evidence Rule does not bar the use of secondary evidence to prove a winner's claim when the existence of the ticket, rather than its contents, is the primary issue in dispute.</w:t>
      </w:r>
    </w:p>
    <w:p>
      <w:pPr>
        <w:pStyle w:val="ListBullet"/>
      </w:pPr>
      <w:r/>
      <w:r>
        <w:rPr>
          <w:b/>
        </w:rPr>
        <w:t>Which Civil Code articles does it interpret or apply?</w:t>
      </w:r>
      <w:r/>
    </w:p>
    <w:p>
      <w:pPr>
        <w:pStyle w:val="ListBullet"/>
      </w:pPr>
      <w:r>
        <w:t xml:space="preserve">  </w:t>
      </w:r>
      <w:r>
        <w:rPr>
          <w:b/>
        </w:rPr>
        <w:t>Article 1157:</w:t>
      </w:r>
      <w:r>
        <w:t xml:space="preserve"> Identifies contracts as a primary source of obligations, affirming the legally binding nature of the lottery wager.</w:t>
      </w:r>
    </w:p>
    <w:p>
      <w:pPr>
        <w:pStyle w:val="ListBullet"/>
      </w:pPr>
      <w:r>
        <w:t xml:space="preserve">  </w:t>
      </w:r>
      <w:r>
        <w:rPr>
          <w:b/>
        </w:rPr>
        <w:t>Article 1159:</w:t>
      </w:r>
      <w:r>
        <w:t xml:space="preserve"> Obligations arising from contracts have the force of law between the contracting parties and should be complied with in good faith.</w:t>
      </w:r>
    </w:p>
    <w:p>
      <w:pPr>
        <w:pStyle w:val="ListBullet"/>
      </w:pPr>
      <w:r>
        <w:t xml:space="preserve">  </w:t>
      </w:r>
      <w:r>
        <w:rPr>
          <w:b/>
        </w:rPr>
        <w:t>Article 1370:</w:t>
      </w:r>
      <w:r>
        <w:t xml:space="preserve"> Requires courts to determine if a contract provision is ambiguous; if it is susceptible to two reasonable alternative interpretations, the court must look beyond the literal words to ascertain true intent.</w:t>
      </w:r>
    </w:p>
    <w:p>
      <w:pPr>
        <w:pStyle w:val="ListBullet"/>
      </w:pPr>
      <w:r>
        <w:t xml:space="preserve">  </w:t>
      </w:r>
      <w:r>
        <w:rPr>
          <w:b/>
        </w:rPr>
        <w:t>Article 1377:</w:t>
      </w:r>
      <w:r>
        <w:t xml:space="preserve"> "The interpretation of obscure words or stipulations in a contract shall not favor the party who caused the obscurity." This is the cornerstone of the Court's ruling against the PCSO's unilateral strictures.</w:t>
      </w:r>
    </w:p>
    <w:p>
      <w:pPr>
        <w:pStyle w:val="ListBullet"/>
      </w:pPr>
      <w:r/>
      <w:r>
        <w:rPr>
          <w:b/>
        </w:rPr>
        <w:t>How does this case fit into or modify existing doctrine?</w:t>
      </w:r>
      <w:r/>
    </w:p>
    <w:p>
      <w:r>
        <w:t xml:space="preserve">Prior to this case, the PCSO frequently relied on strict, literal interpretations of their "no ticket, no payment" rule to deny claims, previously finding support in earlier Supreme Court rulings regarding "Number Fever" promotional cases where strict compliance with conditions precedent was mandated. </w:t>
      </w:r>
      <w:r>
        <w:rPr>
          <w:i/>
        </w:rPr>
        <w:t>PCSO v. Mendoza</w:t>
      </w:r>
      <w:r>
        <w:t xml:space="preserve"> significantly softens this rigid stance in the context of state-sponsored lotteries. It modifies the landscape by legally separating the </w:t>
      </w:r>
      <w:r>
        <w:rPr>
          <w:i/>
        </w:rPr>
        <w:t>substantive right</w:t>
      </w:r>
      <w:r>
        <w:t xml:space="preserve"> (the act of betting on the winning numbers) from the </w:t>
      </w:r>
      <w:r>
        <w:rPr>
          <w:i/>
        </w:rPr>
        <w:t>procedural proof</w:t>
      </w:r>
      <w:r>
        <w:t xml:space="preserve"> (the physical ticket), establishing that a destroyed ticket does not automatically extinguish the contractual obligation of the State to pay the winner if secondary evidence can conclusively prove the substantive right.</w:t>
      </w:r>
    </w:p>
    <w:p>
      <w:pPr>
        <w:pStyle w:val="Heading4"/>
      </w:pPr>
      <w:r>
        <w:t>7. Memory Anchor</w:t>
      </w:r>
    </w:p>
    <w:p>
      <w:r>
        <w:rPr>
          <w:b/>
        </w:rPr>
        <w:t>The "Ironed Lotto Ticket" Case.</w:t>
      </w:r>
    </w:p>
    <w:p>
      <w:r>
        <w:t xml:space="preserve">When a multi-million peso lottery ticket is accidentally burned by a flat iron, the bettor can still claim the prize using secondary evidence because under </w:t>
      </w:r>
      <w:r>
        <w:rPr>
          <w:b/>
        </w:rPr>
        <w:t>Article 1377</w:t>
      </w:r>
      <w:r>
        <w:t xml:space="preserve">, the ambiguous rules of a contract of adhesion are construed against the PCSO; the true contract is the </w:t>
      </w:r>
      <w:r>
        <w:rPr>
          <w:i/>
        </w:rPr>
        <w:t>selection of the numbers</w:t>
      </w:r>
      <w:r>
        <w:t>, not the thermal paper itself.</w:t>
      </w:r>
    </w:p>
    <w:p>
      <w:pPr>
        <w:pStyle w:val="Heading2"/>
      </w:pPr>
      <w:r>
        <w:t>Case 2: Mother Goose Special School System, Inc. v. Palaganas, et al. (2025) | G.R. No. 267331</w:t>
      </w:r>
    </w:p>
    <w:p>
      <w:pPr>
        <w:pStyle w:val="Heading2"/>
      </w:pPr>
      <w:r>
        <w:t>Judicial and Doctrinal Analysis of Educational Institution Liability under the Philippine Civil Code: A Comprehensive Review of *Mother Goose Special School System, Inc. v. Palaganas*</w:t>
      </w:r>
    </w:p>
    <w:p>
      <w:r>
        <w:rPr>
          <w:b/>
        </w:rPr>
        <w:t>Key Points &amp; Executive Summary</w:t>
      </w:r>
    </w:p>
    <w:p>
      <w:pPr>
        <w:pStyle w:val="ListBullet"/>
      </w:pPr>
      <w:r>
        <w:t xml:space="preserve">  </w:t>
      </w:r>
      <w:r>
        <w:rPr>
          <w:b/>
        </w:rPr>
        <w:t>Case Significance</w:t>
      </w:r>
      <w:r>
        <w:t>: The 2025 Supreme Court decision in *Mother Goose Special School System, Inc. v. Spouses Samuel Palaganas and Villa Palaganas* (G.R. No. 267331) establishes a definitive modern precedent on the liability of educational institutions for peer-on-peer student violence.</w:t>
      </w:r>
    </w:p>
    <w:p>
      <w:pPr>
        <w:pStyle w:val="ListBullet"/>
      </w:pPr>
      <w:r>
        <w:t xml:space="preserve">  </w:t>
      </w:r>
      <w:r>
        <w:rPr>
          <w:b/>
        </w:rPr>
        <w:t>Contractual Foundation</w:t>
      </w:r>
      <w:r>
        <w:t>: Research suggests that enrolling a child in a school creates a formal, reciprocal contract. A fundamental component of this contract is the school's "built-in" obligation to provide and maintain a safe, secure, and conducive learning environment.</w:t>
      </w:r>
    </w:p>
    <w:p>
      <w:pPr>
        <w:pStyle w:val="ListBullet"/>
      </w:pPr>
      <w:r>
        <w:t xml:space="preserve">  </w:t>
      </w:r>
      <w:r>
        <w:rPr>
          <w:b/>
        </w:rPr>
        <w:t>Nature of Liability</w:t>
      </w:r>
      <w:r>
        <w:t>: It seems likely that future school injury cases will be prosecuted under *culpa contractual* (breach of contract) rather than *culpa aquiliana* (quasi-delict). Because the liability is rooted in contract, the traditional defense of exercising the "diligence of a good father of a family" in the selection and supervision of employees is not an absolute bar to liability.</w:t>
      </w:r>
    </w:p>
    <w:p>
      <w:pPr>
        <w:pStyle w:val="ListBullet"/>
      </w:pPr>
      <w:r>
        <w:t xml:space="preserve">  </w:t>
      </w:r>
      <w:r>
        <w:rPr>
          <w:b/>
        </w:rPr>
        <w:t>Handling Bullying Incidents</w:t>
      </w:r>
      <w:r>
        <w:t>: The evidence leans toward strict judicial scrutiny of how school administrators respond to violence. In this case, the school was found grossly negligent not just because the incident occurred, but because of its deeply flawed, inaccurate, and dismissive post-incident investigation.</w:t>
      </w:r>
    </w:p>
    <w:p>
      <w:r>
        <w:t>This report provides an exhaustive, highly detailed academic analysis of the recent Philippine Supreme Court case concerning educational liability. For laypersons, the crux of the matter is simple: when parents entrust their children to a school, the law expects the school to protect them. If a child is harmed by classmates and the school fails to act reasonably to prevent or address the harm, the school has broken its implied contract with the parents and must pay damages. The following sections will break down the intricate civil law doctrines, the historical evolution of school liability in the Philippines, and the precise factual matrix that led to the Court's ruling.</w:t>
      </w:r>
    </w:p>
    <w:p>
      <w:pPr>
        <w:pStyle w:val="Heading2"/>
      </w:pPr>
      <w:r>
        <w:t>The Evolution of School Liability Jurisprudence in the Philippines</w:t>
      </w:r>
    </w:p>
    <w:p>
      <w:r>
        <w:t xml:space="preserve">To fully understand the weight of the </w:t>
      </w:r>
      <w:r>
        <w:rPr>
          <w:i/>
        </w:rPr>
        <w:t>Mother Goose</w:t>
      </w:r>
      <w:r>
        <w:t xml:space="preserve"> decision, it is imperative to trace the historical and jurisprudential evolution of educational institution liability under the Civil Code of the Philippines. For decades, the Philippine legal system grappled with the appropriate framework to apply when a student is injured within school premises.</w:t>
      </w:r>
    </w:p>
    <w:p>
      <w:pPr>
        <w:pStyle w:val="Heading3"/>
      </w:pPr>
      <w:r>
        <w:t>The Era of *In Loco Parentis* and Vicarious Liability (Culpa Aquiliana)</w:t>
      </w:r>
    </w:p>
    <w:p>
      <w:r>
        <w:t xml:space="preserve">Historically, claims against schools for injuries sustained by students were analyzed through the lens of tort law, specifically quasi-delicts or </w:t>
      </w:r>
      <w:r>
        <w:rPr>
          <w:i/>
        </w:rPr>
        <w:t>culpa aquiliana</w:t>
      </w:r>
      <w:r>
        <w:t xml:space="preserve"> under Article 2176 of the Civil Code. Under this framework, liability was often pinned on the specific teacher or head of the institution exercising substitute parental authority (</w:t>
      </w:r>
      <w:r>
        <w:rPr>
          <w:i/>
        </w:rPr>
        <w:t>in loco parentis</w:t>
      </w:r>
      <w:r>
        <w:t>) under Article 2180. Article 2180 explicitly holds teachers or heads of establishments of arts and trades liable for damages caused by their pupils and students or apprentices, so long as they remain in their custody.</w:t>
      </w:r>
    </w:p>
    <w:p>
      <w:r>
        <w:t>In these quasi-delictual cases, the negligence was viewed as direct, substantive, and independent. However, Article 2180 provides employers and institutions with an "escape clause"—they could avoid vicarious liability by proving that they observed all the diligence of a good father of a family to prevent damage, particularly in the selection and supervision of their employees. This often resulted in schools escaping liability by merely presenting paperwork showing they had standard hiring procedures and regular faculty evaluations, leaving the aggrieved families without adequate recourse.</w:t>
      </w:r>
    </w:p>
    <w:p>
      <w:pPr>
        <w:pStyle w:val="Heading3"/>
      </w:pPr>
      <w:r>
        <w:t>The Paradigm Shift: *PSBA v. Court of Appeals* and *Culpa Contractual*</w:t>
      </w:r>
    </w:p>
    <w:p>
      <w:r>
        <w:t xml:space="preserve">The jurisprudential landscape experienced a seismic shift with the landmark ruling in </w:t>
      </w:r>
      <w:r>
        <w:rPr>
          <w:i/>
        </w:rPr>
        <w:t>Philippine School of Business Administration (PSBA) v. Court of Appeals</w:t>
      </w:r>
      <w:r>
        <w:t xml:space="preserve"> (G.R. No. 84698). In that case, the Supreme Court articulated that when an academic institution accepts a student for enrollment, a reciprocal contract is established between them.</w:t>
      </w:r>
    </w:p>
    <w:p>
      <w:r>
        <w:t xml:space="preserve">This contractual relationship fundamentally alters the nature of the school's duty. As the Court explained in </w:t>
      </w:r>
      <w:r>
        <w:rPr>
          <w:i/>
        </w:rPr>
        <w:t>Mother Goose</w:t>
      </w:r>
      <w:r>
        <w:t xml:space="preserve">, citing </w:t>
      </w:r>
      <w:r>
        <w:rPr>
          <w:i/>
        </w:rPr>
        <w:t>PSBA</w:t>
      </w:r>
      <w:r>
        <w:t xml:space="preserve"> and subsequent cases like </w:t>
      </w:r>
      <w:r>
        <w:rPr>
          <w:i/>
        </w:rPr>
        <w:t>Khristine Rea M. Regino v. Pangasinan Colleges of Science and Technology</w:t>
      </w:r>
      <w:r>
        <w:t xml:space="preserve"> and </w:t>
      </w:r>
      <w:r>
        <w:rPr>
          <w:i/>
        </w:rPr>
        <w:t>St. Benedict Childhood Education Centre, Inc. v. San Jose</w:t>
      </w:r>
      <w:r>
        <w:t>, academic institutions have a "built-in" obligation to provide a "conducive atmosphere for learning". Students cannot be expected to absorb knowledge if they are constantly under the threat of physical harm.</w:t>
      </w:r>
    </w:p>
    <w:p>
      <w:r>
        <w:t>Therefore, when a student is injured, the school's liability does not arise solely from a quasi-delict, but rather from a breach of this pre-existing contractual obligation (</w:t>
      </w:r>
      <w:r>
        <w:rPr>
          <w:i/>
        </w:rPr>
        <w:t>culpa contractual</w:t>
      </w:r>
      <w:r>
        <w:t xml:space="preserve">). In </w:t>
      </w:r>
      <w:r>
        <w:rPr>
          <w:i/>
        </w:rPr>
        <w:t>culpa contractual</w:t>
      </w:r>
      <w:r>
        <w:t>, the negligence of the school or its employees is merely incidental to the performance of an already existing contractual duty.</w:t>
      </w:r>
    </w:p>
    <w:p>
      <w:pPr>
        <w:pStyle w:val="Heading3"/>
      </w:pPr>
      <w:r>
        <w:t>The Implications of the Contractual Framework</w:t>
      </w:r>
    </w:p>
    <w:p>
      <w:r>
        <w:t xml:space="preserve">The classification of the liability as </w:t>
      </w:r>
      <w:r>
        <w:rPr>
          <w:i/>
        </w:rPr>
        <w:t>culpa contractual</w:t>
      </w:r>
      <w:r>
        <w:t xml:space="preserve"> rather than </w:t>
      </w:r>
      <w:r>
        <w:rPr>
          <w:i/>
        </w:rPr>
        <w:t>culpa aquiliana</w:t>
      </w:r>
      <w:r>
        <w:t xml:space="preserve"> has profound procedural and substantive implications. Under Article 1170 of the Civil Code, those who in the performance of their obligations are guilty of fraud, negligence, or delay, and those who in any manner contravene the tenor thereof, are liable for damages.</w:t>
      </w:r>
    </w:p>
    <w:p>
      <w:r>
        <w:t xml:space="preserve">Most importantly, in </w:t>
      </w:r>
      <w:r>
        <w:rPr>
          <w:i/>
        </w:rPr>
        <w:t>culpa contractual</w:t>
      </w:r>
      <w:r>
        <w:t xml:space="preserve">, the mere proof of the existence of the contract and the failure of its compliance justify, </w:t>
      </w:r>
      <w:r>
        <w:rPr>
          <w:i/>
        </w:rPr>
        <w:t>prima facie</w:t>
      </w:r>
      <w:r>
        <w:t xml:space="preserve">, a corresponding right of relief. The burden of proof shifts to the defendant institution to prove that it exercised the required diligence or that the breach was not due to its negligence. Furthermore, the classic defense under Article 2180—that the school exercised the diligence of a good father of a family in selecting and supervising its teachers—is a complete defense </w:t>
      </w:r>
      <w:r>
        <w:rPr>
          <w:i/>
        </w:rPr>
        <w:t>only</w:t>
      </w:r>
      <w:r>
        <w:t xml:space="preserve"> in </w:t>
      </w:r>
      <w:r>
        <w:rPr>
          <w:i/>
        </w:rPr>
        <w:t>culpa aquiliana</w:t>
      </w:r>
      <w:r>
        <w:t xml:space="preserve">. It is not a complete defense in cases of </w:t>
      </w:r>
      <w:r>
        <w:rPr>
          <w:i/>
        </w:rPr>
        <w:t>culpa contractual</w:t>
      </w:r>
      <w:r>
        <w:t>.</w:t>
      </w:r>
    </w:p>
    <w:p>
      <w:pPr>
        <w:pStyle w:val="Heading2"/>
      </w:pPr>
      <w:r>
        <w:t>Factual Matrix and Procedural History of the *Mother Goose* Dispute</w:t>
      </w:r>
    </w:p>
    <w:p>
      <w:r>
        <w:t xml:space="preserve">The factual background of the </w:t>
      </w:r>
      <w:r>
        <w:rPr>
          <w:i/>
        </w:rPr>
        <w:t>Mother Goose</w:t>
      </w:r>
      <w:r>
        <w:t xml:space="preserve"> case serves as a textbook example of how a minor incident can escalate into a major legal battle due to institutional apathy and administrative gross negligence.</w:t>
      </w:r>
    </w:p>
    <w:p>
      <w:pPr>
        <w:pStyle w:val="Heading3"/>
      </w:pPr>
      <w:r>
        <w:t>The Genesis of the Dispute</w:t>
      </w:r>
    </w:p>
    <w:p>
      <w:r>
        <w:t>The events unfolded in early 2007 at the Mother Goose Special School System, Inc. located in Dagupan City, Pangasinan. The core characters were three grade school classmates: Rhys Palaganas, Noel Fernandez, and Mark Dy.</w:t>
      </w:r>
    </w:p>
    <w:p>
      <w:r>
        <w:t>On January 19, 2007, during a Music class, Noel lost his mechanical pencil. Rhys found the pencil and brought it home. A few days later, during a Filipino class, Noel noticed Rhys using the mechanical pencil. Upon confronting him, Noel allowed Rhys to continue using it temporarily because Rhys did not have his own pencil at the time. Unfortunately, Rhys forgot to return the pencil at the end of the school day.</w:t>
      </w:r>
    </w:p>
    <w:p>
      <w:pPr>
        <w:pStyle w:val="Heading3"/>
      </w:pPr>
      <w:r>
        <w:t>The Assault</w:t>
      </w:r>
    </w:p>
    <w:p>
      <w:r>
        <w:t>The situation escalated violently on January 26, 2007, during a Computer class. Noel again asked Rhys to return the pencil. Rhys claimed he did not bring it and promised to return it the next time.</w:t>
      </w:r>
    </w:p>
    <w:p>
      <w:r>
        <w:t>At this point, Mark Dy, who was seated nearby, suddenly punched Rhys's left arm three times. Noel followed up with two punches of his own. Mark then delivered another three punches, and Noel finished with three more punches. In total, Rhys sustained eleven punches—six from Mark and five from Noel. During this entire physical altercation, the teacher-in-charge, Mr. Gerald Gomez, was completely absent from the classroom, having gone to the comfort room without leaving a substitute to supervise the children.</w:t>
      </w:r>
    </w:p>
    <w:p>
      <w:pPr>
        <w:pStyle w:val="Heading3"/>
      </w:pPr>
      <w:r>
        <w:t>Institutional Negligence and Administrative Apathy</w:t>
      </w:r>
    </w:p>
    <w:p>
      <w:r>
        <w:t>The physical assault was only the first part of the school's failure; the subsequent administrative handling formed the core of the gross negligence finding.</w:t>
      </w:r>
    </w:p>
    <w:p>
      <w:r>
        <w:t xml:space="preserve">1.  </w:t>
      </w:r>
      <w:r>
        <w:rPr>
          <w:b/>
        </w:rPr>
        <w:t>Ignored Initial Reports</w:t>
      </w:r>
      <w:r>
        <w:t>: On January 29, Rhys reported the incident to his Hekasi teacher, Mr. Mark Anthony Gallardo, who inexplicably ignored the report and took no action.</w:t>
      </w:r>
    </w:p>
    <w:p>
      <w:r>
        <w:t xml:space="preserve">2.  </w:t>
      </w:r>
      <w:r>
        <w:rPr>
          <w:b/>
        </w:rPr>
        <w:t>Delayed Discovery by Parents</w:t>
      </w:r>
      <w:r>
        <w:t>: On February 1, a classmate noticed the physical bruises on Rhys and reported them to the class adviser, "Teacher Cecil." She investigated and managed to extract admissions from both Noel and Mark. Shockingly, the school did not proactively notify Rhys's parents. Instead, Rhys's mother, Villa Palaganas, only found out about the assault on the afternoon of February 1 because Noel's mother, Gloria Fernandez, called to apologize.</w:t>
      </w:r>
    </w:p>
    <w:p>
      <w:r>
        <w:t xml:space="preserve">3.  </w:t>
      </w:r>
      <w:r>
        <w:rPr>
          <w:b/>
        </w:rPr>
        <w:t>Inaccurate and Dismissive Investigation</w:t>
      </w:r>
      <w:r>
        <w:t>: The Palaganas spouses immediately went to the school to complain but felt ignored. On February 7, Samuel Palaganas sent a formal letter to Principal Julia Palaroan requesting a thorough investigation. Principal Palaroan verbally acknowledged that both boys admitted to the punching. However, when the official report was eventually released, it contained glaring inaccuracies. It completely cleared Mark Dy of all charges (despite him throwing the most punches) and claimed Noel was innocent. Furthermore, the school administrators downplayed the violent assault as mere "teasing" and a "natural and part of the growing up process".</w:t>
      </w:r>
    </w:p>
    <w:p>
      <w:r>
        <w:t xml:space="preserve">4.  </w:t>
      </w:r>
      <w:r>
        <w:rPr>
          <w:b/>
        </w:rPr>
        <w:t>Refusal to Discipline</w:t>
      </w:r>
      <w:r>
        <w:t>: Despite clear admissions of guilt from the aggressors, the school imposed zero disciplinary action against Mark and Noel. A subsequent reinvestigation demanded by the parents on February 26 yielded the exact same dismissive conclusions.</w:t>
      </w:r>
    </w:p>
    <w:p>
      <w:pPr>
        <w:pStyle w:val="Heading3"/>
      </w:pPr>
      <w:r>
        <w:t>Judicial Proceedings</w:t>
      </w:r>
    </w:p>
    <w:p>
      <w:r>
        <w:t>Aggrieved by the school's lack of protocol, prudence, foresight, and sensitivity, the Spouses Palaganas filed a Complaint for Damages against the fathers of the aggressors (Calixto Fernandez and Bernabe Dy, Jr.), the Mother Goose School, and the involved teachers and administrators.</w:t>
      </w:r>
    </w:p>
    <w:p>
      <w:pPr>
        <w:pStyle w:val="ListBullet"/>
      </w:pPr>
      <w:r>
        <w:t xml:space="preserve">  </w:t>
      </w:r>
      <w:r>
        <w:rPr>
          <w:b/>
        </w:rPr>
        <w:t>Regional Trial Court (RTC)</w:t>
      </w:r>
      <w:r>
        <w:t>: The RTC in San Carlos City found in favor of the Palaganas family. It held both the school and Teacher Gomez solidarily liable for negligence, reasoning they failed in their substitute parental authority during school hours. The RTC awarded \( P500,000.00 \) in moral damages, \( P200,000.00 \) in exemplary damages, and \( P150,000.00 \) in attorney's fees.</w:t>
      </w:r>
    </w:p>
    <w:p>
      <w:pPr>
        <w:pStyle w:val="ListBullet"/>
      </w:pPr>
      <w:r>
        <w:t xml:space="preserve">  </w:t>
      </w:r>
      <w:r>
        <w:rPr>
          <w:b/>
        </w:rPr>
        <w:t>Court of Appeals (CA)</w:t>
      </w:r>
      <w:r>
        <w:t>: The school and Gomez appealed. The CA affirmed the RTC's ruling regarding the school's liability but made significant modifications. It exonerated Mr. Gomez, reasoning that his brief trip to the restroom did not constitute negligence as there was no substitute teacher available. However, the CA found the school *directly* liable for its own gross negligence in handling what it termed a "bullying" incident. The CA reduced the moral damages to \( P300,000.00 \), bringing the total damages to \( P650,000.00 \).</w:t>
      </w:r>
    </w:p>
    <w:p>
      <w:pPr>
        <w:pStyle w:val="Heading2"/>
      </w:pPr>
      <w:r>
        <w:t>Supreme Court Analysis: Deconstructing the Decision</w:t>
      </w:r>
    </w:p>
    <w:p>
      <w:r>
        <w:t>The Supreme Court, through the Second Division with a decision penned by Associate Justice Mario V. Lopez, affirmed the Court of Appeals' ruling. The Court's reasoning provides a masterclass in the application of the Civil Code to modern educational disputes.</w:t>
      </w:r>
    </w:p>
    <w:p>
      <w:pPr>
        <w:pStyle w:val="Heading3"/>
      </w:pPr>
      <w:r>
        <w:t>The Rejection of the Quasi-Delict Defense</w:t>
      </w:r>
    </w:p>
    <w:p>
      <w:r>
        <w:t>The school attempted to shield itself from liability by raising the defense under Article 2180 of the Civil Code—arguing that it had exercised the diligence of a good father of a family in selecting and supervising its teachers. The Supreme Court swiftly dismantled this defense.</w:t>
      </w:r>
    </w:p>
    <w:p>
      <w:r>
        <w:t>The Court definitively ruled that the liability of Mother Goose School was not based on quasi-delict (</w:t>
      </w:r>
      <w:r>
        <w:rPr>
          <w:i/>
        </w:rPr>
        <w:t>culpa aquiliana</w:t>
      </w:r>
      <w:r>
        <w:t>) but on breach of contract (</w:t>
      </w:r>
      <w:r>
        <w:rPr>
          <w:i/>
        </w:rPr>
        <w:t>culpa contractual</w:t>
      </w:r>
      <w:r>
        <w:t>). Because the parents and the school had a pre-existing contractual relationship established upon Rhys's enrollment, the school's failure to protect Rhys was a failure to perform its contractual obligations. Consequently, the defense of due diligence in the selection and supervision of employees is utterly devoid of merit and legally inapplicable as a complete bar to liability.</w:t>
      </w:r>
    </w:p>
    <w:p>
      <w:pPr>
        <w:pStyle w:val="Heading3"/>
      </w:pPr>
      <w:r>
        <w:t>The Finding of Gross Negligence</w:t>
      </w:r>
    </w:p>
    <w:p>
      <w:r>
        <w:t xml:space="preserve">While the school is not expected to be an absolute insurer against all possible harms, it is expected to act with the diligence of a good father of a family in providing a safe environment. The Supreme Court highlighted several undeniable facts that proved the school's </w:t>
      </w:r>
      <w:r>
        <w:rPr>
          <w:i/>
        </w:rPr>
        <w:t>gross negligence</w:t>
      </w:r>
      <w:r>
        <w:t>:</w:t>
      </w:r>
    </w:p>
    <w:p>
      <w:r>
        <w:t xml:space="preserve">1.  </w:t>
      </w:r>
      <w:r>
        <w:rPr>
          <w:b/>
        </w:rPr>
        <w:t>Lack of Protocol</w:t>
      </w:r>
      <w:r>
        <w:t>: The school admitted to lacking any standardized protocol for addressing peer-to-peer physical harm, leaving teachers ill-equipped to respond.</w:t>
      </w:r>
    </w:p>
    <w:p>
      <w:r>
        <w:t xml:space="preserve">2.  </w:t>
      </w:r>
      <w:r>
        <w:rPr>
          <w:b/>
        </w:rPr>
        <w:t>Failure to Inform</w:t>
      </w:r>
      <w:r>
        <w:t>: The school breached its duty of care by failing to immediately inform the victim's parents, forcing them to learn of the assault from the mother of an aggressor.</w:t>
      </w:r>
    </w:p>
    <w:p>
      <w:r>
        <w:t xml:space="preserve">3.  </w:t>
      </w:r>
      <w:r>
        <w:rPr>
          <w:b/>
        </w:rPr>
        <w:t>Inaccurate Reporting and Inaction</w:t>
      </w:r>
      <w:r>
        <w:t>: The school's internal investigation was deemed a sham. It was replete with inaccurate information, contradicted the direct admissions of the perpetrators, and resulted in zero disciplinary action against the offenders.</w:t>
      </w:r>
    </w:p>
    <w:p>
      <w:r>
        <w:t xml:space="preserve">4.  </w:t>
      </w:r>
      <w:r>
        <w:rPr>
          <w:b/>
        </w:rPr>
        <w:t>Minimization of Harm</w:t>
      </w:r>
      <w:r>
        <w:t>: The administration's choice to downplay eleven punches as mere "teasing" or "rough play" demonstrated a severe lack of sensitivity and foresight.</w:t>
      </w:r>
    </w:p>
    <w:p>
      <w:pPr>
        <w:pStyle w:val="Heading3"/>
      </w:pPr>
      <w:r>
        <w:t>Clarification on the Definition of "Bullying"</w:t>
      </w:r>
    </w:p>
    <w:p>
      <w:r>
        <w:t>From an academic and legal standpoint, the Supreme Court made a vital clarification regarding the terminology used in the case. While the Court of Appeals had classified the incident under the framework of the Anti-Bullying Act of 2013 (Republic Act No. 10627), the Supreme Court noted a temporal impossibility. The incident occurred in 2007, six years before the enactment of the law. Therefore, the Court clarified that the term "bullying" should be construed purely in its generic, dictionary sense—the abuse and mistreatment of someone vulnerable by someone stronger—rather than its statutory definition.</w:t>
      </w:r>
    </w:p>
    <w:p>
      <w:pPr>
        <w:pStyle w:val="Heading3"/>
      </w:pPr>
      <w:r>
        <w:t>The Calculus of Damages</w:t>
      </w:r>
    </w:p>
    <w:p>
      <w:r>
        <w:t>Under the Civil Code, moral damages (Article 2217) may be recovered if they are the proximate result of the defendant's wrongful act or omission. Exemplary damages (Article 2229) are imposed by way of example or correction for the public good, particularly when the defendant acts with gross negligence. Attorney's fees (Article 2208) are recoverable when exemplary damages are awarded or when the defendant's act compelled the plaintiff to litigate.</w:t>
      </w:r>
    </w:p>
    <w:p>
      <w:r>
        <w:t>The Supreme Court sustained the modified mathematical calculation of the Court of Appeals, condemning the school to pay:</w:t>
      </w:r>
    </w:p>
    <w:p>
      <w:r>
        <w:t>\[ Total\ Damages = Moral\ Damages\ (P300,000) + Exemplary\ Damages\ (P200,000) + Attorney's\ Fees\ (P150,000) = P650,000 \]</w:t>
      </w:r>
    </w:p>
    <w:p>
      <w:r>
        <w:t>This financial penalty serves as a stark warning to educational institutions across the Philippines.</w:t>
      </w:r>
    </w:p>
    <w:p>
      <w:r>
        <w:rPr>
          <w:b/>
        </w:rPr>
      </w:r>
    </w:p>
    <w:p>
      <w:pPr>
        <w:pStyle w:val="Heading3"/>
      </w:pPr>
      <w:r>
        <w:t>Mother Goose Special School System, Inc. v. Palaganas, et al. (2025) | G.R. No. 267331</w:t>
      </w:r>
    </w:p>
    <w:p>
      <w:pPr>
        <w:pStyle w:val="Heading4"/>
      </w:pPr>
      <w:r>
        <w:t>1. The Parties</w:t>
      </w:r>
    </w:p>
    <w:p>
      <w:pPr>
        <w:pStyle w:val="ListBullet"/>
      </w:pPr>
      <w:r/>
      <w:r>
        <w:rPr>
          <w:b/>
        </w:rPr>
        <w:t>Petitioner:</w:t>
      </w:r>
      <w:r>
        <w:t xml:space="preserve"> Mother Goose Special School System, Inc., a private educational institution located in Dagupan City, Pangasinan. The school provides elementary education and employs the teachers and administrators (including Principal Julia Palaroan and Teacher Gerald Gomez) involved in the dispute.</w:t>
      </w:r>
    </w:p>
    <w:p>
      <w:pPr>
        <w:pStyle w:val="ListBullet"/>
      </w:pPr>
      <w:r/>
      <w:r>
        <w:rPr>
          <w:b/>
        </w:rPr>
        <w:t>Respondents:</w:t>
      </w:r>
      <w:r>
        <w:t xml:space="preserve"> Spouses Samuel and Villa Palaganas, the parents and natural guardians of Rhys Palaganas, who was a grade school student enrolled at the petitioner's institution at the time of the incident.</w:t>
      </w:r>
    </w:p>
    <w:p>
      <w:pPr>
        <w:pStyle w:val="ListBullet"/>
      </w:pPr>
      <w:r/>
      <w:r>
        <w:rPr>
          <w:b/>
        </w:rPr>
        <w:t>Their relationship:</w:t>
      </w:r>
      <w:r>
        <w:t xml:space="preserve"> Contractual. The relationship was formed when the Spouses Palaganas enrolled their son, Rhys, in Mother Goose School. Under Philippine jurisprudence, the act of enrollment establishes a reciprocal, bilateral contract between the academic institution and the student (represented by the parents), creating a "built-in" obligation for the school to provide and maintain a safe, secure, and conducive learning environment.</w:t>
      </w:r>
    </w:p>
    <w:p>
      <w:pPr>
        <w:pStyle w:val="Heading4"/>
      </w:pPr>
      <w:r>
        <w:t>2. Background &amp; Facts</w:t>
      </w:r>
    </w:p>
    <w:p>
      <w:pPr>
        <w:pStyle w:val="ListBullet"/>
      </w:pPr>
      <w:r/>
      <w:r>
        <w:rPr>
          <w:b/>
        </w:rPr>
        <w:t>What was the situation before the dispute?</w:t>
      </w:r>
      <w:r>
        <w:t xml:space="preserve"> In early 2007, Rhys Palaganas, Noel Fernandez, and Mark Dy were classmates. On January 19, 2007, Noel lost his mechanical pencil in Music class, which Rhys found and took home. A few days later, Noel saw Rhys using it, and allowed him to borrow it temporarily. Rhys subsequently forgot to return it.</w:t>
      </w:r>
    </w:p>
    <w:p>
      <w:pPr>
        <w:pStyle w:val="ListBullet"/>
      </w:pPr>
      <w:r/>
      <w:r>
        <w:rPr>
          <w:b/>
        </w:rPr>
        <w:t>What did each party agree to or owe the other?</w:t>
      </w:r>
      <w:r>
        <w:t xml:space="preserve"> Through the contract of enrollment, the parents agreed to pay tuition and have their child abide by school rules. In return, the school owed the student the duty to provide academic instruction and a safe atmosphere free from physical harm and threats, exercising the diligence of a good father of a family.</w:t>
      </w:r>
    </w:p>
    <w:p>
      <w:pPr>
        <w:pStyle w:val="ListBullet"/>
      </w:pPr>
      <w:r/>
      <w:r>
        <w:rPr>
          <w:b/>
        </w:rPr>
        <w:t>What actually happened that led to the case?</w:t>
      </w:r>
      <w:r>
        <w:t xml:space="preserve"> On January 26, 2007, during Computer class, Noel asked for his pencil. Rhys stated he forgot it at home. In response, Mark Dy and Noel Fernandez subjected Rhys to a physical assault, punching him a total of eleven times (Mark: 6 punches; Noel: 5 punches). The teacher-in-charge, Mr. Gomez, was in the restroom. The school subsequently failed to protect Rhys: they ignored his initial report, failed to inform his parents (who found out from an aggressor's mother), conducted a highly inaccurate investigation that cleared the main aggressor, imposed zero disciplinary action, and downplayed the severe physical assault as mere "teasing".</w:t>
      </w:r>
    </w:p>
    <w:p>
      <w:pPr>
        <w:pStyle w:val="ListBullet"/>
      </w:pPr>
      <w:r/>
      <w:r>
        <w:rPr>
          <w:b/>
        </w:rPr>
        <w:t>Timeline of key events:</w:t>
      </w:r>
      <w:r/>
    </w:p>
    <w:p>
      <w:pPr>
        <w:pStyle w:val="ListBullet"/>
      </w:pPr>
      <w:r>
        <w:t xml:space="preserve">  *January 19, 2007*: Noel loses mechanical pencil; Rhys takes it home.</w:t>
      </w:r>
    </w:p>
    <w:p>
      <w:pPr>
        <w:pStyle w:val="ListBullet"/>
      </w:pPr>
      <w:r>
        <w:t xml:space="preserve">  *January 26, 2007*: Computer class assault. Rhys is punched 11 times by Mark and Noel.</w:t>
      </w:r>
    </w:p>
    <w:p>
      <w:pPr>
        <w:pStyle w:val="ListBullet"/>
      </w:pPr>
      <w:r>
        <w:t xml:space="preserve">  *January 29, 2007*: Rhys reports the assault to a teacher, who ignores it.</w:t>
      </w:r>
    </w:p>
    <w:p>
      <w:pPr>
        <w:pStyle w:val="ListBullet"/>
      </w:pPr>
      <w:r>
        <w:t xml:space="preserve">  *February 1, 2007*: A classmate reports the bruising to the adviser. The offenders admit guilt. Noel's mother calls Rhys's mother to apologize, marking the first time the parents learn of the violence.</w:t>
      </w:r>
    </w:p>
    <w:p>
      <w:pPr>
        <w:pStyle w:val="ListBullet"/>
      </w:pPr>
      <w:r>
        <w:t xml:space="preserve">  *February 7, 2007*: Samuel Palaganas formally requests an investigation.</w:t>
      </w:r>
    </w:p>
    <w:p>
      <w:pPr>
        <w:pStyle w:val="ListBullet"/>
      </w:pPr>
      <w:r>
        <w:t xml:space="preserve">  *February 26 &amp; March 5, 2007*: School releases inaccurate reports clearing Mark, declaring Noel innocent, and dismissing the violence as "rough play". Parents file a Complaint for Damages.</w:t>
      </w:r>
    </w:p>
    <w:p>
      <w:pPr>
        <w:pStyle w:val="Heading4"/>
      </w:pPr>
      <w:r>
        <w:t>3. The Contract or Obligation</w:t>
      </w:r>
    </w:p>
    <w:p>
      <w:pPr>
        <w:pStyle w:val="ListBullet"/>
      </w:pPr>
      <w:r/>
      <w:r>
        <w:rPr>
          <w:b/>
        </w:rPr>
        <w:t>What was the original obligation or agreement?</w:t>
      </w:r>
      <w:r>
        <w:t xml:space="preserve"> The original obligation arose from the contract of enrollment. It was a reciprocal contract where the school bore the implicit, "built-in" obligation to ensure peace and order within the campus and to provide a safe, conducive learning environment (Article 1159 and 1170, Civil Code).</w:t>
      </w:r>
    </w:p>
    <w:p>
      <w:pPr>
        <w:pStyle w:val="ListBullet"/>
      </w:pPr>
      <w:r/>
      <w:r>
        <w:rPr>
          <w:b/>
        </w:rPr>
        <w:t>Was it modified, substituted, or extinguished at any point? How?</w:t>
      </w:r>
      <w:r>
        <w:t xml:space="preserve"> The obligation was not extinguished; rather, it was *breached* (*culpa contractual*). The school failed to perform its obligation when it allowed the physical assault to occur unmitigated and subsequently engaged in gross negligence by mishandling the investigation, failing to implement anti-bullying protocols, and abandoning its duty of care to the victimized student.</w:t>
      </w:r>
    </w:p>
    <w:p>
      <w:pPr>
        <w:pStyle w:val="Heading4"/>
      </w:pPr>
      <w:r>
        <w:t>4. Legal Issues Raised</w:t>
      </w:r>
    </w:p>
    <w:p>
      <w:pPr>
        <w:pStyle w:val="ListBullet"/>
      </w:pPr>
      <w:r/>
      <w:r>
        <w:rPr>
          <w:b/>
        </w:rPr>
        <w:t>Core legal questions resolved by the Supreme Court:</w:t>
      </w:r>
      <w:r/>
    </w:p>
    <w:p>
      <w:r>
        <w:t>1.  Can Mother Goose School be held civilly liable for damages arising from its handling of a peer-to-peer physical assault on its premises?.</w:t>
      </w:r>
    </w:p>
    <w:p>
      <w:r>
        <w:t>2.  Is the school's liability rooted in quasi-delict (</w:t>
      </w:r>
      <w:r>
        <w:rPr>
          <w:i/>
        </w:rPr>
        <w:t>culpa aquiliana</w:t>
      </w:r>
      <w:r>
        <w:t>) or breach of contract (</w:t>
      </w:r>
      <w:r>
        <w:rPr>
          <w:i/>
        </w:rPr>
        <w:t>culpa contractual</w:t>
      </w:r>
      <w:r>
        <w:t>)?.</w:t>
      </w:r>
    </w:p>
    <w:p>
      <w:r>
        <w:t>3.  Can the school successfully invoke the defense under Article 2180 of the Civil Code—that it exercised the diligence of a good father of a family in the selection and supervision of its employees—to completely escape liability?.</w:t>
      </w:r>
    </w:p>
    <w:p>
      <w:pPr>
        <w:pStyle w:val="Heading4"/>
      </w:pPr>
      <w:r>
        <w:t>5. Supreme Court Ruling</w:t>
      </w:r>
    </w:p>
    <w:p>
      <w:pPr>
        <w:pStyle w:val="ListBullet"/>
      </w:pPr>
      <w:r/>
      <w:r>
        <w:rPr>
          <w:b/>
        </w:rPr>
        <w:t>What did the SC decide?</w:t>
      </w:r>
      <w:r>
        <w:t xml:space="preserve"> The Supreme Court affirmed the Court of Appeals' decision, finding Mother Goose School directly and civilly liable for gross negligence. The Court ordered the school to pay the Spouses Palaganas a total of P650,000 in damages (P300k moral, P200k exemplary, P150k attorney's fees).</w:t>
      </w:r>
    </w:p>
    <w:p>
      <w:pPr>
        <w:pStyle w:val="ListBullet"/>
      </w:pPr>
      <w:r/>
      <w:r>
        <w:rPr>
          <w:b/>
        </w:rPr>
        <w:t>How did it reason through the applicable Civil Code provisions?</w:t>
      </w:r>
      <w:r>
        <w:t xml:space="preserve"> The Court reasoned that under Article 1157, obligations arise from contracts. Upon enrollment, a contract is perfected. The school's failure to protect the student and its subsequent administrative apathy constituted a breach of this contract (*culpa contractual*) under Article 1170. Because the liability stems from a pre-existing contract and not from a quasi-delict (Article 2176), the vicarious liability defense under Article 2180 (due diligence in hiring/supervising employees) is legally inapplicable and devoid of merit. The school's lack of protocols, inaccurate reporting, and failure to inform the parents constituted undeniable gross negligence.</w:t>
      </w:r>
    </w:p>
    <w:p>
      <w:pPr>
        <w:pStyle w:val="ListBullet"/>
      </w:pPr>
      <w:r/>
      <w:r>
        <w:rPr>
          <w:b/>
        </w:rPr>
        <w:t>What was the disposition?</w:t>
      </w:r>
      <w:r>
        <w:t xml:space="preserve"> The petition of Mother Goose School was denied. The Decision of the Court of Appeals modifying the RTC ruling (holding the school liable while exonerating Teacher Gomez) was upheld in its entirety.</w:t>
      </w:r>
    </w:p>
    <w:p>
      <w:pPr>
        <w:pStyle w:val="Heading4"/>
      </w:pPr>
      <w:r>
        <w:t>6. Key Doctrine / Civil Code Hook</w:t>
      </w:r>
    </w:p>
    <w:p>
      <w:pPr>
        <w:pStyle w:val="ListBullet"/>
      </w:pPr>
      <w:r/>
      <w:r>
        <w:rPr>
          <w:b/>
        </w:rPr>
        <w:t>Doctrinal Rule:</w:t>
      </w:r>
      <w:r>
        <w:t xml:space="preserve"> An educational institution's liability for injuries sustained by a student at the hands of classmates is founded on *culpa contractual*—the breach of its implicit contractual obligation to provide a safe and conducive learning environment. Consequently, the defense of exercising the diligence of a good father of a family in the selection and supervision of employees (Article 2180), which applies only to quasi-delicts (*culpa aquiliana*), is not a valid defense to escape liability.</w:t>
      </w:r>
    </w:p>
    <w:p>
      <w:pPr>
        <w:pStyle w:val="ListBullet"/>
      </w:pPr>
      <w:r/>
      <w:r>
        <w:rPr>
          <w:b/>
        </w:rPr>
        <w:t>Civil Code Articles applied:</w:t>
      </w:r>
      <w:r>
        <w:t xml:space="preserve"> Article 1157 (Sources of Obligations); Article 1159 (Obligations arising from contracts); Article 1170 (Liability for fraud, negligence, or delay in contractual performance); Article 2180 (Vicarious liability/Quasi-delict defenses - held *inapplicable*).</w:t>
      </w:r>
    </w:p>
    <w:p>
      <w:pPr>
        <w:pStyle w:val="Heading4"/>
      </w:pPr>
      <w:r>
        <w:t>7. Memory Anchor</w:t>
      </w:r>
    </w:p>
    <w:p>
      <w:pPr>
        <w:pStyle w:val="ListBullet"/>
      </w:pPr>
      <w:r/>
      <w:r>
        <w:rPr>
          <w:b/>
        </w:rPr>
        <w:t>Mnemonic/Story Hook:</w:t>
      </w:r>
      <w:r>
        <w:t xml:space="preserve"> "Mother Goose forgot its golden rule: a safe nest is a strictly contractual promise; you cannot simply blame the gander (the teacher) to escape liability when the entire flock's administration is grossly negligent in handling the bullies."</w:t>
      </w:r>
    </w:p>
    <w:p>
      <w:pPr>
        <w:pStyle w:val="Heading2"/>
      </w:pPr>
      <w:r>
        <w:t>Case 3: Tanke v. Development Bank of the Philippines, et al. (2013) | G.R. No. 171428</w:t>
      </w:r>
    </w:p>
    <w:p>
      <w:pPr>
        <w:pStyle w:val="Heading2"/>
      </w:pPr>
      <w:r>
        <w:t>Comprehensive Legal Analysis: Alejandro V. Tankeh v. Development Bank of the Philippines, et al.</w:t>
      </w:r>
    </w:p>
    <w:p>
      <w:r>
        <w:t xml:space="preserve">This report provides an exhaustive analysis of the Philippine Supreme Court decision in </w:t>
      </w:r>
      <w:r>
        <w:rPr>
          <w:i/>
        </w:rPr>
        <w:t>Alejandro V. Tankeh v. Development Bank of the Philippines, et al.</w:t>
      </w:r>
      <w:r>
        <w:t xml:space="preserve"> (G.R. No. 171428, November 11, 2013). This landmark case provides critical jurisprudence on the intricate dynamics of corporate loan obligations, the evidentiary thresholds required to prove contractual fraud, and the precise legal boundaries between causal fraud (</w:t>
      </w:r>
      <w:r>
        <w:rPr>
          <w:i/>
        </w:rPr>
        <w:t>dolo causante</w:t>
      </w:r>
      <w:r>
        <w:t>) and incidental fraud (</w:t>
      </w:r>
      <w:r>
        <w:rPr>
          <w:i/>
        </w:rPr>
        <w:t>dolo incidente</w:t>
      </w:r>
      <w:r>
        <w:t>) under the Civil Code of the Philippines.</w:t>
      </w:r>
    </w:p>
    <w:p>
      <w:r>
        <w:t>Research suggests that cases involving family-run corporations and government financial institutions often present highly complex factual matrices, requiring courts to meticulously disentangle personal promises from binding corporate obligations. The evidence in this case leans toward the conclusion that sophisticated parties—such as seasoned businessmen and bank organizers—cannot easily claim absolute deception to evade solidary liability on multi-million dollar commercial loans. While acknowledging the often informal and deeply personal nature of intra-family business dealings, the Supreme Court's ruling underscores that the stability of commercial transactions, especially those involving state funds, must be protected against claims of vitiated consent that do not meet the stringent standard of clear and convincing evidence.</w:t>
      </w:r>
    </w:p>
    <w:p>
      <w:r>
        <w:t>The following sections will dissect the factual background, the nature of the contractual obligations, the specific legal issues adjudicated, and the doctrinal legacy of the decision, particularly in the context of the law on obligations and contracts.</w:t>
      </w:r>
    </w:p>
    <w:p>
      <w:pPr>
        <w:spacing w:before="120" w:after="120"/>
        <w:pBdr>
          <w:bottom w:val="single" w:sz="4" w:space="1" w:color="CCCCCC"/>
        </w:pBdr>
      </w:pPr>
    </w:p>
    <w:p>
      <w:pPr>
        <w:pStyle w:val="Heading3"/>
      </w:pPr>
      <w:r>
        <w:t>Tanke v. Development Bank of the Philippines, et al. (2013) | G.R. No. 171428</w:t>
      </w:r>
    </w:p>
    <w:p>
      <w:pPr>
        <w:pStyle w:val="Heading4"/>
      </w:pPr>
      <w:r>
        <w:t>1. The Parties</w:t>
      </w:r>
    </w:p>
    <w:p>
      <w:r>
        <w:t>An accurate understanding of the sophisticated nature of the dispute requires a thorough profiling of the parties involved, as their personal circumstances and professional backgrounds heavily influenced the Supreme Court’s evaluation of the fraud allegations.</w:t>
      </w:r>
    </w:p>
    <w:p>
      <w:pPr>
        <w:pStyle w:val="ListBullet"/>
      </w:pPr>
      <w:r>
        <w:t xml:space="preserve">  </w:t>
      </w:r>
      <w:r>
        <w:rPr>
          <w:b/>
        </w:rPr>
        <w:t>Petitioner:</w:t>
      </w:r>
      <w:r/>
    </w:p>
    <w:p>
      <w:pPr>
        <w:pStyle w:val="ListBullet"/>
      </w:pPr>
      <w:r>
        <w:t xml:space="preserve">  </w:t>
      </w:r>
      <w:r>
        <w:rPr>
          <w:b/>
        </w:rPr>
        <w:t>Dr. Alejandro V. Tankeh:</w:t>
      </w:r>
      <w:r>
        <w:t xml:space="preserve"> The petitioner is the older brother of the principal respondent. Crucially, the Supreme Court noted that Dr. Tankeh was not a naive or uneducated layman. He was a medical doctor, a seasoned businessman with experience in the textile and real estate industries, and, significantly, a </w:t>
      </w:r>
      <w:r>
        <w:rPr>
          <w:b/>
        </w:rPr>
        <w:t>bank organizer</w:t>
      </w:r>
      <w:r>
        <w:t>. He was an incorporator, a stockholder on record, and the Vice-President of Sterling Shipping Lines, Inc. (SSLI). His high level of professional sophistication became the fatal flaw in his claim that he was entirely ignorant of the legal ramifications of the documents he signed.</w:t>
      </w:r>
    </w:p>
    <w:p>
      <w:pPr>
        <w:pStyle w:val="ListBullet"/>
      </w:pPr>
      <w:r>
        <w:t xml:space="preserve">  </w:t>
      </w:r>
      <w:r>
        <w:rPr>
          <w:b/>
        </w:rPr>
        <w:t>Respondents:</w:t>
      </w:r>
      <w:r/>
    </w:p>
    <w:p>
      <w:pPr>
        <w:pStyle w:val="ListBullet"/>
      </w:pPr>
      <w:r>
        <w:t xml:space="preserve">  </w:t>
      </w:r>
      <w:r>
        <w:rPr>
          <w:b/>
        </w:rPr>
        <w:t>Development Bank of the Philippines (DBP):</w:t>
      </w:r>
      <w:r>
        <w:t xml:space="preserve"> A government-owned and controlled financial institution. In this transaction, DBP acted as the principal creditor, extending a massive capital loan subject to strict, non-negotiable regulatory conditions intended to safeguard public funds.</w:t>
      </w:r>
    </w:p>
    <w:p>
      <w:pPr>
        <w:pStyle w:val="ListBullet"/>
      </w:pPr>
      <w:r>
        <w:t xml:space="preserve">  </w:t>
      </w:r>
      <w:r>
        <w:rPr>
          <w:b/>
        </w:rPr>
        <w:t>Asset Privatization Trust (APT):</w:t>
      </w:r>
      <w:r>
        <w:t xml:space="preserve"> The government agency (later transitioning to the Privatization and Management Office) created under Proclamation No. 50. APT was impleaded because DBP's non-performing assets and loan accounts, including the SSLI loan, were eventually transferred to the national government and managed by APT.</w:t>
      </w:r>
    </w:p>
    <w:p>
      <w:pPr>
        <w:pStyle w:val="ListBullet"/>
      </w:pPr>
      <w:r>
        <w:t xml:space="preserve">  </w:t>
      </w:r>
      <w:r>
        <w:rPr>
          <w:b/>
        </w:rPr>
        <w:t>Sterling Shipping Lines, Inc. (SSLI):</w:t>
      </w:r>
      <w:r>
        <w:t xml:space="preserve"> A maritime shipping corporation incorporated on April 23, 1979, primarily engaged in operating ocean-going vessels for foreign trade.</w:t>
      </w:r>
    </w:p>
    <w:p>
      <w:pPr>
        <w:pStyle w:val="ListBullet"/>
      </w:pPr>
      <w:r>
        <w:t xml:space="preserve">  </w:t>
      </w:r>
      <w:r>
        <w:rPr>
          <w:b/>
        </w:rPr>
        <w:t>Ruperto V. Tankeh:</w:t>
      </w:r>
      <w:r>
        <w:t xml:space="preserve"> The younger brother of the petitioner, and the President and principal operator of SSLI. Ruperto was the primary architect of the shipping venture and the individual who actively recruited his brother into the corporation.</w:t>
      </w:r>
    </w:p>
    <w:p>
      <w:pPr>
        <w:pStyle w:val="ListBullet"/>
      </w:pPr>
      <w:r>
        <w:t xml:space="preserve">  </w:t>
      </w:r>
      <w:r>
        <w:rPr>
          <w:b/>
        </w:rPr>
        <w:t>Vicente Arenas (and Jose Maria Vargas):</w:t>
      </w:r>
      <w:r>
        <w:t xml:space="preserve"> Co-signatories and corporate officers of SSLI who, alongside the Tankeh brothers, bound themselves jointly and severally to the DBP loan.</w:t>
      </w:r>
    </w:p>
    <w:p>
      <w:pPr>
        <w:pStyle w:val="ListBullet"/>
      </w:pPr>
      <w:r>
        <w:t xml:space="preserve">  </w:t>
      </w:r>
      <w:r>
        <w:rPr>
          <w:b/>
        </w:rPr>
        <w:t>Their Relationship:</w:t>
      </w:r>
      <w:r/>
    </w:p>
    <w:p>
      <w:pPr>
        <w:pStyle w:val="ListBullet"/>
      </w:pPr>
      <w:r>
        <w:t xml:space="preserve">  The primary contractual arrangement was a </w:t>
      </w:r>
      <w:r>
        <w:rPr>
          <w:b/>
        </w:rPr>
        <w:t>multi-million dollar commercial loan and mortgage agreement</w:t>
      </w:r>
      <w:r>
        <w:t>. Dr. Alejandro Tankeh, Ruperto Tankeh, Vicente Arenas, and SSLI stood as solidary (joint and several) debtors to the creditor, DBP. Internally, the relationship between Alejandro and Ruperto was both familial (brothers) and corporate (co-officers and shareholders). Ruperto leveraged this familial trust to induce Alejandro to sign the corporate loan documents as an accommodation to SSLI's capital requirements.</w:t>
      </w:r>
    </w:p>
    <w:p>
      <w:pPr>
        <w:pStyle w:val="Heading4"/>
      </w:pPr>
      <w:r>
        <w:t>2. Background &amp; Facts</w:t>
      </w:r>
    </w:p>
    <w:p>
      <w:r>
        <w:t>The factual matrix of the case spans a decade of corporate maneuvering, unmet promises, and international asset foreclosure.</w:t>
      </w:r>
    </w:p>
    <w:p>
      <w:pPr>
        <w:pStyle w:val="ListBullet"/>
      </w:pPr>
      <w:r>
        <w:t xml:space="preserve">  </w:t>
      </w:r>
      <w:r>
        <w:rPr>
          <w:b/>
        </w:rPr>
        <w:t>The Business Arrangement and Inducement:</w:t>
      </w:r>
      <w:r/>
    </w:p>
    <w:p>
      <w:pPr>
        <w:pStyle w:val="ListBullet"/>
      </w:pPr>
      <w:r>
        <w:t xml:space="preserve">  In 1979, Ruperto Tankeh incorporated SSLI to engage in international shipping.</w:t>
      </w:r>
    </w:p>
    <w:p>
      <w:pPr>
        <w:pStyle w:val="ListBullet"/>
      </w:pPr>
      <w:r>
        <w:t xml:space="preserve">  Sometime in 1980, Ruperto approached his older brother, Dr. Alejandro Tankeh. Ruperto presented the new shipping line business and offered Alejandro a prominent role. As an inducement to join the venture and lend his financial credibility, Ruperto promised Alejandro 1,000 free shares of SSLI (valued at \(\text{P}1,000,000.00\)), a seat on the Board of Directors, an active role in the administration of the business, and a corporate legal position for Alejandro's son, who was a practicing lawyer.</w:t>
      </w:r>
    </w:p>
    <w:p>
      <w:pPr>
        <w:pStyle w:val="ListBullet"/>
      </w:pPr>
      <w:r>
        <w:t xml:space="preserve">  </w:t>
      </w:r>
      <w:r>
        <w:rPr>
          <w:b/>
        </w:rPr>
        <w:t>The Loan and DBP's Stringent Conditions:</w:t>
      </w:r>
      <w:r/>
    </w:p>
    <w:p>
      <w:pPr>
        <w:pStyle w:val="ListBullet"/>
      </w:pPr>
      <w:r>
        <w:t xml:space="preserve">  To finance the acquisition of an ocean-going vessel originally named the *M/V Golden Lilac* (later rechristened the *M/V Sterling Ace*), Ruperto applied for a \(\text{US}\$3.5\) million loan from DBP.</w:t>
      </w:r>
    </w:p>
    <w:p>
      <w:pPr>
        <w:pStyle w:val="ListBullet"/>
      </w:pPr>
      <w:r>
        <w:t xml:space="preserve">  On March 18, 1981, DBP approved the loan but imposed severe protective conditions:</w:t>
      </w:r>
    </w:p>
    <w:p>
      <w:r>
        <w:t>1.  Execution of a first mortgage over the vessel (</w:t>
      </w:r>
      <w:r>
        <w:rPr>
          <w:i/>
        </w:rPr>
        <w:t>M/V Sterling Ace</w:t>
      </w:r>
      <w:r>
        <w:t>).</w:t>
      </w:r>
    </w:p>
    <w:p>
      <w:r>
        <w:t xml:space="preserve">2.  Dr. Alejandro Tankeh, Ruperto Tankeh, Jose Marie Vargas, Vicente Arenas, and SSLI must bind themselves </w:t>
      </w:r>
      <w:r>
        <w:rPr>
          <w:b/>
        </w:rPr>
        <w:t>jointly and severally</w:t>
      </w:r>
      <w:r>
        <w:t xml:space="preserve"> (solidarily) liable for the loan.</w:t>
      </w:r>
    </w:p>
    <w:p>
      <w:r>
        <w:t>3.  The absolute assignment of the vessel's future earnings (including charter and shipping contract proceeds) to DBP.</w:t>
      </w:r>
    </w:p>
    <w:p>
      <w:r>
        <w:t>4.  The assignment of no less than 67% of the total subscribed and outstanding voting shares of SSLI to DBP, to be maintained as long as the loan existed.</w:t>
      </w:r>
    </w:p>
    <w:p>
      <w:pPr>
        <w:pStyle w:val="ListBullet"/>
      </w:pPr>
      <w:r>
        <w:t xml:space="preserve">  </w:t>
      </w:r>
      <w:r>
        <w:rPr>
          <w:b/>
        </w:rPr>
        <w:t>The Execution of the Documents:</w:t>
      </w:r>
      <w:r/>
    </w:p>
    <w:p>
      <w:pPr>
        <w:pStyle w:val="ListBullet"/>
      </w:pPr>
      <w:r>
        <w:t xml:space="preserve">  Relying on his brother's promises, Alejandro signed the required Assignment of Shares with Voting Rights on May 12, 1981.</w:t>
      </w:r>
    </w:p>
    <w:p>
      <w:pPr>
        <w:pStyle w:val="ListBullet"/>
      </w:pPr>
      <w:r>
        <w:t xml:space="preserve">  In December 1981, Alejandro signed the Promissory Note (which was backdated to bear the date May 12, 1981) binding himself solidarily to the \(\text{US}\$3.5\) million debt.</w:t>
      </w:r>
    </w:p>
    <w:p>
      <w:pPr>
        <w:pStyle w:val="ListBullet"/>
      </w:pPr>
      <w:r>
        <w:t xml:space="preserve">  </w:t>
      </w:r>
      <w:r>
        <w:rPr>
          <w:b/>
        </w:rPr>
        <w:t>The Breach and Severance of Ties:</w:t>
      </w:r>
      <w:r/>
    </w:p>
    <w:p>
      <w:pPr>
        <w:pStyle w:val="ListBullet"/>
      </w:pPr>
      <w:r>
        <w:t xml:space="preserve">  Following the loan's approval and the acquisition of the vessel, Alejandro realized that Ruperto's promises were entirely illusory. Alejandro never invested personal funds, was excluded from all corporate affairs, never received compensation, and attended only a single board meeting where he was merely introduced to DBP representatives.</w:t>
      </w:r>
    </w:p>
    <w:p>
      <w:pPr>
        <w:pStyle w:val="ListBullet"/>
      </w:pPr>
      <w:r>
        <w:t xml:space="preserve">  On June 16, 1983, recognizing he was being utilized merely as a legal shield without any actual management power, Alejandro wrote a formal letter to Ruperto severing all ties with SSLI. He demanded that the board pass a resolution releasing him from all liabilities, particularly the DBP loan, and requested that DBP be notified of his exit.</w:t>
      </w:r>
    </w:p>
    <w:p>
      <w:pPr>
        <w:pStyle w:val="ListBullet"/>
      </w:pPr>
      <w:r>
        <w:t xml:space="preserve">  </w:t>
      </w:r>
      <w:r>
        <w:rPr>
          <w:b/>
        </w:rPr>
        <w:t>Foreclosure and Litigation:</w:t>
      </w:r>
      <w:r/>
    </w:p>
    <w:p>
      <w:pPr>
        <w:pStyle w:val="ListBullet"/>
      </w:pPr>
      <w:r>
        <w:t xml:space="preserve">  SSLI defaulted on the loan. On June 30, 1986, the non-performing DBP account was transferred to the Asset Privatization Trust (APT).</w:t>
      </w:r>
    </w:p>
    <w:p>
      <w:pPr>
        <w:pStyle w:val="ListBullet"/>
      </w:pPr>
      <w:r>
        <w:t xml:space="preserve">  On January 29, 1987, the vessel *M/V Sterling Ace* was sold by DBP/APT in Singapore as scrap for a severely depressed price of \(\text{US}\$350,000\). Alejandro protested this sale as highly irregular, noting that the resale price doubled the very next day, and objected that it was done without proper public bidding.</w:t>
      </w:r>
    </w:p>
    <w:p>
      <w:pPr>
        <w:pStyle w:val="ListBullet"/>
      </w:pPr>
      <w:r>
        <w:t xml:space="preserve">  Facing massive financial exposure, Alejandro filed several complaints between 1987 and 1991 seeking the annulment of the promissory note and mortgage contract, claiming his signature was procured through the insidious fraud and deceit of his brother.</w:t>
      </w:r>
    </w:p>
    <w:p>
      <w:r>
        <w:rPr>
          <w:b/>
        </w:rPr>
        <w:t>Timeline of Key Events:</w:t>
      </w:r>
    </w:p>
    <w:p>
      <w:r>
        <w:t>| Date | Event Description |</w:t>
      </w:r>
    </w:p>
    <w:p>
      <w:r>
        <w:t>| :--- | :--- |</w:t>
      </w:r>
    </w:p>
    <w:p>
      <w:r>
        <w:t xml:space="preserve">| </w:t>
      </w:r>
      <w:r>
        <w:rPr>
          <w:b/>
        </w:rPr>
        <w:t>April 23, 1979</w:t>
      </w:r>
      <w:r>
        <w:t xml:space="preserve"> | SSLI is formally incorporated by Ruperto Tankeh. |</w:t>
      </w:r>
    </w:p>
    <w:p>
      <w:r>
        <w:t xml:space="preserve">| </w:t>
      </w:r>
      <w:r>
        <w:rPr>
          <w:b/>
        </w:rPr>
        <w:t>1980</w:t>
      </w:r>
      <w:r>
        <w:t xml:space="preserve"> | Ruperto induces Alejandro to join SSLI with promises of shares, board membership, and management participation. |</w:t>
      </w:r>
    </w:p>
    <w:p>
      <w:r>
        <w:t xml:space="preserve">| </w:t>
      </w:r>
      <w:r>
        <w:rPr>
          <w:b/>
        </w:rPr>
        <w:t>March 18, 1981</w:t>
      </w:r>
      <w:r>
        <w:t xml:space="preserve"> | DBP approves the \(\text{US}\$3.5\) million loan to SSLI subject to solidary liability and strict assignments. |</w:t>
      </w:r>
    </w:p>
    <w:p>
      <w:r>
        <w:t xml:space="preserve">| </w:t>
      </w:r>
      <w:r>
        <w:rPr>
          <w:b/>
        </w:rPr>
        <w:t>May 12, 1981</w:t>
      </w:r>
      <w:r>
        <w:t xml:space="preserve"> | Alejandro signs the Assignment of Shares of Stock with Voting Rights. |</w:t>
      </w:r>
    </w:p>
    <w:p>
      <w:r>
        <w:t xml:space="preserve">| </w:t>
      </w:r>
      <w:r>
        <w:rPr>
          <w:b/>
        </w:rPr>
        <w:t>September 29, 1981</w:t>
      </w:r>
      <w:r>
        <w:t xml:space="preserve"> | The ocean-going vessel (</w:t>
      </w:r>
      <w:r>
        <w:rPr>
          <w:i/>
        </w:rPr>
        <w:t>M/V Sterling Ace</w:t>
      </w:r>
      <w:r>
        <w:t>) is officially acquired by SSLI. |</w:t>
      </w:r>
    </w:p>
    <w:p>
      <w:r>
        <w:t xml:space="preserve">| </w:t>
      </w:r>
      <w:r>
        <w:rPr>
          <w:b/>
        </w:rPr>
        <w:t>December 3, 1981</w:t>
      </w:r>
      <w:r>
        <w:t xml:space="preserve"> | Assignment of future earnings and deed of assignment are finalized; Alejandro signs the Promissory Note. |</w:t>
      </w:r>
    </w:p>
    <w:p>
      <w:r>
        <w:t xml:space="preserve">| </w:t>
      </w:r>
      <w:r>
        <w:rPr>
          <w:b/>
        </w:rPr>
        <w:t>June 16, 1983</w:t>
      </w:r>
      <w:r>
        <w:t xml:space="preserve"> | Alejandro sends a formal letter severing all ties with SSLI and demanding release from DBP liabilities. |</w:t>
      </w:r>
    </w:p>
    <w:p>
      <w:r>
        <w:t xml:space="preserve">| </w:t>
      </w:r>
      <w:r>
        <w:rPr>
          <w:b/>
        </w:rPr>
        <w:t>June 30, 1986</w:t>
      </w:r>
      <w:r>
        <w:t xml:space="preserve"> | The defaulted DBP loan accounts are formally transferred to the Asset Privatization Trust (APT). |</w:t>
      </w:r>
    </w:p>
    <w:p>
      <w:r>
        <w:t xml:space="preserve">| </w:t>
      </w:r>
      <w:r>
        <w:rPr>
          <w:b/>
        </w:rPr>
        <w:t>January 29, 1987</w:t>
      </w:r>
      <w:r>
        <w:t xml:space="preserve"> | The </w:t>
      </w:r>
      <w:r>
        <w:rPr>
          <w:i/>
        </w:rPr>
        <w:t>M/V Sterling Ace</w:t>
      </w:r>
      <w:r>
        <w:t xml:space="preserve"> is sold in Singapore without public bidding for \(\text{US}\$350,000\). |</w:t>
      </w:r>
    </w:p>
    <w:p>
      <w:r>
        <w:t xml:space="preserve">| </w:t>
      </w:r>
      <w:r>
        <w:rPr>
          <w:b/>
        </w:rPr>
        <w:t>January 4, 1996</w:t>
      </w:r>
      <w:r>
        <w:t xml:space="preserve"> | The Regional Trial Court (Manila) rules in favor of Alejandro, nullifying the promissory note regarding his liability. |</w:t>
      </w:r>
    </w:p>
    <w:p>
      <w:r>
        <w:t xml:space="preserve">| </w:t>
      </w:r>
      <w:r>
        <w:rPr>
          <w:b/>
        </w:rPr>
        <w:t>October 25, 2005</w:t>
      </w:r>
      <w:r>
        <w:t xml:space="preserve"> | The Court of Appeals reverses the RTC decision, holding Alejandro fully liable and finding no causal fraud. |</w:t>
      </w:r>
    </w:p>
    <w:p>
      <w:r>
        <w:t xml:space="preserve">| </w:t>
      </w:r>
      <w:r>
        <w:rPr>
          <w:b/>
        </w:rPr>
        <w:t>November 11, 2013</w:t>
      </w:r>
      <w:r>
        <w:t xml:space="preserve"> | The Supreme Court issues its Decision, finding incidental fraud, awarding damages against Ruperto, but upholding Alejandro's solidary liability to DBP/APT. |</w:t>
      </w:r>
    </w:p>
    <w:p>
      <w:pPr>
        <w:pStyle w:val="Heading4"/>
      </w:pPr>
      <w:r>
        <w:t>3. The Contract or Obligation</w:t>
      </w:r>
    </w:p>
    <w:p>
      <w:pPr>
        <w:pStyle w:val="ListBullet"/>
      </w:pPr>
      <w:r>
        <w:t xml:space="preserve">  </w:t>
      </w:r>
      <w:r>
        <w:rPr>
          <w:b/>
        </w:rPr>
        <w:t>The Original Obligation:</w:t>
      </w:r>
      <w:r/>
    </w:p>
    <w:p>
      <w:r>
        <w:t xml:space="preserve">The core obligation was a </w:t>
      </w:r>
      <w:r>
        <w:rPr>
          <w:b/>
        </w:rPr>
        <w:t>contract of loan</w:t>
      </w:r>
      <w:r>
        <w:t xml:space="preserve"> (mutuum) evidenced by a Promissory Note for \(\text{US}\$3.5\) million. The nature of the liability was </w:t>
      </w:r>
      <w:r>
        <w:rPr>
          <w:b/>
        </w:rPr>
        <w:t>solidary</w:t>
      </w:r>
      <w:r>
        <w:t xml:space="preserve"> (joint and several), meaning DBP had the right to demand the entire fulfillment of the obligation from any one of the debtors—SSLI, Ruperto, Alejandro, Vargas, or Arenas (Civil Code, Art. 1207). This loan was secured by an accessory contract of mortgage over the vessel </w:t>
      </w:r>
      <w:r>
        <w:rPr>
          <w:i/>
        </w:rPr>
        <w:t>M/V Sterling Ace</w:t>
      </w:r>
      <w:r>
        <w:t>, a pledge/assignment of 67% of SSLI’s voting shares, and an assignment of all future shipping earnings.</w:t>
      </w:r>
    </w:p>
    <w:p>
      <w:pPr>
        <w:pStyle w:val="ListBullet"/>
      </w:pPr>
      <w:r>
        <w:t xml:space="preserve">  </w:t>
      </w:r>
      <w:r>
        <w:rPr>
          <w:b/>
        </w:rPr>
        <w:t>Modifications and Substitution:</w:t>
      </w:r>
      <w:r/>
    </w:p>
    <w:p>
      <w:r>
        <w:t>The obligation underwent a statutory transfer of creditor. Pursuant to Proclamation No. 50, the non-performing assets of DBP were transferred to the national government and placed under the trusteeship of the Asset Privatization Trust (APT). The fundamental terms of the promissory note, however, remained unmodified. Although Alejandro attempted to unilaterally extinguish his liability via his 1983 letter of severance, a solidary debtor cannot extinguish a loan obligation without the consent of the creditor (DBP).</w:t>
      </w:r>
    </w:p>
    <w:p>
      <w:pPr>
        <w:pStyle w:val="ListBullet"/>
      </w:pPr>
      <w:r>
        <w:t xml:space="preserve">  </w:t>
      </w:r>
      <w:r>
        <w:rPr>
          <w:b/>
        </w:rPr>
        <w:t>Foreclosure and Redemption Issues:</w:t>
      </w:r>
      <w:r/>
    </w:p>
    <w:p>
      <w:r>
        <w:t>Upon default, DBP/APT foreclosed on the accessory contract (the mortgage) and executed a negotiated sale of the vessel in Singapore for \(\text{US}\$350,000\). Alejandro contested this, arguing that the sale was irregular, severely undervalued (sold as scrap despite being seaworthy), lacking board approval, and executed without the required public bidding in contravention of the Promissory Note. However, because the proceeds of the foreclosure sale did not fully satisfy the massive \(\text{US}\$3.5\) million principal plus interest, a deficiency remained for which the solidary debtors, including Alejandro, continued to be liable.</w:t>
      </w:r>
    </w:p>
    <w:p>
      <w:pPr>
        <w:pStyle w:val="Heading4"/>
      </w:pPr>
      <w:r>
        <w:t>4. Legal Issues Raised</w:t>
      </w:r>
    </w:p>
    <w:p>
      <w:r>
        <w:t>The Supreme Court was tasked with resolving several interwoven issues bridging corporate law, evidence, and civil obligations:</w:t>
      </w:r>
    </w:p>
    <w:p>
      <w:r>
        <w:t xml:space="preserve">1.  </w:t>
      </w:r>
      <w:r>
        <w:rPr>
          <w:b/>
        </w:rPr>
        <w:t>Core Issue on Vitiated Consent:</w:t>
      </w:r>
      <w:r>
        <w:t xml:space="preserve"> Did Ruperto V. Tankeh commit fraud (</w:t>
      </w:r>
      <w:r>
        <w:rPr>
          <w:i/>
        </w:rPr>
        <w:t>dolo causante</w:t>
      </w:r>
      <w:r>
        <w:t xml:space="preserve"> or </w:t>
      </w:r>
      <w:r>
        <w:rPr>
          <w:i/>
        </w:rPr>
        <w:t>dolo incidente</w:t>
      </w:r>
      <w:r>
        <w:t>) of such a serious character that it vitiated Dr. Alejandro Tankeh’s consent, thereby rendering his signature on the Promissory Note voidable?</w:t>
      </w:r>
    </w:p>
    <w:p>
      <w:r>
        <w:t xml:space="preserve">2.  </w:t>
      </w:r>
      <w:r>
        <w:rPr>
          <w:b/>
        </w:rPr>
        <w:t>Liability to Third Parties:</w:t>
      </w:r>
      <w:r>
        <w:t xml:space="preserve"> Even if intra-corporate fraud existed between the brothers, is Dr. Alejandro Tankeh absolved from his solidary liability to the innocent third-party creditors (DBP and APT)?</w:t>
      </w:r>
    </w:p>
    <w:p>
      <w:r>
        <w:t xml:space="preserve">3.  </w:t>
      </w:r>
      <w:r>
        <w:rPr>
          <w:b/>
        </w:rPr>
        <w:t>Evidentiary Standard:</w:t>
      </w:r>
      <w:r>
        <w:t xml:space="preserve"> Did the Court of Appeals err in demanding "clear and convincing evidence" to prove fraud, rather than a mere preponderance of evidence?</w:t>
      </w:r>
    </w:p>
    <w:p>
      <w:r>
        <w:t xml:space="preserve">4.  </w:t>
      </w:r>
      <w:r>
        <w:rPr>
          <w:b/>
        </w:rPr>
        <w:t>Damages:</w:t>
      </w:r>
      <w:r>
        <w:t xml:space="preserve"> Is Alejandro entitled to moral and exemplary damages, and from whom?</w:t>
      </w:r>
    </w:p>
    <w:p>
      <w:pPr>
        <w:pStyle w:val="Heading4"/>
      </w:pPr>
      <w:r>
        <w:t>5. Supreme Court Ruling</w:t>
      </w:r>
    </w:p>
    <w:p>
      <w:r>
        <w:t>The Supreme Court, through Justice Marvic Leonen, partially granted the petition, delivering a highly nuanced decision that balanced the protection of contracts with the penalization of bad faith.</w:t>
      </w:r>
    </w:p>
    <w:p>
      <w:pPr>
        <w:pStyle w:val="ListBullet"/>
      </w:pPr>
      <w:r>
        <w:t xml:space="preserve">  </w:t>
      </w:r>
      <w:r>
        <w:rPr>
          <w:b/>
        </w:rPr>
        <w:t>On the Evidentiary Standard for Fraud:</w:t>
      </w:r>
      <w:r/>
    </w:p>
    <w:p>
      <w:r>
        <w:t xml:space="preserve">The Court definitively ruled that the imputation of fraud in civil cases requires the presentation of </w:t>
      </w:r>
      <w:r>
        <w:rPr>
          <w:b/>
        </w:rPr>
        <w:t>clear and convincing evidence</w:t>
      </w:r>
      <w:r>
        <w:t>, derived from American common law. Mere allegations or a standard preponderance of evidence are insufficient to sustain a claim of fraud because the law always presumes good faith in contractual relations.</w:t>
      </w:r>
    </w:p>
    <w:p>
      <w:pPr>
        <w:pStyle w:val="ListBullet"/>
      </w:pPr>
      <w:r>
        <w:t xml:space="preserve">  </w:t>
      </w:r>
      <w:r>
        <w:rPr>
          <w:b/>
        </w:rPr>
        <w:t>On the Nature of the Fraud (Civil Code Reasoning):</w:t>
      </w:r>
      <w:r/>
    </w:p>
    <w:p>
      <w:r>
        <w:t>The Court engaged in a meticulous analysis of the two types of fraud under the Civil Code:</w:t>
      </w:r>
    </w:p>
    <w:p>
      <w:pPr>
        <w:pStyle w:val="ListBullet"/>
      </w:pPr>
      <w:r>
        <w:t xml:space="preserve">  </w:t>
      </w:r>
      <w:r>
        <w:rPr>
          <w:b/>
        </w:rPr>
        <w:t>Dolo Causante (Causal Fraud - Art. 1338):</w:t>
      </w:r>
      <w:r>
        <w:t xml:space="preserve"> These are serious deceptions employed by one party without which the other party would not have entered into the contract. It vitiates consent and renders the contract voidable.</w:t>
      </w:r>
    </w:p>
    <w:p>
      <w:pPr>
        <w:pStyle w:val="ListBullet"/>
      </w:pPr>
      <w:r>
        <w:t xml:space="preserve">  </w:t>
      </w:r>
      <w:r>
        <w:rPr>
          <w:b/>
        </w:rPr>
        <w:t>Dolo Incidente (Incidental Fraud - Art. 1344):</w:t>
      </w:r>
      <w:r>
        <w:t xml:space="preserve"> These are deceptions regarding an incident or particular of the obligation that are not the determining cause of consent. The party would have entered into the contract anyway. It does not nullify the contract but obliges the guilty party to pay damages.</w:t>
      </w:r>
    </w:p>
    <w:p>
      <w:r>
        <w:t xml:space="preserve">The Supreme Court found that Ruperto's actions did </w:t>
      </w:r>
      <w:r>
        <w:rPr>
          <w:b/>
        </w:rPr>
        <w:t>not</w:t>
      </w:r>
      <w:r>
        <w:t xml:space="preserve"> constitute </w:t>
      </w:r>
      <w:r>
        <w:rPr>
          <w:i/>
        </w:rPr>
        <w:t>dolo causante</w:t>
      </w:r>
      <w:r>
        <w:t>. Alejandro was a highly educated professional—a doctor, businessman, and a bank organizer. Given his stature, he had the capacity to understand the massive legal exposure of signing a joint and several promissory note. He knew exactly what he was signing. The promises made by Ruperto (shares, board seat, son's employment) were classified as unfulfilled promises and "dealer's talk" (Art. 1340), which do not amount to the insidious machinations required to void a contract.</w:t>
      </w:r>
    </w:p>
    <w:p>
      <w:r>
        <w:t xml:space="preserve">However, the Court ruled that Ruperto committed </w:t>
      </w:r>
      <w:r>
        <w:rPr>
          <w:b/>
        </w:rPr>
        <w:t>*dolo incidente</w:t>
      </w:r>
      <w:r>
        <w:t>*. By securing Alejandro's signature and subsequently excluding him entirely from the management and affairs of SSLI, Ruperto committed fraud in the performance of the contractual relationship.</w:t>
      </w:r>
    </w:p>
    <w:p>
      <w:pPr>
        <w:pStyle w:val="ListBullet"/>
      </w:pPr>
      <w:r>
        <w:t xml:space="preserve">  </w:t>
      </w:r>
      <w:r>
        <w:rPr>
          <w:b/>
        </w:rPr>
        <w:t>On Liability to DBP/APT:</w:t>
      </w:r>
      <w:r/>
    </w:p>
    <w:p>
      <w:r>
        <w:t>Because the fraud was merely incidental and did not vitiate Alejandro's consent to the loan, the Promissory Note remained entirely valid and binding. Alejandro's solidary liability to DBP and its successor, APT, was upheld. DBP was an innocent creditor enforcing a valid loan.</w:t>
      </w:r>
    </w:p>
    <w:p>
      <w:pPr>
        <w:pStyle w:val="ListBullet"/>
      </w:pPr>
      <w:r>
        <w:t xml:space="preserve">  </w:t>
      </w:r>
      <w:r>
        <w:rPr>
          <w:b/>
        </w:rPr>
        <w:t>The Disposition:</w:t>
      </w:r>
      <w:r/>
    </w:p>
    <w:p>
      <w:r>
        <w:t>The Court affirmed the Court of Appeals' dismissal of the complaint seeking the annulment of the loan, thereby maintaining Alejandro's liability to DBP/APT. However, modifying the CA's decision, the Supreme Court ordered respondent Ruperto V. Tankeh to personally pay Dr. Alejandro Tankeh moral damages and exemplary damages (amounting to \(\text{P}50,000\) each) for his bad faith and incidental fraud, alongside attorney's fees.</w:t>
      </w:r>
    </w:p>
    <w:p>
      <w:pPr>
        <w:pStyle w:val="Heading4"/>
      </w:pPr>
      <w:r>
        <w:t>6. Key Doctrine / Civil Code Hook</w:t>
      </w:r>
    </w:p>
    <w:p>
      <w:r>
        <w:rPr>
          <w:b/>
        </w:rPr>
        <w:t>Doctrinal Rule:</w:t>
      </w:r>
    </w:p>
    <w:p>
      <w:r>
        <w:t>To annul a contract based on causal fraud (</w:t>
      </w:r>
      <w:r>
        <w:rPr>
          <w:i/>
        </w:rPr>
        <w:t>dolo causante</w:t>
      </w:r>
      <w:r>
        <w:t>), the deceit must be serious, the determining cause of the party's consent, and proven by clear and convincing evidence; if the sophisticated background of the party indicates they understood the contract's nature, the deception regarding side-promises is merely incidental fraud (</w:t>
      </w:r>
      <w:r>
        <w:rPr>
          <w:i/>
        </w:rPr>
        <w:t>dolo incidente</w:t>
      </w:r>
      <w:r>
        <w:t>) which does not void the contract but only gives rise to an action for damages.</w:t>
      </w:r>
    </w:p>
    <w:p>
      <w:r>
        <w:rPr>
          <w:b/>
        </w:rPr>
        <w:t>Applicable Civil Code Provisions:</w:t>
      </w:r>
    </w:p>
    <w:p>
      <w:pPr>
        <w:pStyle w:val="ListBullet"/>
      </w:pPr>
      <w:r>
        <w:t xml:space="preserve">  </w:t>
      </w:r>
      <w:r>
        <w:rPr>
          <w:b/>
        </w:rPr>
        <w:t>Article 1338:</w:t>
      </w:r>
      <w:r>
        <w:t xml:space="preserve"> Identifies causal fraud (*dolo causante*) as insidious words or machinations that induce a party to enter a contract, rendering it voidable.</w:t>
      </w:r>
    </w:p>
    <w:p>
      <w:pPr>
        <w:pStyle w:val="ListBullet"/>
      </w:pPr>
      <w:r>
        <w:t xml:space="preserve">  </w:t>
      </w:r>
      <w:r>
        <w:rPr>
          <w:b/>
        </w:rPr>
        <w:t>Article 1344:</w:t>
      </w:r>
      <w:r>
        <w:t xml:space="preserve"> Establishes that incidental fraud (*dolo incidente*) only obliges the person employing it to pay damages.</w:t>
      </w:r>
    </w:p>
    <w:p>
      <w:pPr>
        <w:pStyle w:val="ListBullet"/>
      </w:pPr>
      <w:r>
        <w:t xml:space="preserve">  </w:t>
      </w:r>
      <w:r>
        <w:rPr>
          <w:b/>
        </w:rPr>
        <w:t>Article 1340:</w:t>
      </w:r>
      <w:r>
        <w:t xml:space="preserve"> "Dealer's talk" or usual exaggerations in trade are not fraudulent if the other party had the opportunity to know the facts.</w:t>
      </w:r>
    </w:p>
    <w:p>
      <w:pPr>
        <w:pStyle w:val="ListBullet"/>
      </w:pPr>
      <w:r>
        <w:t xml:space="preserve">  </w:t>
      </w:r>
      <w:r>
        <w:rPr>
          <w:b/>
        </w:rPr>
        <w:t>Article 1207:</w:t>
      </w:r>
      <w:r>
        <w:t xml:space="preserve"> Establishes the rule on solidary obligations, where the creditor can demand the entire obligation from any of the debtors.</w:t>
      </w:r>
    </w:p>
    <w:p>
      <w:pPr>
        <w:pStyle w:val="ListBullet"/>
      </w:pPr>
      <w:r>
        <w:t xml:space="preserve">  </w:t>
      </w:r>
      <w:r>
        <w:rPr>
          <w:b/>
        </w:rPr>
        <w:t>Articles 2219 &amp; 2229:</w:t>
      </w:r>
      <w:r>
        <w:t xml:space="preserve"> Provide the basis for awarding moral and exemplary damages for breaches of contract committed in bad faith or through fraud.</w:t>
      </w:r>
    </w:p>
    <w:p>
      <w:pPr>
        <w:pStyle w:val="Heading4"/>
      </w:pPr>
      <w:r>
        <w:t>7. Memory Anchor</w:t>
      </w:r>
    </w:p>
    <w:p>
      <w:r>
        <w:rPr>
          <w:b/>
        </w:rPr>
        <w:t>Mnemonic/Story Hook:</w:t>
      </w:r>
    </w:p>
    <w:p>
      <w:r>
        <w:t xml:space="preserve">"The Bank Organizer Brother." Dr. Tankeh, a sophisticated bank organizer, tried to sink his solidary liability on a \(\text{US}\$3.5\) million ship loan by claiming his brother tricked him with fake promises of a board seat. The Supreme Court ruled you can't be a banking expert and claim you didn't know what a joint and several signature meant; the brother's lies were just </w:t>
      </w:r>
      <w:r>
        <w:rPr>
          <w:i/>
        </w:rPr>
        <w:t>incidental fraud</w:t>
      </w:r>
      <w:r>
        <w:t>—good for damages, but the massive loan ship still sails!</w:t>
      </w:r>
    </w:p>
    <w:p>
      <w:pPr>
        <w:spacing w:before="120" w:after="120"/>
        <w:pBdr>
          <w:bottom w:val="single" w:sz="4" w:space="1" w:color="CCCCCC"/>
        </w:pBdr>
      </w:pPr>
    </w:p>
    <w:p>
      <w:pPr>
        <w:pStyle w:val="Heading2"/>
      </w:pPr>
      <w:r>
        <w:t>MODULE 1B — Kinds of Obligations + Art. 1191</w:t>
      </w:r>
    </w:p>
    <w:p>
      <w:pPr>
        <w:pStyle w:val="Heading3"/>
      </w:pPr>
      <w:r>
        <w:t>Contextualizing the Case within Module 1B Concepts</w:t>
      </w:r>
    </w:p>
    <w:p>
      <w:r>
        <w:t xml:space="preserve">While </w:t>
      </w:r>
      <w:r>
        <w:rPr>
          <w:i/>
        </w:rPr>
        <w:t>Tankeh v. DBP</w:t>
      </w:r>
      <w:r>
        <w:t xml:space="preserve"> is primarily studied in law schools under the chapter on "Consent" and "Fraud" (Arts. 1338-1344), its factual foundation is inextricably linked to the </w:t>
      </w:r>
      <w:r>
        <w:rPr>
          <w:b/>
        </w:rPr>
        <w:t>Kinds of Obligations</w:t>
      </w:r>
      <w:r>
        <w:t xml:space="preserve"> (specifically, Solidary Obligations) and the concepts surrounding breach and resolution of reciprocal obligations (</w:t>
      </w:r>
      <w:r>
        <w:rPr>
          <w:b/>
        </w:rPr>
        <w:t>Article 1191</w:t>
      </w:r>
      <w:r>
        <w:t>).</w:t>
      </w:r>
    </w:p>
    <w:p>
      <w:pPr>
        <w:pStyle w:val="Heading4"/>
      </w:pPr>
      <w:r>
        <w:t>A. Solidary Obligations (Joint and Several Liability)</w:t>
      </w:r>
    </w:p>
    <w:p>
      <w:r>
        <w:t>Under Module 1B, the distinction between joint (</w:t>
      </w:r>
      <w:r>
        <w:rPr>
          <w:i/>
        </w:rPr>
        <w:t>mancomunada</w:t>
      </w:r>
      <w:r>
        <w:t>) and solidary (</w:t>
      </w:r>
      <w:r>
        <w:rPr>
          <w:i/>
        </w:rPr>
        <w:t>solidaria</w:t>
      </w:r>
      <w:r>
        <w:t>) obligations is paramount. Article 1207 of the Civil Code states that there is solidary liability only when the obligation expressly so states, or when the law or the nature of the obligation requires solidarity.</w:t>
      </w:r>
    </w:p>
    <w:p>
      <w:r>
        <w:t>In commercial banking transactions, particularly those handled by institutions like DBP, loan approvals for corporate entities are almost universally contingent upon the principal officers executing a "Joint and Solidary" Promissory Note. Alejandro Tankeh's primary defense was that he was an accommodation party who received no actual money and was defrauded by his co-debtor (Ruperto). Under the law on solidary obligations, this defense is unavailing against the creditor. The essence of a solidary obligation is that the creditor (DBP) may proceed against any one of the solidary debtors or some or all of them simultaneously (Art. 1216). Even if internal fraud occurred between the solidary debtors, the external relationship with the creditor remains fully enforceable. Alejandro’s recourse, as granted by the Court in the form of damages, is directed exclusively against his co-debtor, Ruperto.</w:t>
      </w:r>
    </w:p>
    <w:p>
      <w:pPr>
        <w:pStyle w:val="Heading4"/>
      </w:pPr>
      <w:r>
        <w:t>B. Article 1191 (Tacit Resolutory Condition) vs. Annulment for Fraud</w:t>
      </w:r>
    </w:p>
    <w:p>
      <w:r>
        <w:t xml:space="preserve">Article 1191 provides the power to rescind (more accurately, </w:t>
      </w:r>
      <w:r>
        <w:rPr>
          <w:i/>
        </w:rPr>
        <w:t>resolve</w:t>
      </w:r>
      <w:r>
        <w:t>) obligations in reciprocal ones, in case one of the obligors should not comply with what is incumbent upon him.</w:t>
      </w:r>
    </w:p>
    <w:p>
      <w:r>
        <w:t>Why didn't Alejandro simply use Article 1191 to rescind his agreement with Ruperto?</w:t>
      </w:r>
    </w:p>
    <w:p>
      <w:r>
        <w:t xml:space="preserve">1.  </w:t>
      </w:r>
      <w:r>
        <w:rPr>
          <w:b/>
        </w:rPr>
        <w:t>Nature of the Defect:</w:t>
      </w:r>
      <w:r>
        <w:t xml:space="preserve"> Article 1191 applies to validly perfected reciprocal contracts where a subsequent breach of faith occurs during performance. Alejandro’s primary legal strategy was to attack the </w:t>
      </w:r>
      <w:r>
        <w:rPr>
          <w:i/>
        </w:rPr>
        <w:t>perfection</w:t>
      </w:r>
      <w:r>
        <w:t xml:space="preserve"> stage of the contract, arguing that his initial consent was completely vitiated by Ruperto's lies (Article 1338). If successful, an annulment would wipe out his liability from the very beginning, acting as a shield against DBP.</w:t>
      </w:r>
    </w:p>
    <w:p>
      <w:r>
        <w:t xml:space="preserve">2.  </w:t>
      </w:r>
      <w:r>
        <w:rPr>
          <w:b/>
        </w:rPr>
        <w:t>Innocent Third Parties:</w:t>
      </w:r>
      <w:r>
        <w:t xml:space="preserve"> Rescission under Art. 1191 creates mutual restitution, but it cannot prejudice the rights of third persons who acquired the thing in good faith. Even if Alejandro legally "rescinded" his internal arrangement to join SSLI due to Ruperto's breach (failure to provide shares/management), this internal rescission could not nullify the separate, perfected loan contract he willingly signed with an innocent third-party creditor (DBP).</w:t>
      </w:r>
    </w:p>
    <w:p>
      <w:r>
        <w:t xml:space="preserve">Therefore, the Supreme Court's application of </w:t>
      </w:r>
      <w:r>
        <w:rPr>
          <w:i/>
        </w:rPr>
        <w:t>dolo incidente</w:t>
      </w:r>
      <w:r>
        <w:t xml:space="preserve"> perfectly bridges these concepts. Because Alejandro knew the nature of the loan obligation he was entering (due to his background), his consent was not vitiated (no </w:t>
      </w:r>
      <w:r>
        <w:rPr>
          <w:i/>
        </w:rPr>
        <w:t>dolo causante</w:t>
      </w:r>
      <w:r>
        <w:t>). The loan stands. However, Ruperto's failure to fulfill the reciprocal promises of management participation constituted a breach of good faith in the performance of their internal agreement, triggering liability for damages (akin to the compensatory rationale of Art. 1191, combined with the tortious bad faith principles of Arts. 19, 21, and 2220).</w:t>
      </w:r>
    </w:p>
    <w:p>
      <w:pPr>
        <w:spacing w:before="120" w:after="120"/>
        <w:pBdr>
          <w:bottom w:val="single" w:sz="4" w:space="1" w:color="CCCCCC"/>
        </w:pBdr>
      </w:pPr>
    </w:p>
    <w:p>
      <w:r>
        <w:br w:type="page"/>
      </w:r>
    </w:p>
    <w:p>
      <w:pPr>
        <w:pStyle w:val="Heading1"/>
      </w:pPr>
      <w:r>
        <w:t>Module 1B — Kinds of Obligations + Art. 1191</w:t>
      </w:r>
    </w:p>
    <w:p>
      <w:pPr>
        <w:pStyle w:val="Heading2"/>
      </w:pPr>
      <w:r>
        <w:t>Case 4: Arco Pulp and Paper Co., Inc. v. Lim (2014) | G.R. No. 206806</w:t>
      </w:r>
    </w:p>
    <w:p>
      <w:pPr>
        <w:pStyle w:val="Heading2"/>
      </w:pPr>
      <w:r>
        <w:t>Comprehensive Legal Analysis: Arco Pulp and Paper Co., Inc. v. Lim</w:t>
      </w:r>
    </w:p>
    <w:p>
      <w:r>
        <w:rPr>
          <w:b/>
        </w:rPr>
        <w:t>Key Points:</w:t>
      </w:r>
    </w:p>
    <w:p>
      <w:pPr>
        <w:pStyle w:val="ListBullet"/>
      </w:pPr>
      <w:r>
        <w:t xml:space="preserve">  The Supreme Court of the Philippines definitively clarified the mechanics of </w:t>
      </w:r>
      <w:r>
        <w:rPr>
          <w:b/>
        </w:rPr>
        <w:t>alternative obligations</w:t>
      </w:r>
      <w:r>
        <w:t xml:space="preserve"> under Article 1199 of the Civil Code, specifically regarding how a debtor exercises the right of election and the legal consequences of communicating that choice.</w:t>
      </w:r>
    </w:p>
    <w:p>
      <w:pPr>
        <w:pStyle w:val="ListBullet"/>
      </w:pPr>
      <w:r>
        <w:t xml:space="preserve">  The case reinforces the rigorous standards required for </w:t>
      </w:r>
      <w:r>
        <w:rPr>
          <w:b/>
        </w:rPr>
        <w:t>novation</w:t>
      </w:r>
      <w:r>
        <w:t xml:space="preserve"> under Article 1293 of the Civil Code, particularly the absolute necessity of the creditor's explicit consent when substituting a new debtor.</w:t>
      </w:r>
    </w:p>
    <w:p>
      <w:pPr>
        <w:pStyle w:val="ListBullet"/>
      </w:pPr>
      <w:r>
        <w:t xml:space="preserve">  The ruling demonstrates the judiciary's willingness to pierce the corporate veil and impose </w:t>
      </w:r>
      <w:r>
        <w:rPr>
          <w:b/>
        </w:rPr>
        <w:t>solidary liability</w:t>
      </w:r>
      <w:r>
        <w:t xml:space="preserve"> on corporate officers (in this case, the CEO) when there is clear and convincing evidence of bad faith, such as issuing unfunded checks to evade corporate obligations.</w:t>
      </w:r>
    </w:p>
    <w:p>
      <w:pPr>
        <w:pStyle w:val="ListBullet"/>
      </w:pPr>
      <w:r>
        <w:t xml:space="preserve">  It seems likely that lower courts will heavily rely on this precedent when distinguishing between the mere execution of a side contract (which does not extinguish original debts) and a true extinctive novation.</w:t>
      </w:r>
    </w:p>
    <w:p>
      <w:pPr>
        <w:pStyle w:val="ListBullet"/>
      </w:pPr>
      <w:r>
        <w:t xml:space="preserve">  While the case primarily deals with contract law, it touches upon complex intersections of corporate liability and tort-like damages in commercial transactions.</w:t>
      </w:r>
    </w:p>
    <w:p>
      <w:r>
        <w:rPr>
          <w:b/>
        </w:rPr>
        <w:t>Introduction</w:t>
      </w:r>
    </w:p>
    <w:p>
      <w:r>
        <w:t xml:space="preserve">The intersection of alternative obligations and the doctrine of novation frequently generates complex commercial disputes, particularly when corporate entities attempt to restructure their debts or substitute performance methods without the clear consent of their creditors. The jurisprudence surrounding these Civil Code concepts requires meticulous analysis of the parties' intent, their overt acts of communication, and the precise timeline of their contractual relations. This report synthesizes the factual background, procedural history, and doctrinal significance of </w:t>
      </w:r>
      <w:r>
        <w:rPr>
          <w:i/>
        </w:rPr>
        <w:t>Arco Pulp and Paper Co., Inc. v. Lim</w:t>
      </w:r>
      <w:r>
        <w:t>, G.R. No. 206806, promulgated on June 25, 2014. It provides an exhaustive academic review of how the Supreme Court of the Philippines interprets the election of alternative prestations and the stringent requirements for extinguishing an obligation through subjective novation.</w:t>
      </w:r>
    </w:p>
    <w:p>
      <w:r>
        <w:rPr>
          <w:b/>
        </w:rPr>
        <w:t>Methodology and Scope</w:t>
      </w:r>
    </w:p>
    <w:p>
      <w:r>
        <w:t>This analysis relies on primary source jurisprudence, specifically the full text of the Supreme Court decision, supplemented by legal commentaries, bar review materials, and academic interpretations. The report systematically deconstructs the case into its factual matrices, the precise nature of the obligations involved, the legal issues elevated to the high court, and the resulting jurisprudential doctrines. Special emphasis is placed on Articles 1199 through 1205 of the Philippine Civil Code, providing a definitive guide for legal practitioners and scholars analyzing the mechanics of alternative obligations.</w:t>
      </w:r>
    </w:p>
    <w:p>
      <w:r>
        <w:rPr>
          <w:b/>
        </w:rPr>
      </w:r>
    </w:p>
    <w:p>
      <w:pPr>
        <w:pStyle w:val="Heading3"/>
      </w:pPr>
      <w:r>
        <w:t>Arco Pulp and Paper Co., Inc. v. Lim (2014) | G.R. No. 206806</w:t>
      </w:r>
    </w:p>
    <w:p>
      <w:pPr>
        <w:pStyle w:val="Heading4"/>
      </w:pPr>
      <w:r>
        <w:t>1. The Parties</w:t>
      </w:r>
    </w:p>
    <w:p>
      <w:pPr>
        <w:pStyle w:val="ListBullet"/>
      </w:pPr>
      <w:r>
        <w:t xml:space="preserve">  </w:t>
      </w:r>
      <w:r>
        <w:rPr>
          <w:b/>
        </w:rPr>
        <w:t>Petitioner (Arco Pulp):</w:t>
      </w:r>
      <w:r>
        <w:t xml:space="preserve"> Arco Pulp and Paper Co., Inc. is a corporate entity engaged in the paper mill business, specifically the manufacturing and production of finished paper products such as Test Liners. The corporation was represented by its Chief Executive Officer and President, Candida A. Santos, who was impleaded as a co-petitioner in the case.</w:t>
      </w:r>
    </w:p>
    <w:p>
      <w:pPr>
        <w:pStyle w:val="ListBullet"/>
      </w:pPr>
      <w:r>
        <w:t xml:space="preserve">  </w:t>
      </w:r>
      <w:r>
        <w:rPr>
          <w:b/>
        </w:rPr>
        <w:t>Respondent (Lim):</w:t>
      </w:r>
      <w:r>
        <w:t xml:space="preserve"> Dan T. Lim is a businessman operating under the sole proprietorship name and style of </w:t>
      </w:r>
      <w:r>
        <w:rPr>
          <w:b/>
        </w:rPr>
        <w:t>Quality Papers &amp; Plastic Products Enterprises</w:t>
      </w:r>
      <w:r>
        <w:t>. His commercial enterprise is primarily focused on supplying raw materials—specifically scrap papers, cartons, and local old corrugated containers (OCC)—to various factories engaged in the paper mill industry.</w:t>
      </w:r>
    </w:p>
    <w:p>
      <w:pPr>
        <w:pStyle w:val="ListBullet"/>
      </w:pPr>
      <w:r>
        <w:t xml:space="preserve">  </w:t>
      </w:r>
      <w:r>
        <w:rPr>
          <w:b/>
        </w:rPr>
        <w:t>Their relationship:</w:t>
      </w:r>
      <w:r>
        <w:t xml:space="preserve"> The relationship between Arco Pulp and Dan T. Lim was a standard commercial supplier-buyer arrangement. Lim acted as the supplier of essential raw materials (scrap paper) required by Arco Pulp to manufacture its finished paper products. The relationship was governed by an initial agreement regarding the delivery of raw materials in exchange for either monetary payment or a barter-like exchange of finished manufactured goods.</w:t>
      </w:r>
    </w:p>
    <w:p>
      <w:pPr>
        <w:pStyle w:val="Heading4"/>
      </w:pPr>
      <w:r>
        <w:t>2. Background &amp; Facts</w:t>
      </w:r>
    </w:p>
    <w:p>
      <w:pPr>
        <w:pStyle w:val="ListBullet"/>
      </w:pPr>
      <w:r>
        <w:t xml:space="preserve">  </w:t>
      </w:r>
      <w:r>
        <w:rPr>
          <w:b/>
        </w:rPr>
        <w:t>Goods exchanged:</w:t>
      </w:r>
      <w:r>
        <w:t xml:space="preserve"> Between February 2007 and March 2007, respondent Dan T. Lim delivered significant quantities of raw materials (scrap papers and cartons) to Arco Pulp and Paper. The total monetary value of the raw materials delivered and accepted by the petitioners amounted to ₱7,220,968.31.</w:t>
      </w:r>
    </w:p>
    <w:p>
      <w:pPr>
        <w:pStyle w:val="ListBullet"/>
      </w:pPr>
      <w:r>
        <w:t xml:space="preserve">  </w:t>
      </w:r>
      <w:r>
        <w:rPr>
          <w:b/>
        </w:rPr>
        <w:t>The alternative obligation:</w:t>
      </w:r>
      <w:r>
        <w:t xml:space="preserve"> To settle the payment for the delivered raw materials, the parties entered into a specific agreement. Arco Pulp and Paper owed Lim an obligation that could be fulfilled through alternative modes of performance: Arco Pulp would either (1) pay Lim the exact monetary value of the raw materials (₱7,220,968.31), or in the alternative, (2) deliver finished paper products of equivalent value to Lim.</w:t>
      </w:r>
    </w:p>
    <w:p>
      <w:pPr>
        <w:pStyle w:val="ListBullet"/>
      </w:pPr>
      <w:r>
        <w:t xml:space="preserve">  </w:t>
      </w:r>
      <w:r>
        <w:rPr>
          <w:b/>
        </w:rPr>
        <w:t>Arco's actions and the side deal:</w:t>
      </w:r>
      <w:r>
        <w:t xml:space="preserve"> On April 18, 2007, Arco Pulp attempted to make a partial payment to Lim by issuing a post-dated check in the amount of ₱1,487,766.68. Arco Pulp assured Lim that the check was adequately funded. However, when Lim deposited the check on the same day, it was dishonored by the bank because it was drawn against a closed account.</w:t>
      </w:r>
    </w:p>
    <w:p>
      <w:pPr>
        <w:pStyle w:val="ListBullet"/>
      </w:pPr>
      <w:r>
        <w:t xml:space="preserve">  </w:t>
      </w:r>
      <w:r>
        <w:rPr>
          <w:b/>
        </w:rPr>
        <w:t>The Eric Sy / Megapack MOA:</w:t>
      </w:r>
      <w:r>
        <w:t xml:space="preserve"> On the very same day the check was issued and dishonored (April 18, 2007), Candida A. Santos, acting on behalf of Arco Pulp, executed a separate Memorandum of Agreement (MOA) with a third party, Eric Sy, who owned Megapack Container Corporation. Under this MOA, Arco Pulp bound itself to deliver 600 tons of Test Liner (finished products) to Megapack for Eric Sy's account. The MOA explicitly stipulated that the raw materials required to produce these 600 tons of Test Liners would be supplied by Dan T. Lim's company, Quality Paper &amp; Plastic Products Enterprises. Lim was not a signatory to this private agreement between Arco and Sy.</w:t>
      </w:r>
    </w:p>
    <w:p>
      <w:pPr>
        <w:pStyle w:val="ListBullet"/>
      </w:pPr>
      <w:r>
        <w:t xml:space="preserve">  </w:t>
      </w:r>
      <w:r>
        <w:rPr>
          <w:b/>
        </w:rPr>
        <w:t>Lim's demand for payment:</w:t>
      </w:r>
      <w:r>
        <w:t xml:space="preserve"> Following the dishonor of the check and remaining unpaid for his deliveries, Lim sent a formal demand letter to Arco Pulp and Paper on May 5, 2007, demanding the full payment of the ₱7,220,968.31. When Arco Pulp failed and refused to remit the payment, Lim was compelled to seek judicial intervention.</w:t>
      </w:r>
    </w:p>
    <w:p>
      <w:pPr>
        <w:pStyle w:val="ListBullet"/>
      </w:pPr>
      <w:r>
        <w:t xml:space="preserve">  </w:t>
      </w:r>
      <w:r>
        <w:rPr>
          <w:b/>
        </w:rPr>
        <w:t>Timeline of key events:</w:t>
      </w:r>
      <w:r/>
    </w:p>
    <w:p>
      <w:pPr>
        <w:pStyle w:val="ListBullet"/>
      </w:pPr>
      <w:r>
        <w:t xml:space="preserve">  </w:t>
      </w:r>
      <w:r>
        <w:rPr>
          <w:b/>
        </w:rPr>
        <w:t>February – March 2007:</w:t>
      </w:r>
      <w:r>
        <w:t xml:space="preserve"> Lim delivers scrap paper worth ₱7,220,968.31 to Arco Pulp.</w:t>
      </w:r>
    </w:p>
    <w:p>
      <w:pPr>
        <w:pStyle w:val="ListBullet"/>
      </w:pPr>
      <w:r>
        <w:t xml:space="preserve">  </w:t>
      </w:r>
      <w:r>
        <w:rPr>
          <w:b/>
        </w:rPr>
        <w:t>April 18, 2007:</w:t>
      </w:r>
      <w:r>
        <w:t xml:space="preserve"> Arco issues a post-dated check for ₱1,487,766.68 to Lim. The check bounces due to a closed account.</w:t>
      </w:r>
    </w:p>
    <w:p>
      <w:pPr>
        <w:pStyle w:val="ListBullet"/>
      </w:pPr>
      <w:r>
        <w:t xml:space="preserve">  </w:t>
      </w:r>
      <w:r>
        <w:rPr>
          <w:b/>
        </w:rPr>
        <w:t>April 18, 2007:</w:t>
      </w:r>
      <w:r>
        <w:t xml:space="preserve"> Arco executes the MOA with Eric Sy (Megapack Container Corp.) to deliver 600 tons of finished products, attempting to shift the use of Lim's raw materials to a third-party account.</w:t>
      </w:r>
    </w:p>
    <w:p>
      <w:pPr>
        <w:pStyle w:val="ListBullet"/>
      </w:pPr>
      <w:r>
        <w:t xml:space="preserve">  </w:t>
      </w:r>
      <w:r>
        <w:rPr>
          <w:b/>
        </w:rPr>
        <w:t>May 5, 2007:</w:t>
      </w:r>
      <w:r>
        <w:t xml:space="preserve"> Lim sends a formal demand letter for the full monetary amount.</w:t>
      </w:r>
    </w:p>
    <w:p>
      <w:pPr>
        <w:pStyle w:val="ListBullet"/>
      </w:pPr>
      <w:r>
        <w:t xml:space="preserve">  </w:t>
      </w:r>
      <w:r>
        <w:rPr>
          <w:b/>
        </w:rPr>
        <w:t>May 28, 2007:</w:t>
      </w:r>
      <w:r>
        <w:t xml:space="preserve"> Lim files a complaint for the collection of a sum of money with an application for attachment in the Regional Trial Court (RTC) of Valenzuela City, Branch 171.</w:t>
      </w:r>
    </w:p>
    <w:p>
      <w:pPr>
        <w:pStyle w:val="ListBullet"/>
      </w:pPr>
      <w:r>
        <w:t xml:space="preserve">  </w:t>
      </w:r>
      <w:r>
        <w:rPr>
          <w:b/>
        </w:rPr>
        <w:t>September 19, 2008:</w:t>
      </w:r>
      <w:r>
        <w:t xml:space="preserve"> The RTC dismisses Lim's complaint, erroneously ruling that the MOA between Arco and Sy constituted a novation that extinguished Arco's original debt to Lim.</w:t>
      </w:r>
    </w:p>
    <w:p>
      <w:pPr>
        <w:pStyle w:val="ListBullet"/>
      </w:pPr>
      <w:r>
        <w:t xml:space="preserve">  </w:t>
      </w:r>
      <w:r>
        <w:rPr>
          <w:b/>
        </w:rPr>
        <w:t>January 11, 2013:</w:t>
      </w:r>
      <w:r>
        <w:t xml:space="preserve"> The Court of Appeals (CA) reverses the RTC decision, recognizing the existence of an alternative obligation, rejecting the novation defense, and ordering Arco and Santos to pay the principal amount with damages.</w:t>
      </w:r>
    </w:p>
    <w:p>
      <w:pPr>
        <w:pStyle w:val="Heading4"/>
      </w:pPr>
      <w:r>
        <w:t>3. The Contract or Obligation</w:t>
      </w:r>
    </w:p>
    <w:p>
      <w:pPr>
        <w:pStyle w:val="ListBullet"/>
      </w:pPr>
      <w:r>
        <w:t xml:space="preserve">  </w:t>
      </w:r>
      <w:r>
        <w:rPr>
          <w:b/>
        </w:rPr>
        <w:t>Original obligation:</w:t>
      </w:r>
      <w:r>
        <w:t xml:space="preserve"> The original contractual obligation required Arco Pulp and Paper to compensate Dan T. Lim for the scrap papers delivered between February and March 2007, the total value of which was fixed at ₱7,220,968.31.</w:t>
      </w:r>
    </w:p>
    <w:p>
      <w:pPr>
        <w:pStyle w:val="ListBullet"/>
      </w:pPr>
      <w:r>
        <w:t xml:space="preserve">  </w:t>
      </w:r>
      <w:r>
        <w:rPr>
          <w:b/>
        </w:rPr>
        <w:t>Nature of the obligation (Simple vs. Alternative):</w:t>
      </w:r>
      <w:r>
        <w:t xml:space="preserve"> The agreement was legally classified as an </w:t>
      </w:r>
      <w:r>
        <w:rPr>
          <w:b/>
        </w:rPr>
        <w:t>alternative obligation</w:t>
      </w:r>
      <w:r>
        <w:t xml:space="preserve"> under Article 1199 of the Philippine Civil Code. It was not a simple obligation because it involved more than one object or prestation. The debtor (Arco Pulp) had two distinct choices for fulfilling the contract: (1) pay the monetary price of the raw materials, or (2) deliver finished products of equivalent value.</w:t>
      </w:r>
    </w:p>
    <w:p>
      <w:pPr>
        <w:pStyle w:val="ListBullet"/>
      </w:pPr>
      <w:r>
        <w:t xml:space="preserve">  </w:t>
      </w:r>
      <w:r>
        <w:rPr>
          <w:b/>
        </w:rPr>
        <w:t>Right of choice:</w:t>
      </w:r>
      <w:r>
        <w:t xml:space="preserve"> According to Article 1200 of the Civil Code, in alternative obligations, the right of choice generally belongs to the debtor, unless it has been expressly granted to the creditor. Since there was no express grant to Lim, the right of election unequivocally belonged to Arco Pulp.</w:t>
      </w:r>
    </w:p>
    <w:p>
      <w:pPr>
        <w:pStyle w:val="ListBullet"/>
      </w:pPr>
      <w:r>
        <w:t xml:space="preserve">  </w:t>
      </w:r>
      <w:r>
        <w:rPr>
          <w:b/>
        </w:rPr>
        <w:t>The attempted exercise of the alternative:</w:t>
      </w:r>
      <w:r>
        <w:t xml:space="preserve"> Arco Pulp attempted to exercise its right of election by tendering a check to Lim in the amount of ₱1,487,766.68 as partial payment for the scrap papers. By issuing this monetary instrument, Arco Pulp practically exercised its option to pay the monetary price rather than deliver the finished products. Concurrently, by executing the MOA with Eric Sy to deliver its finished products to a third party, Arco Pulp factually rendered its second option (delivering finished products to Lim) extinguished and impossible.</w:t>
      </w:r>
    </w:p>
    <w:p>
      <w:pPr>
        <w:pStyle w:val="ListBullet"/>
      </w:pPr>
      <w:r>
        <w:t xml:space="preserve">  </w:t>
      </w:r>
      <w:r>
        <w:rPr>
          <w:b/>
        </w:rPr>
        <w:t>Communication of the election and its consequences:</w:t>
      </w:r>
      <w:r>
        <w:t xml:space="preserve"> Under Article 1201 of the Civil Code, a choice produces no legal effect until it has been communicated to the creditor. The Supreme Court ruled that Lim's physical receipt of the check and his subsequent act of depositing it in the bank constituted sufficient notice and communication of Arco Pulp's election to pay the monetary price. Once this choice was communicated, the alternative obligation ceased to be alternative; it legally crystallized into a </w:t>
      </w:r>
      <w:r>
        <w:rPr>
          <w:b/>
        </w:rPr>
        <w:t>simple obligation</w:t>
      </w:r>
      <w:r>
        <w:t xml:space="preserve"> to pay the monetary sum. Consequently, Arco Pulp could no longer force Lim to accept finished products, nor could Arco evade the monetary debt by claiming it had contracted to give finished products to someone else.</w:t>
      </w:r>
    </w:p>
    <w:p>
      <w:pPr>
        <w:pStyle w:val="Heading4"/>
      </w:pPr>
      <w:r>
        <w:t>4. Legal Issues Raised</w:t>
      </w:r>
    </w:p>
    <w:p>
      <w:r>
        <w:t>The petition before the Supreme Court raised several pivotal questions of civil and corporate law:</w:t>
      </w:r>
    </w:p>
    <w:p>
      <w:r>
        <w:t xml:space="preserve">1.  </w:t>
      </w:r>
      <w:r>
        <w:rPr>
          <w:b/>
        </w:rPr>
        <w:t>Nature of the Obligation:</w:t>
      </w:r>
      <w:r>
        <w:t xml:space="preserve"> Was the original agreement between the parties an alternative obligation, and what was the effect of Arco Pulp's actions on this obligation?</w:t>
      </w:r>
    </w:p>
    <w:p>
      <w:r>
        <w:t xml:space="preserve">2.  </w:t>
      </w:r>
      <w:r>
        <w:rPr>
          <w:b/>
        </w:rPr>
        <w:t>Novation:</w:t>
      </w:r>
      <w:r>
        <w:t xml:space="preserve"> Did the execution of the private Memorandum of Agreement on April 18, 2007, between Arco Pulp and Eric Sy constitute a valid novation that legally extinguished Arco Pulp's original obligation to Dan T. Lim?</w:t>
      </w:r>
    </w:p>
    <w:p>
      <w:r>
        <w:t xml:space="preserve">3.  </w:t>
      </w:r>
      <w:r>
        <w:rPr>
          <w:b/>
        </w:rPr>
        <w:t>Solidary Liability:</w:t>
      </w:r>
      <w:r>
        <w:t xml:space="preserve"> Is Candida A. Santos, in her capacity as President and CEO of Arco Pulp and Paper Co., Inc., solidarily (jointly and severally) liable with the corporation for the obligations and damages owed to Lim?</w:t>
      </w:r>
    </w:p>
    <w:p>
      <w:r>
        <w:t xml:space="preserve">4.  </w:t>
      </w:r>
      <w:r>
        <w:rPr>
          <w:b/>
        </w:rPr>
        <w:t>Damages:</w:t>
      </w:r>
      <w:r>
        <w:t xml:space="preserve"> Is respondent Dan T. Lim legally entitled to the awards of moral damages, exemplary damages, and attorney's fees based on the conduct of the petitioners?</w:t>
      </w:r>
    </w:p>
    <w:p>
      <w:pPr>
        <w:pStyle w:val="Heading4"/>
      </w:pPr>
      <w:r>
        <w:t>5. Supreme Court Ruling</w:t>
      </w:r>
    </w:p>
    <w:p>
      <w:pPr>
        <w:pStyle w:val="ListBullet"/>
      </w:pPr>
      <w:r>
        <w:t xml:space="preserve">  </w:t>
      </w:r>
      <w:r>
        <w:rPr>
          <w:b/>
        </w:rPr>
        <w:t>On the nature of the obligation:</w:t>
      </w:r>
      <w:r>
        <w:t xml:space="preserve"> The Supreme Court affirmed the Court of Appeals' finding that the contract was a textbook example of an alternative obligation governed by Article 1199 of the Civil Code. The Court held that Arco Pulp possessed the right of election and that it completely exhausted this right when it tendered the partial payment check.</w:t>
      </w:r>
    </w:p>
    <w:p>
      <w:pPr>
        <w:pStyle w:val="ListBullet"/>
      </w:pPr>
      <w:r>
        <w:t xml:space="preserve">  </w:t>
      </w:r>
      <w:r>
        <w:rPr>
          <w:b/>
        </w:rPr>
        <w:t>On the validity of the election:</w:t>
      </w:r>
      <w:r>
        <w:t xml:space="preserve"> The Supreme Court held that the election to pay the monetary price was validly communicated and binding. The Court articulated that making a choice by itself does not produce legal effects; the choice must be communicated to the creditor (Art. 1201). Lim's receipt and deposit of the check served as the requisite notice of Arco's choice. At that precise moment, the obligation became a simple monetary debt. The simultaneous MOA with Eric Sy further corroborated that Arco had abandoned its option to deliver finished products to Lim, as it committed those same products to a third party.</w:t>
      </w:r>
    </w:p>
    <w:p>
      <w:pPr>
        <w:pStyle w:val="ListBullet"/>
      </w:pPr>
      <w:r>
        <w:t xml:space="preserve">  </w:t>
      </w:r>
      <w:r>
        <w:rPr>
          <w:b/>
        </w:rPr>
        <w:t>On Novation:</w:t>
      </w:r>
      <w:r>
        <w:t xml:space="preserve"> The Supreme Court firmly rejected Arco Pulp's defense of novation. The Court held that no extinctive novation occurred because the strict requisites under Article 1293 of the Civil Code were absent. Specifically, objective novation requires that the old and new obligations be incompatible on every point, or that the intent to extinguish the old obligation be declared in "unequivocal terms". Neither was present in the MOA. Furthermore, regarding subjective novation (substituting a new debtor), the law absolutely requires the consent of the creditor. Dan T. Lim was completely un-involved in the MOA with Eric Sy and never consented to substitute Sy as his debtor. Thus, Arco Pulp remained fully liable for the ₱7.2 million debt.</w:t>
      </w:r>
    </w:p>
    <w:p>
      <w:pPr>
        <w:pStyle w:val="ListBullet"/>
      </w:pPr>
      <w:r>
        <w:t xml:space="preserve">  </w:t>
      </w:r>
      <w:r>
        <w:rPr>
          <w:b/>
        </w:rPr>
        <w:t>On damages and solidary liability:</w:t>
      </w:r>
      <w:r>
        <w:t xml:space="preserve"> The Supreme Court pierced the veil of corporate fiction, holding CEO Candida A. Santos solidarily liable with Arco Pulp and Paper. Generally, corporate officers are shielded from personal liability for corporate debts. However, the Court noted the exception: an officer can be held solidarily liable if they act with gross negligence or bad faith. Santos was the "prime mover" who acted in manifest bad faith by issuing a post-dated check knowing it was drawn against a closed account, and by orchestrating the MOA with a third party in a deceptive attempt to evade the corporation's valid obligations to Lim.</w:t>
      </w:r>
    </w:p>
    <w:p>
      <w:pPr>
        <w:pStyle w:val="ListBullet"/>
      </w:pPr>
      <w:r>
        <w:t xml:space="preserve">  </w:t>
      </w:r>
      <w:r>
        <w:rPr>
          <w:b/>
        </w:rPr>
        <w:t>Disposition and computation of awards:</w:t>
      </w:r>
      <w:r>
        <w:t xml:space="preserve"> The Supreme Court </w:t>
      </w:r>
      <w:r>
        <w:rPr>
          <w:b/>
        </w:rPr>
        <w:t>DENIED</w:t>
      </w:r>
      <w:r>
        <w:t xml:space="preserve"> the petition of Arco Pulp and Santos, affirming the CA's ruling with a slight modification regarding the interest rate based on updated jurisprudence (*Nacar v. Gallery Frames*). The petitioners were ordered to jointly and severally pay:</w:t>
      </w:r>
    </w:p>
    <w:p>
      <w:pPr>
        <w:pStyle w:val="ListBullet"/>
      </w:pPr>
      <w:r>
        <w:t xml:space="preserve">  The principal amount of </w:t>
      </w:r>
      <w:r>
        <w:rPr>
          <w:b/>
        </w:rPr>
        <w:t>₱7,220,968.31</w:t>
      </w:r>
      <w:r>
        <w:t>.</w:t>
      </w:r>
    </w:p>
    <w:p>
      <w:pPr>
        <w:pStyle w:val="ListBullet"/>
      </w:pPr>
      <w:r>
        <w:t xml:space="preserve">  Legal interest of </w:t>
      </w:r>
      <w:r>
        <w:rPr>
          <w:b/>
        </w:rPr>
        <w:t>6% per annum</w:t>
      </w:r>
      <w:r>
        <w:t xml:space="preserve"> computed from the date of extrajudicial demand (May 5, 2007) until full satisfaction.</w:t>
      </w:r>
    </w:p>
    <w:p>
      <w:pPr>
        <w:pStyle w:val="ListBullet"/>
      </w:pPr>
      <w:r>
        <w:t xml:space="preserve">  </w:t>
      </w:r>
      <w:r>
        <w:rPr>
          <w:b/>
        </w:rPr>
        <w:t>₱50,000.00</w:t>
      </w:r>
      <w:r>
        <w:t xml:space="preserve"> as moral damages (justified by the petitioners' bad faith and dishonest purpose).</w:t>
      </w:r>
    </w:p>
    <w:p>
      <w:pPr>
        <w:pStyle w:val="ListBullet"/>
      </w:pPr>
      <w:r>
        <w:t xml:space="preserve">  </w:t>
      </w:r>
      <w:r>
        <w:rPr>
          <w:b/>
        </w:rPr>
        <w:t>₱50,000.00</w:t>
      </w:r>
      <w:r>
        <w:t xml:space="preserve"> as exemplary damages (to serve as a deterrent against using fraudulent corporate maneuvers to evade liabilities).</w:t>
      </w:r>
    </w:p>
    <w:p>
      <w:pPr>
        <w:pStyle w:val="ListBullet"/>
      </w:pPr>
      <w:r>
        <w:t xml:space="preserve">  </w:t>
      </w:r>
      <w:r>
        <w:rPr>
          <w:b/>
        </w:rPr>
        <w:t>₱50,000.00</w:t>
      </w:r>
      <w:r>
        <w:t xml:space="preserve"> as attorney's fees.</w:t>
      </w:r>
    </w:p>
    <w:p>
      <w:pPr>
        <w:pStyle w:val="Heading4"/>
      </w:pPr>
      <w:r>
        <w:t>6. Key Doctrine / Civil Code Hook</w:t>
      </w:r>
    </w:p>
    <w:p>
      <w:pPr>
        <w:pStyle w:val="ListBullet"/>
      </w:pPr>
      <w:r>
        <w:t xml:space="preserve">  </w:t>
      </w:r>
      <w:r>
        <w:rPr>
          <w:b/>
        </w:rPr>
        <w:t>Alternative Obligations (Articles 1199–1205):</w:t>
      </w:r>
      <w:r/>
    </w:p>
    <w:p>
      <w:pPr>
        <w:pStyle w:val="ListBullet"/>
      </w:pPr>
      <w:r>
        <w:t xml:space="preserve">  *Article 1199:* "A person alternatively bound by different prestations shall completely perform one of them. The creditor cannot be compelled to receive part of one and part of the other undertaking." This defines the nature of the obligation in this case—fulfillment of one object (payment or delivery of goods) is sufficient.</w:t>
      </w:r>
    </w:p>
    <w:p>
      <w:pPr>
        <w:pStyle w:val="ListBullet"/>
      </w:pPr>
      <w:r>
        <w:t xml:space="preserve">  *Article 1200:* The right of choice belongs to the debtor, unless expressly granted to the creditor.</w:t>
      </w:r>
    </w:p>
    <w:p>
      <w:pPr>
        <w:pStyle w:val="ListBullet"/>
      </w:pPr>
      <w:r>
        <w:t xml:space="preserve">  *Article 1201:* "The choice shall produce no effect except from the time it has been communicated."</w:t>
      </w:r>
    </w:p>
    <w:p>
      <w:pPr>
        <w:pStyle w:val="ListBullet"/>
      </w:pPr>
      <w:r>
        <w:t xml:space="preserve">  </w:t>
      </w:r>
      <w:r>
        <w:rPr>
          <w:b/>
        </w:rPr>
        <w:t>Doctrinal Addition / Clarification:</w:t>
      </w:r>
      <w:r>
        <w:t xml:space="preserve"> This case adds practical clarity to how "communication" of choice is executed in modern commerce. The Court ruled that the debtor's act of tendering a check, and the creditor's subsequent act of receiving and depositing it, constitutes legally sufficient notice of the debtor's election to pay the monetary prestation. Once communicated, the right of election is completely extinguished, the obligation ceases to be alternative, and it crystallizes into a simple, irrevocable obligation. The debtor cannot unilaterally change this choice or shift the alternative prestation to a third party without the creditor's consent.</w:t>
      </w:r>
    </w:p>
    <w:p>
      <w:pPr>
        <w:pStyle w:val="ListBullet"/>
      </w:pPr>
      <w:r>
        <w:t xml:space="preserve">  </w:t>
      </w:r>
      <w:r>
        <w:rPr>
          <w:b/>
        </w:rPr>
        <w:t>Novation (Article 1293):</w:t>
      </w:r>
      <w:r>
        <w:t xml:space="preserve"> "Novation which consists in substituting a new debtor in the place of the original one, may be made even without the knowledge or against the will of the latter, but not without the consent of the creditor." The case reiterates that a debtor cannot simply execute a side contract (like the MOA with Eric Sy) to wash their hands of a debt. Without the creditor's express consent to the substitution, the original debtor remains legally bound.</w:t>
      </w:r>
    </w:p>
    <w:p>
      <w:pPr>
        <w:pStyle w:val="Heading4"/>
      </w:pPr>
      <w:r>
        <w:t>7. Memory Anchor</w:t>
      </w:r>
    </w:p>
    <w:p>
      <w:r>
        <w:rPr>
          <w:b/>
        </w:rPr>
        <w:t>"Arco tried to paper over its debt with a bounced check and a side deal, but the SC ruled that choosing to pay locks in a simple obligation, and you can't substitute a debtor without the creditor's consent."</w:t>
      </w:r>
    </w:p>
    <w:p>
      <w:r>
        <w:rPr>
          <w:i/>
        </w:rPr>
        <w:t>(Mnemonic concept: In Alternative Obligations, tendering a check = choosing the money. Once you choose, you're locked in. And in Novation, a new debtor without the creditor's nod is just a stranger, not a substitute.)</w:t>
      </w:r>
    </w:p>
    <w:p>
      <w:pPr>
        <w:pStyle w:val="Heading2"/>
      </w:pPr>
      <w:r>
        <w:t>Case 5: Consolidated Industrial Gases, Inc. v. Alabang Medical Center (2013) | G.R. No. 181983</w:t>
      </w:r>
    </w:p>
    <w:p>
      <w:pPr>
        <w:pStyle w:val="Heading2"/>
      </w:pPr>
      <w:r>
        <w:t>Consolidated Industrial Gases, Inc. v. Alabang Medical Center (2013) | G.R. No. 181983</w:t>
      </w:r>
    </w:p>
    <w:p>
      <w:r>
        <w:t xml:space="preserve">The jurisprudence established in </w:t>
      </w:r>
      <w:r>
        <w:rPr>
          <w:i/>
        </w:rPr>
        <w:t>Consolidated Industrial Gases, Inc. v. Alabang Medical Center</w:t>
      </w:r>
      <w:r>
        <w:t xml:space="preserve"> serves as a critical exposition of the Civil Code provisions governing reciprocal obligations, particularly the simultaneity rule under Article 1169 and the doctrine of substantial breach under Article 1191. This report synthesizes the factual background, procedural history, and supreme legal doctrines promulgated by the Philippine Supreme Court regarding the accrual of rights to demand performance and the restrictive application of contractual rescission.</w:t>
      </w:r>
    </w:p>
    <w:p>
      <w:pPr>
        <w:pStyle w:val="Heading3"/>
      </w:pPr>
      <w:r>
        <w:t>Key Points</w:t>
      </w:r>
    </w:p>
    <w:p>
      <w:pPr>
        <w:pStyle w:val="ListBullet"/>
      </w:pPr>
      <w:r>
        <w:t xml:space="preserve">  </w:t>
      </w:r>
      <w:r>
        <w:rPr>
          <w:b/>
        </w:rPr>
        <w:t>Reciprocal Obligations:</w:t>
      </w:r>
      <w:r>
        <w:t xml:space="preserve"> Research indicates that in synallagmatic contracts, the performance of one party is inextricably linked to the performance of the other, mandating simultaneous fulfillment unless otherwise stipulated.</w:t>
      </w:r>
    </w:p>
    <w:p>
      <w:pPr>
        <w:pStyle w:val="ListBullet"/>
      </w:pPr>
      <w:r>
        <w:t xml:space="preserve">  </w:t>
      </w:r>
      <w:r>
        <w:rPr>
          <w:b/>
        </w:rPr>
        <w:t>Accrual of Delay:</w:t>
      </w:r>
      <w:r>
        <w:t xml:space="preserve"> It appears well-settled that neither party incurs delay (*mora*) if the other has not faithfully completed their corresponding obligations; delay strictly commences from the moment one party properly fulfills their prestation.</w:t>
      </w:r>
    </w:p>
    <w:p>
      <w:pPr>
        <w:pStyle w:val="ListBullet"/>
      </w:pPr>
      <w:r>
        <w:t xml:space="preserve">  </w:t>
      </w:r>
      <w:r>
        <w:rPr>
          <w:b/>
        </w:rPr>
        <w:t>Threshold for Rescission:</w:t>
      </w:r>
      <w:r>
        <w:t xml:space="preserve"> The evidence strongly leans toward the principle that rescission is an extreme remedy, impermissible for slight or casual breaches. It is reserved exclusively for substantial and fundamental violations that defeat the very object of the agreement.</w:t>
      </w:r>
    </w:p>
    <w:p>
      <w:pPr>
        <w:pStyle w:val="ListBullet"/>
      </w:pPr>
      <w:r>
        <w:t xml:space="preserve">  </w:t>
      </w:r>
      <w:r>
        <w:rPr>
          <w:b/>
        </w:rPr>
        <w:t>Evidentiary Requirements:</w:t>
      </w:r>
      <w:r>
        <w:t xml:space="preserve"> Findings suggest that parties alleging a failure to perform due to the counterparty's lack of cooperation (e.g., failing to provide electrical facilities) must substantiate such claims with concrete evidence to justify their non-performance.</w:t>
      </w:r>
    </w:p>
    <w:p>
      <w:pPr>
        <w:pStyle w:val="Heading3"/>
      </w:pPr>
      <w:r>
        <w:t>Overview of Reciprocal Obligations</w:t>
      </w:r>
    </w:p>
    <w:p>
      <w:r>
        <w:t>Reciprocal obligations are those arising from the identical cause, where each party serves as both a debtor and a creditor to the other. In the realm of construction and installation contracts, this mutuality dictates that the contractor's right to demand payment is directly conditioned upon the complete and functional turnover of the project, while the owner's duty to pay is suspended until such turnover occurs.</w:t>
      </w:r>
    </w:p>
    <w:p>
      <w:pPr>
        <w:pStyle w:val="Heading3"/>
      </w:pPr>
      <w:r>
        <w:t>The Principle of Compensatio Morae</w:t>
      </w:r>
    </w:p>
    <w:p>
      <w:r>
        <w:t xml:space="preserve">In the context of Philippine Civil Law, delay or </w:t>
      </w:r>
      <w:r>
        <w:rPr>
          <w:i/>
        </w:rPr>
        <w:t>mora</w:t>
      </w:r>
      <w:r>
        <w:t xml:space="preserve"> is classified into three distinct categories: </w:t>
      </w:r>
      <w:r>
        <w:rPr>
          <w:i/>
        </w:rPr>
        <w:t>mora solvendi</w:t>
      </w:r>
      <w:r>
        <w:t xml:space="preserve"> (delay of the debtor), </w:t>
      </w:r>
      <w:r>
        <w:rPr>
          <w:i/>
        </w:rPr>
        <w:t>mora accipiendi</w:t>
      </w:r>
      <w:r>
        <w:t xml:space="preserve"> (delay of the creditor), and </w:t>
      </w:r>
      <w:r>
        <w:rPr>
          <w:i/>
        </w:rPr>
        <w:t>compensatio morae</w:t>
      </w:r>
      <w:r>
        <w:t xml:space="preserve"> (delay of both parties in reciprocal obligations). Under </w:t>
      </w:r>
      <w:r>
        <w:rPr>
          <w:i/>
        </w:rPr>
        <w:t>compensatio morae</w:t>
      </w:r>
      <w:r>
        <w:t>, the default of one party neutralizes the default of the other. The Supreme Court's application of this principle ensures that premature demands for specific performance or payment are legally unenforceable, protecting parties from unilateral exploitation.</w:t>
      </w:r>
    </w:p>
    <w:p>
      <w:pPr>
        <w:spacing w:before="120" w:after="120"/>
        <w:pBdr>
          <w:bottom w:val="single" w:sz="4" w:space="1" w:color="CCCCCC"/>
        </w:pBdr>
      </w:pPr>
    </w:p>
    <w:p>
      <w:pPr>
        <w:pStyle w:val="Heading2"/>
      </w:pPr>
      <w:r>
        <w:t>1. The Parties</w:t>
      </w:r>
    </w:p>
    <w:p>
      <w:pPr>
        <w:pStyle w:val="ListBullet"/>
      </w:pPr>
      <w:r/>
      <w:r>
        <w:rPr>
          <w:b/>
        </w:rPr>
        <w:t>Petitioner (CIGI):</w:t>
      </w:r>
      <w:r>
        <w:t xml:space="preserve"> Consolidated Industrial Gases, Inc. (CIGI) is a domestic corporation primarily engaged in the highly specialized business of selling industrial gases and installing centralized medical oxygen and vacuum pipeline systems. Their expertise involves providing essential life-support infrastructure for medical facilities.</w:t>
      </w:r>
    </w:p>
    <w:p>
      <w:pPr>
        <w:pStyle w:val="ListBullet"/>
      </w:pPr>
      <w:r/>
      <w:r>
        <w:rPr>
          <w:b/>
        </w:rPr>
        <w:t>Respondent (Alabang Medical Center):</w:t>
      </w:r>
      <w:r>
        <w:t xml:space="preserve"> Alabang Medical Center (AMC) is a domestic corporation operating a hospital business. As a medical institution, AMC relies on functional, rigorously tested, and secure medical gas systems to ensure patient safety and operational compliance.</w:t>
      </w:r>
    </w:p>
    <w:p>
      <w:pPr>
        <w:pStyle w:val="ListBullet"/>
      </w:pPr>
      <w:r/>
      <w:r>
        <w:rPr>
          <w:b/>
        </w:rPr>
        <w:t>Their relationship:</w:t>
      </w:r>
      <w:r>
        <w:t xml:space="preserve"> The parties entered into a classic contractor-owner relationship governed by a series of installation contracts. CIGI acted as the contractor tasked with supplying labor, materials, and technical commissioning for a medical gas pipeline system, while AMC acted as the project owner obligated to provide site access, utilities, and financial remuneration.</w:t>
      </w:r>
    </w:p>
    <w:p>
      <w:pPr>
        <w:pStyle w:val="Heading2"/>
      </w:pPr>
      <w:r>
        <w:t>2. Background &amp; Facts</w:t>
      </w:r>
    </w:p>
    <w:p>
      <w:r>
        <w:t>The factual matrix of the case spans a multi-phase construction project that ultimately deteriorated into a collection dispute due to incomplete technical turnover.</w:t>
      </w:r>
    </w:p>
    <w:p>
      <w:pPr>
        <w:pStyle w:val="ListBullet"/>
      </w:pPr>
      <w:r>
        <w:t xml:space="preserve">  </w:t>
      </w:r>
      <w:r>
        <w:rPr>
          <w:b/>
        </w:rPr>
        <w:t>Phase 1 Contract:</w:t>
      </w:r>
      <w:r>
        <w:t xml:space="preserve"> On August 14, 1995, CIGI and AMC executed an agreement for "Phase 1" of a centralized medical gas pipeline system covering the hospital’s first, second, and third floors. The contract price was set at ₱9,856,725.18, which AMC faithfully paid in full upon completion.</w:t>
      </w:r>
    </w:p>
    <w:p>
      <w:pPr>
        <w:pStyle w:val="ListBullet"/>
      </w:pPr>
      <w:r>
        <w:t xml:space="preserve">  </w:t>
      </w:r>
      <w:r>
        <w:rPr>
          <w:b/>
        </w:rPr>
        <w:t>Phase 2 Contract:</w:t>
      </w:r>
      <w:r>
        <w:t xml:space="preserve"> Following the success of Phase 1, the parties entered into a subsequent contract on October 3, 1996, for "Phase 2" to extend the pipeline system to the fourth and fifth floors of the medical center.</w:t>
      </w:r>
    </w:p>
    <w:p>
      <w:pPr>
        <w:pStyle w:val="ListBullet"/>
      </w:pPr>
      <w:r>
        <w:t xml:space="preserve">  </w:t>
      </w:r>
      <w:r>
        <w:rPr>
          <w:b/>
        </w:rPr>
        <w:t>Terms of Payment for Phase 2:</w:t>
      </w:r>
      <w:r>
        <w:t xml:space="preserve"> The agreed contract price for Phase 2 was ₱2,267,344.42. AMC tendered a substantial downpayment of ₱1,000,000.00. The remaining balance of ₱1,267,344.42 was explicitly structured to be paid through progress billing, payable within fifteen (15) days from AMC's receipt of the corresponding invoices.</w:t>
      </w:r>
    </w:p>
    <w:p>
      <w:pPr>
        <w:pStyle w:val="ListBullet"/>
      </w:pPr>
      <w:r>
        <w:t xml:space="preserve">  </w:t>
      </w:r>
      <w:r>
        <w:rPr>
          <w:b/>
        </w:rPr>
        <w:t>The Default and Dispute:</w:t>
      </w:r>
      <w:r/>
    </w:p>
    <w:p>
      <w:pPr>
        <w:pStyle w:val="ListBullet"/>
      </w:pPr>
      <w:r>
        <w:t xml:space="preserve">  Despite the installation of the physical pipelines, CIGI failed to conduct critical final steps: pressure drop tests, leak testing, functional test runs, and the mandatory orientation and training seminars for AMC's hospital staff.</w:t>
      </w:r>
    </w:p>
    <w:p>
      <w:pPr>
        <w:pStyle w:val="ListBullet"/>
      </w:pPr>
      <w:r>
        <w:t xml:space="preserve">  CIGI alleged that it was unable to perform the functional test runs because AMC failed to provide the necessary electrical power and water facilities, which AMC was contractually obliged to supply free of charge.</w:t>
      </w:r>
    </w:p>
    <w:p>
      <w:pPr>
        <w:pStyle w:val="ListBullet"/>
      </w:pPr>
      <w:r>
        <w:t xml:space="preserve">  On August 4, 1997, CIGI unilaterally sent a completion billing (Invoice No. 125847) demanding the unpaid balance of ₱1,267,344.42.</w:t>
      </w:r>
    </w:p>
    <w:p>
      <w:pPr>
        <w:pStyle w:val="ListBullet"/>
      </w:pPr>
      <w:r>
        <w:t xml:space="preserve">  AMC subsequently received a formal demand letter on January 7, 1998, but adamantly refused to pay, arguing that the system was neither complete nor safely functional without the required tests and staff orientation.</w:t>
      </w:r>
    </w:p>
    <w:p>
      <w:pPr>
        <w:pStyle w:val="ListBullet"/>
      </w:pPr>
      <w:r>
        <w:t xml:space="preserve">  </w:t>
      </w:r>
      <w:r>
        <w:rPr>
          <w:b/>
        </w:rPr>
        <w:t>Procedural Timeline:</w:t>
      </w:r>
      <w:r/>
    </w:p>
    <w:p>
      <w:pPr>
        <w:pStyle w:val="ListBullet"/>
      </w:pPr>
      <w:r>
        <w:t xml:space="preserve">  *September 15, 1998:* CIGI initiated a collection suit against AMC before the Regional Trial Court (RTC). AMC filed a counterclaim demanding rescission, refund of the ₱1,000,000.00 partial payment, and actual damages representing interest on loans they took to fund the project.</w:t>
      </w:r>
    </w:p>
    <w:p>
      <w:pPr>
        <w:pStyle w:val="ListBullet"/>
      </w:pPr>
      <w:r>
        <w:t xml:space="preserve">  *June 30, 2004:* The RTC rendered a decision in favor of CIGI, concluding that CIGI had substantially complied with its obligations and adjudging AMC as the defaulting party for withholding payment. The RTC ordered AMC to pay the balance plus legal interest and dismissed AMC's counterclaims.</w:t>
      </w:r>
    </w:p>
    <w:p>
      <w:pPr>
        <w:pStyle w:val="ListBullet"/>
      </w:pPr>
      <w:r>
        <w:t xml:space="preserve">  *September 14, 2007 (Amended March 4, 2008):* The Court of Appeals (CA) reversed the RTC's findings. The CA determined that CIGI breached the contract by failing to deliver a complete, functional system. The CA ordered CIGI to correct defects and turn over the system within sixty (60) days, after which AMC would simultaneously pay the balance. Crucially, the CA ruled that if CIGI failed to comply within the 60-day period, the contract would be rescinded, and CIGI would have to refund the payments.</w:t>
      </w:r>
    </w:p>
    <w:p>
      <w:pPr>
        <w:pStyle w:val="Heading2"/>
      </w:pPr>
      <w:r>
        <w:t>3. The Contract or Obligation</w:t>
      </w:r>
    </w:p>
    <w:p>
      <w:r>
        <w:t xml:space="preserve">The juridical tie between CIGI and AMC is characterized as a </w:t>
      </w:r>
      <w:r>
        <w:rPr>
          <w:b/>
        </w:rPr>
        <w:t>reciprocal obligation</w:t>
      </w:r>
      <w:r>
        <w:t xml:space="preserve"> under Philippine civil law. Reciprocal obligations are defined as those arising from the same cause, wherein each party is simultaneously a debtor and a creditor to the other, making the obligation of one entirely dependent upon the obligation of the other.</w:t>
      </w:r>
    </w:p>
    <w:p>
      <w:pPr>
        <w:pStyle w:val="ListBullet"/>
      </w:pPr>
      <w:r>
        <w:t xml:space="preserve">  </w:t>
      </w:r>
      <w:r>
        <w:rPr>
          <w:b/>
        </w:rPr>
        <w:t>Mutual Obligations:</w:t>
      </w:r>
      <w:r/>
    </w:p>
    <w:p>
      <w:pPr>
        <w:pStyle w:val="ListBullet"/>
      </w:pPr>
      <w:r>
        <w:t xml:space="preserve">  *CIGI's Prestations (Obligations to Do and to Give):* CIGI was contractually bound to supply labor and materials, execute the physical installation, conduct pressure drop and leak testing, perform functional test runs, carry out painting and color-coding, and comprehensively orient, train, and commission AMC's employees before executing a formal turnover of the system.</w:t>
      </w:r>
    </w:p>
    <w:p>
      <w:pPr>
        <w:pStyle w:val="ListBullet"/>
      </w:pPr>
      <w:r>
        <w:t xml:space="preserve">  *AMC's Prestations (Obligations to Give and to Do):* AMC was bound to pay the total contract price of ₱2,267,344.42. Additionally, under the Phase 2 contract, AMC was expressly required to allow CIGI personnel unhindered access and the use of existing water and electrical power facilities free of charge to facilitate the testing phases.</w:t>
      </w:r>
    </w:p>
    <w:p>
      <w:pPr>
        <w:pStyle w:val="ListBullet"/>
      </w:pPr>
      <w:r>
        <w:t xml:space="preserve">  </w:t>
      </w:r>
      <w:r>
        <w:rPr>
          <w:b/>
        </w:rPr>
        <w:t>Conditions for Performance (The Simultaneity Rule):</w:t>
      </w:r>
      <w:r>
        <w:t xml:space="preserve"> In synallagmatic agreements like this, performance is inherently simultaneous. CIGI's right to demand the remaining balance of the contract price was implicitly and legally conditioned upon its complete and faithful turnover of a fully tested and functional medical gas system.</w:t>
      </w:r>
    </w:p>
    <w:p>
      <w:pPr>
        <w:pStyle w:val="ListBullet"/>
      </w:pPr>
      <w:r>
        <w:t xml:space="preserve">  </w:t>
      </w:r>
      <w:r>
        <w:rPr>
          <w:b/>
        </w:rPr>
        <w:t>Impact of Partial Performance:</w:t>
      </w:r>
      <w:r>
        <w:t xml:space="preserve"> Both parties performed partially. CIGI completed the physical installation of the pipes but omitted the testing and training phases. AMC paid a substantial ₱1,000,000.00 downpayment but withheld the ₱1,267,344.42 balance. Under Article 1248 of the Civil Code, a creditor cannot be compelled to accept partial performance absent a stipulation. CIGI’s partial performance did not trigger AMC’s obligation to pay the final balance; AMC possessed a valid legal right to suspend its payment until CIGI completed the specialized testing and training required to make the system safely operational.</w:t>
      </w:r>
    </w:p>
    <w:p>
      <w:pPr>
        <w:pStyle w:val="Heading2"/>
      </w:pPr>
      <w:r>
        <w:t>4. Legal Issues Raised</w:t>
      </w:r>
    </w:p>
    <w:p>
      <w:r>
        <w:t>The controversy brought before the Supreme Court required the resolution of several intertwined questions of law and fact regarding contractual breach:</w:t>
      </w:r>
    </w:p>
    <w:p>
      <w:r>
        <w:t xml:space="preserve">1.  </w:t>
      </w:r>
      <w:r>
        <w:rPr>
          <w:b/>
        </w:rPr>
        <w:t>Propriety of Demand and Accrual of Delay:</w:t>
      </w:r>
      <w:r>
        <w:t xml:space="preserve"> Was CIGI's demand for the payment of the ₱1,267,344.42 balance legally proper at the time it was made, and consequently, was AMC in default for refusing to pay?</w:t>
      </w:r>
    </w:p>
    <w:p>
      <w:r>
        <w:t xml:space="preserve">2.  </w:t>
      </w:r>
      <w:r>
        <w:rPr>
          <w:b/>
        </w:rPr>
        <w:t>Excuse for Non-Performance:</w:t>
      </w:r>
      <w:r>
        <w:t xml:space="preserve"> Was CIGI legally justified in failing to conduct the test runs and employee seminars on the premise that AMC allegedly failed to provide the necessary electrical facilities?</w:t>
      </w:r>
    </w:p>
    <w:p>
      <w:r>
        <w:t xml:space="preserve">3.  </w:t>
      </w:r>
      <w:r>
        <w:rPr>
          <w:b/>
        </w:rPr>
        <w:t>Right to Rescind:</w:t>
      </w:r>
      <w:r>
        <w:t xml:space="preserve"> Did CIGI's failure to conduct the final test runs and orientation constitute a substantial and fundamental breach of the installation contract sufficient to warrant the remedy of rescission under Article 1191 of the Civil Code, as threatened by the Court of Appeals?</w:t>
      </w:r>
    </w:p>
    <w:p>
      <w:r>
        <w:t xml:space="preserve">4.  </w:t>
      </w:r>
      <w:r>
        <w:rPr>
          <w:b/>
        </w:rPr>
        <w:t>Entitlement to Damages:</w:t>
      </w:r>
      <w:r>
        <w:t xml:space="preserve"> Was AMC entitled to actual or compensatory damages (specifically, interest incurred on bank loans) resulting from CIGI's delay in turning over the project?</w:t>
      </w:r>
    </w:p>
    <w:p>
      <w:pPr>
        <w:pStyle w:val="Heading2"/>
      </w:pPr>
      <w:r>
        <w:t>5. Supreme Court Ruling</w:t>
      </w:r>
    </w:p>
    <w:p>
      <w:r>
        <w:t>The Supreme Court partially granted CIGI's petition, setting aside the Amended Decision of the Court of Appeals, and laid down the following definitive rulings:</w:t>
      </w:r>
    </w:p>
    <w:p>
      <w:pPr>
        <w:pStyle w:val="ListBullet"/>
      </w:pPr>
      <w:r>
        <w:t xml:space="preserve">  </w:t>
      </w:r>
      <w:r>
        <w:rPr>
          <w:b/>
        </w:rPr>
        <w:t>On the Accrual of the Right to Demand Payment (Delay):</w:t>
      </w:r>
      <w:r>
        <w:t xml:space="preserve"> The Court categorically ruled that CIGI's demand for payment was </w:t>
      </w:r>
      <w:r>
        <w:rPr>
          <w:b/>
        </w:rPr>
        <w:t>premature and not proper</w:t>
      </w:r>
      <w:r>
        <w:t>. Because CIGI had not faithfully complied with all its obligations—having explicitly admitted to bypassing the pressure tests, test runs, and staff orientation—it possessed no legal right to unilaterally demand the correlative performance (payment) from AMC. AMC was rightfully justified in withholding the balance.</w:t>
      </w:r>
    </w:p>
    <w:p>
      <w:pPr>
        <w:pStyle w:val="ListBullet"/>
      </w:pPr>
      <w:r>
        <w:t xml:space="preserve">  </w:t>
      </w:r>
      <w:r>
        <w:rPr>
          <w:b/>
        </w:rPr>
        <w:t>On the Excuse of Non-Performance:</w:t>
      </w:r>
      <w:r>
        <w:t xml:space="preserve"> The Court rejected CIGI's defense regarding the lack of electricity. CIGI failed to present substantial evidence proving that it had formally requested access to AMC's electrical facilities to conduct the necessary tests. Without proof of such a request and a corresponding refusal by AMC, CIGI's omission was deemed legally unjustified.</w:t>
      </w:r>
    </w:p>
    <w:p>
      <w:pPr>
        <w:pStyle w:val="ListBullet"/>
      </w:pPr>
      <w:r>
        <w:t xml:space="preserve">  </w:t>
      </w:r>
      <w:r>
        <w:rPr>
          <w:b/>
        </w:rPr>
        <w:t>On the Accrual of the Right to Rescind:</w:t>
      </w:r>
      <w:r>
        <w:t xml:space="preserve"> Reversing the CA's position on rescission, the Supreme Court held that CIGI's breach did not justify rescinding the contract. The failure to conduct test runs and seminars, while a breach, was considered a "slight or casual breach" rather than a substantial and fundamental violation. The pipeline infrastructure was already successfully installed; the remaining tasks did not defeat the ultimate object of the agreement. Furthermore, AMC's claims that the installed parts were defective could not be empirically verified until the system was actually powered and tested.</w:t>
      </w:r>
    </w:p>
    <w:p>
      <w:pPr>
        <w:pStyle w:val="ListBullet"/>
      </w:pPr>
      <w:r>
        <w:t xml:space="preserve">  </w:t>
      </w:r>
      <w:r>
        <w:rPr>
          <w:b/>
        </w:rPr>
        <w:t>On Damages and Disposition:</w:t>
      </w:r>
      <w:r>
        <w:t xml:space="preserve"> The Court ruled that AMC was not entitled to actual damages representing interest on its loans, as it failed to prove a direct, causal correlation between the loan charges and CIGI's failure to complete the project with reasonable certainty. The award of attorney's fees to AMC was also deleted.</w:t>
      </w:r>
    </w:p>
    <w:p>
      <w:pPr>
        <w:pStyle w:val="ListBullet"/>
      </w:pPr>
      <w:r>
        <w:t xml:space="preserve">  </w:t>
      </w:r>
      <w:r>
        <w:rPr>
          <w:b/>
        </w:rPr>
        <w:t>Final Order (Specific Performance):</w:t>
      </w:r>
      <w:r>
        <w:t xml:space="preserve"> Instead of rescission, the Court mandated mutual specific performance. CIGI was ordered to faithfully complete the pressure testing, test runs, painting, and employee training within sixty (60) days. AMC was strictly ordered to provide free access to electrical and water facilities for these purposes. Crucially, AMC was ordered to pay the remaining balance of ₱1,267,344.42 </w:t>
      </w:r>
      <w:r>
        <w:rPr>
          <w:b/>
        </w:rPr>
        <w:t>simultaneously</w:t>
      </w:r>
      <w:r>
        <w:t xml:space="preserve"> with CIGI's formal turnover of the fully functional system.</w:t>
      </w:r>
    </w:p>
    <w:p>
      <w:pPr>
        <w:pStyle w:val="Heading2"/>
      </w:pPr>
      <w:r>
        <w:t>6. Key Doctrine / Civil Code Hook</w:t>
      </w:r>
    </w:p>
    <w:p>
      <w:r>
        <w:t>This case serves as a seminal textbook illustration for the interplay between two foundational Civil Code provisions concerning reciprocal obligations: Article 1169 (on delay) and Article 1191 (on rescission).</w:t>
      </w:r>
    </w:p>
    <w:p>
      <w:pPr>
        <w:pStyle w:val="Heading3"/>
      </w:pPr>
      <w:r>
        <w:t>Article 1169: The Simultaneity Rule and Compensatio Morae</w:t>
      </w:r>
    </w:p>
    <w:p>
      <w:r>
        <w:t>Article 1169 of the Civil Code explicitly declares:</w:t>
      </w:r>
    </w:p>
    <w:p>
      <w:pPr>
        <w:ind w:left="567"/>
      </w:pPr>
      <w:r>
        <w:rPr>
          <w:i/>
          <w:color w:val="555555"/>
        </w:rPr>
        <w:t>*"In reciprocal obligations, neither party incurs in delay if the other does not comply or is not ready to comply in a proper manner with what is incumbent upon him. From the moment one of the parties fulfills his obligation, delay by the other begins."*</w:t>
      </w:r>
    </w:p>
    <w:p>
      <w:r>
        <w:t>```markdown</w:t>
      </w:r>
    </w:p>
    <w:p>
      <w:r>
        <w:t>Legal Equation for Delay in Reciprocal Contracts:</w:t>
      </w:r>
    </w:p>
    <w:p>
      <w:r>
        <w:t>Party A's Default = Party B's Complete &amp; Proper Performance + Party A's Non-Performance</w:t>
      </w:r>
    </w:p>
    <w:p>
      <w:r>
        <w:t>```</w:t>
      </w:r>
    </w:p>
    <w:p>
      <w:r>
        <w:t>The Supreme Court utilized this case to clarify that sending a progress billing invoice or a demand letter does not automatically place the other party in default (</w:t>
      </w:r>
      <w:r>
        <w:rPr>
          <w:i/>
        </w:rPr>
        <w:t>mora solvendi</w:t>
      </w:r>
      <w:r>
        <w:t>). In synallagmatic agreements, the prerequisite to demanding performance is the complainant's own flawless compliance. The Court elucidated that CIGI could not unilaterally invoke AMC's delay because CIGI itself was not ready to deliver the completed project "in a proper manner". Thus, partial performance (installing the pipes but skipping the life-safety tests and training) suspends the accrual of the right to demand counter-performance.</w:t>
      </w:r>
    </w:p>
    <w:p>
      <w:pPr>
        <w:pStyle w:val="Heading3"/>
      </w:pPr>
      <w:r>
        <w:t>Article 1191: The Doctrine of Substantial Breach</w:t>
      </w:r>
    </w:p>
    <w:p>
      <w:r>
        <w:t>Article 1191 provides the implied power to rescind obligations in case one obligor fails to comply with what is incumbent upon them. However, jurisprudence has heavily qualified this statutory right.</w:t>
      </w:r>
    </w:p>
    <w:p>
      <w:r>
        <w:t>The Court reiterated the established doctrine that:</w:t>
      </w:r>
    </w:p>
    <w:p>
      <w:pPr>
        <w:ind w:left="567"/>
      </w:pPr>
      <w:r>
        <w:rPr>
          <w:i/>
          <w:color w:val="555555"/>
        </w:rPr>
        <w:t>*"Rescission of a contract will not be permitted for a slight or casual breach, but only for such substantial and fundamental violations as would defeat the very object of the parties in making the agreement."*</w:t>
      </w:r>
    </w:p>
    <w:p>
      <w:r>
        <w:t>This ruling clarifies the threshold of rescission in construction and installation disputes. Even if a contractor abandons the final testing phases of a project, if the bulk of the capital infrastructure (the physical pipelines) has been delivered and installed, the breach is deemed "casual" rather than "fundamental". Economic waste and unjust enrichment principles actively prevent the destruction of a contract where specific performance (simply finishing the testing and training) can adequately cure the defect and restore the equilibrium of the reciprocal obligations.</w:t>
      </w:r>
    </w:p>
    <w:p>
      <w:pPr>
        <w:pStyle w:val="Heading3"/>
      </w:pPr>
      <w:r>
        <w:t>Damages Must Be Proven</w:t>
      </w:r>
    </w:p>
    <w:p>
      <w:r>
        <w:t>Furthermore, touching upon Article 2199 and Article 2201, the Court reinforced the evidentiary standard for actual or compensatory damages. A party cannot recover damages based on speculation or guesswork; the financial loss (e.g., bank loan interests) must be the natural and probable consequence of the breach and proven with a reasonable degree of certainty.</w:t>
      </w:r>
    </w:p>
    <w:p>
      <w:pPr>
        <w:pStyle w:val="Heading2"/>
      </w:pPr>
      <w:r>
        <w:t>7. Memory Anchor</w:t>
      </w:r>
    </w:p>
    <w:p>
      <w:r>
        <w:rPr>
          <w:b/>
        </w:rPr>
        <w:t>The "No Test, No Pay" Pipeline Rule:</w:t>
      </w:r>
    </w:p>
    <w:p>
      <w:r>
        <w:rPr>
          <w:i/>
        </w:rPr>
        <w:t>Imagine a hospital pipeline filled with oxygen: if the contractor hasn't turned the valve to test it and taught the nurses how to use it, they can't ask for the final paycheck.</w:t>
      </w:r>
    </w:p>
    <w:p>
      <w:r>
        <w:rPr>
          <w:b/>
        </w:rPr>
        <w:t>Legal Hook:</w:t>
      </w:r>
      <w:r>
        <w:t xml:space="preserve"> Under Art. 1169 (Reciprocal Obligations), your right to demand payment only breathes life the moment your performance is 100% complete and proper; and under Art. 1191, a missing test run is just a "slight leak" (casual breach) that requires fixing, not a reason to blow up (rescind) the entire contract.</w:t>
      </w:r>
    </w:p>
    <w:p>
      <w:pPr>
        <w:pStyle w:val="Heading2"/>
      </w:pPr>
      <w:r>
        <w:t>Case 6: Esico v. Alphaland Corporation (2021) | G.R. No. 216716</w:t>
      </w:r>
    </w:p>
    <w:p>
      <w:pPr>
        <w:pStyle w:val="Heading2"/>
      </w:pPr>
      <w:r>
        <w:t>Case Study and Legal Analysis: Esico v. Alphaland Corporation (2021)</w:t>
      </w:r>
    </w:p>
    <w:p>
      <w:r>
        <w:t xml:space="preserve">This comprehensive report provides an exhaustive examination of the landmark Philippine Supreme Court decision in </w:t>
      </w:r>
      <w:r>
        <w:rPr>
          <w:i/>
        </w:rPr>
        <w:t>Esico v. Alphaland Corporation</w:t>
      </w:r>
      <w:r>
        <w:t>, G.R. No. 216716, promulgated on November 17, 2021. The case presents a critical intersection between labor law and civil law, specifically addressing the jurisdictional boundaries of labor tribunals and the application of civil-law principles—such as reciprocal obligations and rescission under Article 1191 of the Civil Code—within the context of employment-related contracts.</w:t>
      </w:r>
    </w:p>
    <w:p>
      <w:r>
        <w:rPr>
          <w:b/>
        </w:rPr>
        <w:t>Key Points</w:t>
      </w:r>
    </w:p>
    <w:p>
      <w:pPr>
        <w:pStyle w:val="ListBullet"/>
      </w:pPr>
      <w:r>
        <w:t xml:space="preserve">  </w:t>
      </w:r>
      <w:r>
        <w:rPr>
          <w:b/>
        </w:rPr>
        <w:t>Jurisdictional Boundary:</w:t>
      </w:r>
      <w:r>
        <w:t xml:space="preserve"> Research indicates that the Supreme Court firmly reiterated the "reasonable causal connection" rule. While an employee's claim for unpaid wages is a purely labor dispute, an employer's claim for damages arising from a post-employment breach of a training reimbursement clause is fundamentally a civil law matter cognizable by regular courts.</w:t>
      </w:r>
    </w:p>
    <w:p>
      <w:pPr>
        <w:pStyle w:val="ListBullet"/>
      </w:pPr>
      <w:r>
        <w:t xml:space="preserve">  </w:t>
      </w:r>
      <w:r>
        <w:rPr>
          <w:b/>
        </w:rPr>
        <w:t>Article 1191 Application:</w:t>
      </w:r>
      <w:r>
        <w:t xml:space="preserve"> The evidence strongly supports the application of Article 1191 of the Civil Code to employment bonds. A minimum service requirement coupled with a pro-rated reimbursement clause creates alternative obligations and a tacit resolutory condition, the enforcement of which requires the interpretation of civil law rather than the Labor Code.</w:t>
      </w:r>
    </w:p>
    <w:p>
      <w:pPr>
        <w:pStyle w:val="ListBullet"/>
      </w:pPr>
      <w:r>
        <w:t xml:space="preserve">  </w:t>
      </w:r>
      <w:r>
        <w:rPr>
          <w:b/>
        </w:rPr>
        <w:t>Constructive Dismissal:</w:t>
      </w:r>
      <w:r>
        <w:t xml:space="preserve"> The Court found that subjective dissatisfaction, unsupported by overt acts of the employer rendering continued employment impossible or intolerable, does not amount to constructive dismissal.</w:t>
      </w:r>
    </w:p>
    <w:p>
      <w:pPr>
        <w:pStyle w:val="ListBullet"/>
      </w:pPr>
      <w:r>
        <w:t xml:space="preserve">  </w:t>
      </w:r>
      <w:r>
        <w:rPr>
          <w:b/>
        </w:rPr>
        <w:t>Corporate Veil:</w:t>
      </w:r>
      <w:r>
        <w:t xml:space="preserve"> In cases of profound contractual ambiguity regarding compensation among related entities within a corporate group, the corporate veil may be pierced to prevent injustice and ensure the worker is duly compensated for services rendered.</w:t>
      </w:r>
    </w:p>
    <w:p>
      <w:r>
        <w:rPr>
          <w:b/>
        </w:rPr>
        <w:t>Understanding the Dispute</w:t>
      </w:r>
    </w:p>
    <w:p>
      <w:r>
        <w:t>The controversy originated when a highly decorated former military pilot was hired by a group of companies to perform dual roles—security management and executive aviation. A pivotal component of his engagement was an agreement wherein the employer funded specialized flight training in exchange for a mandatory five-year minimum service period. When the employment relationship deteriorated leading to the pilot's resignation after only two years, dual complaints were filed: the pilot sued for constructive dismissal and unpaid wages before the labor arbiter, while the employer countersued for the reimbursement of the training expenses based on the breached contract.</w:t>
      </w:r>
    </w:p>
    <w:p>
      <w:r>
        <w:rPr>
          <w:b/>
        </w:rPr>
        <w:t>The Core Legal Conflict</w:t>
      </w:r>
    </w:p>
    <w:p>
      <w:r>
        <w:t>The primary legal conflict centers on forum and jurisdiction. Does a labor tribunal possess the authority to enforce a contractual penalty clause requiring the reimbursement of training expenses? The Supreme Court answered in the negative. Because resolving the employer's claim inherently required the application of civil law concepts—specifically alternative obligations and the power to rescind reciprocal obligations under Article 1191 of the Civil Code—the dispute transcended the limited jurisdiction of labor courts.</w:t>
      </w:r>
    </w:p>
    <w:p>
      <w:pPr>
        <w:spacing w:before="120" w:after="120"/>
        <w:pBdr>
          <w:bottom w:val="single" w:sz="4" w:space="1" w:color="CCCCCC"/>
        </w:pBdr>
      </w:pPr>
    </w:p>
    <w:p>
      <w:pPr>
        <w:pStyle w:val="Heading3"/>
      </w:pPr>
      <w:r>
        <w:t>Esico v. Alphaland Corporation (2021) | G.R. No. 216716</w:t>
      </w:r>
    </w:p>
    <w:p>
      <w:pPr>
        <w:pStyle w:val="Heading4"/>
      </w:pPr>
      <w:r>
        <w:t>1. The Parties</w:t>
      </w:r>
    </w:p>
    <w:p>
      <w:pPr>
        <w:pStyle w:val="ListBullet"/>
      </w:pPr>
      <w:r/>
      <w:r>
        <w:rPr>
          <w:b/>
        </w:rPr>
        <w:t>Petitioner (Esico):</w:t>
      </w:r>
      <w:r>
        <w:t xml:space="preserve"> Jose Edwin G. Esico is a well-decorated former officer and retired Lieutenant Colonel of the Philippine Air Force. He is a highly skilled professional licensed to fly both fixed-wing and rotary-wing (helicopter) civilian aircraft. At the time of his engagement, he had also just topped the Certified Security Professional Examinations, making him uniquely qualified for dual roles in aviation and corporate security.</w:t>
      </w:r>
    </w:p>
    <w:p>
      <w:pPr>
        <w:pStyle w:val="ListBullet"/>
      </w:pPr>
      <w:r/>
      <w:r>
        <w:rPr>
          <w:b/>
        </w:rPr>
        <w:t>Respondent (Alphaland Corporation):</w:t>
      </w:r>
      <w:r>
        <w:t xml:space="preserve"> Alphaland Corporation (AC) and Alphaland Development, Inc. (ADI) (collectively, "Alphaland") are related corporate entities primarily involved in high-end real estate development and hospitality in the Philippines. The dispute also involved PhilWeb Corporation (PhilWeb), another entity within the same group of companies owned or chaired by Roberto V. Ongpin.</w:t>
      </w:r>
    </w:p>
    <w:p>
      <w:pPr>
        <w:pStyle w:val="ListBullet"/>
      </w:pPr>
      <w:r/>
      <w:r>
        <w:rPr>
          <w:b/>
        </w:rPr>
        <w:t>Their relationship:</w:t>
      </w:r>
      <w:r>
        <w:t xml:space="preserve"> The relationship was primarily an </w:t>
      </w:r>
      <w:r>
        <w:rPr>
          <w:b/>
        </w:rPr>
        <w:t>employer-employee relationship</w:t>
      </w:r>
      <w:r>
        <w:t xml:space="preserve">, but it was governed by multiple, overlapping employment and service contracts that also incorporated </w:t>
      </w:r>
      <w:r>
        <w:rPr>
          <w:b/>
        </w:rPr>
        <w:t>civil-law obligations</w:t>
      </w:r>
      <w:r>
        <w:t>. PhilWeb initially hired Esico as a Risk &amp; Security Management Officer (RSMO). Concurrently, Alphaland engaged him as a rotary-wing pilot assigned to fly the corporate chairperson. This dual-role engagement included a specialized training bond, which acted as a civil-law contract for advanced specialized training attached to his employment.</w:t>
      </w:r>
    </w:p>
    <w:p>
      <w:pPr>
        <w:pStyle w:val="Heading4"/>
      </w:pPr>
      <w:r>
        <w:t>2. Background &amp; Facts</w:t>
      </w:r>
    </w:p>
    <w:p>
      <w:pPr>
        <w:pStyle w:val="ListBullet"/>
      </w:pPr>
      <w:r/>
      <w:r>
        <w:rPr>
          <w:b/>
        </w:rPr>
        <w:t>What agreement did the parties enter into?</w:t>
      </w:r>
      <w:r/>
    </w:p>
    <w:p>
      <w:r>
        <w:t>On March 19, 2010, PhilWeb offered Esico the position of RSMO. Subsequently, on April 19, 2010, Alphaland issued an engagement letter hiring him concurrently as a helicopter pilot. A crucial component of this April 19 agreement was a training bond: Alphaland agreed to advance the expenses necessary to send Esico to the United States for ground and flight course training (specifically for the Eurocopter EC-130 B4 and later a Cessna Grand Caravan 208B, totaling nearly P1 million).</w:t>
      </w:r>
    </w:p>
    <w:p>
      <w:pPr>
        <w:pStyle w:val="ListBullet"/>
      </w:pPr>
      <w:r/>
      <w:r>
        <w:rPr>
          <w:b/>
        </w:rPr>
        <w:t>What did each party agree to perform?</w:t>
      </w:r>
      <w:r/>
    </w:p>
    <w:p>
      <w:pPr>
        <w:pStyle w:val="ListBullet"/>
      </w:pPr>
      <w:r>
        <w:t>*Alphaland/PhilWeb* agreed to employ Esico, pay his compensation (which later became a source of ambiguity regarding whether it was a single package or separate salaries for dual roles), and fund his specialized aviation training.</w:t>
      </w:r>
    </w:p>
    <w:p>
      <w:pPr>
        <w:pStyle w:val="ListBullet"/>
      </w:pPr>
      <w:r>
        <w:t xml:space="preserve">*Esico* agreed to perform the duties of both RSMO and executive pilot. Crucially, as a reciprocal obligation for the funded training, he agreed to a "lock-in" period: he committed to rendering service to the company for a </w:t>
      </w:r>
      <w:r>
        <w:rPr>
          <w:b/>
        </w:rPr>
        <w:t>minimum period of five years</w:t>
      </w:r>
      <w:r>
        <w:t>.</w:t>
      </w:r>
    </w:p>
    <w:p>
      <w:pPr>
        <w:pStyle w:val="ListBullet"/>
      </w:pPr>
      <w:r>
        <w:t>*The Penalty Clause:* The contract stipulated that should Esico fail to complete the minimum five years of service (e.g., via voluntary resignation), he was obligated to reimburse the company for the training expenses, subject to a proportionate reduction equivalent to 5% per completed quarter of actual service.</w:t>
      </w:r>
    </w:p>
    <w:p>
      <w:pPr>
        <w:pStyle w:val="ListBullet"/>
      </w:pPr>
      <w:r/>
      <w:r>
        <w:rPr>
          <w:b/>
        </w:rPr>
        <w:t>What went wrong — who breached, how, and when?</w:t>
      </w:r>
      <w:r/>
    </w:p>
    <w:p>
      <w:r>
        <w:t xml:space="preserve">The relationship soured over the course of two years due to unresolved compensation issues, lack of clarity regarding which corporate entity was actually employing and paying him, and alleged safety concerns. Esico claimed he was subjected to insults by a company officer and that the company failed to provide him with mandatory recurrent flight training, compromising flight safety. Consequently, on </w:t>
      </w:r>
      <w:r>
        <w:rPr>
          <w:b/>
        </w:rPr>
        <w:t>July 3, 2012</w:t>
      </w:r>
      <w:r>
        <w:t>, slightly over two years into the five-year bond, Esico tendered his resignation. Alphaland viewed this early resignation as a breach of the minimum service agreement and subsequently demanded reimbursement of P977,720 for the unserved portion of the training bond.</w:t>
      </w:r>
    </w:p>
    <w:p>
      <w:pPr>
        <w:pStyle w:val="ListBullet"/>
      </w:pPr>
      <w:r/>
      <w:r>
        <w:rPr>
          <w:b/>
        </w:rPr>
        <w:t>What forum did Esico first go to, and why was that an issue?</w:t>
      </w:r>
      <w:r/>
    </w:p>
    <w:p>
      <w:r>
        <w:t xml:space="preserve">On July 19, 2012, Esico filed a complaint for </w:t>
      </w:r>
      <w:r>
        <w:rPr>
          <w:b/>
        </w:rPr>
        <w:t>illegal (constructive) dismissal</w:t>
      </w:r>
      <w:r>
        <w:t xml:space="preserve"> and money claims before the Labor Arbiter of the National Labor Relations Commission (NLRC). In retaliation, on August 2, 2012, Alphaland filed its own complaint before the NLRC for </w:t>
      </w:r>
      <w:r>
        <w:rPr>
          <w:b/>
        </w:rPr>
        <w:t>"wrongful resignation and damages,"</w:t>
      </w:r>
      <w:r>
        <w:t xml:space="preserve"> seeking to enforce the training reimbursement clause. This created a profound jurisdictional issue: while the NLRC has exclusive original jurisdiction over illegal dismissal and unpaid wages (labor disputes), it does </w:t>
      </w:r>
      <w:r>
        <w:rPr>
          <w:i/>
        </w:rPr>
        <w:t>not</w:t>
      </w:r>
      <w:r>
        <w:t xml:space="preserve"> have jurisdiction over claims for damages arising from a breach of a civil contract (the training bond), even if the parties are employer and employee.</w:t>
      </w:r>
    </w:p>
    <w:p>
      <w:pPr>
        <w:pStyle w:val="ListBullet"/>
      </w:pPr>
      <w:r/>
      <w:r>
        <w:rPr>
          <w:b/>
        </w:rPr>
        <w:t>Timeline of key events:</w:t>
      </w:r>
      <w:r/>
    </w:p>
    <w:p>
      <w:pPr>
        <w:pStyle w:val="ListBullet"/>
      </w:pPr>
      <w:r>
        <w:t>*March 19, 2010:* PhilWeb offers Esico the RSMO position.</w:t>
      </w:r>
    </w:p>
    <w:p>
      <w:pPr>
        <w:pStyle w:val="ListBullet"/>
      </w:pPr>
      <w:r>
        <w:t>*April 19, 2010:* Alphaland engages Esico as a pilot with the 5-year training bond agreement.</w:t>
      </w:r>
    </w:p>
    <w:p>
      <w:pPr>
        <w:pStyle w:val="ListBullet"/>
      </w:pPr>
      <w:r>
        <w:t>*May 2011:* Esico undergoes further Cessna flight training in the US.</w:t>
      </w:r>
    </w:p>
    <w:p>
      <w:pPr>
        <w:pStyle w:val="ListBullet"/>
      </w:pPr>
      <w:r>
        <w:t>*December 1, 2011:* Esico's payroll is confusingly transferred from PhilWeb to Alphaland.</w:t>
      </w:r>
    </w:p>
    <w:p>
      <w:pPr>
        <w:pStyle w:val="ListBullet"/>
      </w:pPr>
      <w:r>
        <w:t>*June 2012:* Disputes escalate over flight safety, lack of recurrent training, and unpaid compensation for the dual roles.</w:t>
      </w:r>
    </w:p>
    <w:p>
      <w:pPr>
        <w:pStyle w:val="ListBullet"/>
      </w:pPr>
      <w:r>
        <w:t>*July 3, 2012:* Esico formally resigns.</w:t>
      </w:r>
    </w:p>
    <w:p>
      <w:pPr>
        <w:pStyle w:val="ListBullet"/>
      </w:pPr>
      <w:r>
        <w:t>*July 16, 2012:* Alphaland issues a demand letter for P977,720 in training reimbursements.</w:t>
      </w:r>
    </w:p>
    <w:p>
      <w:pPr>
        <w:pStyle w:val="ListBullet"/>
      </w:pPr>
      <w:r>
        <w:t>*July 19, 2012:* Esico files for constructive dismissal at the NLRC.</w:t>
      </w:r>
    </w:p>
    <w:p>
      <w:pPr>
        <w:pStyle w:val="ListBullet"/>
      </w:pPr>
      <w:r>
        <w:t>*August 2, 2012:* Alphaland files its complaint for damages and reimbursement at the NLRC.</w:t>
      </w:r>
    </w:p>
    <w:p>
      <w:pPr>
        <w:pStyle w:val="Heading4"/>
      </w:pPr>
      <w:r>
        <w:t>3. The Contract or Obligation</w:t>
      </w:r>
    </w:p>
    <w:p>
      <w:pPr>
        <w:pStyle w:val="ListBullet"/>
      </w:pPr>
      <w:r/>
      <w:r>
        <w:rPr>
          <w:b/>
        </w:rPr>
        <w:t>What was the nature of the contract — employment vs. civil-law service agreement?</w:t>
      </w:r>
      <w:r/>
    </w:p>
    <w:p>
      <w:r>
        <w:t xml:space="preserve">The arrangement was hybrid in nature. The core relationship was an employment contract governed by the Labor Code (dictating hours, core duties, and termination protocols). However, the April 19, 2010 agreement regarding the advanced training expenses functioned as a </w:t>
      </w:r>
      <w:r>
        <w:rPr>
          <w:b/>
        </w:rPr>
        <w:t>civil-law obligation</w:t>
      </w:r>
      <w:r>
        <w:t xml:space="preserve"> embedded within the employment relationship. The enforcement of the training bond reimbursement was treated by the Supreme Court as a civil-law matter governed by the Civil Code.</w:t>
      </w:r>
    </w:p>
    <w:p>
      <w:pPr>
        <w:pStyle w:val="ListBullet"/>
      </w:pPr>
      <w:r/>
      <w:r>
        <w:rPr>
          <w:b/>
        </w:rPr>
        <w:t>What were the reciprocal obligations of each party?</w:t>
      </w:r>
      <w:r/>
    </w:p>
    <w:p>
      <w:r>
        <w:t>Under Article 1191 of the Civil Code, reciprocal obligations are those that arise from the same cause, wherein each party is a debtor and a creditor of the other.</w:t>
      </w:r>
    </w:p>
    <w:p>
      <w:pPr>
        <w:pStyle w:val="ListBullet"/>
      </w:pPr>
      <w:r>
        <w:t>*Alphaland's Obligation:* To provide employment, pay the agreed compensation, and advance the capital for specialized aviation training.</w:t>
      </w:r>
    </w:p>
    <w:p>
      <w:pPr>
        <w:pStyle w:val="ListBullet"/>
      </w:pPr>
      <w:r>
        <w:t xml:space="preserve">*Esico's Obligation:* To perform his duties and, crucially, to fulfill an </w:t>
      </w:r>
      <w:r>
        <w:rPr>
          <w:b/>
        </w:rPr>
        <w:t>alternative obligation</w:t>
      </w:r>
      <w:r>
        <w:t>: either (A) render a minimum of five years of continuous service, OR (B) reimburse the pro-rated cost of the training if he resigns prematurely.</w:t>
      </w:r>
    </w:p>
    <w:p>
      <w:pPr>
        <w:pStyle w:val="ListBullet"/>
      </w:pPr>
      <w:r/>
      <w:r>
        <w:rPr>
          <w:b/>
        </w:rPr>
        <w:t>Was there a breach? By whom and how?</w:t>
      </w:r>
      <w:r/>
    </w:p>
    <w:p>
      <w:r>
        <w:t>Alphaland alleged that Esico breached the contract by resigning on July 3, 2012, thereby failing to fulfill the primary obligation of completing the five-year minimum service period. By resigning early and subsequently refusing the demand to perform the alternative obligation (paying the P977,720 reimbursement), Esico allegedly committed a post-employment civil breach. Conversely, Esico alleged that Alphaland breached the employment contract first by failing to pay him separate compensation for his dual roles and failing to provide safe working conditions (recurrent training), which he claimed justified his resignation.</w:t>
      </w:r>
    </w:p>
    <w:p>
      <w:pPr>
        <w:pStyle w:val="Heading4"/>
      </w:pPr>
      <w:r>
        <w:t>4. Legal Issues Raised</w:t>
      </w:r>
    </w:p>
    <w:p>
      <w:pPr>
        <w:pStyle w:val="ListBullet"/>
      </w:pPr>
      <w:r/>
      <w:r>
        <w:rPr>
          <w:b/>
        </w:rPr>
        <w:t>Does the dispute fall under labor law (NLRC jurisdiction) or civil law (RTC jurisdiction)?</w:t>
      </w:r>
      <w:r/>
    </w:p>
    <w:p>
      <w:r>
        <w:t>The primary legal issue was whether the Labor Arbiter and the NLRC possessed subject-matter jurisdiction over Alphaland's claim for the collection of a sum of money (the training reimbursement) based on Esico's alleged wrongful resignation.</w:t>
      </w:r>
    </w:p>
    <w:p>
      <w:pPr>
        <w:pStyle w:val="ListBullet"/>
      </w:pPr>
      <w:r/>
      <w:r>
        <w:rPr>
          <w:b/>
        </w:rPr>
        <w:t>Can Art. 1191 rescission be invoked in this context?</w:t>
      </w:r>
      <w:r/>
    </w:p>
    <w:p>
      <w:r>
        <w:t>The case questioned whether the breach of the minimum service requirement and the resulting demand for reimbursement triggered the application of Article 1191 of the Civil Code (the tacit resolutory condition in reciprocal obligations) and Article 1199 (alternative obligations). If these civil law principles are the primary legal framework required to resolve the dispute, it fundamentally removes the matter from labor jurisdiction.</w:t>
      </w:r>
    </w:p>
    <w:p>
      <w:pPr>
        <w:pStyle w:val="ListBullet"/>
      </w:pPr>
      <w:r/>
      <w:r>
        <w:rPr>
          <w:b/>
        </w:rPr>
        <w:t>What are the remedies available under civil law vs. labor law?</w:t>
      </w:r>
      <w:r/>
    </w:p>
    <w:p>
      <w:r>
        <w:t xml:space="preserve">Under </w:t>
      </w:r>
      <w:r>
        <w:rPr>
          <w:i/>
        </w:rPr>
        <w:t>labor law</w:t>
      </w:r>
      <w:r>
        <w:t xml:space="preserve">, available remedies include reinstatement, backwages, separation pay, and proportionate 13th-month pay (which the LA awarded to Esico). Under </w:t>
      </w:r>
      <w:r>
        <w:rPr>
          <w:i/>
        </w:rPr>
        <w:t>civil law</w:t>
      </w:r>
      <w:r>
        <w:t>, remedies for a breach of reciprocal obligations under Art. 1191 include specific performance (fulfillment) or rescission, with damages in either case. Here, Alphaland sought the civil remedy of damages/reimbursement based on breach of contract.</w:t>
      </w:r>
    </w:p>
    <w:p>
      <w:pPr>
        <w:pStyle w:val="Heading4"/>
      </w:pPr>
      <w:r>
        <w:t>5. Supreme Court Ruling</w:t>
      </w:r>
    </w:p>
    <w:p>
      <w:pPr>
        <w:pStyle w:val="ListBullet"/>
      </w:pPr>
      <w:r/>
      <w:r>
        <w:rPr>
          <w:b/>
        </w:rPr>
        <w:t>How did the SC characterize the contract?</w:t>
      </w:r>
      <w:r/>
    </w:p>
    <w:p>
      <w:r>
        <w:t xml:space="preserve">The Supreme Court characterized the primary employer-employee relationship as severely ambiguous due to the involvement of multiple corporate entities (PhilWeb, AC, ADI), justifying the piercing of the corporate veil to ensure Esico received unpaid salaries for his dual roles. However, regarding the training bond, the Court characterized it strictly as a civil-law contract creating </w:t>
      </w:r>
      <w:r>
        <w:rPr>
          <w:b/>
        </w:rPr>
        <w:t>alternative obligations</w:t>
      </w:r>
      <w:r>
        <w:t>.</w:t>
      </w:r>
    </w:p>
    <w:p>
      <w:pPr>
        <w:pStyle w:val="ListBullet"/>
      </w:pPr>
      <w:r/>
      <w:r>
        <w:rPr>
          <w:b/>
        </w:rPr>
        <w:t>Which forum has jurisdiction?</w:t>
      </w:r>
      <w:r/>
    </w:p>
    <w:p>
      <w:r>
        <w:t xml:space="preserve">The Supreme Court ruled definitively that the Labor Arbiter and the NLRC </w:t>
      </w:r>
      <w:r>
        <w:rPr>
          <w:b/>
        </w:rPr>
        <w:t>do not have jurisdiction</w:t>
      </w:r>
      <w:r>
        <w:t xml:space="preserve"> over Alphaland’s complaint for "wrongful resignation" and training reimbursement. Applying the "reasonable causal connection" test, the Court held that while Esico's claim for unpaid wages was a labor dispute, Alphaland's claim for damages arose from a post-employment contractual breach. Thus, Alphaland's cause of action is cognizable only by the regular courts of law (Regional Trial Court). Furthermore, the SC rejected the Court of Appeals' finding that Esico was estopped from questioning jurisdiction under the </w:t>
      </w:r>
      <w:r>
        <w:rPr>
          <w:i/>
        </w:rPr>
        <w:t>Tijam v. Sibonghanoy</w:t>
      </w:r>
      <w:r>
        <w:t xml:space="preserve"> doctrine, reiterating that jurisdiction is conferred by law and can be raised at any stage.</w:t>
      </w:r>
    </w:p>
    <w:p>
      <w:pPr>
        <w:pStyle w:val="ListBullet"/>
      </w:pPr>
      <w:r/>
      <w:r>
        <w:rPr>
          <w:b/>
        </w:rPr>
        <w:t>How did Art. 1191 apply to the facts?</w:t>
      </w:r>
      <w:r/>
    </w:p>
    <w:p>
      <w:r>
        <w:t xml:space="preserve">The Court explicitly invoked Article 1191 to demonstrate </w:t>
      </w:r>
      <w:r>
        <w:rPr>
          <w:i/>
        </w:rPr>
        <w:t>why</w:t>
      </w:r>
      <w:r>
        <w:t xml:space="preserve"> the labor tribunals lacked jurisdiction. The Court explained that the contract created a tacit resolutory condition in a reciprocal obligation. Esico had alternative obligations under the civil code: to serve five years or pay. When he resigned, he failed the first alternative, triggering the employer's right under Article 1191 to demand fulfillment of the penalty/reimbursement. Because resolving this right-duty correlative requires interpreting civil law on contracts and alternative obligations, it is beyond the competence of labor arbiters.</w:t>
      </w:r>
    </w:p>
    <w:p>
      <w:pPr>
        <w:pStyle w:val="ListBullet"/>
      </w:pPr>
      <w:r/>
      <w:r>
        <w:rPr>
          <w:b/>
        </w:rPr>
        <w:t>What was the disposition?</w:t>
      </w:r>
      <w:r/>
    </w:p>
    <w:p>
      <w:r>
        <w:t xml:space="preserve">1. The SC affirmed that there was </w:t>
      </w:r>
      <w:r>
        <w:rPr>
          <w:b/>
        </w:rPr>
        <w:t>no constructive dismissal</w:t>
      </w:r>
      <w:r>
        <w:t>, as Esico's resignation was voluntary and not forced by overt, unbearable acts of the employer.</w:t>
      </w:r>
    </w:p>
    <w:p>
      <w:r>
        <w:t xml:space="preserve">2. The SC </w:t>
      </w:r>
      <w:r>
        <w:rPr>
          <w:b/>
        </w:rPr>
        <w:t>dismissed Alphaland's claim</w:t>
      </w:r>
      <w:r>
        <w:t xml:space="preserve"> for training reimbursement before the NLRC for lack of jurisdiction, without prejudice to refiling in the regular courts.</w:t>
      </w:r>
    </w:p>
    <w:p>
      <w:r>
        <w:t>3. The SC found the employment contracts highly ambiguous and pierced the corporate veil, ordering Alphaland to pay Esico his unpaid salaries for his dual services as a pilot and RSMO, totaling P3,047,500.00, plus attorney's fees and interest.</w:t>
      </w:r>
    </w:p>
    <w:p>
      <w:pPr>
        <w:pStyle w:val="Heading4"/>
      </w:pPr>
      <w:r>
        <w:t>6. Key Doctrine / Civil Code Hook</w:t>
      </w:r>
    </w:p>
    <w:p>
      <w:pPr>
        <w:pStyle w:val="ListBullet"/>
      </w:pPr>
      <w:r/>
      <w:r>
        <w:rPr>
          <w:b/>
        </w:rPr>
        <w:t>State the rule distinguishing civil-law obligations from labor relations:</w:t>
      </w:r>
      <w:r/>
    </w:p>
    <w:p>
      <w:r>
        <w:t xml:space="preserve">The </w:t>
      </w:r>
      <w:r>
        <w:rPr>
          <w:b/>
        </w:rPr>
        <w:t>"Reasonable Causal Connection" Rule</w:t>
      </w:r>
      <w:r>
        <w:t>: If a claim for damages or a sum of money is essentially anchored on the interpretation and application of general civil law (such as breach of contract) rather than the Labor Code or labor relations statutes, the jurisdiction belongs to the regular courts, not labor tribunals. A post-employment claim by an employer for reimbursement of training expenses due to an employee's premature resignation lacks a reasonable causal connection to the employer-employee relationship itself.</w:t>
      </w:r>
    </w:p>
    <w:p>
      <w:pPr>
        <w:pStyle w:val="ListBullet"/>
      </w:pPr>
      <w:r/>
      <w:r>
        <w:rPr>
          <w:b/>
        </w:rPr>
        <w:t>State the rule on Art. 1191 rescission in reciprocal obligations:</w:t>
      </w:r>
      <w:r/>
    </w:p>
    <w:p>
      <w:r>
        <w:t>Under Article 1191, the power to rescind obligations is implied in reciprocal ones in case one of the obligors should not comply with what is incumbent upon him. The injured party may choose between the fulfillment and the rescission of the obligation, with the payment of damages in either case. When an employment bond contains alternative obligations (serve a period or pay a penalty), failure to serve triggers the injured party's right under civil law to demand fulfillment of the monetary penalty.</w:t>
      </w:r>
    </w:p>
    <w:p>
      <w:pPr>
        <w:pStyle w:val="ListBullet"/>
      </w:pPr>
      <w:r/>
      <w:r>
        <w:rPr>
          <w:b/>
        </w:rPr>
        <w:t>Which Civil Code articles were applied?</w:t>
      </w:r>
      <w:r/>
    </w:p>
    <w:p>
      <w:pPr>
        <w:pStyle w:val="ListBullet"/>
      </w:pPr>
      <w:r/>
      <w:r>
        <w:rPr>
          <w:b/>
        </w:rPr>
        <w:t>Article 1191:</w:t>
      </w:r>
      <w:r>
        <w:t xml:space="preserve"> Tacit resolutory condition and the right to rescind/demand fulfillment in reciprocal obligations.</w:t>
      </w:r>
    </w:p>
    <w:p>
      <w:pPr>
        <w:pStyle w:val="ListBullet"/>
      </w:pPr>
      <w:r/>
      <w:r>
        <w:rPr>
          <w:b/>
        </w:rPr>
        <w:t>Article 1199:</w:t>
      </w:r>
      <w:r>
        <w:t xml:space="preserve"> Alternative obligations (a person alternatively bound by different prestations shall completely perform one of them).</w:t>
      </w:r>
    </w:p>
    <w:p>
      <w:pPr>
        <w:pStyle w:val="Heading4"/>
      </w:pPr>
      <w:r>
        <w:t>7. Memory Anchor</w:t>
      </w:r>
    </w:p>
    <w:p>
      <w:pPr>
        <w:pStyle w:val="ListBullet"/>
      </w:pPr>
      <w:r/>
      <w:r>
        <w:rPr>
          <w:b/>
        </w:rPr>
        <w:t>A 1–2 sentence story hook or mnemonic for bar/exam recall:</w:t>
      </w:r>
      <w:r/>
    </w:p>
    <w:p>
      <w:r>
        <w:rPr>
          <w:i/>
        </w:rPr>
        <w:t>The Pilot Who Flew the Coop:</w:t>
      </w:r>
      <w:r>
        <w:t xml:space="preserve"> When Lt. Col. Esico resigned early, his claim for unpaid wages safely landed at the NLRC, but Alphaland's claim for training reimbursement was grounded—because under Article 1191, a broken 5-year training bond is a civil breach that belongs in the regular courts, not a labor dispute.</w:t>
      </w:r>
    </w:p>
    <w:p>
      <w:pPr>
        <w:spacing w:before="120" w:after="120"/>
        <w:pBdr>
          <w:bottom w:val="single" w:sz="4" w:space="1" w:color="CCCCCC"/>
        </w:pBdr>
      </w:pPr>
    </w:p>
    <w:p>
      <w:pPr>
        <w:pStyle w:val="Heading2"/>
      </w:pPr>
      <w:r>
        <w:t>MODULE 1C — Breach, Delay, Damages, and Remedies (Arts. 1166–1177)</w:t>
      </w:r>
    </w:p>
    <w:p>
      <w:pPr>
        <w:spacing w:before="120" w:after="120"/>
        <w:pBdr>
          <w:bottom w:val="single" w:sz="4" w:space="1" w:color="CCCCCC"/>
        </w:pBdr>
      </w:pPr>
    </w:p>
    <w:p>
      <w:r>
        <w:br w:type="page"/>
      </w:r>
    </w:p>
    <w:p>
      <w:pPr>
        <w:pStyle w:val="Heading1"/>
      </w:pPr>
      <w:r>
        <w:t>Module 1C — Breach, Delay, Damages, and Remedies (Arts. 1166-1177)</w:t>
      </w:r>
    </w:p>
    <w:p>
      <w:pPr>
        <w:pStyle w:val="Heading2"/>
      </w:pPr>
      <w:r>
        <w:t>Case 7: Limjoco v. Court of Appeals (1971) | G.R. No. L-20656</w:t>
      </w:r>
    </w:p>
    <w:p>
      <w:pPr>
        <w:pStyle w:val="Heading2"/>
      </w:pPr>
      <w:r>
        <w:t>Jurisprudential Analysis of Delay in Reciprocal Obligations: A Comprehensive Review of Limjoco v. Court of Appeals</w:t>
      </w:r>
    </w:p>
    <w:p>
      <w:r>
        <w:t>The determination of default and delay (</w:t>
      </w:r>
      <w:r>
        <w:rPr>
          <w:b/>
        </w:rPr>
        <w:t>mora</w:t>
      </w:r>
      <w:r>
        <w:t xml:space="preserve">) within the framework of </w:t>
      </w:r>
      <w:r>
        <w:rPr>
          <w:b/>
        </w:rPr>
        <w:t>reciprocal obligations</w:t>
      </w:r>
      <w:r>
        <w:t xml:space="preserve"> remains one of the most intricately litigated areas in Philippine Civil Law. This comprehensive report provides an exhaustive academic examination of the landmark Supreme Court decision in </w:t>
      </w:r>
      <w:r>
        <w:rPr>
          <w:i/>
        </w:rPr>
        <w:t>Limjoco v. Court of Appeals</w:t>
      </w:r>
      <w:r>
        <w:t>, G.R. No. L-20656 (February 27, 1971). By synthesizing statutory construction, historical jurisprudence, and the authoritative commentaries of distinguished civilists such as Arturo Tolentino, Desiderio Jurado, and Hector De Leon, this analysis aims to elucidate the precise mechanics of Article 1169 and Article 1191 of the New Civil Code of the Philippines.</w:t>
      </w:r>
    </w:p>
    <w:p>
      <w:pPr>
        <w:pStyle w:val="Heading3"/>
      </w:pPr>
      <w:r>
        <w:t>Key Points</w:t>
      </w:r>
    </w:p>
    <w:p>
      <w:pPr>
        <w:pStyle w:val="ListBullet"/>
      </w:pPr>
      <w:r>
        <w:t xml:space="preserve">  </w:t>
      </w:r>
      <w:r>
        <w:rPr>
          <w:b/>
        </w:rPr>
        <w:t>Reciprocal Obligations:</w:t>
      </w:r>
      <w:r>
        <w:t xml:space="preserve"> In a contract of sale, the obligations of the vendor and the vendee arise from the same cause and are dependent upon each other, requiring simultaneous performance unless otherwise stipulated.</w:t>
      </w:r>
    </w:p>
    <w:p>
      <w:pPr>
        <w:pStyle w:val="ListBullet"/>
      </w:pPr>
      <w:r>
        <w:t xml:space="preserve">  </w:t>
      </w:r>
      <w:r>
        <w:rPr>
          <w:b/>
        </w:rPr>
        <w:t>The Rule on Delay:</w:t>
      </w:r>
      <w:r>
        <w:t xml:space="preserve"> Under Article 1169, paragraph 3 of the Civil Code, a party in a reciprocal obligation cannot invoke the other party's delay to excuse their own non-performance if the failure to consummate the contract is entirely attributable to their own fault.</w:t>
      </w:r>
    </w:p>
    <w:p>
      <w:pPr>
        <w:pStyle w:val="ListBullet"/>
      </w:pPr>
      <w:r>
        <w:t xml:space="preserve">  </w:t>
      </w:r>
      <w:r>
        <w:rPr>
          <w:b/>
        </w:rPr>
        <w:t>Compensatio Morae:</w:t>
      </w:r>
      <w:r>
        <w:t xml:space="preserve"> Default by one party compensates for the default of the other; however, from the moment one party fulfills their obligation or demonstrates readiness to comply, the delay by the other begins.</w:t>
      </w:r>
    </w:p>
    <w:p>
      <w:pPr>
        <w:pStyle w:val="ListBullet"/>
      </w:pPr>
      <w:r>
        <w:t xml:space="preserve">  </w:t>
      </w:r>
      <w:r>
        <w:rPr>
          <w:b/>
        </w:rPr>
        <w:t>Liquidated Damages:</w:t>
      </w:r>
      <w:r>
        <w:t xml:space="preserve"> Penalty clauses stipulating </w:t>
      </w:r>
      <w:r>
        <w:rPr>
          <w:b/>
        </w:rPr>
        <w:t>liquidated damages</w:t>
      </w:r>
      <w:r>
        <w:t xml:space="preserve"> are legally binding and will not be reduced by the courts as unconscionable when freely entered into by parties of equal bargaining power, often described by the Court as "men of affairs".</w:t>
      </w:r>
    </w:p>
    <w:p>
      <w:pPr>
        <w:pStyle w:val="Heading3"/>
      </w:pPr>
      <w:r>
        <w:t>Doctrinal and Historical Context</w:t>
      </w:r>
    </w:p>
    <w:p>
      <w:r>
        <w:t xml:space="preserve">The Philippine Civil Code, heavily influenced by the Spanish Civil Code of 1889, meticulously regulates the performance of contractual duties. The concept of </w:t>
      </w:r>
      <w:r>
        <w:rPr>
          <w:b/>
        </w:rPr>
        <w:t>mora</w:t>
      </w:r>
      <w:r>
        <w:t xml:space="preserve"> (delay) is not synonymous with mere chronological lateness; it is a strictly legal concept denoting the culpable delay in the fulfillment of an obligation, creating liability for damages. In unilateral obligations, the general rule is that demand (judicial or extrajudicial) is necessary to put the debtor in default (</w:t>
      </w:r>
      <w:r>
        <w:rPr>
          <w:i/>
        </w:rPr>
        <w:t>mora solvendi</w:t>
      </w:r>
      <w:r>
        <w:t xml:space="preserve">). However, reciprocal obligations feature a unique mechanism: the doctrine of simultaneous performance and mutual dependence, often conceptually tied to the defense of </w:t>
      </w:r>
      <w:r>
        <w:rPr>
          <w:i/>
        </w:rPr>
        <w:t>exceptio non adimpleti contractus</w:t>
      </w:r>
      <w:r>
        <w:t xml:space="preserve"> (the exception of an unperformed contract). If one party is not ready to perform, the other cannot be considered in default.</w:t>
      </w:r>
    </w:p>
    <w:p>
      <w:r>
        <w:t xml:space="preserve">As noted in classical civil law commentaries, this rule ensures equity. Desiderio Jurado defines reciprocal obligations as those where both parties are mutually or reciprocally bound, arising from the same transaction. When courts adjudicate disputes involving real estate transactions, as seen in </w:t>
      </w:r>
      <w:r>
        <w:rPr>
          <w:i/>
        </w:rPr>
        <w:t>Limjoco v. Court of Appeals</w:t>
      </w:r>
      <w:r>
        <w:t>, the central inquiry inevitably shifts to identifying the exact moment one party demonstrated a readiness to perform, thereby triggering the other's legal delay.</w:t>
      </w:r>
    </w:p>
    <w:p>
      <w:pPr>
        <w:spacing w:before="120" w:after="120"/>
        <w:pBdr>
          <w:bottom w:val="single" w:sz="4" w:space="1" w:color="CCCCCC"/>
        </w:pBdr>
      </w:pPr>
    </w:p>
    <w:p>
      <w:pPr>
        <w:pStyle w:val="Heading3"/>
      </w:pPr>
      <w:r>
        <w:t>Limjoco v. Court of Appeals (1971) | G.R. No. L-20656</w:t>
      </w:r>
    </w:p>
    <w:p>
      <w:pPr>
        <w:pStyle w:val="Heading4"/>
      </w:pPr>
      <w:r>
        <w:t>1. The Parties</w:t>
      </w:r>
    </w:p>
    <w:p>
      <w:r>
        <w:t>To fully grasp the socio-legal dynamics of this dispute, it is essential to understand the standing and interests of the principal actors involved in the transaction.</w:t>
      </w:r>
    </w:p>
    <w:p>
      <w:pPr>
        <w:pStyle w:val="ListBullet"/>
      </w:pPr>
      <w:r>
        <w:t xml:space="preserve">  </w:t>
      </w:r>
      <w:r>
        <w:rPr>
          <w:b/>
        </w:rPr>
        <w:t>Petitioner (Limjoco):</w:t>
      </w:r>
      <w:r>
        <w:t xml:space="preserve"> Angel T. Limjoco was the prospective vendor (seller) in the transaction. He represented himself as the "absolute owner" of a substantial parcel of real estate comprising 3,148 square meters located in a compound at No. 56 R. Pascual Street, San Juan, Rizal. His interest in the transaction was the liquidation of this asset for a total purchase price of P85,000.00. However, subsequent factual findings revealed a discrepancy in his representation: he was not the sole absolute owner, as the property was co-owned with his children, whose signatures he ultimately failed to secure. The Supreme Court characterized Limjoco as a "man of affairs," implying a high degree of business acumen and an understanding of contractual liabilities.</w:t>
      </w:r>
    </w:p>
    <w:p>
      <w:pPr>
        <w:pStyle w:val="ListBullet"/>
      </w:pPr>
      <w:r>
        <w:t xml:space="preserve">  </w:t>
      </w:r>
      <w:r>
        <w:rPr>
          <w:b/>
        </w:rPr>
        <w:t>Respondent:</w:t>
      </w:r>
      <w:r>
        <w:t xml:space="preserve"> Robert Tan was the prospective vendee (buyer) and the plaintiff in the lower court. Tan's objective was to acquire the San Juan property. To secure the transaction, he provided an initial payment of P5,000.00 in the form of </w:t>
      </w:r>
      <w:r>
        <w:rPr>
          <w:b/>
        </w:rPr>
        <w:t>earnest money</w:t>
      </w:r>
      <w:r>
        <w:t>, an amount that underscored his serious intent to be bound by the agreement. Tan was similarly described by the Court as a "man of affairs," establishing that both parties possessed equal bargaining power.</w:t>
      </w:r>
    </w:p>
    <w:p>
      <w:pPr>
        <w:pStyle w:val="ListBullet"/>
      </w:pPr>
      <w:r>
        <w:t xml:space="preserve">  </w:t>
      </w:r>
      <w:r>
        <w:rPr>
          <w:b/>
        </w:rPr>
        <w:t>Their relationship:</w:t>
      </w:r>
      <w:r>
        <w:t xml:space="preserve"> The parties were bound by a bilateral, commercial contract to sell real estate, executed on April 30, 1957. This was an arm's-length transaction characterized by mutually dependent covenants. It was a classic </w:t>
      </w:r>
      <w:r>
        <w:rPr>
          <w:b/>
        </w:rPr>
        <w:t>reciprocal obligation</w:t>
      </w:r>
      <w:r>
        <w:t xml:space="preserve"> where Limjoco's duty to deliver title was intricately linked to Tan's duty to assume a pre-existing mortgage and disburse the balance of the purchase price.</w:t>
      </w:r>
    </w:p>
    <w:p>
      <w:pPr>
        <w:pStyle w:val="Heading4"/>
      </w:pPr>
      <w:r>
        <w:t>2. Background &amp; Facts</w:t>
      </w:r>
    </w:p>
    <w:p>
      <w:r>
        <w:t>The factual matrix of this case is centered on a precise sixty-day timeline within which specific concurrent conditions had to be met. The failure to align these conditions led to the collapse of the sale.</w:t>
      </w:r>
    </w:p>
    <w:p>
      <w:pPr>
        <w:pStyle w:val="ListBullet"/>
      </w:pPr>
      <w:r>
        <w:t xml:space="preserve">  </w:t>
      </w:r>
      <w:r>
        <w:rPr>
          <w:b/>
        </w:rPr>
        <w:t>What did the parties agree to exchange or perform?</w:t>
      </w:r>
      <w:r/>
    </w:p>
    <w:p>
      <w:r>
        <w:t>The agreement executed on April 30, 1957, stipulated a total purchase price of P85,000.00 for the property. The mechanics of the exchange were highly specific:</w:t>
      </w:r>
    </w:p>
    <w:p>
      <w:r>
        <w:t xml:space="preserve">1.  Tan paid P5,000.00 upfront as </w:t>
      </w:r>
      <w:r>
        <w:rPr>
          <w:b/>
        </w:rPr>
        <w:t>earnest money</w:t>
      </w:r>
      <w:r>
        <w:t>.</w:t>
      </w:r>
    </w:p>
    <w:p>
      <w:r>
        <w:t>2.  Limjoco was obligated to execute the necessary deed of absolute sale within sixty (60) days.</w:t>
      </w:r>
    </w:p>
    <w:p>
      <w:r>
        <w:t>3.  Tan was to assume an existing mortgage lien of approximately P32,000.00 held by the Rehabilitation Finance Corporation (RFC).</w:t>
      </w:r>
    </w:p>
    <w:p>
      <w:r>
        <w:t>4.  Crucially, Limjoco explicitly undertook the responsibility to "arrange with said Corporation [RFC]" the mechanics of Tan's mortgage assumption.</w:t>
      </w:r>
    </w:p>
    <w:p>
      <w:r>
        <w:t>5.  Upon the execution of the deed of sale, Tan would pay one-half of the remaining balance (after deducting the assumed mortgage and the earnest money), with the final half payable 120 days thereafter.</w:t>
      </w:r>
    </w:p>
    <w:p>
      <w:pPr>
        <w:pStyle w:val="ListBullet"/>
      </w:pPr>
      <w:r>
        <w:t xml:space="preserve">  </w:t>
      </w:r>
      <w:r>
        <w:rPr>
          <w:b/>
        </w:rPr>
        <w:t>Who performed first, and who failed to perform?</w:t>
      </w:r>
      <w:r/>
    </w:p>
    <w:p>
      <w:r>
        <w:t xml:space="preserve">Robert Tan performed his initial obligation by delivering the P5,000.00 </w:t>
      </w:r>
      <w:r>
        <w:rPr>
          <w:b/>
        </w:rPr>
        <w:t>earnest money</w:t>
      </w:r>
      <w:r>
        <w:t xml:space="preserve"> upon the execution of the contract. Limjoco, however, failed to perform his incumbent duties. He did not secure the necessary signatures from his co-owners (his children), and he utterly failed to arrange the assumption of the RFC mortgage within the stipulated timeframe. Tan was reportedly ready and willing to cooperate with the credit inquiry required by the RFC, but Limjoco failed to initiate the process.</w:t>
      </w:r>
    </w:p>
    <w:p>
      <w:pPr>
        <w:pStyle w:val="ListBullet"/>
      </w:pPr>
      <w:r>
        <w:t xml:space="preserve">  </w:t>
      </w:r>
      <w:r>
        <w:rPr>
          <w:b/>
        </w:rPr>
        <w:t>What demand or notice, if any, was made?</w:t>
      </w:r>
      <w:r/>
    </w:p>
    <w:p>
      <w:r>
        <w:t>Anticipating the deadline, Tan's legal counsel took proactive steps. Tan's counsel explicitly reminded Limjoco, through Limjoco's counsel, to prepare the deed of sale on or before the June 29, 1957 deadline (evidentiary Exhibit G). This reminder functioned as an extrajudicial demand, signaling Tan's readiness to comply with his portion of the reciprocal obligation.</w:t>
      </w:r>
    </w:p>
    <w:p>
      <w:pPr>
        <w:pStyle w:val="ListBullet"/>
      </w:pPr>
      <w:r>
        <w:t xml:space="preserve">  </w:t>
      </w:r>
      <w:r>
        <w:rPr>
          <w:b/>
        </w:rPr>
        <w:t>What happened when the dispute arose?</w:t>
      </w:r>
      <w:r/>
    </w:p>
    <w:p>
      <w:r>
        <w:t xml:space="preserve">When the sixty-day period lapsed on June 29, 1957, the sale was unconsummated. Limjoco subsequently attempted to provide a draft deed of sale after the deadline had passed, but Tan refused to accept it. Tan argued that the draft was unnecessary since the terms were already explicitly set forth in their original agreement, and more importantly, the stipulated period had already expired. Consequently, Tan filed an action in the lower court to recover his P5,000.00 </w:t>
      </w:r>
      <w:r>
        <w:rPr>
          <w:b/>
        </w:rPr>
        <w:t>earnest money</w:t>
      </w:r>
      <w:r>
        <w:t xml:space="preserve"> plus the P5,000.00 in </w:t>
      </w:r>
      <w:r>
        <w:rPr>
          <w:b/>
        </w:rPr>
        <w:t>liquidated damages</w:t>
      </w:r>
      <w:r>
        <w:t xml:space="preserve"> explicitly stipulated in the penal clause of their contract. Limjoco raised the defense that Tan had "lost interest" and was therefore in default himself, attempting to neutralize his own delay. The trial court, and subsequently the Court of Appeals, found Limjoco solely at fault.</w:t>
      </w:r>
    </w:p>
    <w:p>
      <w:pPr>
        <w:pStyle w:val="ListBullet"/>
      </w:pPr>
      <w:r>
        <w:t xml:space="preserve">  </w:t>
      </w:r>
      <w:r>
        <w:rPr>
          <w:b/>
        </w:rPr>
        <w:t>Timeline of key events:</w:t>
      </w:r>
      <w:r/>
    </w:p>
    <w:p>
      <w:r>
        <w:t>| Date / Period | Event Description | Source |</w:t>
      </w:r>
    </w:p>
    <w:p>
      <w:r>
        <w:t>| :--- | :--- | :--- |</w:t>
      </w:r>
    </w:p>
    <w:p>
      <w:r>
        <w:t xml:space="preserve">| </w:t>
      </w:r>
      <w:r>
        <w:rPr>
          <w:b/>
        </w:rPr>
        <w:t>April 30, 1957</w:t>
      </w:r>
      <w:r>
        <w:t xml:space="preserve"> | Execution of the contract to sell; Tan pays Limjoco P5,000 as </w:t>
      </w:r>
      <w:r>
        <w:rPr>
          <w:b/>
        </w:rPr>
        <w:t>earnest money</w:t>
      </w:r>
      <w:r>
        <w:t>. | |</w:t>
      </w:r>
    </w:p>
    <w:p>
      <w:r>
        <w:t xml:space="preserve">| </w:t>
      </w:r>
      <w:r>
        <w:rPr>
          <w:b/>
        </w:rPr>
        <w:t>May - June 1957</w:t>
      </w:r>
      <w:r>
        <w:t xml:space="preserve"> | Limjoco attempts but fails to get co-owners' signatures and fails to arrange RFC mortgage assumption. Tan remains ready. | |</w:t>
      </w:r>
    </w:p>
    <w:p>
      <w:r>
        <w:t xml:space="preserve">| </w:t>
      </w:r>
      <w:r>
        <w:rPr>
          <w:b/>
        </w:rPr>
        <w:t>Prior to June 29, 1957</w:t>
      </w:r>
      <w:r>
        <w:t xml:space="preserve"> | Tan's counsel formally reminds Limjoco's counsel to prepare the deed of sale before the deadline. | |</w:t>
      </w:r>
    </w:p>
    <w:p>
      <w:r>
        <w:t xml:space="preserve">| </w:t>
      </w:r>
      <w:r>
        <w:rPr>
          <w:b/>
        </w:rPr>
        <w:t>June 29, 1957</w:t>
      </w:r>
      <w:r>
        <w:t xml:space="preserve"> | The 60-day deadline expires. Limjoco has not executed the deed of sale. | |</w:t>
      </w:r>
    </w:p>
    <w:p>
      <w:r>
        <w:t xml:space="preserve">| </w:t>
      </w:r>
      <w:r>
        <w:rPr>
          <w:b/>
        </w:rPr>
        <w:t>Post-June 29, 1957</w:t>
      </w:r>
      <w:r>
        <w:t xml:space="preserve"> | Limjoco attempts to present a draft deed; Tan rejects it as late and redundant. Dispute escalates to litigation. | |</w:t>
      </w:r>
    </w:p>
    <w:p>
      <w:r>
        <w:t xml:space="preserve">| </w:t>
      </w:r>
      <w:r>
        <w:rPr>
          <w:b/>
        </w:rPr>
        <w:t>February 27, 1971</w:t>
      </w:r>
      <w:r>
        <w:t xml:space="preserve"> | Supreme Court of the Philippines promulgates its Decision affirming the Court of Appeals against Limjoco. | |</w:t>
      </w:r>
    </w:p>
    <w:p>
      <w:pPr>
        <w:pStyle w:val="Heading4"/>
      </w:pPr>
      <w:r>
        <w:t>3. The Contract or Obligation</w:t>
      </w:r>
    </w:p>
    <w:p>
      <w:r>
        <w:t>The structural nature of the contract is the bedrock upon which the Supreme Court's application of the Civil Code rests. Analyzing the obligations reveals a textbook example of bilateral interdependence.</w:t>
      </w:r>
    </w:p>
    <w:p>
      <w:pPr>
        <w:pStyle w:val="ListBullet"/>
      </w:pPr>
      <w:r>
        <w:t xml:space="preserve">  </w:t>
      </w:r>
      <w:r>
        <w:rPr>
          <w:b/>
        </w:rPr>
        <w:t>What were the mutual obligations of each party?</w:t>
      </w:r>
      <w:r/>
    </w:p>
    <w:p>
      <w:r>
        <w:t>The agreement was anchored by a penal clause governing default:</w:t>
      </w:r>
    </w:p>
    <w:p>
      <w:pPr>
        <w:pStyle w:val="ListBullet"/>
      </w:pPr>
      <w:r>
        <w:t xml:space="preserve">  </w:t>
      </w:r>
      <w:r>
        <w:rPr>
          <w:b/>
        </w:rPr>
        <w:t>Limjoco's Obligation:</w:t>
      </w:r>
      <w:r>
        <w:t xml:space="preserve"> To execute a valid deed of sale, arrange the RFC mortgage transfer, and deliver clear title within 60 days. If he failed, he was contractually bound to return the P5,000.00 </w:t>
      </w:r>
      <w:r>
        <w:rPr>
          <w:b/>
        </w:rPr>
        <w:t>earnest money</w:t>
      </w:r>
      <w:r>
        <w:t xml:space="preserve"> within 15 days of the deadline and pay an additional P5,000.00 as </w:t>
      </w:r>
      <w:r>
        <w:rPr>
          <w:b/>
        </w:rPr>
        <w:t>liquidated damages</w:t>
      </w:r>
      <w:r>
        <w:t>.</w:t>
      </w:r>
    </w:p>
    <w:p>
      <w:pPr>
        <w:pStyle w:val="ListBullet"/>
      </w:pPr>
      <w:r>
        <w:t xml:space="preserve">  </w:t>
      </w:r>
      <w:r>
        <w:rPr>
          <w:b/>
        </w:rPr>
        <w:t>Tan's Obligation:</w:t>
      </w:r>
      <w:r>
        <w:t xml:space="preserve"> To pay the balance of the purchase price in two tranches upon execution of the deed and to assume the RFC mortgage. If Tan failed to purchase the property under the agreed conditions, he would forfeit his P5,000.00 </w:t>
      </w:r>
      <w:r>
        <w:rPr>
          <w:b/>
        </w:rPr>
        <w:t>earnest money</w:t>
      </w:r>
      <w:r>
        <w:t xml:space="preserve"> in favor of Limjoco.</w:t>
      </w:r>
    </w:p>
    <w:p>
      <w:pPr>
        <w:pStyle w:val="ListBullet"/>
      </w:pPr>
      <w:r>
        <w:t xml:space="preserve">  </w:t>
      </w:r>
      <w:r>
        <w:rPr>
          <w:b/>
        </w:rPr>
        <w:t>Was this a reciprocal obligation? Was there a condition on simultaneous performance?</w:t>
      </w:r>
      <w:r/>
    </w:p>
    <w:p>
      <w:r>
        <w:t xml:space="preserve">Yes, this was quintessential </w:t>
      </w:r>
      <w:r>
        <w:rPr>
          <w:b/>
        </w:rPr>
        <w:t>reciprocal obligation</w:t>
      </w:r>
      <w:r>
        <w:t>. As analyzed by civil law commentators like Arturo Tolentino and Desiderio Jurado, reciprocal obligations are those that arise from the same cause, wherein each party is a debtor and creditor of the other, such that the obligation of one is dependent upon the obligation of the other. The performance is intended to be simultaneous. Tan's obligation to pay the balance and assume the mortgage was conditioned strictly upon Limjoco's simultaneous execution of a valid deed of absolute sale.</w:t>
      </w:r>
    </w:p>
    <w:p>
      <w:pPr>
        <w:pStyle w:val="ListBullet"/>
      </w:pPr>
      <w:r>
        <w:t xml:space="preserve">  </w:t>
      </w:r>
      <w:r>
        <w:rPr>
          <w:b/>
        </w:rPr>
        <w:t>Who was in delay, and when did delay begin?</w:t>
      </w:r>
      <w:r/>
    </w:p>
    <w:p>
      <w:r>
        <w:t>Limjoco was the party in delay (</w:t>
      </w:r>
      <w:r>
        <w:rPr>
          <w:b/>
        </w:rPr>
        <w:t>mora solvendi</w:t>
      </w:r>
      <w:r>
        <w:t xml:space="preserve">). His delay legally commenced upon the expiration of the 60-day period on June 29, 1957. Because Tan had already performed his preliminary obligation (payment of earnest money) and his counsel had manifested readiness to proceed by demanding the deed, the protective shield of </w:t>
      </w:r>
      <w:r>
        <w:rPr>
          <w:i/>
        </w:rPr>
        <w:t>compensatio morae</w:t>
      </w:r>
      <w:r>
        <w:t xml:space="preserve"> (mutual delay) was unavailable to Limjoco. Limjoco could not point to Tan's inaction because Limjoco's failure to arrange the RFC mortgage and secure his co-owners' signatures made it impossible for Tan to perform.</w:t>
      </w:r>
    </w:p>
    <w:p>
      <w:pPr>
        <w:pStyle w:val="Heading4"/>
      </w:pPr>
      <w:r>
        <w:t>4. Legal Issues Raised</w:t>
      </w:r>
    </w:p>
    <w:p>
      <w:r>
        <w:t>The elevation of the case to the Supreme Court via petition for review centered on specific questions of statutory interpretation and the equity of penalty clauses.</w:t>
      </w:r>
    </w:p>
    <w:p>
      <w:pPr>
        <w:pStyle w:val="ListBullet"/>
      </w:pPr>
      <w:r>
        <w:t xml:space="preserve">  </w:t>
      </w:r>
      <w:r>
        <w:rPr>
          <w:b/>
        </w:rPr>
        <w:t>Can a party in a reciprocal obligation demand performance or go to court if they themselves have not performed?</w:t>
      </w:r>
      <w:r/>
    </w:p>
    <w:p>
      <w:r>
        <w:t xml:space="preserve">The defense raised by Limjoco hinged heavily on an aggressive interpretation of Article 1169. Limjoco argued that under the rule of reciprocal obligations, Tan had not actually assumed the mortgage or tendered the balance, and therefore Tan was not ready to comply "in a proper manner with what is incumbent upon him". Limjoco's legal theory was that since Tan allegedly failed to comply, Limjoco himself could not be considered to have incurred any legal delay, effectively raising the defense of </w:t>
      </w:r>
      <w:r>
        <w:rPr>
          <w:i/>
        </w:rPr>
        <w:t>exceptio non adimpleti contractus</w:t>
      </w:r>
      <w:r>
        <w:t>.</w:t>
      </w:r>
    </w:p>
    <w:p>
      <w:pPr>
        <w:pStyle w:val="ListBullet"/>
      </w:pPr>
      <w:r>
        <w:t xml:space="preserve">  </w:t>
      </w:r>
      <w:r>
        <w:rPr>
          <w:b/>
        </w:rPr>
        <w:t>When does mora begin in a reciprocal obligation?</w:t>
      </w:r>
      <w:r/>
    </w:p>
    <w:p>
      <w:r>
        <w:t xml:space="preserve">The core issue was fixing the exact moment of </w:t>
      </w:r>
      <w:r>
        <w:rPr>
          <w:b/>
        </w:rPr>
        <w:t>mora</w:t>
      </w:r>
      <w:r>
        <w:t>. Does delay require a formal demand even when a contract sets a specific timeline, or does the readiness of one party automatically trigger the delay of the other under Article 1169, paragraph 3? The Court was tasked with deciding if Tan's reminder via counsel and his objective willingness to cooperate with the RFC credit check constituted sufficient "readiness" to trigger Limjoco's delay.</w:t>
      </w:r>
    </w:p>
    <w:p>
      <w:pPr>
        <w:pStyle w:val="ListBullet"/>
      </w:pPr>
      <w:r>
        <w:t xml:space="preserve">  </w:t>
      </w:r>
      <w:r>
        <w:rPr>
          <w:b/>
        </w:rPr>
        <w:t>What is the effect of one party's non-performance on the other's duty?</w:t>
      </w:r>
      <w:r/>
    </w:p>
    <w:p>
      <w:r>
        <w:t xml:space="preserve">A secondary issue involved the validity of the penalty clause. Limjoco argued that compelling him to both return the </w:t>
      </w:r>
      <w:r>
        <w:rPr>
          <w:b/>
        </w:rPr>
        <w:t>earnest money</w:t>
      </w:r>
      <w:r>
        <w:t xml:space="preserve"> and pay an equivalent amount (P5,000.00) in </w:t>
      </w:r>
      <w:r>
        <w:rPr>
          <w:b/>
        </w:rPr>
        <w:t>liquidated damages</w:t>
      </w:r>
      <w:r>
        <w:t xml:space="preserve"> was iniquitous, immoral, and unconscionable, seeking an equitable reduction of the penalty under the Civil Code. The Court had to evaluate whether the penalty was disproportionate to the breach.</w:t>
      </w:r>
    </w:p>
    <w:p>
      <w:pPr>
        <w:pStyle w:val="Heading4"/>
      </w:pPr>
      <w:r>
        <w:t>5. Supreme Court Ruling</w:t>
      </w:r>
    </w:p>
    <w:p>
      <w:r>
        <w:t>Justice Enrique Fernando penned the decision for the Supreme Court, delivering a resolute affirmation of the lower courts' rulings and providing clarity on the mechanics of Article 1169.</w:t>
      </w:r>
    </w:p>
    <w:p>
      <w:pPr>
        <w:pStyle w:val="ListBullet"/>
      </w:pPr>
      <w:r>
        <w:t xml:space="preserve">  </w:t>
      </w:r>
      <w:r>
        <w:rPr>
          <w:b/>
        </w:rPr>
        <w:t>What did the SC hold on the delay question?</w:t>
      </w:r>
      <w:r/>
    </w:p>
    <w:p>
      <w:r>
        <w:t xml:space="preserve">The Supreme Court categorically rejected Limjoco's argument. The Court held that Limjoco could not invoke the third paragraph of Article 1169 to escape liability. The Court affirmed that Limjoco was solely responsible for the frustration of the contract. It was incumbent upon Limjoco to demonstrate that Tan's conduct fell short of readiness, which Limjoco failed to do. The Court noted that Tan's alleged "loss of interest" occurred </w:t>
      </w:r>
      <w:r>
        <w:rPr>
          <w:i/>
        </w:rPr>
        <w:t>after</w:t>
      </w:r>
      <w:r>
        <w:t xml:space="preserve"> the 60-day period had already lapsed, which could not be retroactively applied to excuse Limjoco's default during the contract's active period.</w:t>
      </w:r>
    </w:p>
    <w:p>
      <w:pPr>
        <w:pStyle w:val="ListBullet"/>
      </w:pPr>
      <w:r>
        <w:t xml:space="preserve">  </w:t>
      </w:r>
      <w:r>
        <w:rPr>
          <w:b/>
        </w:rPr>
        <w:t>How did it apply the mora rule to the facts?</w:t>
      </w:r>
      <w:r/>
    </w:p>
    <w:p>
      <w:r>
        <w:t xml:space="preserve">Applying the </w:t>
      </w:r>
      <w:r>
        <w:rPr>
          <w:b/>
        </w:rPr>
        <w:t>mora</w:t>
      </w:r>
      <w:r>
        <w:t xml:space="preserve"> rule, the Court observed that Tan was objectively ready to comply. Tan had paid the </w:t>
      </w:r>
      <w:r>
        <w:rPr>
          <w:b/>
        </w:rPr>
        <w:t>earnest money</w:t>
      </w:r>
      <w:r>
        <w:t>, and his counsel had proactively reminded Limjoco to prepare the deed. Conversely, Limjoco was unable to perform because he had misrepresented his absolute ownership (failing to get his children's signatures) and had neglected his specific contractual duty to arrange the RFC mortgage assumption. Because the failure to fulfill the obligation was solely attributable to Limjoco, the delay by Limjoco began the moment the 60 days lapsed and Tan stood ready to close the deal.</w:t>
      </w:r>
    </w:p>
    <w:p>
      <w:pPr>
        <w:pStyle w:val="ListBullet"/>
      </w:pPr>
      <w:r>
        <w:t xml:space="preserve">  </w:t>
      </w:r>
      <w:r>
        <w:rPr>
          <w:b/>
        </w:rPr>
        <w:t>What was the disposition?</w:t>
      </w:r>
      <w:r/>
    </w:p>
    <w:p>
      <w:r>
        <w:t xml:space="preserve">The Supreme Court affirmed the decision of the Court of Appeals </w:t>
      </w:r>
      <w:r>
        <w:rPr>
          <w:i/>
        </w:rPr>
        <w:t>in toto</w:t>
      </w:r>
      <w:r>
        <w:t>, with costs against the petitioner.</w:t>
      </w:r>
    </w:p>
    <w:p>
      <w:r>
        <w:t xml:space="preserve">Regarding the </w:t>
      </w:r>
      <w:r>
        <w:rPr>
          <w:b/>
        </w:rPr>
        <w:t>liquidated damages</w:t>
      </w:r>
      <w:r>
        <w:t>, the Court swiftly dismissed Limjoco's plea for equitable reduction. The Court ruled that Limjoco was under no compulsion to agree to the penalty clause. Highlighting a principle of contractual freedom, the Court observed that both Limjoco and Tan were "property owners and men of affairs who are presumed to know how to protect their interests in dealing with other parties". Therefore, the stipulated P5,000.00 penalty was neither iniquitous nor unconscionable and was fully enforced alongside the return of the P5,000.00 earnest money.</w:t>
      </w:r>
    </w:p>
    <w:p>
      <w:pPr>
        <w:pStyle w:val="Heading4"/>
      </w:pPr>
      <w:r>
        <w:t>6. Key Doctrine / Civil Code Hook</w:t>
      </w:r>
    </w:p>
    <w:p>
      <w:r>
        <w:t>The jurisprudence established in this case is a vital pedagogical tool in the study of Obligations and Contracts under Philippine law.</w:t>
      </w:r>
    </w:p>
    <w:p>
      <w:pPr>
        <w:pStyle w:val="ListBullet"/>
      </w:pPr>
      <w:r>
        <w:t xml:space="preserve">  </w:t>
      </w:r>
      <w:r>
        <w:rPr>
          <w:b/>
        </w:rPr>
        <w:t>State the rule on delay in reciprocal obligations (Art. 1169, par. 3)</w:t>
      </w:r>
      <w:r/>
    </w:p>
    <w:p>
      <w:r>
        <w:t xml:space="preserve">Article 1169, paragraph 3 of the Civil Code explicitly states: </w:t>
      </w:r>
      <w:r>
        <w:rPr>
          <w:i/>
        </w:rPr>
        <w:t>"In reciprocal obligations, neither party incurs in delay if the other does not comply or is not ready to comply in a proper manner with what is incumbent upon him. From the moment one of the parties fulfills his obligation, delay by the other begins."</w:t>
      </w:r>
    </w:p>
    <w:p>
      <w:pPr>
        <w:pStyle w:val="ListBullet"/>
      </w:pPr>
      <w:r>
        <w:t xml:space="preserve">  </w:t>
      </w:r>
      <w:r>
        <w:rPr>
          <w:b/>
        </w:rPr>
        <w:t>What does this case clarify about the simultaneity rule?</w:t>
      </w:r>
      <w:r/>
    </w:p>
    <w:p>
      <w:r>
        <w:rPr>
          <w:i/>
        </w:rPr>
        <w:t>Limjoco v. Court of Appeals</w:t>
      </w:r>
      <w:r>
        <w:t xml:space="preserve"> clarifies that the protective shield of </w:t>
      </w:r>
      <w:r>
        <w:rPr>
          <w:i/>
        </w:rPr>
        <w:t>compensatio morae</w:t>
      </w:r>
      <w:r>
        <w:t xml:space="preserve"> (where neither party is in delay because both are in default) cannot be weaponized by a party whose own negligence or misrepresentation caused the standstill. If a contract requires simultaneous performance, a party (Tan) is considered "ready to comply in a proper manner" if they have tendered the required downpayment (</w:t>
      </w:r>
      <w:r>
        <w:rPr>
          <w:b/>
        </w:rPr>
        <w:t>earnest money</w:t>
      </w:r>
      <w:r>
        <w:t>), communicated readiness to execute the final documents, and are only prevented from completing their performance because the other party (Limjoco) failed to accomplish prerequisite conditions (securing co-owner signatures and arranging the mortgage). In such a scenario, the fault is entirely on the non-performing party, and delay against them is triggered.</w:t>
      </w:r>
    </w:p>
    <w:p>
      <w:pPr>
        <w:pStyle w:val="ListBullet"/>
      </w:pPr>
      <w:r>
        <w:t xml:space="preserve">  </w:t>
      </w:r>
      <w:r>
        <w:rPr>
          <w:b/>
        </w:rPr>
        <w:t>Which Civil Code articles were applied?</w:t>
      </w:r>
      <w:r/>
    </w:p>
    <w:p>
      <w:r>
        <w:t xml:space="preserve">1.  </w:t>
      </w:r>
      <w:r>
        <w:rPr>
          <w:b/>
        </w:rPr>
        <w:t>Article 1169 (Delay/Mora):</w:t>
      </w:r>
      <w:r>
        <w:t xml:space="preserve"> The central provision governing the commencement of delay in reciprocal obligations.</w:t>
      </w:r>
    </w:p>
    <w:p>
      <w:r>
        <w:t xml:space="preserve">2.  </w:t>
      </w:r>
      <w:r>
        <w:rPr>
          <w:b/>
        </w:rPr>
        <w:t>Article 1191 (Implied Power to Rescind):</w:t>
      </w:r>
      <w:r>
        <w:t xml:space="preserve"> Though primarily a case on delay, it touches upon the inherent power to resolve reciprocal obligations when one obligor fails to comply.</w:t>
      </w:r>
    </w:p>
    <w:p>
      <w:r>
        <w:t xml:space="preserve">3.  </w:t>
      </w:r>
      <w:r>
        <w:rPr>
          <w:b/>
        </w:rPr>
        <w:t>Article 1482 (Earnest Money):</w:t>
      </w:r>
      <w:r>
        <w:t xml:space="preserve"> Governs the P5,000.00 paid by Tan, which forms part of the purchase price and acts as proof of the perfection of the contract.</w:t>
      </w:r>
    </w:p>
    <w:p>
      <w:r>
        <w:t xml:space="preserve">4.  </w:t>
      </w:r>
      <w:r>
        <w:rPr>
          <w:b/>
        </w:rPr>
        <w:t>Article 2226 &amp; 2227 (Liquidated Damages):</w:t>
      </w:r>
      <w:r>
        <w:t xml:space="preserve"> Applied by the Court when it refused to equitably reduce the P5,000.00 penalty, ruling that men of business affairs are bound by the penal clauses they freely negotiate.</w:t>
      </w:r>
    </w:p>
    <w:p>
      <w:pPr>
        <w:pStyle w:val="Heading4"/>
      </w:pPr>
      <w:r>
        <w:t>7. Memory Anchor</w:t>
      </w:r>
    </w:p>
    <w:p>
      <w:r>
        <w:rPr>
          <w:b/>
        </w:rPr>
        <w:t>"The 60-Day Mortgage Mirage."</w:t>
      </w:r>
    </w:p>
    <w:p>
      <w:r>
        <w:t xml:space="preserve">Limjoco promised to sell land he didn't fully own and arrange a mortgage he didn't fix; when the 60-day deadline hit, he tried to blame the buyer Tan for not paying, but under Art. 1169, you can't claim the other party isn't ready when </w:t>
      </w:r>
      <w:r>
        <w:rPr>
          <w:i/>
        </w:rPr>
        <w:t>your</w:t>
      </w:r>
      <w:r>
        <w:t xml:space="preserve"> failure to do the paperwork is exactly what's blocking them. </w:t>
      </w:r>
      <w:r>
        <w:rPr>
          <w:b/>
        </w:rPr>
        <w:t>Rule:</w:t>
      </w:r>
      <w:r>
        <w:t xml:space="preserve"> In reciprocal obligations, your delay begins the moment the other party is ready, and a "man of affairs" must pay the stipulated liquidated damages when he defaults.</w:t>
      </w:r>
    </w:p>
    <w:p>
      <w:pPr>
        <w:spacing w:before="120" w:after="120"/>
        <w:pBdr>
          <w:bottom w:val="single" w:sz="4" w:space="1" w:color="CCCCCC"/>
        </w:pBdr>
      </w:pPr>
    </w:p>
    <w:p>
      <w:pPr>
        <w:pStyle w:val="Heading2"/>
      </w:pPr>
      <w:r>
        <w:t>Case 8: Arrieta v. NARIC (1964) | G.R. No. L-15645</w:t>
      </w:r>
    </w:p>
    <w:p>
      <w:pPr>
        <w:pStyle w:val="Heading2"/>
      </w:pPr>
      <w:r>
        <w:t>Exhaustive Academic Report on Arrieta v. National Rice and Corn Corporation (NARIC)</w:t>
      </w:r>
    </w:p>
    <w:p>
      <w:r>
        <w:rPr>
          <w:b/>
        </w:rPr>
        <w:t>Key Points</w:t>
      </w:r>
    </w:p>
    <w:p>
      <w:pPr>
        <w:pStyle w:val="ListBullet"/>
      </w:pPr>
      <w:r>
        <w:t xml:space="preserve">  </w:t>
      </w:r>
      <w:r>
        <w:rPr>
          <w:b/>
        </w:rPr>
        <w:t>Financial Incapacity is Not Force Majeure:</w:t>
      </w:r>
      <w:r>
        <w:t xml:space="preserve"> The Supreme Court of the Philippines definitively ruled that a party's lack of funds does not constitute a fortuitous event; entering into a contract with the prior knowledge of financial incompetence constitutes a breach by contravening the tenor of the obligation.</w:t>
      </w:r>
    </w:p>
    <w:p>
      <w:pPr>
        <w:pStyle w:val="ListBullet"/>
      </w:pPr>
      <w:r>
        <w:t xml:space="preserve">  </w:t>
      </w:r>
      <w:r>
        <w:rPr>
          <w:b/>
        </w:rPr>
        <w:t>Recovery of Unrealized Profits:</w:t>
      </w:r>
      <w:r>
        <w:t xml:space="preserve"> The courts recognize and award </w:t>
      </w:r>
      <w:r>
        <w:rPr>
          <w:b/>
        </w:rPr>
        <w:t>lucrum cessans</w:t>
      </w:r>
      <w:r>
        <w:t xml:space="preserve"> (unrealized profits) in commercial disputes when the exact mathematical computation of expected gains can be established with reasonable certainty.</w:t>
      </w:r>
    </w:p>
    <w:p>
      <w:pPr>
        <w:pStyle w:val="ListBullet"/>
      </w:pPr>
      <w:r>
        <w:t xml:space="preserve">  </w:t>
      </w:r>
      <w:r>
        <w:rPr>
          <w:b/>
        </w:rPr>
        <w:t>Strict Interpretation of Waivers:</w:t>
      </w:r>
      <w:r>
        <w:t xml:space="preserve"> Offers to mitigate damages—such as proposing a substitute commodity—do not automatically waive a party's right to seek damages for the original breach, as waivers must be clearly and unequivocally expressed.</w:t>
      </w:r>
    </w:p>
    <w:p>
      <w:pPr>
        <w:pStyle w:val="ListBullet"/>
      </w:pPr>
      <w:r>
        <w:t xml:space="preserve">  </w:t>
      </w:r>
      <w:r>
        <w:rPr>
          <w:b/>
        </w:rPr>
        <w:t>Currency Conversion Standards:</w:t>
      </w:r>
      <w:r>
        <w:t xml:space="preserve"> Under Republic Act No. 529, financial damages awarded in foreign currency must be converted into Philippine Pesos based on the prevailing exchange rate at the time the obligation was incurred, not at the time of the breach or judgment.</w:t>
      </w:r>
    </w:p>
    <w:p>
      <w:r>
        <w:rPr>
          <w:b/>
        </w:rPr>
        <w:t>Background of the Study</w:t>
      </w:r>
    </w:p>
    <w:p>
      <w:r>
        <w:t xml:space="preserve">This report synthesizes the factual and legal nuances of the landmark case </w:t>
      </w:r>
      <w:r>
        <w:rPr>
          <w:i/>
        </w:rPr>
        <w:t>Arrieta v. National Rice and Corn Corporation (NARIC)</w:t>
      </w:r>
      <w:r>
        <w:t>. It examines the obligations assumed by both parties, the timeline of the breach, and the consequences of NARIC’s failure to establish a letter of credit due to internal financial inadequacies.</w:t>
      </w:r>
    </w:p>
    <w:p>
      <w:r>
        <w:rPr>
          <w:b/>
        </w:rPr>
        <w:t>Methodology</w:t>
      </w:r>
    </w:p>
    <w:p>
      <w:r>
        <w:t>The analysis draws upon the original Supreme Court decision, related statutory provisions (specifically the Civil Code of the Philippines and Republic Act No. 529), and synthesis from contemporary bar review materials, case digests, and academic commentaries.</w:t>
      </w:r>
    </w:p>
    <w:p>
      <w:r>
        <w:rPr>
          <w:b/>
        </w:rPr>
        <w:t>Scope of Analysis</w:t>
      </w:r>
    </w:p>
    <w:p>
      <w:r>
        <w:t xml:space="preserve">The report is structured to fulfill an intensive academic review of the case. It presents the user-requested seven-part structured digest, followed by a deep-dive academic commentary on the civil law doctrines of </w:t>
      </w:r>
      <w:r>
        <w:rPr>
          <w:b/>
        </w:rPr>
        <w:t>culpa contractual</w:t>
      </w:r>
      <w:r>
        <w:t xml:space="preserve">, the strict parameters of </w:t>
      </w:r>
      <w:r>
        <w:rPr>
          <w:b/>
        </w:rPr>
        <w:t>force majeure</w:t>
      </w:r>
      <w:r>
        <w:t>, and the computation of damages under Philippine law.</w:t>
      </w:r>
    </w:p>
    <w:p>
      <w:pPr>
        <w:spacing w:before="120" w:after="120"/>
        <w:pBdr>
          <w:bottom w:val="single" w:sz="4" w:space="1" w:color="CCCCCC"/>
        </w:pBdr>
      </w:pPr>
    </w:p>
    <w:p>
      <w:pPr>
        <w:pStyle w:val="Heading2"/>
      </w:pPr>
      <w:r>
        <w:t>Case Digest and Analysis</w:t>
      </w:r>
    </w:p>
    <w:p>
      <w:pPr>
        <w:pStyle w:val="Heading3"/>
      </w:pPr>
      <w:r>
        <w:t>Arrieta v. NARIC (1964) | G.R. No. L-15645</w:t>
      </w:r>
    </w:p>
    <w:p>
      <w:pPr>
        <w:pStyle w:val="Heading4"/>
      </w:pPr>
      <w:r>
        <w:t>1. The Parties</w:t>
      </w:r>
    </w:p>
    <w:p>
      <w:pPr>
        <w:pStyle w:val="ListBullet"/>
      </w:pPr>
      <w:r/>
      <w:r>
        <w:rPr>
          <w:b/>
        </w:rPr>
        <w:t>Petitioner (Arrieta):</w:t>
      </w:r>
      <w:r>
        <w:t xml:space="preserve"> Paz P. Arrieta was a commercial trader and middleman participating in international commodities trading. She acted as the supplier who won a public bidding to import Burmese rice into the Philippines. Her role was to bridge the foreign supplier in Rangoon, Burma, with the Philippine government, securing the commodity at a lower base price and selling it for a profit.</w:t>
      </w:r>
    </w:p>
    <w:p>
      <w:pPr>
        <w:pStyle w:val="ListBullet"/>
      </w:pPr>
      <w:r/>
      <w:r>
        <w:rPr>
          <w:b/>
        </w:rPr>
        <w:t>Respondent (NARIC):</w:t>
      </w:r>
      <w:r>
        <w:t xml:space="preserve"> The National Rice and Corn Corporation (NARIC) was a government-owned and controlled corporation. Its statutory mandate was to ensure a stable supply of basic staples (rice and corn) in the Philippines and to protect the populace from price volatility. NARIC was subsequently abolished, and its functions and liabilities were transferred to the Rice and Corn Administration (RCA) under Republic Act No. 3452.</w:t>
      </w:r>
    </w:p>
    <w:p>
      <w:pPr>
        <w:pStyle w:val="ListBullet"/>
      </w:pPr>
      <w:r/>
      <w:r>
        <w:rPr>
          <w:b/>
        </w:rPr>
        <w:t>Their relationship:</w:t>
      </w:r>
      <w:r>
        <w:t xml:space="preserve"> The parties entered into a commercial Contract of Sale of Rice on July 1, 1952, following a public bidding held on May 19, 1952. Arrieta was the vendor (obliged to deliver the rice), and NARIC was the vendee (obliged to pay for the importation via a letter of credit).</w:t>
      </w:r>
    </w:p>
    <w:p>
      <w:pPr>
        <w:pStyle w:val="Heading4"/>
      </w:pPr>
      <w:r>
        <w:t>2. Background &amp; Facts</w:t>
      </w:r>
    </w:p>
    <w:p>
      <w:pPr>
        <w:pStyle w:val="ListBullet"/>
      </w:pPr>
      <w:r/>
      <w:r>
        <w:rPr>
          <w:b/>
        </w:rPr>
        <w:t>Arrieta's Obligation:</w:t>
      </w:r>
      <w:r>
        <w:t xml:space="preserve"> Arrieta won the bid and agreed to supply NARIC with 20,000 metric tons of Burmese rice at the price of $203.00 U.S. Dollars per metric ton, C.I.F. Manila.</w:t>
      </w:r>
    </w:p>
    <w:p>
      <w:pPr>
        <w:pStyle w:val="ListBullet"/>
      </w:pPr>
      <w:r/>
      <w:r>
        <w:rPr>
          <w:b/>
        </w:rPr>
        <w:t>NARIC's Obligation:</w:t>
      </w:r>
      <w:r>
        <w:t xml:space="preserve"> To facilitate the transaction, NARIC committed to paying for the imported rice "by means of an irrevocable, confirmed and assignable letter of credit in U.S. currency in favor of the plaintiff-appellee and/or supplier in Burma, immediately".</w:t>
      </w:r>
    </w:p>
    <w:p>
      <w:pPr>
        <w:pStyle w:val="ListBullet"/>
      </w:pPr>
      <w:r/>
      <w:r>
        <w:rPr>
          <w:b/>
        </w:rPr>
        <w:t>The Breach:</w:t>
      </w:r>
      <w:r>
        <w:t xml:space="preserve"> NARIC failed to open the letter of credit "immediately." Despite signing the contract on July 1, 1952, NARIC only took the first step to apply for the letter of credit with the Philippine National Bank (PNB) on July 30, 1952—a full month later. When PNB approved the application on August 4, 1952, it was subject to a condition: NARIC had to provide a 50% marginal cash deposit. NARIC bluntly confessed to Arrieta in a letter dated August 2, 1952, that it did not have sufficient funds to meet PNB's deposit requirement. The letter of credit was ultimately not opened until September 8, 1952.</w:t>
      </w:r>
    </w:p>
    <w:p>
      <w:pPr>
        <w:pStyle w:val="ListBullet"/>
      </w:pPr>
      <w:r/>
      <w:r>
        <w:rPr>
          <w:b/>
        </w:rPr>
        <w:t>Consequence to Arrieta:</w:t>
      </w:r>
      <w:r>
        <w:t xml:space="preserve"> Because of NARIC's delay, Arrieta failed to meet her foreign supplier's strict deadline of August 4, 1952. Consequently, the Burmese authorities canceled her 20,000 metric ton rice allocation. Furthermore, her 5% deposit with the supplier in Rangoon—amounting to 524,000 kyats or approximately P200,000.00—was entirely forfeited. Arrieta attempted to mitigate the situation by offering Thailand rice as a substitute, but NARIC rejected this offer on November 15, 1952. Arrieta then sued for damages.</w:t>
      </w:r>
    </w:p>
    <w:p>
      <w:r>
        <w:rPr>
          <w:b/>
        </w:rPr>
        <w:t>Table 1: Timeline of Key Events (1952)</w:t>
      </w:r>
    </w:p>
    <w:p>
      <w:r>
        <w:t>| Date | Event Description |</w:t>
      </w:r>
    </w:p>
    <w:p>
      <w:r>
        <w:t>| :--- | :--- |</w:t>
      </w:r>
    </w:p>
    <w:p>
      <w:r>
        <w:t xml:space="preserve">| </w:t>
      </w:r>
      <w:r>
        <w:rPr>
          <w:b/>
        </w:rPr>
        <w:t>May 19</w:t>
      </w:r>
      <w:r>
        <w:t xml:space="preserve"> | Paz P. Arrieta wins the public bidding to supply 20,000 MT of Burmese rice at $203/MT. |</w:t>
      </w:r>
    </w:p>
    <w:p>
      <w:r>
        <w:t xml:space="preserve">| </w:t>
      </w:r>
      <w:r>
        <w:rPr>
          <w:b/>
        </w:rPr>
        <w:t>July 1</w:t>
      </w:r>
      <w:r>
        <w:t xml:space="preserve"> | The Contract of Sale of Rice is officially executed; NARIC is obligated to open a letter of credit "immediately". |</w:t>
      </w:r>
    </w:p>
    <w:p>
      <w:r>
        <w:t xml:space="preserve">| </w:t>
      </w:r>
      <w:r>
        <w:rPr>
          <w:b/>
        </w:rPr>
        <w:t>July 30</w:t>
      </w:r>
      <w:r>
        <w:t xml:space="preserve"> | NARIC finally forwards its application for a letter of credit to PNB. Arrieta's counsel formally warns NARIC of the impending August 4 deadline. |</w:t>
      </w:r>
    </w:p>
    <w:p>
      <w:r>
        <w:t xml:space="preserve">| </w:t>
      </w:r>
      <w:r>
        <w:rPr>
          <w:b/>
        </w:rPr>
        <w:t>August 2</w:t>
      </w:r>
      <w:r>
        <w:t xml:space="preserve"> | NARIC admits in a letter that it does not have the funds to cover the bank's deposit requirement. |</w:t>
      </w:r>
    </w:p>
    <w:p>
      <w:r>
        <w:t xml:space="preserve">| </w:t>
      </w:r>
      <w:r>
        <w:rPr>
          <w:b/>
        </w:rPr>
        <w:t>August 4</w:t>
      </w:r>
      <w:r>
        <w:t xml:space="preserve"> | The supplier's deadline expires. PNB conditionally approves the LC, requiring a 50% marginal cash deposit from NARIC. |</w:t>
      </w:r>
    </w:p>
    <w:p>
      <w:r>
        <w:t xml:space="preserve">| </w:t>
      </w:r>
      <w:r>
        <w:rPr>
          <w:b/>
        </w:rPr>
        <w:t>September 8</w:t>
      </w:r>
      <w:r>
        <w:t xml:space="preserve"> | The letter of credit is belatedly opened, more than two months after the contract execution. |</w:t>
      </w:r>
    </w:p>
    <w:p>
      <w:r>
        <w:t xml:space="preserve">| </w:t>
      </w:r>
      <w:r>
        <w:rPr>
          <w:b/>
        </w:rPr>
        <w:t>November 15</w:t>
      </w:r>
      <w:r>
        <w:t xml:space="preserve"> | NARIC rejects Arrieta's offer to substitute Thailand rice, leading Arrieta to file a lawsuit for damages. |</w:t>
      </w:r>
    </w:p>
    <w:p>
      <w:pPr>
        <w:pStyle w:val="Heading4"/>
      </w:pPr>
      <w:r>
        <w:t>3. The Contract or Obligation</w:t>
      </w:r>
    </w:p>
    <w:p>
      <w:pPr>
        <w:pStyle w:val="ListBullet"/>
      </w:pPr>
      <w:r/>
      <w:r>
        <w:rPr>
          <w:b/>
        </w:rPr>
        <w:t>Original Obligations:</w:t>
      </w:r>
      <w:r>
        <w:t xml:space="preserve"> The contract was bilateral and reciprocal. Arrieta was to procure and deliver 20,000 metric tons of Burmese rice, while NARIC was legally bound to finance the transaction upfront by opening an irrevocable letter of credit.</w:t>
      </w:r>
    </w:p>
    <w:p>
      <w:pPr>
        <w:pStyle w:val="ListBullet"/>
      </w:pPr>
      <w:r/>
      <w:r>
        <w:rPr>
          <w:b/>
        </w:rPr>
        <w:t>Time Element:</w:t>
      </w:r>
      <w:r>
        <w:t xml:space="preserve"> Time was of the essence. The contract expressly mandated that the letter of credit be opened "immediately". This immediacy was critical because international commodity allocations are strictly time-bound, as evidenced by the Burmese supplier's August 4 deadline.</w:t>
      </w:r>
    </w:p>
    <w:p>
      <w:pPr>
        <w:pStyle w:val="ListBullet"/>
      </w:pPr>
      <w:r/>
      <w:r>
        <w:rPr>
          <w:b/>
        </w:rPr>
        <w:t>Characterization of Breach:</w:t>
      </w:r>
      <w:r>
        <w:t xml:space="preserve"> NARIC's failure was characterized as a willful </w:t>
      </w:r>
      <w:r>
        <w:rPr>
          <w:b/>
        </w:rPr>
        <w:t>fault</w:t>
      </w:r>
      <w:r>
        <w:t xml:space="preserve"> and a clear case of </w:t>
      </w:r>
      <w:r>
        <w:rPr>
          <w:b/>
        </w:rPr>
        <w:t>culpa contractual</w:t>
      </w:r>
      <w:r>
        <w:t xml:space="preserve"> (contractual negligence). It was not a case of </w:t>
      </w:r>
      <w:r>
        <w:rPr>
          <w:b/>
        </w:rPr>
        <w:t>force majeure</w:t>
      </w:r>
      <w:r>
        <w:t>. The Supreme Court noted that NARIC’s culpability arose from its "willful and deliberate assumption of contractual obligations" while being fully aware of its financial incapacity to fulfill them.</w:t>
      </w:r>
    </w:p>
    <w:p>
      <w:pPr>
        <w:pStyle w:val="Heading4"/>
      </w:pPr>
      <w:r>
        <w:t>4. Legal Issues Raised</w:t>
      </w:r>
    </w:p>
    <w:p>
      <w:r>
        <w:t xml:space="preserve">1.  </w:t>
      </w:r>
      <w:r>
        <w:rPr>
          <w:b/>
        </w:rPr>
        <w:t>Breach of Contract:</w:t>
      </w:r>
      <w:r>
        <w:t xml:space="preserve"> Is financial incapacity (lack of funds) a valid excuse for non-performance or delay under the Civil Code?</w:t>
      </w:r>
    </w:p>
    <w:p>
      <w:r>
        <w:t xml:space="preserve">2.  </w:t>
      </w:r>
      <w:r>
        <w:rPr>
          <w:b/>
        </w:rPr>
        <w:t>Attribution of Delay:</w:t>
      </w:r>
      <w:r>
        <w:t xml:space="preserve"> Was the delay in opening the letter of credit attributable to Arrieta's alleged failure to provide necessary data (e.g., supplier's name and negotiating bank)?</w:t>
      </w:r>
    </w:p>
    <w:p>
      <w:r>
        <w:t xml:space="preserve">3.  </w:t>
      </w:r>
      <w:r>
        <w:rPr>
          <w:b/>
        </w:rPr>
        <w:t>Waiver of Rights:</w:t>
      </w:r>
      <w:r>
        <w:t xml:space="preserve"> Did Arrieta's offer to substitute Thailand rice for the canceled Burmese rice constitute a waiver of her right to claim damages?</w:t>
      </w:r>
    </w:p>
    <w:p>
      <w:r>
        <w:t xml:space="preserve">4.  </w:t>
      </w:r>
      <w:r>
        <w:rPr>
          <w:b/>
        </w:rPr>
        <w:t>Measure of Damages &amp; Currency:</w:t>
      </w:r>
      <w:r>
        <w:t xml:space="preserve"> What is the proper measure of damages, are lost profits recoverable, and should the damages be expressed in U.S. Dollars or Philippine Pesos?</w:t>
      </w:r>
    </w:p>
    <w:p>
      <w:pPr>
        <w:pStyle w:val="Heading4"/>
      </w:pPr>
      <w:r>
        <w:t>5. Supreme Court Ruling</w:t>
      </w:r>
    </w:p>
    <w:p>
      <w:pPr>
        <w:pStyle w:val="ListBullet"/>
      </w:pPr>
      <w:r/>
      <w:r>
        <w:rPr>
          <w:b/>
        </w:rPr>
        <w:t>Excusability of Breach:</w:t>
      </w:r>
      <w:r>
        <w:t xml:space="preserve"> The Supreme Court held that NARIC's breach was inexcusable. The sole and principal reason for the cancellation of the rice allocation was NARIC's failure to open the letter of credit. The Court rejected NARIC's defense that Arrieta withheld data, noting that NARIC's general manager (Gabriel Belmonte) already knew the necessary details from the bidding process. The Court also ruled that Arrieta's offer of Thailand rice was a mere attempt to mitigate losses, not a waiver, as waivers are never presumed and must be clearly expressed.</w:t>
      </w:r>
    </w:p>
    <w:p>
      <w:pPr>
        <w:pStyle w:val="ListBullet"/>
      </w:pPr>
      <w:r/>
      <w:r>
        <w:rPr>
          <w:b/>
        </w:rPr>
        <w:t>Damages Awarded:</w:t>
      </w:r>
      <w:r>
        <w:t xml:space="preserve"> The trial court's award of </w:t>
      </w:r>
      <w:r>
        <w:rPr>
          <w:b/>
        </w:rPr>
        <w:t>$286,000.00</w:t>
      </w:r>
      <w:r>
        <w:t xml:space="preserve"> in damages to Arrieta was affirmed as fair and equitable.</w:t>
      </w:r>
    </w:p>
    <w:p>
      <w:pPr>
        <w:pStyle w:val="ListBullet"/>
      </w:pPr>
      <w:r/>
      <w:r>
        <w:rPr>
          <w:b/>
        </w:rPr>
        <w:t>Award of Lost Profits:</w:t>
      </w:r>
      <w:r>
        <w:t xml:space="preserve"> Yes, the $286,000.00 specifically represented the </w:t>
      </w:r>
      <w:r>
        <w:rPr>
          <w:b/>
        </w:rPr>
        <w:t>lucrum cessans</w:t>
      </w:r>
      <w:r>
        <w:t xml:space="preserve"> (unrealized net profit) that Arrieta would have earned had NARIC fulfilled its obligation. The Court verified the math: Arrieta bought the rice at $180.70 per ton, paid $8.00 in freight/handling, bringing her cost to $188.70 per ton. She sold it to NARIC for $203.00 per ton, ensuring a net profit of $14.30 per ton. Multiplied by 20,000 tons, the total lost profit was exactly $286,000.00. The court noted this amount was equitable, especially considering Arrieta had also suffered the forfeiture of her P200,000 deposit.</w:t>
      </w:r>
    </w:p>
    <w:p>
      <w:pPr>
        <w:pStyle w:val="ListBullet"/>
      </w:pPr>
      <w:r/>
      <w:r>
        <w:rPr>
          <w:b/>
        </w:rPr>
        <w:t>Disposition:</w:t>
      </w:r>
      <w:r>
        <w:t xml:space="preserve"> The Supreme Court affirmed the award of damages but modified the currency. Pursuant to Republic Act No. 529 (Uniform Currency Act), the $286,000 award had to be converted into Philippine Pesos based on the prevailing exchange rate on the date the obligation was incurred: July 1, 1952.</w:t>
      </w:r>
    </w:p>
    <w:p>
      <w:r>
        <w:rPr>
          <w:b/>
        </w:rPr>
        <w:t>Table 2: Computation of Unrealized Profits ($286,000)</w:t>
      </w:r>
    </w:p>
    <w:p>
      <w:r>
        <w:t>| Item Description | Amount (in USD) |</w:t>
      </w:r>
    </w:p>
    <w:p>
      <w:r>
        <w:t>| :--- | :--- |</w:t>
      </w:r>
    </w:p>
    <w:p>
      <w:r>
        <w:t>| NARIC Contract Purchase Price (Per MT) | $203.00 |</w:t>
      </w:r>
    </w:p>
    <w:p>
      <w:r>
        <w:t>| Less: Supplier's Base Price (Per MT) | ($180.70) |</w:t>
      </w:r>
    </w:p>
    <w:p>
      <w:r>
        <w:t>| Less: Freight and Handling Costs (Per MT) | ($8.00) |</w:t>
      </w:r>
    </w:p>
    <w:p>
      <w:r>
        <w:t xml:space="preserve">| </w:t>
      </w:r>
      <w:r>
        <w:rPr>
          <w:b/>
        </w:rPr>
        <w:t>Net Profit Margin (Per MT)</w:t>
      </w:r>
      <w:r>
        <w:t xml:space="preserve"> | </w:t>
      </w:r>
      <w:r>
        <w:rPr>
          <w:b/>
        </w:rPr>
        <w:t>$14.30</w:t>
      </w:r>
      <w:r>
        <w:t xml:space="preserve"> |</w:t>
      </w:r>
    </w:p>
    <w:p>
      <w:r>
        <w:t>| Multiply by Total Volume (Metric Tons) | x 20,000 |</w:t>
      </w:r>
    </w:p>
    <w:p>
      <w:r>
        <w:t xml:space="preserve">| </w:t>
      </w:r>
      <w:r>
        <w:rPr>
          <w:b/>
        </w:rPr>
        <w:t>Total Awarded Damages (Lucrum Cessans)</w:t>
      </w:r>
      <w:r>
        <w:t xml:space="preserve"> | </w:t>
      </w:r>
      <w:r>
        <w:rPr>
          <w:b/>
        </w:rPr>
        <w:t>$286,000.00</w:t>
      </w:r>
      <w:r>
        <w:t xml:space="preserve"> |</w:t>
      </w:r>
    </w:p>
    <w:p>
      <w:pPr>
        <w:pStyle w:val="Heading4"/>
      </w:pPr>
      <w:r>
        <w:t>6. Key Doctrine / Civil Code Hook</w:t>
      </w:r>
    </w:p>
    <w:p>
      <w:pPr>
        <w:pStyle w:val="ListBullet"/>
      </w:pPr>
      <w:r/>
      <w:r>
        <w:rPr>
          <w:b/>
        </w:rPr>
        <w:t>Financial Incapacity ≠ Force Majeure:</w:t>
      </w:r>
      <w:r>
        <w:t xml:space="preserve"> Financial difficulty or lack of funds is not an act of God or a fortuitous event. Entering into a contract knowing you lack the capacity to perform is considered bad faith and fault.</w:t>
      </w:r>
    </w:p>
    <w:p>
      <w:pPr>
        <w:pStyle w:val="ListBullet"/>
      </w:pPr>
      <w:r/>
      <w:r>
        <w:rPr>
          <w:b/>
        </w:rPr>
        <w:t>Article 1170 (Breach of Obligation):</w:t>
      </w:r>
      <w:r>
        <w:t xml:space="preserve"> The Court applied Article 1170 of the Civil Code, which states: *"Those who in the performance of their obligation are guilty of fraud, negligence, or delay, and those who in any manner contravene the tenor thereof, are liable in damages"*. NARIC's assumption of an obligation it knew it could not finance was deemed to "contravene the tenor" of the agreement.</w:t>
      </w:r>
    </w:p>
    <w:p>
      <w:pPr>
        <w:pStyle w:val="ListBullet"/>
      </w:pPr>
      <w:r/>
      <w:r>
        <w:rPr>
          <w:b/>
        </w:rPr>
        <w:t>Articles 2200–2201 (Damages):</w:t>
      </w:r>
      <w:r>
        <w:t xml:space="preserve"> While not explicitly quoted in the main text of the *Arrieta* decision, the award is the jurisprudential anchor for Articles 2200–2201, establishing that indemnification for damages comprehends not only the value of the loss suffered (*daño emergente*, like the forfeited deposit) but also the profits which the obligee failed to obtain (*lucrum cessans*).</w:t>
      </w:r>
    </w:p>
    <w:p>
      <w:pPr>
        <w:pStyle w:val="Heading4"/>
      </w:pPr>
      <w:r>
        <w:t>7. Memory Anchor</w:t>
      </w:r>
    </w:p>
    <w:p>
      <w:r>
        <w:rPr>
          <w:b/>
        </w:rPr>
        <w:t>"NARIC had no money to open the LC—SC said that's your fault, not an act of God. You cannot promise to pay immediately when you know your pockets are empty; that is a contravention of the tenor of the obligation."</w:t>
      </w:r>
    </w:p>
    <w:p>
      <w:pPr>
        <w:spacing w:before="120" w:after="120"/>
        <w:pBdr>
          <w:bottom w:val="single" w:sz="4" w:space="1" w:color="CCCCCC"/>
        </w:pBdr>
      </w:pPr>
    </w:p>
    <w:p>
      <w:pPr>
        <w:pStyle w:val="Heading2"/>
      </w:pPr>
      <w:r>
        <w:t>Academic Commentary and Deep Legal Analysis</w:t>
      </w:r>
    </w:p>
    <w:p>
      <w:pPr>
        <w:pStyle w:val="Heading3"/>
      </w:pPr>
      <w:r>
        <w:t>The Anatomy of Article 1170: "Contravening the Tenor"</w:t>
      </w:r>
    </w:p>
    <w:p>
      <w:r>
        <w:t>Article 1170 of the Civil Code of the Philippines is the cornerstone of civil liability arising from contractual breaches (</w:t>
      </w:r>
      <w:r>
        <w:rPr>
          <w:i/>
        </w:rPr>
        <w:t>culpa contractual</w:t>
      </w:r>
      <w:r>
        <w:t>). It identifies four modes of breaching an obligation: fraud (</w:t>
      </w:r>
      <w:r>
        <w:rPr>
          <w:i/>
        </w:rPr>
        <w:t>dolo</w:t>
      </w:r>
      <w:r>
        <w:t>), negligence (</w:t>
      </w:r>
      <w:r>
        <w:rPr>
          <w:i/>
        </w:rPr>
        <w:t>culpa</w:t>
      </w:r>
      <w:r>
        <w:t>), delay (</w:t>
      </w:r>
      <w:r>
        <w:rPr>
          <w:i/>
        </w:rPr>
        <w:t>mora</w:t>
      </w:r>
      <w:r>
        <w:t>), and contravention of the tenor of the obligation.</w:t>
      </w:r>
    </w:p>
    <w:p>
      <w:r>
        <w:t xml:space="preserve">In </w:t>
      </w:r>
      <w:r>
        <w:rPr>
          <w:i/>
        </w:rPr>
        <w:t>Arrieta v. NARIC</w:t>
      </w:r>
      <w:r>
        <w:t xml:space="preserve">, the Supreme Court leaned heavily on the fourth mode: </w:t>
      </w:r>
      <w:r>
        <w:rPr>
          <w:b/>
        </w:rPr>
        <w:t>contravening the tenor of the obligation</w:t>
      </w:r>
      <w:r>
        <w:t>. The Court defined this phrase broadly to include "any illicit act which impairs the strict and faithful fulfillment of the obligation, or every kind of defective performance".</w:t>
      </w:r>
    </w:p>
    <w:p>
      <w:r>
        <w:t>NARIC attempted to frame its failure to open the letter of credit as a mere delay (</w:t>
      </w:r>
      <w:r>
        <w:rPr>
          <w:i/>
        </w:rPr>
        <w:t>mora solvendi</w:t>
      </w:r>
      <w:r>
        <w:t>) caused by external banking strictures (the PNB requiring a 50% marginal deposit). However, the Supreme Court pierced this defense by examining the timeline and NARIC’s internal corporate knowledge. The Court found that NARIC's management was fully aware of the stringent banking requirements for opening an international letter of credit, and equally aware that the corporation's treasury was empty. Therefore, NARIC's act of executing the contract on July 1, 1952, with a promise to pay "immediately," was a willful misrepresentation of its financial capacity.</w:t>
      </w:r>
    </w:p>
    <w:p>
      <w:r>
        <w:t xml:space="preserve">This ruling established a vital corporate doctrine: </w:t>
      </w:r>
      <w:r>
        <w:rPr>
          <w:b/>
        </w:rPr>
        <w:t>A corporation that willfully and deliberately assumes a contractual obligation while being fully aware of its financial incapacity to perform does so at its own peril.</w:t>
      </w:r>
      <w:r>
        <w:t xml:space="preserve"> Such an act is not merely delayed performance; it is a fundamental contravention of the contract’s tenor, giving rise to liability for all natural and probable consequences of the breach. This principle has been echoed in subsequent jurisprudence, such as </w:t>
      </w:r>
      <w:r>
        <w:rPr>
          <w:i/>
        </w:rPr>
        <w:t>Magat v. Medialdea</w:t>
      </w:r>
      <w:r>
        <w:t>, reinforcing that bad faith or gross negligence in assuming impossible financial commitments warrants the imposition of actual and compensatory damages.</w:t>
      </w:r>
    </w:p>
    <w:p>
      <w:pPr>
        <w:pStyle w:val="Heading3"/>
      </w:pPr>
      <w:r>
        <w:t>Financial Incapacity vs. Force Majeure (Article 1174)</w:t>
      </w:r>
    </w:p>
    <w:p>
      <w:r>
        <w:t>A common defense in commercial litigation is the invocation of Article 1174 of the Civil Code, which exempts an obligor from liability if the non-performance was caused by a fortuitous event (</w:t>
      </w:r>
      <w:r>
        <w:rPr>
          <w:i/>
        </w:rPr>
        <w:t>caso fortuito</w:t>
      </w:r>
      <w:r>
        <w:t xml:space="preserve">) or </w:t>
      </w:r>
      <w:r>
        <w:rPr>
          <w:i/>
        </w:rPr>
        <w:t>force majeure</w:t>
      </w:r>
      <w:r>
        <w:t>. The elements of a fortuitous event under Philippine law require that the cause of the breach be independent of the debtor's will, unforeseeable or unavoidable, and of such a character as to render it impossible for the debtor to fulfill their obligation in a normal manner.</w:t>
      </w:r>
    </w:p>
    <w:p>
      <w:r>
        <w:t xml:space="preserve">In the context of </w:t>
      </w:r>
      <w:r>
        <w:rPr>
          <w:i/>
        </w:rPr>
        <w:t>Arrieta v. NARIC</w:t>
      </w:r>
      <w:r>
        <w:t>, the lack of funds to pay the 50% marginal deposit to the Philippine National Bank was entirely internal to NARIC. Financial insolvency or illiquidity is a business risk, not an act of God or an unavoidable external intervention. The bank's requirement for a deposit was highly foreseeable—in fact, it is a standard banking practice for letters of credit. Because NARIC had absolute control over its own treasury and the decision to enter into the contract, its lack of funds lacked the essential element of being "independent of the will of the debtor". Consequently, financial incapacity is universally rejected by Philippine courts as a fortuitous event.</w:t>
      </w:r>
    </w:p>
    <w:p>
      <w:pPr>
        <w:pStyle w:val="Heading3"/>
      </w:pPr>
      <w:r>
        <w:t>The Mechanics of Damages: Indemnification and *Lucrum Cessans*</w:t>
      </w:r>
    </w:p>
    <w:p>
      <w:r>
        <w:t xml:space="preserve">The computation of damages in </w:t>
      </w:r>
      <w:r>
        <w:rPr>
          <w:i/>
        </w:rPr>
        <w:t>Arrieta v. NARIC</w:t>
      </w:r>
      <w:r>
        <w:t xml:space="preserve"> provides a textbook application of the rules on actual and compensatory damages, specifically the recovery of unrealized profits.</w:t>
      </w:r>
    </w:p>
    <w:p>
      <w:r>
        <w:t>Under Philippine civil law (Arts. 2200-2201), actual damages consist of two distinct elements:</w:t>
      </w:r>
    </w:p>
    <w:p>
      <w:r>
        <w:t xml:space="preserve">1.  </w:t>
      </w:r>
      <w:r>
        <w:rPr>
          <w:b/>
        </w:rPr>
        <w:t>Daño Emergente (Actual Loss):</w:t>
      </w:r>
      <w:r>
        <w:t xml:space="preserve"> The value of the loss actually suffered. In Arrieta's case, this was represented by the forfeiture of her 5% deposit to the Burmese supplier, amounting to 524,000 kyats or approximately P200,000.00.</w:t>
      </w:r>
    </w:p>
    <w:p>
      <w:r>
        <w:t xml:space="preserve">2.  </w:t>
      </w:r>
      <w:r>
        <w:rPr>
          <w:b/>
        </w:rPr>
        <w:t>Lucrum Cessans (Unrealized Profit):</w:t>
      </w:r>
      <w:r>
        <w:t xml:space="preserve"> The profits that the obligee failed to obtain as a direct result of the breach. For </w:t>
      </w:r>
      <w:r>
        <w:rPr>
          <w:i/>
        </w:rPr>
        <w:t>lucrum cessans</w:t>
      </w:r>
      <w:r>
        <w:t xml:space="preserve"> to be awarded, it cannot be speculative; it must be proven with reasonable, mathematical certainty.</w:t>
      </w:r>
    </w:p>
    <w:p>
      <w:r>
        <w:t xml:space="preserve">The trial court and the Supreme Court awarded Arrieta $286,000.00. This figure was not a random estimation but a precise calculation of her </w:t>
      </w:r>
      <w:r>
        <w:rPr>
          <w:i/>
        </w:rPr>
        <w:t>lucrum cessans</w:t>
      </w:r>
      <w:r>
        <w:t>. The documentary evidence established that Arrieta had secured the rice at a base cost of $180.70 per metric ton. Adding the $8.00 per ton required for shipping and handling, her total overhead was $188.70 per ton. Because NARIC had contracted to buy the rice at $203.00 per ton, Arrieta was contractually assured a clean net profit of $14.30 per ton. Over a volume of 20,000 metric tons, her precise unrealized profit was $286,000.00.</w:t>
      </w:r>
    </w:p>
    <w:p>
      <w:r>
        <w:t xml:space="preserve">The Supreme Court held this award to be "fair and equitable." Furthermore, the Court noted that while the $286,000 represented the lost profits, the equity of the award was reinforced by the fact that Arrieta had also suffered the distinct, out-of-pocket loss of her P200,000.00 forfeited deposit. </w:t>
      </w:r>
      <w:r>
        <w:rPr>
          <w:i/>
        </w:rPr>
        <w:t>Arrieta v. NARIC</w:t>
      </w:r>
      <w:r>
        <w:t xml:space="preserve"> remains a frequently cited precedent (alongside cases like </w:t>
      </w:r>
      <w:r>
        <w:rPr>
          <w:i/>
        </w:rPr>
        <w:t>Central Bank v. CA</w:t>
      </w:r>
      <w:r>
        <w:t xml:space="preserve"> and </w:t>
      </w:r>
      <w:r>
        <w:rPr>
          <w:i/>
        </w:rPr>
        <w:t>Cerrano v. Tan Chuco</w:t>
      </w:r>
      <w:r>
        <w:t>) to justify the award of 15% to 20% expected profit margins in commercial and construction contracts, provided the underlying arithmetic is undisputed.</w:t>
      </w:r>
    </w:p>
    <w:p>
      <w:pPr>
        <w:pStyle w:val="Heading3"/>
      </w:pPr>
      <w:r>
        <w:t>Mitigation of Damages and the Doctrine of Waiver</w:t>
      </w:r>
    </w:p>
    <w:p>
      <w:r>
        <w:t>When NARIC failed to perform, Arrieta attempted to salvage the transaction by sourcing alternative rice from Thailand. NARIC ultimately rejected this substitution on November 15, 1952. During litigation, NARIC argued that by offering Thailand rice, Arrieta had impliedly waived her rights to claim damages for the cancellation of the Burmese rice contract.</w:t>
      </w:r>
    </w:p>
    <w:p>
      <w:r>
        <w:t>The Supreme Court firmly rejected this argument, laying down a strict evidentiary standard for the waiver of rights. A waiver is the intentional relinquishment of a known right. The Court declared that "waivers are not presumed, but must be clearly and convincingly shown, either by express stipulation or acts admitting no other reasonable explanation". Arrieta's offer to substitute the rice was interpreted not as a relinquishment of her legal rights, but as a prudent business attempt to mitigate her losses and fulfill the broader objective of supplying rice to the Philippines. This aligns with the civil law principle that an injured party has a duty to minimize their damages, and acts taken in furtherance of this duty cannot be maliciously construed as a waiver of the underlying breach.</w:t>
      </w:r>
    </w:p>
    <w:p>
      <w:pPr>
        <w:pStyle w:val="Heading3"/>
      </w:pPr>
      <w:r>
        <w:t>The Impact of Republic Act No. 529 (Uniform Currency Act)</w:t>
      </w:r>
    </w:p>
    <w:p>
      <w:r>
        <w:t>A critical secondary issue resolved in this case pertained to the currency of the damages awarded. The original contract stipulated that payment was to be made in U.S. Dollars. The trial court naturally awarded the $286,000.00 in U.S. Dollars.</w:t>
      </w:r>
    </w:p>
    <w:p>
      <w:r>
        <w:t>However, the Supreme Court modified this aspect of the ruling by applying Republic Act No. 529 (the Uniform Currency Act), which was in effect at the time. R.A. 529 declared that any agreement to pay an obligation in a currency other than Philippine legal tender was null and void as against public policy.</w:t>
      </w:r>
    </w:p>
    <w:p>
      <w:r>
        <w:t>The jurisprudential debate centered on the appropriate exchange rate: should it be the rate at the time of the breach, the time of the judgment, or the time the obligation was incurred? The Court definitively ruled that the award must be converted into Philippine Pesos based on the exchange rate prevailing at the time the obligation was incurred—which, in this case, was July 1, 1952, the date the Contract of Sale was executed. This standard prevents either party from unjustly enriching themselves through foreign exchange fluctuations that occur during prolonged litigation.</w:t>
      </w:r>
    </w:p>
    <w:p>
      <w:pPr>
        <w:pStyle w:val="Heading2"/>
      </w:pPr>
      <w:r>
        <w:t>Conclusion</w:t>
      </w:r>
    </w:p>
    <w:p>
      <w:r>
        <w:rPr>
          <w:i/>
        </w:rPr>
        <w:t>Arrieta v. NARIC</w:t>
      </w:r>
      <w:r>
        <w:t xml:space="preserve"> stands as a monumental pillar in Philippine civil law, intricately detailing the responsibilities of contracting parties in high-stakes commercial transactions. It serves as a stark warning to commercial entities—especially government-owned corporations—that financial overextension is a legally inexcusable act. By categorically removing financial incapacity from the protective umbrella of </w:t>
      </w:r>
      <w:r>
        <w:rPr>
          <w:i/>
        </w:rPr>
        <w:t>force majeure</w:t>
      </w:r>
      <w:r>
        <w:t xml:space="preserve"> and classifying it as a contravention of the tenor of the obligation under Article 1170, the Supreme Court reinforced the sanctity of commercial contracts. Furthermore, the mathematically precise awarding of $286,000 in </w:t>
      </w:r>
      <w:r>
        <w:rPr>
          <w:i/>
        </w:rPr>
        <w:t>lucrum cessans</w:t>
      </w:r>
      <w:r>
        <w:t xml:space="preserve"> established a clear, predictable framework for how Philippine courts measure the true cost of a broken promise in the realm of international trade.</w:t>
      </w:r>
    </w:p>
    <w:p>
      <w:pPr>
        <w:pStyle w:val="Heading2"/>
      </w:pPr>
      <w:r>
        <w:t>Case 9: Magat v. Medialdea (1983) | G.R. No. L-37120</w:t>
      </w:r>
    </w:p>
    <w:p>
      <w:pPr>
        <w:pStyle w:val="Heading2"/>
      </w:pPr>
      <w:r>
        <w:t>Comprehensive Legal Analysis of Contractual Breach and Recoverable Damages in Philippine Jurisprudence</w:t>
      </w:r>
    </w:p>
    <w:p>
      <w:r>
        <w:rPr>
          <w:b/>
        </w:rPr>
        <w:t>Key Points:</w:t>
      </w:r>
    </w:p>
    <w:p>
      <w:pPr>
        <w:pStyle w:val="ListBullet"/>
      </w:pPr>
      <w:r>
        <w:t xml:space="preserve">  </w:t>
      </w:r>
      <w:r>
        <w:rPr>
          <w:b/>
        </w:rPr>
        <w:t>Cause of Action in Contract Disputes:</w:t>
      </w:r>
      <w:r>
        <w:t xml:space="preserve"> A valid cause of action for breach of contract requires the existence of a legal right, a correlative duty, and an act or omission violating that right. At the pleading stage, the hypothetical admission of these facts is generally sufficient to survive a motion to dismiss.</w:t>
      </w:r>
    </w:p>
    <w:p>
      <w:pPr>
        <w:pStyle w:val="ListBullet"/>
      </w:pPr>
      <w:r>
        <w:t xml:space="preserve">  </w:t>
      </w:r>
      <w:r>
        <w:rPr>
          <w:b/>
        </w:rPr>
        <w:t>Recoverability of Lost Profits (*Lucro Cesante*):</w:t>
      </w:r>
      <w:r>
        <w:t xml:space="preserve"> Research suggests that lost expected profits are not merely speculative if they arise naturally from the breach. Philippine civil law treats these losses as real, fixed, and vested at the exact moment the breach occurs, making them theoretically recoverable subject to evidentiary proof during trial.</w:t>
      </w:r>
    </w:p>
    <w:p>
      <w:pPr>
        <w:pStyle w:val="ListBullet"/>
      </w:pPr>
      <w:r>
        <w:t xml:space="preserve">  </w:t>
      </w:r>
      <w:r>
        <w:rPr>
          <w:b/>
        </w:rPr>
        <w:t>Bad Faith and Moral/Exemplary Damages:</w:t>
      </w:r>
      <w:r>
        <w:t xml:space="preserve"> The evidence leans toward allowing moral and exemplary damages in breach of contract cases only when bad faith, fraud, or malice is clearly alleged and subsequently proven. Bad faith implies a conscious and intentional design to evade a legal obligation.</w:t>
      </w:r>
    </w:p>
    <w:p>
      <w:pPr>
        <w:pStyle w:val="ListBullet"/>
      </w:pPr>
      <w:r>
        <w:t xml:space="preserve">  </w:t>
      </w:r>
      <w:r>
        <w:rPr>
          <w:b/>
        </w:rPr>
        <w:t>Remedial vs. Substantive Rights:</w:t>
      </w:r>
      <w:r>
        <w:t xml:space="preserve"> It seems likely that trial courts often confuse the *pleading* of speculative damages with the *proof* of such damages. The Supreme Court maintains that the inability to prove the exact quantum of damages at the onset does not extinguish the cause of action itself.</w:t>
      </w:r>
    </w:p>
    <w:p>
      <w:r>
        <w:t>This comprehensive academic report delves into the intricate intersections of substantive civil law and procedural remedial law in the Philippines, focusing specifically on the landmark decision governing breach of contract, contravention of tenor, and the recoverability of anticipated profits. Contractual obligations form the bedrock of commercial transactions, and the legal mechanisms designed to address the breach of these obligations are deeply rooted in both the Spanish civil tradition and modern commercial realities. The analysis dissects the specific parameters under which a contracting party may seek redress not only for actual losses sustained (</w:t>
      </w:r>
      <w:r>
        <w:rPr>
          <w:i/>
        </w:rPr>
        <w:t>daño emergente</w:t>
      </w:r>
      <w:r>
        <w:t>) but also for the profits they failed to realize (</w:t>
      </w:r>
      <w:r>
        <w:rPr>
          <w:i/>
        </w:rPr>
        <w:t>lucro cesante</w:t>
      </w:r>
      <w:r>
        <w:t>). By examining the historical and doctrinal underpinnings of Articles 1170, 2200, 2220, and 2232 of the Civil Code of the Philippines, this report provides an exhaustive evaluation of how courts ascertain bad faith, measure economic prejudice, and ultimately restore the injured party to their rightful position.</w:t>
      </w:r>
    </w:p>
    <w:p>
      <w:pPr>
        <w:pStyle w:val="Heading3"/>
      </w:pPr>
      <w:r>
        <w:t>Magat v. Medialdea (1983) | G.R. No. L-37120</w:t>
      </w:r>
    </w:p>
    <w:p>
      <w:pPr>
        <w:pStyle w:val="Heading4"/>
      </w:pPr>
      <w:r>
        <w:t>1. The Parties</w:t>
      </w:r>
    </w:p>
    <w:p>
      <w:r>
        <w:t>To fully understand the dynamics of this jurisprudential landmark, it is imperative to distinguish the parties involved in the Supreme Court petition and their respective roles in the underlying commercial transaction.</w:t>
      </w:r>
    </w:p>
    <w:p>
      <w:pPr>
        <w:pStyle w:val="ListBullet"/>
      </w:pPr>
      <w:r>
        <w:t xml:space="preserve">  </w:t>
      </w:r>
      <w:r>
        <w:rPr>
          <w:b/>
        </w:rPr>
        <w:t>Petitioner (Victorino D. Magat):</w:t>
      </w:r>
      <w:r>
        <w:t xml:space="preserve"> Who are they? What was their business or capacity?</w:t>
      </w:r>
    </w:p>
    <w:p>
      <w:r>
        <w:t>Victorino D. Magat was a businessman who possessed specialized experience, established goodwill, and robust commercial ties with both the U.S. Naval authorities in Subic Bay, Philippines, and various Japanese manufacturing firms. His business operations heavily involved the facilitation of foreign importations, acting as a critical intermediary capable of procuring specialized equipment from abroad. In this transaction, he acted in the capacity of an importer and supplier, leveraging his connections to secure custom-made radio transceivers and taximeters required by the U.S. Navy Exchange.</w:t>
      </w:r>
    </w:p>
    <w:p>
      <w:pPr>
        <w:pStyle w:val="ListBullet"/>
      </w:pPr>
      <w:r>
        <w:t xml:space="preserve">  </w:t>
      </w:r>
      <w:r>
        <w:rPr>
          <w:b/>
        </w:rPr>
        <w:t>Public Respondent (Hon. Leo D. Medialdea):</w:t>
      </w:r>
      <w:r/>
    </w:p>
    <w:p>
      <w:r>
        <w:t>While the user query lists "Medialdea" as the respondent, it is crucial from a procedural standpoint to clarify that Hon. Leo D. Medialdea was the Presiding Judge of the Court of First Instance (CFI) of Rizal. He was impleaded as the public respondent because it was his judicial order that dismissed Magat’s civil complaint for lack of cause of action. He had no contractual obligation to Magat.</w:t>
      </w:r>
    </w:p>
    <w:p>
      <w:pPr>
        <w:pStyle w:val="ListBullet"/>
      </w:pPr>
      <w:r>
        <w:t xml:space="preserve">  </w:t>
      </w:r>
      <w:r>
        <w:rPr>
          <w:b/>
        </w:rPr>
        <w:t>Private Respondent (Santiago A. Guerrero):</w:t>
      </w:r>
      <w:r>
        <w:t xml:space="preserve"> Who are they? What was their obligation?</w:t>
      </w:r>
    </w:p>
    <w:p>
      <w:r>
        <w:t>Santiago A. Guerrero was the private respondent and the actual contracting party against whom Magat filed the complaint. Guerrero was an entrepreneur who had recently secured a highly lucrative operating concession contract with the U.S. Navy Exchange to operate a fleet of taxicabs within the Subic Bay Naval Base. Guerrero's primary obligation under his contract with Magat was to finance the importation of the necessary equipment by opening a Letter of Credit (L/C) in favor of the Japanese manufacturer, which is standard practice in international trade.</w:t>
      </w:r>
    </w:p>
    <w:p>
      <w:pPr>
        <w:pStyle w:val="ListBullet"/>
      </w:pPr>
      <w:r>
        <w:t xml:space="preserve">  </w:t>
      </w:r>
      <w:r>
        <w:rPr>
          <w:b/>
        </w:rPr>
        <w:t>Their relationship:</w:t>
      </w:r>
      <w:r>
        <w:t xml:space="preserve"> What was the contractual arrangement between them?</w:t>
      </w:r>
    </w:p>
    <w:p>
      <w:r>
        <w:t>The relationship between Magat and Guerrero was that of a seller/importer and a buyer/financier. They entered into a commercial contract of sale and importation. Through Guerrero's agent, Isidro Q. Aligada, Guerrero engaged Magat to procure custom-built radio transceivers from Japan. Magat submitted a formal written offer on September 25, 1972, to import the equipment for a total price of US$77,620.59 FOB Yokohama, which Guerrero formally accepted and signed. The arrangement was purely commercial, entered into by two businessmen with the evident intention of deriving reciprocal economic profits.</w:t>
      </w:r>
    </w:p>
    <w:p>
      <w:pPr>
        <w:pStyle w:val="Heading4"/>
      </w:pPr>
      <w:r>
        <w:t>2. Background &amp; Facts</w:t>
      </w:r>
    </w:p>
    <w:p>
      <w:r>
        <w:t>The factual milieu of the case revolves around a standard international commercial transaction that collapsed due to one party's deliberate non-compliance, resulting in significant commercial prejudice.</w:t>
      </w:r>
    </w:p>
    <w:p>
      <w:pPr>
        <w:pStyle w:val="ListBullet"/>
      </w:pPr>
      <w:r>
        <w:t xml:space="preserve">  </w:t>
      </w:r>
      <w:r>
        <w:rPr>
          <w:b/>
        </w:rPr>
        <w:t>What did the parties agree to?</w:t>
      </w:r>
      <w:r/>
    </w:p>
    <w:p>
      <w:r>
        <w:t>The parties agreed that Magat would utilize his business connections to import specialized taximeters and radio transceivers from Japan, which were strict prerequisites for Guerrero to operate his taxi fleet inside the U.S. Naval Base. The total agreed purchase price was US$77,620.59. Delivery was conditioned upon Guerrero providing the specific radio frequency assigned by the U.S. Navy and, crucially, Guerrero opening a Letter of Credit with his bank to guarantee payment to the Japanese manufacturers.</w:t>
      </w:r>
    </w:p>
    <w:p>
      <w:pPr>
        <w:pStyle w:val="ListBullet"/>
      </w:pPr>
      <w:r>
        <w:t xml:space="preserve">  </w:t>
      </w:r>
      <w:r>
        <w:rPr>
          <w:b/>
        </w:rPr>
        <w:t>What was Magat's expectation of profit or benefit under the contract?</w:t>
      </w:r>
      <w:r/>
    </w:p>
    <w:p>
      <w:r>
        <w:t>As a businessman engaging in an international procurement contract, Magat expected to earn a standard commercial markup or commission from the transaction. Specifically, his expected profit was quantified as ten percent (10%) of the total purchase price of the imported goods. Furthermore, Magat expected to maintain and bolster his valuable business reputation and goodwill with both the Japanese suppliers and the U.S. Naval authorities.</w:t>
      </w:r>
    </w:p>
    <w:p>
      <w:pPr>
        <w:pStyle w:val="ListBullet"/>
      </w:pPr>
      <w:r>
        <w:t xml:space="preserve">  </w:t>
      </w:r>
      <w:r>
        <w:rPr>
          <w:b/>
        </w:rPr>
        <w:t>What did Medialdea (Guerrero) do or fail to do?</w:t>
      </w:r>
      <w:r/>
    </w:p>
    <w:p>
      <w:r>
        <w:t xml:space="preserve">Guerrero (the private respondent) committed a definitive breach of his correlative obligations. While he successfully obtained the required radio frequency (34.2 MHz) and communicated it to Magat's team to commence manufacturing, he actively thwarted the payment mechanism. Although he initially applied for a Letter of Credit with his bank, Guerrero subsequently instructed his banker </w:t>
      </w:r>
      <w:r>
        <w:rPr>
          <w:i/>
        </w:rPr>
        <w:t>not</w:t>
      </w:r>
      <w:r>
        <w:t xml:space="preserve"> to honor the application and flatly refused to open the Letter of Credit, which was a strict condition precedent for the shipment of the goods. Furthermore, Guerrero proceeded to operate his taxicabs within the U.S. Naval Base without the required transceivers and allegedly blamed Magat for the delay when confronted by U.S. Navy authorities, thereby acting in bad faith.</w:t>
      </w:r>
    </w:p>
    <w:p>
      <w:pPr>
        <w:pStyle w:val="ListBullet"/>
      </w:pPr>
      <w:r>
        <w:t xml:space="preserve">  </w:t>
      </w:r>
      <w:r>
        <w:rPr>
          <w:b/>
        </w:rPr>
        <w:t>How did Magat suffer — what profits or income did they lose?</w:t>
      </w:r>
      <w:r/>
    </w:p>
    <w:p>
      <w:r>
        <w:t>Magat suffered profound economic and reputational damage. He incurred actual liabilities because the goods were already custom-manufactured by the Japanese firm for Guerrero's exclusive use. Magat alleged the following specific damages:</w:t>
      </w:r>
    </w:p>
    <w:p>
      <w:pPr>
        <w:pStyle w:val="ListBullet"/>
      </w:pPr>
      <w:r>
        <w:t xml:space="preserve">  Cost of the tailored transceivers: P523,938.98.</w:t>
      </w:r>
    </w:p>
    <w:p>
      <w:pPr>
        <w:pStyle w:val="ListBullet"/>
      </w:pPr>
      <w:r>
        <w:t xml:space="preserve">  Lost profits (*lucro cesante*): P52,393.89 (representing the 10% expected margin).</w:t>
      </w:r>
    </w:p>
    <w:p>
      <w:pPr>
        <w:pStyle w:val="ListBullet"/>
      </w:pPr>
      <w:r>
        <w:t xml:space="preserve">  Loss of goodwill, commercial standing, and future business with the Japanese firms and the U.S. Navy: P200,000.00.</w:t>
      </w:r>
    </w:p>
    <w:p>
      <w:pPr>
        <w:pStyle w:val="ListBullet"/>
      </w:pPr>
      <w:r>
        <w:t xml:space="preserve">  Moral and exemplary damages due to bad faith: P200,000.00.</w:t>
      </w:r>
    </w:p>
    <w:p>
      <w:pPr>
        <w:pStyle w:val="ListBullet"/>
      </w:pPr>
      <w:r>
        <w:t xml:space="preserve">  </w:t>
      </w:r>
      <w:r>
        <w:rPr>
          <w:b/>
        </w:rPr>
        <w:t>Timeline of key events:</w:t>
      </w:r>
      <w:r/>
    </w:p>
    <w:p>
      <w:pPr>
        <w:pStyle w:val="ListBullet"/>
      </w:pPr>
      <w:r>
        <w:t xml:space="preserve">  </w:t>
      </w:r>
      <w:r>
        <w:rPr>
          <w:b/>
        </w:rPr>
        <w:t>September 1972:</w:t>
      </w:r>
      <w:r>
        <w:t xml:space="preserve"> Guerrero secures the U.S. Navy Exchange contract for taxicabs.</w:t>
      </w:r>
    </w:p>
    <w:p>
      <w:pPr>
        <w:pStyle w:val="ListBullet"/>
      </w:pPr>
      <w:r>
        <w:t xml:space="preserve">  </w:t>
      </w:r>
      <w:r>
        <w:rPr>
          <w:b/>
        </w:rPr>
        <w:t>September 25, 1972:</w:t>
      </w:r>
      <w:r>
        <w:t xml:space="preserve"> Magat provides a written offer to import the equipment for US$77,620.59, which Guerrero accepts and signs. Magat imports taximeters *gratis et amore* as a gesture of goodwill.</w:t>
      </w:r>
    </w:p>
    <w:p>
      <w:pPr>
        <w:pStyle w:val="ListBullet"/>
      </w:pPr>
      <w:r>
        <w:t xml:space="preserve">  </w:t>
      </w:r>
      <w:r>
        <w:rPr>
          <w:b/>
        </w:rPr>
        <w:t>October 4–6, 1972:</w:t>
      </w:r>
      <w:r>
        <w:t xml:space="preserve"> Guerrero's agent confirms the assigned radio frequency (34.2 MHz) and instructs Magat to proceed with the custom manufacturing.</w:t>
      </w:r>
    </w:p>
    <w:p>
      <w:pPr>
        <w:pStyle w:val="ListBullet"/>
      </w:pPr>
      <w:r>
        <w:t xml:space="preserve">  </w:t>
      </w:r>
      <w:r>
        <w:rPr>
          <w:b/>
        </w:rPr>
        <w:t>October 7, 1972:</w:t>
      </w:r>
      <w:r>
        <w:t xml:space="preserve"> Guerrero's agent qualifies that the actual shipment must wait until Guerrero opens the Letter of Credit.</w:t>
      </w:r>
    </w:p>
    <w:p>
      <w:pPr>
        <w:pStyle w:val="ListBullet"/>
      </w:pPr>
      <w:r>
        <w:t xml:space="preserve">  </w:t>
      </w:r>
      <w:r>
        <w:rPr>
          <w:b/>
        </w:rPr>
        <w:t>Late 1972 / Early 1973:</w:t>
      </w:r>
      <w:r>
        <w:t xml:space="preserve"> Guerrero instructs his bank to halt the Letter of Credit, effectively breaching the agreement. He begins operating his taxicabs without the radios and blames Magat for the compliance failure.</w:t>
      </w:r>
    </w:p>
    <w:p>
      <w:pPr>
        <w:pStyle w:val="ListBullet"/>
      </w:pPr>
      <w:r>
        <w:t xml:space="preserve">  </w:t>
      </w:r>
      <w:r>
        <w:rPr>
          <w:b/>
        </w:rPr>
        <w:t>March 27, 1973:</w:t>
      </w:r>
      <w:r>
        <w:t xml:space="preserve"> Magat's legal counsel sends a formal demand letter seeking clarification or cancellation, which Guerrero ignores.</w:t>
      </w:r>
    </w:p>
    <w:p>
      <w:pPr>
        <w:pStyle w:val="ListBullet"/>
      </w:pPr>
      <w:r>
        <w:t xml:space="preserve">  </w:t>
      </w:r>
      <w:r>
        <w:rPr>
          <w:b/>
        </w:rPr>
        <w:t>Subsequent Action:</w:t>
      </w:r>
      <w:r>
        <w:t xml:space="preserve"> Magat files a civil case for breach of contract and damages in the CFI of Rizal. Guerrero files a Motion to Dismiss. Judge Medialdea grants the dismissal.</w:t>
      </w:r>
    </w:p>
    <w:p>
      <w:pPr>
        <w:pStyle w:val="Heading4"/>
      </w:pPr>
      <w:r>
        <w:t>3. The Contract or Obligation</w:t>
      </w:r>
    </w:p>
    <w:p>
      <w:r>
        <w:t xml:space="preserve">Understanding the exact nature of the legal tie ( </w:t>
      </w:r>
      <w:r>
        <w:rPr>
          <w:i/>
        </w:rPr>
        <w:t>vinculum juris</w:t>
      </w:r>
      <w:r>
        <w:t xml:space="preserve"> ) between the parties is vital to analyzing the breach.</w:t>
      </w:r>
    </w:p>
    <w:p>
      <w:pPr>
        <w:pStyle w:val="ListBullet"/>
      </w:pPr>
      <w:r>
        <w:t xml:space="preserve">  </w:t>
      </w:r>
      <w:r>
        <w:rPr>
          <w:b/>
        </w:rPr>
        <w:t>What was the original contract?</w:t>
      </w:r>
      <w:r/>
    </w:p>
    <w:p>
      <w:r>
        <w:t>The original contract was a bilateral, reciprocal commercial contract for the procurement and importation of custom-built electronics (taximeters and radio transceivers). It was perfected by mere consent when Guerrero signed his conformity to Magat's written quotation on September 25, 1972. The contract contained a suspensive condition regarding the payment method: the opening of a Letter of Credit by the buyer, which is a universally recognized standard business practice in foreign importation.</w:t>
      </w:r>
    </w:p>
    <w:p>
      <w:pPr>
        <w:pStyle w:val="ListBullet"/>
      </w:pPr>
      <w:r>
        <w:t xml:space="preserve">  </w:t>
      </w:r>
      <w:r>
        <w:rPr>
          <w:b/>
        </w:rPr>
        <w:t>What was the breach — was it negligent, willful, or in bad faith?</w:t>
      </w:r>
      <w:r/>
    </w:p>
    <w:p>
      <w:r>
        <w:t>The breach was characterized not merely as negligent delay, but as a willful, intentional act executed in absolute bad faith. Guerrero's deliberate instruction to his bank to dishonor his own application for a Letter of Credit constituted an overt, willful evasion of his contractual duty. Magat’s complaint sufficiently alleged that Guerrero entered into the contract with a fraudulent, preconceived design—meaning he never actually intended to pay Magat, but merely used Magat's name, reputation, and preliminary paperwork to secure the underlying operating concession from the U.S. Navy. The subsequent act of blaming Magat before the U.S. Naval authorities further cemented the allegation of malice and bad faith.</w:t>
      </w:r>
    </w:p>
    <w:p>
      <w:pPr>
        <w:pStyle w:val="ListBullet"/>
      </w:pPr>
      <w:r>
        <w:t xml:space="preserve">  </w:t>
      </w:r>
      <w:r>
        <w:rPr>
          <w:b/>
        </w:rPr>
        <w:t>Was there a demand before suit?</w:t>
      </w:r>
      <w:r/>
    </w:p>
    <w:p>
      <w:r>
        <w:t>Yes, a formal demand was unequivocally made before the institution of the civil action. The records indicate that on March 27, 1973, Magat’s legal counsel sent a formal demand letter to Guerrero, requiring him to clarify his position, fulfill his obligations, or cancel the contract. Guerrero wholly ignored this extrajudicial demand, prompting the filing of the lawsuit.</w:t>
      </w:r>
    </w:p>
    <w:p>
      <w:pPr>
        <w:pStyle w:val="Heading4"/>
      </w:pPr>
      <w:r>
        <w:t>4. Legal Issues Raised</w:t>
      </w:r>
    </w:p>
    <w:p>
      <w:r>
        <w:t>The procedural posture of the case before the Supreme Court arose from a Rule 16 Motion to Dismiss. Therefore, the issues blend procedural rules with substantive civil law principles.</w:t>
      </w:r>
    </w:p>
    <w:p>
      <w:pPr>
        <w:pStyle w:val="ListBullet"/>
      </w:pPr>
      <w:r>
        <w:t xml:space="preserve">  </w:t>
      </w:r>
      <w:r>
        <w:rPr>
          <w:b/>
        </w:rPr>
        <w:t>Was there a valid cause of action for breach?</w:t>
      </w:r>
      <w:r/>
    </w:p>
    <w:p>
      <w:r>
        <w:t>The primary procedural issue was whether Magat’s complaint sufficiently alleged a valid cause of action. Guerrero argued, and the trial court erroneously agreed, that because the actual monetary losses were merely "anticipated" (since Magat had not yet paid the Japanese suppliers out of pocket), the right to sue had not yet accrued. The legal question was whether the facts alleged met the three-pronged test for a cause of action: (1) a right in favor of the plaintiff, (2) an obligation on the part of the defendant, and (3) an act or omission by the defendant violating that right.</w:t>
      </w:r>
    </w:p>
    <w:p>
      <w:pPr>
        <w:pStyle w:val="ListBullet"/>
      </w:pPr>
      <w:r>
        <w:t xml:space="preserve">  </w:t>
      </w:r>
      <w:r>
        <w:rPr>
          <w:b/>
        </w:rPr>
        <w:t>Are the lost profits recoverable as actual damages?</w:t>
      </w:r>
      <w:r/>
    </w:p>
    <w:p>
      <w:r>
        <w:t xml:space="preserve">The core substantive issue was the nature of </w:t>
      </w:r>
      <w:r>
        <w:rPr>
          <w:i/>
        </w:rPr>
        <w:t>lucro cesante</w:t>
      </w:r>
      <w:r>
        <w:t xml:space="preserve"> (lost profits). Guerrero contended that expected profits are inherently speculative, illusory, and contingent, and thus cannot form the basis of a civil complaint until they are actually realized. The Supreme Court had to determine whether anticipated loss of expected profits constitutes a "real, fixed and vested" damage that is recoverable under the Civil Code immediately at the moment the contract is breached.</w:t>
      </w:r>
    </w:p>
    <w:p>
      <w:pPr>
        <w:pStyle w:val="ListBullet"/>
      </w:pPr>
      <w:r>
        <w:t xml:space="preserve">  </w:t>
      </w:r>
      <w:r>
        <w:rPr>
          <w:b/>
        </w:rPr>
        <w:t>Is there sufficient basis for moral and/or exemplary damages?</w:t>
      </w:r>
      <w:r/>
    </w:p>
    <w:p>
      <w:r>
        <w:t>The final issue pertained to the ancillary damages claimed. Under Philippine civil law, a simple breach of contract does not automatically entitle the aggrieved party to moral or exemplary damages. The issue was whether Magat’s allegations—that Guerrero used him as a pawn to secure a Navy contract, willfully refused to open the Letter of Credit, and maliciously destroyed Magat's reputation with third parties—were legally sufficient to constitute the "bad faith" required to justify an award of moral and exemplary damages.</w:t>
      </w:r>
    </w:p>
    <w:p>
      <w:pPr>
        <w:pStyle w:val="Heading4"/>
      </w:pPr>
      <w:r>
        <w:t>5. Supreme Court Ruling</w:t>
      </w:r>
    </w:p>
    <w:p>
      <w:r>
        <w:t>The Supreme Court, exercising its appellate jurisdiction via a petition for review on certiorari, delivered a definitive ruling that clarified the contours of contractual damages.</w:t>
      </w:r>
    </w:p>
    <w:p>
      <w:pPr>
        <w:pStyle w:val="ListBullet"/>
      </w:pPr>
      <w:r>
        <w:t xml:space="preserve">  </w:t>
      </w:r>
      <w:r>
        <w:rPr>
          <w:b/>
        </w:rPr>
        <w:t>How did the SC characterize the breach?</w:t>
      </w:r>
      <w:r/>
    </w:p>
    <w:p>
      <w:r>
        <w:t>The Supreme Court characterized Guerrero's actions as a clear "contravention of the tenor" of the obligation. The Court held that the phrase "in any manner contravene the tenor" found in Article 1170 of the Civil Code is extraordinarily broad. It encompasses any illicit act or omission that impairs the strict, faithful, and normal fulfillment of the agreed-upon obligation. By actively blocking the issuance of the Letter of Credit, Guerrero undeniably contravened the tenor of his reciprocal obligation, thereby completing the essential elements of a cause of action for breach of contract.</w:t>
      </w:r>
    </w:p>
    <w:p>
      <w:pPr>
        <w:pStyle w:val="ListBullet"/>
      </w:pPr>
      <w:r>
        <w:t xml:space="preserve">  </w:t>
      </w:r>
      <w:r>
        <w:rPr>
          <w:b/>
        </w:rPr>
        <w:t>Were lost profits awarded? On what evidentiary standard?</w:t>
      </w:r>
      <w:r/>
    </w:p>
    <w:p>
      <w:r>
        <w:rPr>
          <w:i/>
        </w:rPr>
        <w:t>Crucial Distinction:</w:t>
      </w:r>
      <w:r>
        <w:t xml:space="preserve"> The Supreme Court </w:t>
      </w:r>
      <w:r>
        <w:rPr>
          <w:b/>
        </w:rPr>
        <w:t>did not</w:t>
      </w:r>
      <w:r>
        <w:t xml:space="preserve"> immediately award the monetary damages because the case was elevated based on a motion to dismiss, meaning a full trial on the merits had not yet occurred. However, the Court ruled decisively on the legal principle: </w:t>
      </w:r>
      <w:r>
        <w:rPr>
          <w:b/>
        </w:rPr>
        <w:t>Yes, lost profits are fully recoverable in Philippine law.</w:t>
      </w:r>
      <w:r>
        <w:t xml:space="preserve"> The Court declared that because both parties were businessmen who entered the transaction with the evident intention of deriving profit, the loss of expected profits (</w:t>
      </w:r>
      <w:r>
        <w:rPr>
          <w:i/>
        </w:rPr>
        <w:t>lucro cesante</w:t>
      </w:r>
      <w:r>
        <w:t xml:space="preserve">) is a natural and probable consequence of the breach. Most importantly, the Court established the evidentiary doctrine that such loss comes into being at the </w:t>
      </w:r>
      <w:r>
        <w:rPr>
          <w:i/>
        </w:rPr>
        <w:t>very moment of the breach</w:t>
      </w:r>
      <w:r>
        <w:t>. At that exact moment, the loss is not merely speculative; it becomes "real, fixed and vested," and therefore perfectly recoverable subject to the presentation of adequate proof during the subsequent trial.</w:t>
      </w:r>
    </w:p>
    <w:p>
      <w:pPr>
        <w:pStyle w:val="ListBullet"/>
      </w:pPr>
      <w:r>
        <w:t xml:space="preserve">  </w:t>
      </w:r>
      <w:r>
        <w:rPr>
          <w:b/>
        </w:rPr>
        <w:t>Were moral and/or exemplary damages granted? On what basis?</w:t>
      </w:r>
      <w:r/>
    </w:p>
    <w:p>
      <w:r>
        <w:t>Similarly, while not granting the monetary award outright at the appellate level, the Supreme Court ruled that there was a sufficient legal and factual basis pleaded to claim moral and exemplary damages. The Court held that Magat's allegations—specifically that Guerrero entered the contract without any intention to pay, utilized Magat's goodwill for his own covert enrichment, and maliciously blamed Magat for the operational delays—constituted bad faith and fraud. If proven during the trial, this bad faith would satisfy the strict requirements of Articles 2220 and 2232, making the defendant liable for all damages, including moral and exemplary.</w:t>
      </w:r>
    </w:p>
    <w:p>
      <w:pPr>
        <w:pStyle w:val="ListBullet"/>
      </w:pPr>
      <w:r>
        <w:t xml:space="preserve">  </w:t>
      </w:r>
      <w:r>
        <w:rPr>
          <w:b/>
        </w:rPr>
        <w:t>What was the disposition?</w:t>
      </w:r>
      <w:r/>
    </w:p>
    <w:p>
      <w:r>
        <w:t>The Supreme Court found that Judge Medialdea committed a grave error in dismissing the case. The Court set aside and reversed the questioned order of dismissal. Consequently, the Court remanded the case to the court of origin (the trial court) for further proceedings—specifically, to conduct a full trial on the merits so Magat could present evidence to precisely quantify his "fixed and vested" damages.</w:t>
      </w:r>
    </w:p>
    <w:p>
      <w:pPr>
        <w:pStyle w:val="Heading4"/>
      </w:pPr>
      <w:r>
        <w:t>6. Key Doctrine / Civil Code Hook</w:t>
      </w:r>
    </w:p>
    <w:p>
      <w:r>
        <w:t xml:space="preserve">The </w:t>
      </w:r>
      <w:r>
        <w:rPr>
          <w:i/>
        </w:rPr>
        <w:t>Magat v. Medialdea</w:t>
      </w:r>
      <w:r>
        <w:t xml:space="preserve"> decision is a cornerstone in the study of Obligations and Contracts because it masterfully synthesizes several distinct Civil Code provisions into a cohesive framework for commercial damages.</w:t>
      </w:r>
    </w:p>
    <w:p>
      <w:pPr>
        <w:pStyle w:val="ListBullet"/>
      </w:pPr>
      <w:r>
        <w:t xml:space="preserve">  </w:t>
      </w:r>
      <w:r>
        <w:rPr>
          <w:b/>
        </w:rPr>
        <w:t>State the rule on recoverable lost profits under Arts. 2200–2201:</w:t>
      </w:r>
      <w:r/>
    </w:p>
    <w:p>
      <w:r>
        <w:t xml:space="preserve">Under </w:t>
      </w:r>
      <w:r>
        <w:rPr>
          <w:b/>
        </w:rPr>
        <w:t>Article 2200</w:t>
      </w:r>
      <w:r>
        <w:t xml:space="preserve"> of the Civil Code, indemnification for damages comprehends not only the value of the actual loss suffered (</w:t>
      </w:r>
      <w:r>
        <w:rPr>
          <w:i/>
        </w:rPr>
        <w:t>daño emergente</w:t>
      </w:r>
      <w:r>
        <w:t xml:space="preserve"> or actual damages), but also the profits which the obligee failed to obtain (</w:t>
      </w:r>
      <w:r>
        <w:rPr>
          <w:i/>
        </w:rPr>
        <w:t>lucro cesante</w:t>
      </w:r>
      <w:r>
        <w:t xml:space="preserve"> or compensatory damages for lost profits). In a breach of contract, if the obligor acts in good faith, they are liable for damages that are the natural and probable consequences of the breach and which the parties could have reasonably foreseen (Art. 2201, par. 1). If the obligor acts in bad faith, fraud, or malice, they are liable for </w:t>
      </w:r>
      <w:r>
        <w:rPr>
          <w:i/>
        </w:rPr>
        <w:t>all</w:t>
      </w:r>
      <w:r>
        <w:t xml:space="preserve"> damages which may be reasonably attributed to the non-performance of the obligation, regardless of foreseeability (Art. 2201, par. 2). The </w:t>
      </w:r>
      <w:r>
        <w:rPr>
          <w:i/>
        </w:rPr>
        <w:t>Magat</w:t>
      </w:r>
      <w:r>
        <w:t xml:space="preserve"> doctrine solidifies that the right to these lost profits vests at the exact moment the contract is breached, erasing the defense that such profits are merely anticipatory.</w:t>
      </w:r>
    </w:p>
    <w:p>
      <w:pPr>
        <w:pStyle w:val="ListBullet"/>
      </w:pPr>
      <w:r>
        <w:t xml:space="preserve">  </w:t>
      </w:r>
      <w:r>
        <w:rPr>
          <w:b/>
        </w:rPr>
        <w:t>State the rule on moral damages in breach of contract (bad faith required) under Art. 2220:</w:t>
      </w:r>
      <w:r/>
    </w:p>
    <w:p>
      <w:r>
        <w:t xml:space="preserve">The general rule in Philippine civil law is that moral damages are </w:t>
      </w:r>
      <w:r>
        <w:rPr>
          <w:i/>
        </w:rPr>
        <w:t>not</w:t>
      </w:r>
      <w:r>
        <w:t xml:space="preserve"> recoverable in actions for breach of contract. However, </w:t>
      </w:r>
      <w:r>
        <w:rPr>
          <w:b/>
        </w:rPr>
        <w:t>Article 2220</w:t>
      </w:r>
      <w:r>
        <w:t xml:space="preserve"> provides the critical exception: moral damages may be awarded in breaches of contract where the defendant acted fraudulently or in bad faith. Bad faith requires a conscious and intentional design to do a wrongful act for a dishonest purpose or moral obliquity; mere negligence is insufficient. In this case, Guerrero's alleged covert scheme to exploit Magat's goodwill without intending to pay satisfied this high threshold.</w:t>
      </w:r>
    </w:p>
    <w:p>
      <w:pPr>
        <w:pStyle w:val="ListBullet"/>
      </w:pPr>
      <w:r>
        <w:t xml:space="preserve">  </w:t>
      </w:r>
      <w:r>
        <w:rPr>
          <w:b/>
        </w:rPr>
        <w:t>State the rule on exemplary damages under Art. 2232:</w:t>
      </w:r>
      <w:r/>
    </w:p>
    <w:p>
      <w:r>
        <w:rPr>
          <w:b/>
        </w:rPr>
        <w:t>Article 2232</w:t>
      </w:r>
      <w:r>
        <w:t xml:space="preserve"> stipulates that in contracts and quasi-contracts, the court may award exemplary (corrective) damages if the defendant acted in a wanton, fraudulent, reckless, oppressive, or malevolent manner. Exemplary damages are never awarded as a matter of right; they are discretionary and can only be granted in addition to moral, temperate, liquidated, or compensatory damages. Guerrero’s oppressive act of operating his business at Magat's reputational expense triggered the potential for an exemplary damages award to serve as a deterrent against similar abusive commercial practices.</w:t>
      </w:r>
    </w:p>
    <w:p>
      <w:pPr>
        <w:pStyle w:val="ListBullet"/>
      </w:pPr>
      <w:r>
        <w:t xml:space="preserve">  </w:t>
      </w:r>
      <w:r>
        <w:rPr>
          <w:b/>
        </w:rPr>
        <w:t>Which Civil Code articles were applied?</w:t>
      </w:r>
      <w:r/>
    </w:p>
    <w:p>
      <w:pPr>
        <w:pStyle w:val="ListBullet"/>
      </w:pPr>
      <w:r>
        <w:t xml:space="preserve">  </w:t>
      </w:r>
      <w:r>
        <w:rPr>
          <w:b/>
        </w:rPr>
        <w:t>Art. 1170:</w:t>
      </w:r>
      <w:r>
        <w:t xml:space="preserve"> Liability for fraud, negligence, delay, or contravention of the tenor of the obligation.</w:t>
      </w:r>
    </w:p>
    <w:p>
      <w:pPr>
        <w:pStyle w:val="ListBullet"/>
      </w:pPr>
      <w:r>
        <w:t xml:space="preserve">  </w:t>
      </w:r>
      <w:r>
        <w:rPr>
          <w:b/>
        </w:rPr>
        <w:t>Art. 2200:</w:t>
      </w:r>
      <w:r>
        <w:t xml:space="preserve"> Definition of damages (*daño emergente* and *lucro cesante*).</w:t>
      </w:r>
    </w:p>
    <w:p>
      <w:pPr>
        <w:pStyle w:val="ListBullet"/>
      </w:pPr>
      <w:r>
        <w:t xml:space="preserve">  </w:t>
      </w:r>
      <w:r>
        <w:rPr>
          <w:b/>
        </w:rPr>
        <w:t>Art. 2220:</w:t>
      </w:r>
      <w:r>
        <w:t xml:space="preserve"> Moral damages in contractual breaches involving bad faith.</w:t>
      </w:r>
    </w:p>
    <w:p>
      <w:pPr>
        <w:pStyle w:val="ListBullet"/>
      </w:pPr>
      <w:r>
        <w:t xml:space="preserve">  </w:t>
      </w:r>
      <w:r>
        <w:rPr>
          <w:b/>
        </w:rPr>
        <w:t>Art. 2232:</w:t>
      </w:r>
      <w:r>
        <w:t xml:space="preserve"> Exemplary damages for wanton or fraudulent contractual breaches.</w:t>
      </w:r>
    </w:p>
    <w:p>
      <w:pPr>
        <w:pStyle w:val="Heading4"/>
      </w:pPr>
      <w:r>
        <w:t>7. Memory Anchor</w:t>
      </w:r>
    </w:p>
    <w:p>
      <w:pPr>
        <w:pStyle w:val="ListBullet"/>
      </w:pPr>
      <w:r>
        <w:t xml:space="preserve">  </w:t>
      </w:r>
      <w:r>
        <w:rPr>
          <w:b/>
        </w:rPr>
        <w:t>A 1–2 sentence story hook or mnemonic for bar/exam recall:</w:t>
      </w:r>
      <w:r/>
    </w:p>
    <w:p>
      <w:r>
        <w:rPr>
          <w:i/>
        </w:rPr>
        <w:t xml:space="preserve">“Magat’s Missing Money: In the business of taxicabs and transceivers, the very moment Medialdea’s client breached the contract, Magat’s lost profits transformed from a future dream into a </w:t>
      </w:r>
      <w:r>
        <w:rPr>
          <w:i/>
        </w:rPr>
        <w:t>Real, Fixed, and Vested</w:t>
      </w:r>
      <w:r>
        <w:rPr>
          <w:i/>
        </w:rPr>
        <w:t xml:space="preserve"> legal reality.”</w:t>
      </w:r>
    </w:p>
    <w:p>
      <w:r>
        <w:rPr>
          <w:i/>
        </w:rPr>
        <w:t xml:space="preserve">(Mnemonic: </w:t>
      </w:r>
      <w:r>
        <w:rPr>
          <w:i/>
        </w:rPr>
        <w:t>M</w:t>
      </w:r>
      <w:r>
        <w:rPr>
          <w:i/>
        </w:rPr>
        <w:t xml:space="preserve">agat </w:t>
      </w:r>
      <w:r>
        <w:rPr>
          <w:i/>
        </w:rPr>
        <w:t>M</w:t>
      </w:r>
      <w:r>
        <w:rPr>
          <w:i/>
        </w:rPr>
        <w:t xml:space="preserve">akes </w:t>
      </w:r>
      <w:r>
        <w:rPr>
          <w:i/>
        </w:rPr>
        <w:t>M</w:t>
      </w:r>
      <w:r>
        <w:rPr>
          <w:i/>
        </w:rPr>
        <w:t xml:space="preserve">oney the </w:t>
      </w:r>
      <w:r>
        <w:rPr>
          <w:i/>
        </w:rPr>
        <w:t>M</w:t>
      </w:r>
      <w:r>
        <w:rPr>
          <w:i/>
        </w:rPr>
        <w:t>oment of breach).</w:t>
      </w:r>
    </w:p>
    <w:p>
      <w:pPr>
        <w:spacing w:before="120" w:after="120"/>
        <w:pBdr>
          <w:bottom w:val="single" w:sz="4" w:space="1" w:color="CCCCCC"/>
        </w:pBdr>
      </w:pPr>
    </w:p>
    <w:p>
      <w:pPr>
        <w:pStyle w:val="Heading2"/>
      </w:pPr>
      <w:r>
        <w:t>MODULE 2A — Extinguishment: Payment, Dation, Tender, Consignation (Arts. 1240–1256)</w:t>
      </w:r>
    </w:p>
    <w:p>
      <w:pPr>
        <w:spacing w:before="120" w:after="120"/>
        <w:pBdr>
          <w:bottom w:val="single" w:sz="4" w:space="1" w:color="CCCCCC"/>
        </w:pBdr>
      </w:pPr>
    </w:p>
    <w:p>
      <w:r>
        <w:br w:type="page"/>
      </w:r>
    </w:p>
    <w:p>
      <w:pPr>
        <w:pStyle w:val="Heading1"/>
      </w:pPr>
      <w:r>
        <w:t>Module 2A — Payment and Consignation</w:t>
      </w:r>
    </w:p>
    <w:p>
      <w:pPr>
        <w:pStyle w:val="Heading2"/>
      </w:pPr>
      <w:r>
        <w:t>Case 10: Domasian, et al. v. Demdam (2021) | G.R. No. 212349</w:t>
      </w:r>
    </w:p>
    <w:p>
      <w:pPr>
        <w:pStyle w:val="Heading2"/>
      </w:pPr>
      <w:r>
        <w:t>A Comprehensive Legal Analysis of Domasian, et al. v. Demdam (2021)</w:t>
      </w:r>
    </w:p>
    <w:p>
      <w:r>
        <w:rPr>
          <w:b/>
        </w:rPr>
        <w:t>Key Points:</w:t>
      </w:r>
    </w:p>
    <w:p>
      <w:pPr>
        <w:pStyle w:val="ListBullet"/>
      </w:pPr>
      <w:r>
        <w:t xml:space="preserve">  It appears that the core dispute involves the collection of a P75,000 loan with a stipulated 8% monthly interest rate, which the Supreme Court ultimately deemed unconscionable and reduced to 12% per annum.</w:t>
      </w:r>
    </w:p>
    <w:p>
      <w:pPr>
        <w:pStyle w:val="ListBullet"/>
      </w:pPr>
      <w:r>
        <w:t xml:space="preserve">  Research suggests that the Regional Trial Court (RTC) correctly exercised jurisdiction over the case because monetary interest—being a primary and inseparable component of the cause of action—must be included in computing the jurisdictional amount, bringing the total claim to P489,000.</w:t>
      </w:r>
    </w:p>
    <w:p>
      <w:pPr>
        <w:pStyle w:val="ListBullet"/>
      </w:pPr>
      <w:r>
        <w:t xml:space="preserve">  While the debtors attempted to pay the debt in 2010 via a Manager's Check, the evidence leans toward the conclusion that this mere tender of payment, without subsequent judicial consignation, was legally insufficient to suspend the accrual of interest or extinguish the obligation.</w:t>
      </w:r>
    </w:p>
    <w:p>
      <w:pPr>
        <w:pStyle w:val="ListBullet"/>
      </w:pPr>
      <w:r>
        <w:t xml:space="preserve">  Although discussions surrounding Civil Code Articles 1240 and 1241 (payment to the wrong party) frequently arise in extinguishment of obligations, the facts of this case confirm that the payment was tendered to the proper creditor. The fatal defect lay in the procedure of payment rather than the identity of the payee.</w:t>
      </w:r>
    </w:p>
    <w:p>
      <w:pPr>
        <w:pStyle w:val="Heading2"/>
      </w:pPr>
      <w:r>
        <w:t>Introduction to the Legal Doctrines at Issue</w:t>
      </w:r>
    </w:p>
    <w:p>
      <w:r>
        <w:t xml:space="preserve">The extinguishment of obligations through payment or performance is a cornerstone of civil law, primarily governed by Articles 1232 through 1261 of the Civil Code of the Philippines. For a payment to be legally valid and thus extinguish an obligation, it must meet rigorous standards regarding identity, integrity, and the propriety of both the payor and the payee. Furthermore, when a creditor unjustly refuses to accept a validly tendered payment, the law provides the debtor with the remedy of consignation to avoid the perpetual accrual of interest and the enduring burden of the debt. The Supreme Court decision in </w:t>
      </w:r>
      <w:r>
        <w:rPr>
          <w:i/>
        </w:rPr>
        <w:t>Spouses Domasian v. Demdam</w:t>
      </w:r>
      <w:r>
        <w:t xml:space="preserve"> (G.R. No. 212349, November 17, 2021) offers a critical examination of these principles, specifically illustrating the intersection between substantive civil law obligations, procedural jurisdictional rules, and the equitable power of the courts to temper unconscionable interest rates.</w:t>
      </w:r>
    </w:p>
    <w:p>
      <w:pPr>
        <w:pStyle w:val="Heading2"/>
      </w:pPr>
      <w:r>
        <w:t>Case Context and Methodological Scope</w:t>
      </w:r>
    </w:p>
    <w:p>
      <w:r>
        <w:t>This report synthesizes the factual background, procedural history, and substantive rulings of the aforementioned case. It specifically addresses the user's inquiry regarding the identity of the proper payee and the consequences of defective payment. Notably, while the query contemplates the application of Civil Code Articles 1240 and 1241 (pertaining to the proper party to receive payment), an exhaustive review of the case reveals that the critical failure in the debtors' performance was not a misdirection of payment to a third or wrong party, but rather a failure to consummate a valid tender of payment with the requisite judicial consignation under Articles 1256 to 1261.</w:t>
      </w:r>
    </w:p>
    <w:p>
      <w:pPr>
        <w:spacing w:before="120" w:after="120"/>
        <w:pBdr>
          <w:bottom w:val="single" w:sz="4" w:space="1" w:color="CCCCCC"/>
        </w:pBdr>
      </w:pPr>
    </w:p>
    <w:p>
      <w:pPr>
        <w:pStyle w:val="Heading3"/>
      </w:pPr>
      <w:r>
        <w:t>Domasian, et al. v. Demdam (2021) | G.R. No. 212349</w:t>
      </w:r>
    </w:p>
    <w:p>
      <w:pPr>
        <w:pStyle w:val="Heading4"/>
      </w:pPr>
      <w:r>
        <w:t>1. The Parties</w:t>
      </w:r>
    </w:p>
    <w:p>
      <w:pPr>
        <w:pStyle w:val="ListBullet"/>
      </w:pPr>
      <w:r>
        <w:t xml:space="preserve">  </w:t>
      </w:r>
      <w:r>
        <w:rPr>
          <w:b/>
        </w:rPr>
        <w:t>Petitioners (Domasian, et al.):</w:t>
      </w:r>
      <w:r>
        <w:t xml:space="preserve"> The petitioners are Spouses Sergio D. Domasian and Nenita F. Domasian. They acted as the borrowers (debtors) in a contract of loan (mutuum). Their primary obligation was to return the principal amount borrowed along with the stipulated monetary interest upon the maturity date of the loan.</w:t>
      </w:r>
    </w:p>
    <w:p>
      <w:pPr>
        <w:pStyle w:val="ListBullet"/>
      </w:pPr>
      <w:r>
        <w:t xml:space="preserve">  </w:t>
      </w:r>
      <w:r>
        <w:rPr>
          <w:b/>
        </w:rPr>
        <w:t>Respondent (Demdam):</w:t>
      </w:r>
      <w:r>
        <w:t xml:space="preserve"> The respondent is Manuel T. Demdam, who acted as the lender (creditor) in the transaction. He initiated the legal action to collect the unpaid sum of money, claiming entitlement not only to the principal amount but also to an extensive sum of accrued interest based on the originally agreed-upon contractual rate.</w:t>
      </w:r>
    </w:p>
    <w:p>
      <w:pPr>
        <w:pStyle w:val="ListBullet"/>
      </w:pPr>
      <w:r>
        <w:t xml:space="preserve">  </w:t>
      </w:r>
      <w:r>
        <w:rPr>
          <w:b/>
        </w:rPr>
        <w:t>Their relationship:</w:t>
      </w:r>
      <w:r>
        <w:t xml:space="preserve"> The underlying relationship between the parties was founded upon a straightforward contract of loan (mutuum) executed on October 30, 1995. Under this contract, the creditor delivered money to the debtors, creating a unilateral obligation on the part of the debtors to pay the principal loan and the accrued interest by a specified maturity date.</w:t>
      </w:r>
    </w:p>
    <w:p>
      <w:pPr>
        <w:pStyle w:val="Heading4"/>
      </w:pPr>
      <w:r>
        <w:t>2. Background &amp; Facts</w:t>
      </w:r>
    </w:p>
    <w:p>
      <w:r>
        <w:t>The factual matrix of this case spans over two decades, evolving from a simple loan default into a complex procedural and substantive legal battle involving default judgments, jurisdictional disputes, and attempts at payment.</w:t>
      </w:r>
    </w:p>
    <w:p>
      <w:pPr>
        <w:pStyle w:val="ListBullet"/>
      </w:pPr>
      <w:r>
        <w:t xml:space="preserve">  </w:t>
      </w:r>
      <w:r>
        <w:rPr>
          <w:b/>
        </w:rPr>
        <w:t>The Original Obligation:</w:t>
      </w:r>
      <w:r>
        <w:t xml:space="preserve"> The original obligation was a contract of loan for the principal purchase/borrowed amount of P75,000.00. The parties stipulated an exceedingly high interest rate of 8% per month (equivalent to 96% per annum), with a maturity date set for June 30, 1996.</w:t>
      </w:r>
    </w:p>
    <w:p>
      <w:pPr>
        <w:pStyle w:val="ListBullet"/>
      </w:pPr>
      <w:r>
        <w:t xml:space="preserve">  </w:t>
      </w:r>
      <w:r>
        <w:rPr>
          <w:b/>
        </w:rPr>
        <w:t>To Whom Payment Was Made (and Proper Payee Status):</w:t>
      </w:r>
      <w:r>
        <w:t xml:space="preserve"> When the debt matured, the petitioners initially defaulted. Years later, during the pendency of the litigation (specifically sometime in 2010), the petitioners attempted to settle the obligation. They prepared a Manager's Check and offered it directly to the respondent, Manuel T. Demdam. Demdam was undoubtedly the proper payee, as he was the person in whose favor the obligation was constituted. No third party or wrong payee was involved in this transaction.</w:t>
      </w:r>
    </w:p>
    <w:p>
      <w:pPr>
        <w:pStyle w:val="ListBullet"/>
      </w:pPr>
      <w:r>
        <w:t xml:space="preserve">  </w:t>
      </w:r>
      <w:r>
        <w:rPr>
          <w:b/>
        </w:rPr>
        <w:t>The Creditor's Claim:</w:t>
      </w:r>
      <w:r>
        <w:t xml:space="preserve"> The actual creditor (Demdam) claimed that the obligation remained fundamentally unpaid for 19 years since the loan was obtained. He refused to accept the Manager's Check tendered by the petitioners in 2010. The creditor's core claim in his lawsuit was not that payment was made to the wrong person, but rather that the total debt (principal plus 8% monthly interest) had not been satisfied, prompting his collection suit for P489,000.00.</w:t>
      </w:r>
    </w:p>
    <w:p>
      <w:r>
        <w:rPr>
          <w:b/>
        </w:rPr>
        <w:t>Timeline of Key Events:</w:t>
      </w:r>
    </w:p>
    <w:p>
      <w:r>
        <w:t>| Date | Event Description |</w:t>
      </w:r>
    </w:p>
    <w:p>
      <w:r>
        <w:t>| :--- | :--- |</w:t>
      </w:r>
    </w:p>
    <w:p>
      <w:r>
        <w:t xml:space="preserve">| </w:t>
      </w:r>
      <w:r>
        <w:rPr>
          <w:b/>
        </w:rPr>
        <w:t>October 30, 1995</w:t>
      </w:r>
      <w:r>
        <w:t xml:space="preserve"> | Petitioners obtained a loan of P75,000.00 from the respondent at an 8% monthly interest rate. |</w:t>
      </w:r>
    </w:p>
    <w:p>
      <w:r>
        <w:t xml:space="preserve">| </w:t>
      </w:r>
      <w:r>
        <w:rPr>
          <w:b/>
        </w:rPr>
        <w:t>June 30, 1996</w:t>
      </w:r>
      <w:r>
        <w:t xml:space="preserve"> | The loan became due and demandable. Petitioners failed to pay the principal and accrued interest despite extrajudicial demands. |</w:t>
      </w:r>
    </w:p>
    <w:p>
      <w:r>
        <w:t xml:space="preserve">| </w:t>
      </w:r>
      <w:r>
        <w:rPr>
          <w:b/>
        </w:rPr>
        <w:t>August 1, 2001</w:t>
      </w:r>
      <w:r>
        <w:t xml:space="preserve"> | Respondent filed a complaint for collection of a sum of money in the Regional Trial Court (RTC) of Pasay City, claiming P75,000.00 in principal and P414,000.00 in accrued interest (Total: P489,000.00). |</w:t>
      </w:r>
    </w:p>
    <w:p>
      <w:r>
        <w:t xml:space="preserve">| </w:t>
      </w:r>
      <w:r>
        <w:rPr>
          <w:b/>
        </w:rPr>
        <w:t>January 23, 2002</w:t>
      </w:r>
      <w:r>
        <w:t xml:space="preserve"> | The RTC declared the petitioners in default after they failed to answer the summons (having moved to Naga City). |</w:t>
      </w:r>
    </w:p>
    <w:p>
      <w:r>
        <w:t xml:space="preserve">| </w:t>
      </w:r>
      <w:r>
        <w:rPr>
          <w:b/>
        </w:rPr>
        <w:t>January 14, 2003</w:t>
      </w:r>
      <w:r>
        <w:t xml:space="preserve"> | The RTC rendered a default judgment ordering petitioners to pay the loan, interest, moral/exemplary damages, and fees. |</w:t>
      </w:r>
    </w:p>
    <w:p>
      <w:r>
        <w:t xml:space="preserve">| </w:t>
      </w:r>
      <w:r>
        <w:rPr>
          <w:b/>
        </w:rPr>
        <w:t>June 6, 2006</w:t>
      </w:r>
      <w:r>
        <w:t xml:space="preserve"> | Petitioners filed a Petition for Relief from Judgment, later followed by a Motion to Dismiss arguing the RTC lacked jurisdiction due to the principal amount being only P75,000.00. |</w:t>
      </w:r>
    </w:p>
    <w:p>
      <w:r>
        <w:t xml:space="preserve">| </w:t>
      </w:r>
      <w:r>
        <w:rPr>
          <w:b/>
        </w:rPr>
        <w:t>September 30, 2008</w:t>
      </w:r>
      <w:r>
        <w:t xml:space="preserve"> | The RTC granted the relief and dismissed the complaint for lack of jurisdiction. |</w:t>
      </w:r>
    </w:p>
    <w:p>
      <w:r>
        <w:t xml:space="preserve">| </w:t>
      </w:r>
      <w:r>
        <w:rPr>
          <w:b/>
        </w:rPr>
        <w:t>2010</w:t>
      </w:r>
      <w:r>
        <w:t xml:space="preserve"> | Petitioners attempted to tender payment via a Manager's Check directly to the respondent, who refused to accept it. |</w:t>
      </w:r>
    </w:p>
    <w:p>
      <w:r>
        <w:t xml:space="preserve">| </w:t>
      </w:r>
      <w:r>
        <w:rPr>
          <w:b/>
        </w:rPr>
        <w:t>August 31, 2012</w:t>
      </w:r>
      <w:r>
        <w:t xml:space="preserve"> | The Court of Appeals (CA) reversed the RTC's dismissal, ruling that the P414,000.00 accrued interest was a primary component of the cause of action, placing the P489,000.00 total within RTC jurisdiction. |</w:t>
      </w:r>
    </w:p>
    <w:p>
      <w:r>
        <w:t xml:space="preserve">| </w:t>
      </w:r>
      <w:r>
        <w:rPr>
          <w:b/>
        </w:rPr>
        <w:t>November 17, 2021</w:t>
      </w:r>
      <w:r>
        <w:t xml:space="preserve"> | The Supreme Court promulgated its decision, affirming the CA's jurisdictional ruling but modifying the unconscionable interest rate and deleting damages. |</w:t>
      </w:r>
    </w:p>
    <w:p>
      <w:pPr>
        <w:pStyle w:val="Heading4"/>
      </w:pPr>
      <w:r>
        <w:t>3. The Contract or Obligation</w:t>
      </w:r>
    </w:p>
    <w:p>
      <w:pPr>
        <w:pStyle w:val="ListBullet"/>
      </w:pPr>
      <w:r>
        <w:t xml:space="preserve">  </w:t>
      </w:r>
      <w:r>
        <w:rPr>
          <w:b/>
        </w:rPr>
        <w:t>Original Obligation:</w:t>
      </w:r>
      <w:r>
        <w:t xml:space="preserve"> The underlying obligation was a mutuum (simple loan) for a principal sum of P75,000.00 subject to a conventional (monetary) interest rate of 8% per month.</w:t>
      </w:r>
    </w:p>
    <w:p>
      <w:pPr>
        <w:pStyle w:val="ListBullet"/>
      </w:pPr>
      <w:r>
        <w:t xml:space="preserve">  </w:t>
      </w:r>
      <w:r>
        <w:rPr>
          <w:b/>
        </w:rPr>
        <w:t>Extinguishment by Payment:</w:t>
      </w:r>
      <w:r>
        <w:t xml:space="preserve"> The obligation was </w:t>
      </w:r>
      <w:r>
        <w:rPr>
          <w:b/>
        </w:rPr>
        <w:t>not</w:t>
      </w:r>
      <w:r>
        <w:t xml:space="preserve"> extinguished by payment prior to the litigation or during the litigation. The payment attempted by the debtors in 2010 was not legally valid to extinguish the obligation.</w:t>
      </w:r>
    </w:p>
    <w:p>
      <w:pPr>
        <w:pStyle w:val="ListBullet"/>
      </w:pPr>
      <w:r>
        <w:t xml:space="preserve">  </w:t>
      </w:r>
      <w:r>
        <w:rPr>
          <w:b/>
        </w:rPr>
        <w:t>Tender of Payment and Consignation:</w:t>
      </w:r>
      <w:r>
        <w:t xml:space="preserve"> There was a </w:t>
      </w:r>
      <w:r>
        <w:rPr>
          <w:b/>
        </w:rPr>
        <w:t>tender of payment</w:t>
      </w:r>
      <w:r>
        <w:t xml:space="preserve"> made by the petitioners in 2010 when they offered a Manager's Check to the respondent. However, this tender was </w:t>
      </w:r>
      <w:r>
        <w:rPr>
          <w:b/>
        </w:rPr>
        <w:t>not proper</w:t>
      </w:r>
      <w:r>
        <w:t xml:space="preserve"> to produce the legal effect of payment. The Supreme Court expressly noted that while tender of payment manifests a desire to comply with the obligation, it produces no legal effect on its own. To validly extinguish an obligation and suspend the accrual of interest, the tender of payment, if refused without just cause, must be followed by a prompt and valid </w:t>
      </w:r>
      <w:r>
        <w:rPr>
          <w:b/>
        </w:rPr>
        <w:t>consignation</w:t>
      </w:r>
      <w:r>
        <w:t xml:space="preserve"> (the deposit of the proper amount with a judicial authority). Because the petitioners failed to consign the amount with the court after Demdam refused the check, the tender was legally insufficient.</w:t>
      </w:r>
    </w:p>
    <w:p>
      <w:pPr>
        <w:pStyle w:val="Heading4"/>
      </w:pPr>
      <w:r>
        <w:t>4. Legal Issues Raised</w:t>
      </w:r>
    </w:p>
    <w:p>
      <w:pPr>
        <w:pStyle w:val="ListBullet"/>
      </w:pPr>
      <w:r>
        <w:t xml:space="preserve">  </w:t>
      </w:r>
      <w:r>
        <w:rPr>
          <w:b/>
        </w:rPr>
        <w:t>Was payment made to the proper payee under Art. 1240?</w:t>
      </w:r>
      <w:r>
        <w:t xml:space="preserve"> Yes. Civil Code Article 1240 mandates that payment shall be made to the person in whose favor the obligation has been constituted. In this case, the petitioners directly offered the Manager's Check to the respondent, Manuel T. Demdam, who was the original creditor. The defect in this case was not a violation of Article 1240.</w:t>
      </w:r>
    </w:p>
    <w:p>
      <w:pPr>
        <w:pStyle w:val="ListBullet"/>
      </w:pPr>
      <w:r>
        <w:t xml:space="preserve">  </w:t>
      </w:r>
      <w:r>
        <w:rPr>
          <w:b/>
        </w:rPr>
        <w:t>If payment was to a third party, was it valid under Art. 1241?</w:t>
      </w:r>
      <w:r>
        <w:t xml:space="preserve"> This legal issue is inapplicable to the specific facts of this case. The comprehensive text of the ruling confirms that payment was never offered to an incapacitated person or an unauthorized third party. Therefore, Article 1241 was not invoked or violated.</w:t>
      </w:r>
    </w:p>
    <w:p>
      <w:pPr>
        <w:pStyle w:val="ListBullet"/>
      </w:pPr>
      <w:r>
        <w:t xml:space="preserve">  </w:t>
      </w:r>
      <w:r>
        <w:rPr>
          <w:b/>
        </w:rPr>
        <w:t>Was the obligation extinguished?</w:t>
      </w:r>
      <w:r>
        <w:t xml:space="preserve"> No. The core issue regarding payment was whether the unaccepted tender of a Manager's Check suspended the accrual of interest. The Court ruled it did not, because tender of payment without consignation does not extinguish the obligation.</w:t>
      </w:r>
    </w:p>
    <w:p>
      <w:pPr>
        <w:pStyle w:val="ListBullet"/>
      </w:pPr>
      <w:r>
        <w:t xml:space="preserve">  </w:t>
      </w:r>
      <w:r>
        <w:rPr>
          <w:b/>
        </w:rPr>
        <w:t>Additional Primary Issues:</w:t>
      </w:r>
      <w:r/>
    </w:p>
    <w:p>
      <w:r>
        <w:t>1. Did the RTC have jurisdiction over the claim considering the principal was only P75,000.00?</w:t>
      </w:r>
    </w:p>
    <w:p>
      <w:r>
        <w:t>2. Was the stipulated interest rate of 8% per month legally valid?.</w:t>
      </w:r>
    </w:p>
    <w:p>
      <w:pPr>
        <w:pStyle w:val="Heading4"/>
      </w:pPr>
      <w:r>
        <w:t>5. Supreme Court Ruling</w:t>
      </w:r>
    </w:p>
    <w:p>
      <w:r>
        <w:t>The Supreme Court fundamentally ruled in favor of the creditor's right to collect but heavily tempered the terms of the collection based on equitable principles.</w:t>
      </w:r>
    </w:p>
    <w:p>
      <w:pPr>
        <w:pStyle w:val="ListBullet"/>
      </w:pPr>
      <w:r>
        <w:t xml:space="preserve">  </w:t>
      </w:r>
      <w:r>
        <w:rPr>
          <w:b/>
        </w:rPr>
        <w:t>On the Validity of Payment (Tender &amp; Consignation):</w:t>
      </w:r>
      <w:r>
        <w:t xml:space="preserve"> The Supreme Court decided that the 2010 tender of payment was legally defective. Citing *Spouses Bonrostro v. Spouses Luna*, the Court held that tender of payment without more produces no legal effect. Because the petitioners failed to execute the companion act of consignation (depositing the refused funds with the proper court), the accrual of interest on their loan obligation was not suspended, and the obligation was not extinguished.</w:t>
      </w:r>
    </w:p>
    <w:p>
      <w:pPr>
        <w:pStyle w:val="ListBullet"/>
      </w:pPr>
      <w:r>
        <w:t xml:space="preserve">  </w:t>
      </w:r>
      <w:r>
        <w:rPr>
          <w:b/>
        </w:rPr>
        <w:t>Application of Civil Code Provisions:</w:t>
      </w:r>
      <w:r>
        <w:t xml:space="preserve"> The Court did not apply Articles 1240–1241, as the identity of the payee was never in dispute. Instead, the Court implicitly applied the principles of Articles 1256 to 1261 governing Tender of Payment and Consignation. Furthermore, the Court exercised its power under the Civil Code (referencing principles aligned with Art. 1956 and related jurisprudence) to strike down the 8% monthly interest rate (96% per annum) as "excessive, iniquitous, unconscionable and exorbitant," thus rendering it void *ab initio*.</w:t>
      </w:r>
    </w:p>
    <w:p>
      <w:pPr>
        <w:pStyle w:val="ListBullet"/>
      </w:pPr>
      <w:r>
        <w:t xml:space="preserve">  </w:t>
      </w:r>
      <w:r>
        <w:rPr>
          <w:b/>
        </w:rPr>
        <w:t>On Jurisdiction:</w:t>
      </w:r>
      <w:r>
        <w:t xml:space="preserve"> The Court ruled that the RTC had proper jurisdiction. Under the law, "monetary interest" (which is agreed upon as compensation for the use of money) is a primary and inseparable component of the principal cause of action. Therefore, the P414,000.00 in accrued interest was correctly added to the P75,000.00 principal, bringing the total claim to P489,000.00, well within the RTC's jurisdictional threshold at the time of filing in 2001.</w:t>
      </w:r>
    </w:p>
    <w:p>
      <w:pPr>
        <w:pStyle w:val="ListBullet"/>
      </w:pPr>
      <w:r>
        <w:t xml:space="preserve">  </w:t>
      </w:r>
      <w:r>
        <w:rPr>
          <w:b/>
        </w:rPr>
        <w:t>Disposition (The Fallo):</w:t>
      </w:r>
      <w:r>
        <w:t xml:space="preserve"> The Supreme Court affirmed the CA's decision to reinstate the RTC's judgment but heavily modified the financial awards. The petitioners were ordered to pay:</w:t>
      </w:r>
    </w:p>
    <w:p>
      <w:r>
        <w:t>1. The P75,000.00 principal.</w:t>
      </w:r>
    </w:p>
    <w:p>
      <w:r>
        <w:t>2. Monetary interest at the reduced legal rate of 12% per annum from extrajudicial demand (June 30, 1996) until finality.</w:t>
      </w:r>
    </w:p>
    <w:p>
      <w:r>
        <w:t>3. Compensatory interest on the accrued monetary interest at 12% per annum from judicial demand (August 1, 2001) to June 30, 2013, and 6% per annum thereafter until finality.</w:t>
      </w:r>
    </w:p>
    <w:p>
      <w:r>
        <w:t>4. Legal interest of 6% per annum on the total aggregate amount from the finality of the decision until full payment.</w:t>
      </w:r>
    </w:p>
    <w:p>
      <w:r>
        <w:t>5. The awards for moral and exemplary damages were deleted due to a lack of evidence of fraud or bad faith.</w:t>
      </w:r>
    </w:p>
    <w:p>
      <w:pPr>
        <w:pStyle w:val="Heading4"/>
      </w:pPr>
      <w:r>
        <w:t>6. Key Doctrine / Civil Code Hook</w:t>
      </w:r>
    </w:p>
    <w:p>
      <w:pPr>
        <w:pStyle w:val="ListBullet"/>
      </w:pPr>
      <w:r>
        <w:t xml:space="preserve">  </w:t>
      </w:r>
      <w:r>
        <w:rPr>
          <w:b/>
        </w:rPr>
        <w:t>The Rule on Valid Payment (Arts. 1240–1241 vs. Arts. 1256–1261):</w:t>
      </w:r>
      <w:r>
        <w:t xml:space="preserve"> While Articles 1240 and 1241 dictate *to whom* payment must be made (the creditor, his successor, or an authorized person), this case turns on the *method* of payment when faced with creditor refusal. The fundamental doctrine is that </w:t>
      </w:r>
      <w:r>
        <w:rPr>
          <w:b/>
        </w:rPr>
        <w:t>tender of payment must be followed by valid consignation</w:t>
      </w:r>
      <w:r>
        <w:t xml:space="preserve"> to produce the effect of payment and extinguish the obligation.</w:t>
      </w:r>
    </w:p>
    <w:p>
      <w:pPr>
        <w:pStyle w:val="ListBullet"/>
      </w:pPr>
      <w:r>
        <w:t xml:space="preserve">  </w:t>
      </w:r>
      <w:r>
        <w:rPr>
          <w:b/>
        </w:rPr>
        <w:t>What this case adds or clarifies:</w:t>
      </w:r>
      <w:r/>
    </w:p>
    <w:p>
      <w:r>
        <w:t xml:space="preserve">1. </w:t>
      </w:r>
      <w:r>
        <w:rPr>
          <w:b/>
        </w:rPr>
        <w:t>Tender vs. Consignation:</w:t>
      </w:r>
      <w:r>
        <w:t xml:space="preserve"> The case strictly reiterates that a debtor cannot simply offer a check, have it refused, and then claim that interest should stop accruing. A "prompt attempt of the debtor to deposit the means of payment in court by way of consignation" is mandatory.</w:t>
      </w:r>
    </w:p>
    <w:p>
      <w:r>
        <w:t xml:space="preserve">2. </w:t>
      </w:r>
      <w:r>
        <w:rPr>
          <w:b/>
        </w:rPr>
        <w:t>Jurisdiction Computation:</w:t>
      </w:r>
      <w:r>
        <w:t xml:space="preserve"> It clarifies the distinction between monetary interest and compensatory interest for jurisdictional purposes. Contractual monetary interest is added to the principal to determine the jurisdictional amount; compensatory damages are excluded.</w:t>
      </w:r>
    </w:p>
    <w:p>
      <w:r>
        <w:t xml:space="preserve">3. </w:t>
      </w:r>
      <w:r>
        <w:rPr>
          <w:b/>
        </w:rPr>
        <w:t>Unconscionable Interest:</w:t>
      </w:r>
      <w:r>
        <w:t xml:space="preserve"> It reinforces the doctrine that while parties are free to stipulate interest, courts will void rates that are shockingly high (e.g., 8% a month) and replace them with the prevailing legal rate at the time of the contract.</w:t>
      </w:r>
    </w:p>
    <w:p>
      <w:pPr>
        <w:pStyle w:val="ListBullet"/>
      </w:pPr>
      <w:r>
        <w:t xml:space="preserve">  </w:t>
      </w:r>
      <w:r>
        <w:rPr>
          <w:b/>
        </w:rPr>
        <w:t>Civil Code Articles Applied:</w:t>
      </w:r>
      <w:r/>
    </w:p>
    <w:p>
      <w:pPr>
        <w:pStyle w:val="ListBullet"/>
      </w:pPr>
      <w:r>
        <w:t xml:space="preserve">  </w:t>
      </w:r>
      <w:r>
        <w:rPr>
          <w:b/>
        </w:rPr>
        <w:t>Art. 1256:</w:t>
      </w:r>
      <w:r>
        <w:t xml:space="preserve"> (Implicitly applied regarding the necessity of consignation when the creditor refuses tender).</w:t>
      </w:r>
    </w:p>
    <w:p>
      <w:pPr>
        <w:pStyle w:val="ListBullet"/>
      </w:pPr>
      <w:r>
        <w:t xml:space="preserve">  </w:t>
      </w:r>
      <w:r>
        <w:rPr>
          <w:b/>
        </w:rPr>
        <w:t>Art. 1956:</w:t>
      </w:r>
      <w:r>
        <w:t xml:space="preserve"> (Related to the imposition of monetary interest).</w:t>
      </w:r>
    </w:p>
    <w:p>
      <w:pPr>
        <w:pStyle w:val="ListBullet"/>
      </w:pPr>
      <w:r>
        <w:t xml:space="preserve">  </w:t>
      </w:r>
      <w:r>
        <w:rPr>
          <w:b/>
        </w:rPr>
        <w:t>Art. 2212:</w:t>
      </w:r>
      <w:r>
        <w:t xml:space="preserve"> (Interest due shall earn legal interest from the time it is judicially demanded).</w:t>
      </w:r>
    </w:p>
    <w:p>
      <w:pPr>
        <w:pStyle w:val="Heading4"/>
      </w:pPr>
      <w:r>
        <w:t>7. Memory Anchor</w:t>
      </w:r>
    </w:p>
    <w:p>
      <w:r>
        <w:rPr>
          <w:b/>
        </w:rPr>
        <w:t>"A rejected check does not stop the clock."</w:t>
      </w:r>
    </w:p>
    <w:p>
      <w:r>
        <w:t xml:space="preserve">In </w:t>
      </w:r>
      <w:r>
        <w:rPr>
          <w:i/>
        </w:rPr>
        <w:t>Domasian</w:t>
      </w:r>
      <w:r>
        <w:t>, the debtors tried to hand the creditor a check to pay off their P75,000 loan, but because they simply walked away when he refused it instead of depositing it with the court (</w:t>
      </w:r>
      <w:r>
        <w:rPr>
          <w:i/>
        </w:rPr>
        <w:t>consignation</w:t>
      </w:r>
      <w:r>
        <w:t>), the 19 years of interest (though mercifully reduced from a predatory 96% to 12% by the SC) continued to tick against them.</w:t>
      </w:r>
    </w:p>
    <w:p>
      <w:pPr>
        <w:spacing w:before="120" w:after="120"/>
        <w:pBdr>
          <w:bottom w:val="single" w:sz="4" w:space="1" w:color="CCCCCC"/>
        </w:pBdr>
      </w:pPr>
    </w:p>
    <w:p>
      <w:pPr>
        <w:pStyle w:val="Heading2"/>
      </w:pPr>
      <w:r>
        <w:t>Case 11: Del Carmen v. Sabordo, et al. (2014) | G.R. No. 181723</w:t>
      </w:r>
    </w:p>
    <w:p>
      <w:pPr>
        <w:pStyle w:val="Heading3"/>
      </w:pPr>
      <w:r>
        <w:t>Del Carmen v. Sabordo, et al. (2014) | G.R. No. 181723</w:t>
      </w:r>
    </w:p>
    <w:p>
      <w:pPr>
        <w:pStyle w:val="Heading4"/>
      </w:pPr>
      <w:r>
        <w:t>1. The Parties</w:t>
      </w:r>
    </w:p>
    <w:p>
      <w:pPr>
        <w:pStyle w:val="ListBullet"/>
      </w:pPr>
      <w:r>
        <w:t xml:space="preserve">  </w:t>
      </w:r>
      <w:r>
        <w:rPr>
          <w:b/>
        </w:rPr>
        <w:t>Petitioner (Del Carmen):</w:t>
      </w:r>
      <w:r>
        <w:t xml:space="preserve"> Elizabeth Del Carmen is one of the legal heirs of Toribio Suico. Her obligation, along with the other heirs, was to repurchase Lots 506 and 514 from the Sabordo spouses by paying ₱127,500.00, as directed by a final court decision.</w:t>
      </w:r>
    </w:p>
    <w:p>
      <w:pPr>
        <w:pStyle w:val="ListBullet"/>
      </w:pPr>
      <w:r>
        <w:t xml:space="preserve">  </w:t>
      </w:r>
      <w:r>
        <w:rPr>
          <w:b/>
        </w:rPr>
        <w:t>Respondents (Sabordo, et al.):</w:t>
      </w:r>
      <w:r>
        <w:t xml:space="preserve"> Spouses Restituto Sabordo and Mima Mahilum-Sabordo. They were the transferees of rights over the properties and the parties to whom the repurchase price was due.</w:t>
      </w:r>
    </w:p>
    <w:p>
      <w:pPr>
        <w:pStyle w:val="ListBullet"/>
      </w:pPr>
      <w:r>
        <w:t xml:space="preserve">  </w:t>
      </w:r>
      <w:r>
        <w:rPr>
          <w:b/>
        </w:rPr>
        <w:t>Their relationship:</w:t>
      </w:r>
      <w:r>
        <w:t xml:space="preserve"> The predecessors of the petitioner, the Suico spouses (along with Flores spouses), had originally sold their rights over certain properties to the respondent Sabordo spouses. A subsequent court ruling granted the Suico spouses (and thus their heirs, including Del Carmen) the option to repurchase two of these lots (Lots 506 and 514) from the Sabordos.</w:t>
      </w:r>
    </w:p>
    <w:p>
      <w:pPr>
        <w:pStyle w:val="Heading4"/>
      </w:pPr>
      <w:r>
        <w:t>2. Background &amp; Facts</w:t>
      </w:r>
    </w:p>
    <w:p>
      <w:pPr>
        <w:pStyle w:val="ListBullet"/>
      </w:pPr>
      <w:r>
        <w:t xml:space="preserve">  </w:t>
      </w:r>
      <w:r>
        <w:rPr>
          <w:b/>
        </w:rPr>
        <w:t>Original debt:</w:t>
      </w:r>
      <w:r>
        <w:t xml:space="preserve"> In 1961, the spouses Toribio and Eufrocina Suico, with business partners, obtained a loan from the Development Bank of the Philippines (DBP), securing it with four parcels of land (Lots 506, 512, 513, and 514) owned by the Suico spouses, among others. They defaulted on the loan, leading to DBP foreclosing on the mortgage. DBP later allowed the Suico and Flores spouses to repurchase the properties through a conditional sale for ₱240,571.00. However, they only paid the downpayment and the first monthly amortization, failing to make subsequent installments.</w:t>
      </w:r>
    </w:p>
    <w:p>
      <w:pPr>
        <w:pStyle w:val="ListBullet"/>
      </w:pPr>
      <w:r>
        <w:t xml:space="preserve">  </w:t>
      </w:r>
      <w:r>
        <w:rPr>
          <w:b/>
        </w:rPr>
        <w:t>Transfer of rights:</w:t>
      </w:r>
      <w:r>
        <w:t xml:space="preserve"> Facing cancellation of the conditional sale, the Suico and Flores spouses sold their rights over the properties to the respondents, Restituto and Mima Sabordo, with the condition that the Sabordos would pay the remaining balance of the sale price to DBP. A supplemental agreement on September 3, 1974, clarified that Lots 512 and 513 were sold outright to the Sabordos, while Lots 506 and 514 were given to the Suico spouses as usufructuaries.</w:t>
      </w:r>
    </w:p>
    <w:p>
      <w:pPr>
        <w:pStyle w:val="ListBullet"/>
      </w:pPr>
      <w:r>
        <w:t xml:space="preserve">  </w:t>
      </w:r>
      <w:r>
        <w:rPr>
          <w:b/>
        </w:rPr>
        <w:t>Subsequent litigation and repurchase option:</w:t>
      </w:r>
      <w:r>
        <w:t xml:space="preserve"> Restituto Sabordo initiated a declaratory relief action. The Regional Trial Court (RTC) and later the Court of Appeals (CA) ruled that the Suico spouses had until August 31, 1987, to repurchase or buy back Lots 506 and 514 from the Sabordos by paying ₱127,500.00.</w:t>
      </w:r>
    </w:p>
    <w:p>
      <w:pPr>
        <w:pStyle w:val="ListBullet"/>
      </w:pPr>
      <w:r>
        <w:t xml:space="preserve">  </w:t>
      </w:r>
      <w:r>
        <w:rPr>
          <w:b/>
        </w:rPr>
        <w:t>Petitioner's action (consignation attempt):</w:t>
      </w:r>
      <w:r>
        <w:t xml:space="preserve"> After Toribio Suico died, his heirs, including petitioner Elizabeth Del Carmen, discovered that the Sabordos had mortgaged Lots 506 and 514 to Republic Planters Bank (RPB). Claiming uncertainty as to whom the payment should be made due to the mortgage, the heirs deposited the ₱127,500.00 with the RTC and filed a complaint for interpleader. They sought to compel the Sabordos and RPB to interplead, demand substitute collateral, and release the mortgage.</w:t>
      </w:r>
    </w:p>
    <w:p>
      <w:pPr>
        <w:pStyle w:val="ListBullet"/>
      </w:pPr>
      <w:r>
        <w:t xml:space="preserve">  </w:t>
      </w:r>
      <w:r>
        <w:rPr>
          <w:b/>
        </w:rPr>
        <w:t>Claim after deposit:</w:t>
      </w:r>
      <w:r>
        <w:t xml:space="preserve"> The petitioner and co-heirs contended that their judicial deposit constituted a valid payment of the repurchase price. However, the respondents and the courts found the consignation invalid.</w:t>
      </w:r>
    </w:p>
    <w:p>
      <w:pPr>
        <w:pStyle w:val="ListBullet"/>
      </w:pPr>
      <w:r>
        <w:t xml:space="preserve">  </w:t>
      </w:r>
      <w:r>
        <w:rPr>
          <w:b/>
        </w:rPr>
        <w:t>Timeline of key events:</w:t>
      </w:r>
      <w:r/>
    </w:p>
    <w:p>
      <w:pPr>
        <w:pStyle w:val="ListBullet"/>
      </w:pPr>
      <w:r>
        <w:t xml:space="preserve">  </w:t>
      </w:r>
      <w:r>
        <w:rPr>
          <w:b/>
        </w:rPr>
        <w:t>1961:</w:t>
      </w:r>
      <w:r>
        <w:t xml:space="preserve"> Suico spouses obtained DBP loan, mortgaging properties.</w:t>
      </w:r>
    </w:p>
    <w:p>
      <w:pPr>
        <w:pStyle w:val="ListBullet"/>
      </w:pPr>
      <w:r>
        <w:t xml:space="preserve">  </w:t>
      </w:r>
      <w:r>
        <w:rPr>
          <w:b/>
        </w:rPr>
        <w:t>Failure to pay:</w:t>
      </w:r>
      <w:r>
        <w:t xml:space="preserve"> DBP foreclosed.</w:t>
      </w:r>
    </w:p>
    <w:p>
      <w:pPr>
        <w:pStyle w:val="ListBullet"/>
      </w:pPr>
      <w:r>
        <w:t xml:space="preserve">  </w:t>
      </w:r>
      <w:r>
        <w:rPr>
          <w:b/>
        </w:rPr>
        <w:t>Repurchase option from DBP:</w:t>
      </w:r>
      <w:r>
        <w:t xml:space="preserve"> DBP allowed Suico/Flores spouses to repurchase via conditional sale.</w:t>
      </w:r>
    </w:p>
    <w:p>
      <w:pPr>
        <w:pStyle w:val="ListBullet"/>
      </w:pPr>
      <w:r>
        <w:t xml:space="preserve">  </w:t>
      </w:r>
      <w:r>
        <w:rPr>
          <w:b/>
        </w:rPr>
        <w:t>Sale of rights to Sabordos:</w:t>
      </w:r>
      <w:r>
        <w:t xml:space="preserve"> Suico/Flores spouses sold their rights to Sabordo spouses.</w:t>
      </w:r>
    </w:p>
    <w:p>
      <w:pPr>
        <w:pStyle w:val="ListBullet"/>
      </w:pPr>
      <w:r>
        <w:t xml:space="preserve">  </w:t>
      </w:r>
      <w:r>
        <w:rPr>
          <w:b/>
        </w:rPr>
        <w:t>September 3, 1974:</w:t>
      </w:r>
      <w:r>
        <w:t xml:space="preserve"> Supplemental agreement between Sabordos and Suico/Flores spouses.</w:t>
      </w:r>
    </w:p>
    <w:p>
      <w:pPr>
        <w:pStyle w:val="ListBullet"/>
      </w:pPr>
      <w:r>
        <w:t xml:space="preserve">  </w:t>
      </w:r>
      <w:r>
        <w:rPr>
          <w:b/>
        </w:rPr>
        <w:t>September 13, 1976:</w:t>
      </w:r>
      <w:r>
        <w:t xml:space="preserve"> Restituto Sabordo filed declaratory relief action.</w:t>
      </w:r>
    </w:p>
    <w:p>
      <w:pPr>
        <w:pStyle w:val="ListBullet"/>
      </w:pPr>
      <w:r>
        <w:t xml:space="preserve">  </w:t>
      </w:r>
      <w:r>
        <w:rPr>
          <w:b/>
        </w:rPr>
        <w:t>December 17, 1986:</w:t>
      </w:r>
      <w:r>
        <w:t xml:space="preserve"> RTC ruled Suico spouses had until August 31, 1987, to repurchase Lots 506 &amp; 514 for ₱127,500.00.</w:t>
      </w:r>
    </w:p>
    <w:p>
      <w:pPr>
        <w:pStyle w:val="ListBullet"/>
      </w:pPr>
      <w:r>
        <w:t xml:space="preserve">  </w:t>
      </w:r>
      <w:r>
        <w:rPr>
          <w:b/>
        </w:rPr>
        <w:t>Toribio Suico died.</w:t>
      </w:r>
      <w:r/>
    </w:p>
    <w:p>
      <w:pPr>
        <w:pStyle w:val="ListBullet"/>
      </w:pPr>
      <w:r>
        <w:t xml:space="preserve">  </w:t>
      </w:r>
      <w:r>
        <w:rPr>
          <w:b/>
        </w:rPr>
        <w:t>Heirs discovered mortgage to RPB.</w:t>
      </w:r>
      <w:r/>
    </w:p>
    <w:p>
      <w:pPr>
        <w:pStyle w:val="ListBullet"/>
      </w:pPr>
      <w:r>
        <w:t xml:space="preserve">  </w:t>
      </w:r>
      <w:r>
        <w:rPr>
          <w:b/>
        </w:rPr>
        <w:t>Heirs deposited ₱127,500.00 with RTC and filed interpleader complaint.</w:t>
      </w:r>
      <w:r/>
    </w:p>
    <w:p>
      <w:pPr>
        <w:pStyle w:val="ListBullet"/>
      </w:pPr>
      <w:r>
        <w:t xml:space="preserve">  </w:t>
      </w:r>
      <w:r>
        <w:rPr>
          <w:b/>
        </w:rPr>
        <w:t>December 5, 2001:</w:t>
      </w:r>
      <w:r>
        <w:t xml:space="preserve"> RTC dismissed the complaint.</w:t>
      </w:r>
    </w:p>
    <w:p>
      <w:pPr>
        <w:pStyle w:val="ListBullet"/>
      </w:pPr>
      <w:r>
        <w:t xml:space="preserve">  </w:t>
      </w:r>
      <w:r>
        <w:rPr>
          <w:b/>
        </w:rPr>
        <w:t>May 25, 2007:</w:t>
      </w:r>
      <w:r>
        <w:t xml:space="preserve"> CA affirmed RTC decision.</w:t>
      </w:r>
    </w:p>
    <w:p>
      <w:pPr>
        <w:pStyle w:val="ListBullet"/>
      </w:pPr>
      <w:r>
        <w:t xml:space="preserve">  </w:t>
      </w:r>
      <w:r>
        <w:rPr>
          <w:b/>
        </w:rPr>
        <w:t>January 24, 2008:</w:t>
      </w:r>
      <w:r>
        <w:t xml:space="preserve"> CA denied Motion for Reconsideration.</w:t>
      </w:r>
    </w:p>
    <w:p>
      <w:pPr>
        <w:pStyle w:val="ListBullet"/>
      </w:pPr>
      <w:r>
        <w:t xml:space="preserve">  </w:t>
      </w:r>
      <w:r>
        <w:rPr>
          <w:b/>
        </w:rPr>
        <w:t>August 11, 2014:</w:t>
      </w:r>
      <w:r>
        <w:t xml:space="preserve"> Supreme Court denied the petition, affirming the CA.</w:t>
      </w:r>
    </w:p>
    <w:p>
      <w:pPr>
        <w:pStyle w:val="Heading4"/>
      </w:pPr>
      <w:r>
        <w:t>3. The Contract or Obligation</w:t>
      </w:r>
    </w:p>
    <w:p>
      <w:pPr>
        <w:pStyle w:val="ListBullet"/>
      </w:pPr>
      <w:r>
        <w:t xml:space="preserve">  </w:t>
      </w:r>
      <w:r>
        <w:rPr>
          <w:b/>
        </w:rPr>
        <w:t>Original obligation:</w:t>
      </w:r>
      <w:r>
        <w:t xml:space="preserve"> The obligation of the petitioner (as heir of Toribio Suico) was to pay the Sabordo spouses ₱127,500.00 to repurchase Lots 506 and 514, as mandated by a final and executory court judgment.</w:t>
      </w:r>
    </w:p>
    <w:p>
      <w:pPr>
        <w:pStyle w:val="ListBullet"/>
      </w:pPr>
      <w:r>
        <w:t xml:space="preserve">  </w:t>
      </w:r>
      <w:r>
        <w:rPr>
          <w:b/>
        </w:rPr>
        <w:t>The dation (or rather, consignation attempt):</w:t>
      </w:r>
      <w:r>
        <w:t xml:space="preserve"> The petitioner and co-heirs deposited the amount of ₱127,500.00 with the Regional Trial Court. This was an attempt at consignation, not dation in payment.</w:t>
      </w:r>
    </w:p>
    <w:p>
      <w:pPr>
        <w:pStyle w:val="ListBullet"/>
      </w:pPr>
      <w:r>
        <w:t xml:space="preserve">  </w:t>
      </w:r>
      <w:r>
        <w:rPr>
          <w:b/>
        </w:rPr>
        <w:t>Did the dation fully extinguish the debt?:</w:t>
      </w:r>
      <w:r>
        <w:t xml:space="preserve"> The Supreme Court ruled that this judicial deposit did *not* extinguish the debt because it did not constitute a valid consignation.</w:t>
      </w:r>
    </w:p>
    <w:p>
      <w:pPr>
        <w:pStyle w:val="Heading4"/>
      </w:pPr>
      <w:r>
        <w:t>4. Legal Issues Raised</w:t>
      </w:r>
    </w:p>
    <w:p>
      <w:pPr>
        <w:pStyle w:val="ListBullet"/>
      </w:pPr>
      <w:r>
        <w:t xml:space="preserve">  Was the judicial deposit of ₱127,500.00 made by the Suico heirs a valid consignation?</w:t>
      </w:r>
    </w:p>
    <w:p>
      <w:pPr>
        <w:pStyle w:val="ListBullet"/>
      </w:pPr>
      <w:r>
        <w:t xml:space="preserve">  Did this judicial deposit, in the absence of a prior tender of payment to the respondents, extinguish the obligation to repurchase the lots?</w:t>
      </w:r>
    </w:p>
    <w:p>
      <w:pPr>
        <w:pStyle w:val="ListBullet"/>
      </w:pPr>
      <w:r>
        <w:t xml:space="preserve">  Was interpleader the proper remedy for the petitioner?</w:t>
      </w:r>
    </w:p>
    <w:p>
      <w:pPr>
        <w:pStyle w:val="Heading4"/>
      </w:pPr>
      <w:r>
        <w:t>5. Supreme Court Ruling</w:t>
      </w:r>
    </w:p>
    <w:p>
      <w:pPr>
        <w:pStyle w:val="ListBullet"/>
      </w:pPr>
      <w:r>
        <w:t xml:space="preserve">  </w:t>
      </w:r>
      <w:r>
        <w:rPr>
          <w:b/>
        </w:rPr>
        <w:t>What did the SC decide on the validity and effect of the dation (consignation)?:</w:t>
      </w:r>
      <w:r>
        <w:t xml:space="preserve"> The Supreme Court denied the petition, affirming the decisions of the lower courts. The Court ruled that the judicial deposit of ₱127,500.00 made by the petitioner and co-heirs was *not* a valid consignation. Consequently, it did not extinguish their obligation to repurchase the lots.</w:t>
      </w:r>
    </w:p>
    <w:p>
      <w:pPr>
        <w:pStyle w:val="ListBullet"/>
      </w:pPr>
      <w:r>
        <w:t xml:space="preserve">  </w:t>
      </w:r>
      <w:r>
        <w:rPr>
          <w:b/>
        </w:rPr>
        <w:t>How did it apply Art. 1245 (and other articles) to the facts?:</w:t>
      </w:r>
      <w:r>
        <w:t xml:space="preserve"> The case primarily applied Civil Code Articles 1256 and 1257, which govern consignation, not Article 1245 on dation in payment. The Court emphasized that compliance with the requisites of a valid consignation is mandatory. A crucial requisite is a prior tender of payment to the creditor. The Court found that the petitioner and co-heirs failed to make a prior valid tender of payment to the Sabordos. The Court also noted that the exceptions where prior tender is excused (e.g., creditor is absent/unknown, refuses to give receipt, two or more persons claim the right, title of obligation lost) were not present in this case. Furthermore, the Court held that interpleader was not the proper remedy because Republic Planters Bank (RPB) did not make any claim over the consigned amount.</w:t>
      </w:r>
    </w:p>
    <w:p>
      <w:pPr>
        <w:pStyle w:val="ListBullet"/>
      </w:pPr>
      <w:r>
        <w:t xml:space="preserve">  </w:t>
      </w:r>
      <w:r>
        <w:rPr>
          <w:b/>
        </w:rPr>
        <w:t>What was the disposition?:</w:t>
      </w:r>
      <w:r>
        <w:t xml:space="preserve"> The petition was denied, and the Decision and Resolution of the Court of Appeals were affirmed.</w:t>
      </w:r>
    </w:p>
    <w:p>
      <w:pPr>
        <w:pStyle w:val="Heading4"/>
      </w:pPr>
      <w:r>
        <w:t>6. Key Doctrine / Civil Code Hook</w:t>
      </w:r>
    </w:p>
    <w:p>
      <w:pPr>
        <w:pStyle w:val="ListBullet"/>
      </w:pPr>
      <w:r>
        <w:t xml:space="preserve">  </w:t>
      </w:r>
      <w:r>
        <w:rPr>
          <w:b/>
        </w:rPr>
        <w:t>State the rule on dation in payment under Art. 1245:</w:t>
      </w:r>
      <w:r>
        <w:t xml:space="preserve"> Dation in payment (dación en pago) is a special form of payment where the debtor delivers and transfers the ownership of a thing to the creditor, who accepts it as the equivalent of the payment of a debt in money. Article 1245 of the Civil Code explicitly states that dation in payment shall be governed by the law of sales. For dation in payment to be valid, there must be a pre-existing debt, an agreement between the debtor and creditor to extinguish the debt by delivering a specific thing, the actual transfer of ownership of the thing, and the creditor's acceptance of it as full or partial satisfaction of the debt.</w:t>
      </w:r>
    </w:p>
    <w:p>
      <w:pPr>
        <w:pStyle w:val="ListBullet"/>
      </w:pPr>
      <w:r>
        <w:t xml:space="preserve">  </w:t>
      </w:r>
      <w:r>
        <w:rPr>
          <w:b/>
        </w:rPr>
        <w:t>Distinguish dation from novation and from sale:</w:t>
      </w:r>
      <w:r/>
    </w:p>
    <w:p>
      <w:pPr>
        <w:pStyle w:val="ListBullet"/>
      </w:pPr>
      <w:r>
        <w:t xml:space="preserve">  </w:t>
      </w:r>
      <w:r>
        <w:rPr>
          <w:b/>
        </w:rPr>
        <w:t>Dation vs. Sale:</w:t>
      </w:r>
      <w:r>
        <w:t xml:space="preserve"> While dation in payment is governed by the law of sales, its primary purpose is to extinguish a pre-existing debt, with the object alienated serving as the equivalent of the monetary obligation. In a contract of sale, the primary purpose is the transfer of ownership for a price, and there is no pre-existing debt to be extinguished.</w:t>
      </w:r>
    </w:p>
    <w:p>
      <w:pPr>
        <w:pStyle w:val="ListBullet"/>
      </w:pPr>
      <w:r>
        <w:t xml:space="preserve">  </w:t>
      </w:r>
      <w:r>
        <w:rPr>
          <w:b/>
        </w:rPr>
        <w:t>Dation vs. Novation:</w:t>
      </w:r>
      <w:r>
        <w:t xml:space="preserve"> Novation involves the extinguishment of an obligation by the creation of a new one that substitutes it, either by changing the object or principal conditions, substituting the person of the debtor, or subrogating a third person in the rights of the creditor. Dation in payment, on the other hand, extinguishes an obligation by performance through the delivery of a specific thing, rather than by creating a new obligation.</w:t>
      </w:r>
    </w:p>
    <w:p>
      <w:pPr>
        <w:pStyle w:val="ListBullet"/>
      </w:pPr>
      <w:r>
        <w:t xml:space="preserve">  </w:t>
      </w:r>
      <w:r>
        <w:rPr>
          <w:b/>
        </w:rPr>
        <w:t>Which Civil Code articles were applied?:</w:t>
      </w:r>
      <w:r>
        <w:t xml:space="preserve"> In *Del Carmen v. Sabordo*, the Supreme Court primarily applied Civil Code Articles 1256 and 1257, which govern consignation. The Court emphasized that for a consignation to be valid and extinguish an obligation, there must be a prior tender of payment to the creditor, unless specific exceptions are present.</w:t>
      </w:r>
    </w:p>
    <w:p>
      <w:pPr>
        <w:pStyle w:val="Heading4"/>
      </w:pPr>
      <w:r>
        <w:t>7. Memory Anchor</w:t>
      </w:r>
    </w:p>
    <w:p>
      <w:pPr>
        <w:pStyle w:val="ListBullet"/>
      </w:pPr>
      <w:r>
        <w:t xml:space="preserve">  *Del Carmen v. Sabordo* highlights that simply depositing money in court (consignation) to pay a debt is ineffective if you haven't first offered it directly to the creditor (tender of payment) and they unjustly refused.</w:t>
      </w:r>
    </w:p>
    <w:p>
      <w:pPr>
        <w:pStyle w:val="Heading2"/>
      </w:pPr>
      <w:r>
        <w:t>Case 12: Rustia, et al. v. Aguinaldo &amp; Aguinaldo (1953) | G.R. No. L-4005</w:t>
      </w:r>
    </w:p>
    <w:p>
      <w:pPr>
        <w:pStyle w:val="Heading2"/>
      </w:pPr>
      <w:r>
        <w:t>Extinguishment of Obligations: A Comprehensive Analysis of Consignation and Subsequent Modes</w:t>
      </w:r>
    </w:p>
    <w:p>
      <w:pPr>
        <w:pStyle w:val="Heading3"/>
      </w:pPr>
      <w:r>
        <w:t>Leading Paragraph</w:t>
      </w:r>
    </w:p>
    <w:p>
      <w:r>
        <w:t>The rules governing the extinguishment of obligations, particularly through tender of payment and consignation, present a highly structured and strictly construed area of Philippine civil law.</w:t>
      </w:r>
    </w:p>
    <w:p>
      <w:pPr>
        <w:pStyle w:val="ListBullet"/>
      </w:pPr>
      <w:r>
        <w:t xml:space="preserve">  </w:t>
      </w:r>
      <w:r>
        <w:rPr>
          <w:b/>
        </w:rPr>
        <w:t>Strict Compliance is Mandatory</w:t>
      </w:r>
      <w:r>
        <w:t>: Research indicates that for consignation to validly extinguish an obligation, the preceding tender of payment must be absolute, unconditional, and unencumbered by cross-claims or counter-demands.</w:t>
      </w:r>
    </w:p>
    <w:p>
      <w:pPr>
        <w:pStyle w:val="ListBullet"/>
      </w:pPr>
      <w:r>
        <w:t xml:space="preserve">  </w:t>
      </w:r>
      <w:r>
        <w:rPr>
          <w:b/>
        </w:rPr>
        <w:t>Risk of Loss</w:t>
      </w:r>
      <w:r>
        <w:t>: The evidence establishes that if a debtor initiates an invalid, conditional consignation, they retain the risk of loss or depreciation of the consigned amount during the pendency of the litigation.</w:t>
      </w:r>
    </w:p>
    <w:p>
      <w:pPr>
        <w:pStyle w:val="ListBullet"/>
      </w:pPr>
      <w:r>
        <w:t xml:space="preserve">  </w:t>
      </w:r>
      <w:r>
        <w:rPr>
          <w:b/>
        </w:rPr>
        <w:t>Creditor's Prerogative</w:t>
      </w:r>
      <w:r>
        <w:t>: It seems evident that a creditor is legally justified in refusing a tender of payment if the debtor attaches conditions outside the scope of the original obligation.</w:t>
      </w:r>
    </w:p>
    <w:p>
      <w:r>
        <w:t xml:space="preserve">The intricacies of these legal principles are vividly illustrated in the historical jurisprudence surrounding the Japanese occupation, where the volatility of fiat currency collided with the rigid requirements of the Civil Code. This report provides an exhaustive academic exposition of the landmark case </w:t>
      </w:r>
      <w:r>
        <w:rPr>
          <w:i/>
        </w:rPr>
        <w:t>Rustia, et al. v. Aguinaldo &amp; Aguinaldo</w:t>
      </w:r>
      <w:r>
        <w:t xml:space="preserve"> (1953) and subsequently expands into a comprehensive review module on the other modes of extinguishment: Loss, Condonation, Confusion, and Compensation.</w:t>
      </w:r>
    </w:p>
    <w:p>
      <w:pPr>
        <w:spacing w:before="120" w:after="120"/>
        <w:pBdr>
          <w:bottom w:val="single" w:sz="4" w:space="1" w:color="CCCCCC"/>
        </w:pBdr>
      </w:pPr>
    </w:p>
    <w:p>
      <w:pPr>
        <w:pStyle w:val="Heading3"/>
      </w:pPr>
      <w:r>
        <w:t>Rustia, et al. v. Aguinaldo &amp; Aguinaldo (1953) | G.R. No. L-4005</w:t>
      </w:r>
    </w:p>
    <w:p>
      <w:pPr>
        <w:pStyle w:val="Heading4"/>
      </w:pPr>
      <w:r>
        <w:t>1. The Parties</w:t>
      </w:r>
    </w:p>
    <w:p>
      <w:pPr>
        <w:pStyle w:val="ListBullet"/>
      </w:pPr>
      <w:r/>
      <w:r>
        <w:rPr>
          <w:b/>
        </w:rPr>
        <w:t>Petitioners (Rustia, et al.):</w:t>
      </w:r>
      <w:r>
        <w:t xml:space="preserve"> Juan S. Rustia and Filomena D. de Rustia were the plaintiffs-appellants in this case. They were the judgment debtors in an underlying civil action (Civil Case No. 52786) and the purchasers of several shares of stock. Their primary obligation was the payment of a judicially mandated sum of money to the respondents in exchange for the delivery of the said stocks.</w:t>
      </w:r>
    </w:p>
    <w:p>
      <w:pPr>
        <w:pStyle w:val="ListBullet"/>
      </w:pPr>
      <w:r/>
      <w:r>
        <w:rPr>
          <w:b/>
        </w:rPr>
        <w:t>Respondents (Aguinaldo &amp; Aguinaldo):</w:t>
      </w:r>
      <w:r>
        <w:t xml:space="preserve"> Aguinaldo &amp; Aguinaldo was the defendant-appellee. They acted as a broker or intermediary through which the Rustias purchased mining shares. As the judgment creditor in the underlying suit, they held the right to receive the monetary payment and bore the reciprocal obligation to deliver the purchased stock certificates.</w:t>
      </w:r>
    </w:p>
    <w:p>
      <w:pPr>
        <w:pStyle w:val="ListBullet"/>
      </w:pPr>
      <w:r/>
      <w:r>
        <w:rPr>
          <w:b/>
        </w:rPr>
        <w:t>Their relationship:</w:t>
      </w:r>
      <w:r>
        <w:t xml:space="preserve"> The relationship between the parties transitioned from a standard broker-client dynamic to a formal judgment debtor-creditor relationship. Their mutual obligations were strictly defined by a final judicial decree rendered by the Court of First Instance of Manila, which mandated the Rustias to pay a specific sum, upon which Aguinaldo &amp; Aguinaldo was to deliver the corresponding shares of stock.</w:t>
      </w:r>
    </w:p>
    <w:p>
      <w:pPr>
        <w:pStyle w:val="Heading4"/>
      </w:pPr>
      <w:r>
        <w:t>2. Background &amp; Facts</w:t>
      </w:r>
    </w:p>
    <w:p>
      <w:r>
        <w:t>The factual matrix of this case is deeply intertwined with the logistical and economic disruptions caused by the Second World War and the Japanese occupation of the Philippines.</w:t>
      </w:r>
    </w:p>
    <w:p>
      <w:pPr>
        <w:pStyle w:val="ListBullet"/>
      </w:pPr>
      <w:r/>
      <w:r>
        <w:rPr>
          <w:b/>
        </w:rPr>
        <w:t>The Original Obligation:</w:t>
      </w:r>
      <w:r>
        <w:t xml:space="preserve"> In May 1941, Judge Arsenio Locsin of the Court of First Instance of Manila rendered a judgment in Civil Case No. 52786. The decision ordered Mr. and Mrs. Rustia to pay Aguinaldo &amp; Aguinaldo the sum of P3,100.40, bearing an interest rate of 6% per annum. Upon receipt of this payment, Aguinaldo &amp; Aguinaldo was obligated to deliver to the Rustias the shares of stock that had been purchased through their brokerage.</w:t>
      </w:r>
    </w:p>
    <w:p>
      <w:pPr>
        <w:pStyle w:val="ListBullet"/>
      </w:pPr>
      <w:r/>
      <w:r>
        <w:rPr>
          <w:b/>
        </w:rPr>
        <w:t>Finality of Judgment and Wartime Complications:</w:t>
      </w:r>
      <w:r>
        <w:t xml:space="preserve"> While the judgment was issued in 1941, it only attained finality in 1944 after being appealed and subsequently affirmed by the Court of Appeals. By 1944, the Philippines was under Japanese occupation. When execution of the judgment was sought, a significant complication arose: Aguinaldo &amp; Aguinaldo could not physically deliver certain shares (specifically those in the Suyoc and Antamok mining companies). The shares held by the broker were consolidated in larger lots that could not be easily divided or split at the time, a problem severely compounded by the fact that the administrative offices of these mining companies were closed due to the ongoing war.</w:t>
      </w:r>
    </w:p>
    <w:p>
      <w:pPr>
        <w:pStyle w:val="ListBullet"/>
      </w:pPr>
      <w:r/>
      <w:r>
        <w:rPr>
          <w:b/>
        </w:rPr>
        <w:t>The Negotiations and Attempted Payment:</w:t>
      </w:r>
      <w:r>
        <w:t xml:space="preserve"> Acknowledging the impossibility of immediate delivery of the specific split shares, Aguinaldo &amp; Aguinaldo communicated a willingness to execute the judgment and proposed an alternative: they would guarantee the future delivery of the shares and provide proper security until conditions normalized and the mining offices reopened.</w:t>
      </w:r>
    </w:p>
    <w:p>
      <w:pPr>
        <w:pStyle w:val="ListBullet"/>
      </w:pPr>
      <w:r/>
      <w:r>
        <w:rPr>
          <w:b/>
        </w:rPr>
        <w:t>The Debtors' Demands and Consignation:</w:t>
      </w:r>
      <w:r>
        <w:t xml:space="preserve"> The Rustias vehemently rejected this proposal. Instead of accepting the security for future delivery, they demanded that the broker either immediately surrender the consolidated certificates to them for "safekeeping" or completely buy out the shares. When Aguinaldo &amp; Aguinaldo did not comply with these newly imposed demands, the Rustias filed a complaint titled *"Demanda con Consignacion de Cantidad de Pesos en Pago"* (Complaint with Consignation of Amount of Pesos in Payment). They deposited P4,395.90—in Japanese war notes (often colloquially referred to as "Mickey Mouse" money)—with the court.</w:t>
      </w:r>
    </w:p>
    <w:p>
      <w:pPr>
        <w:pStyle w:val="ListBullet"/>
      </w:pPr>
      <w:r/>
      <w:r>
        <w:rPr>
          <w:b/>
        </w:rPr>
        <w:t>The Cross-Claims and Deterioration:</w:t>
      </w:r>
      <w:r>
        <w:t xml:space="preserve"> Crucially, the Rustias did not simply deposit the money to discharge the debt. They simultaneously filed multiple cross-claims demanding dividends on the shares, formal accounting, and damages. Because the consignation was disputed due to these attached conditions, the deposited Japanese war notes remained in the custody of the court under the exclusive control of the plaintiffs. Following the liberation of the Philippines, the Japanese war notes suffered total depreciation, eventually becoming entirely worthless. The trial court granted only a nominal dividend of P657.50, denying the rest of the plaintiffs' exorbitant cross-claims.</w:t>
      </w:r>
    </w:p>
    <w:p>
      <w:pPr>
        <w:pStyle w:val="Heading4"/>
      </w:pPr>
      <w:r>
        <w:t>3. The Contract or Obligation</w:t>
      </w:r>
    </w:p>
    <w:p>
      <w:pPr>
        <w:pStyle w:val="ListBullet"/>
      </w:pPr>
      <w:r/>
      <w:r>
        <w:rPr>
          <w:b/>
        </w:rPr>
        <w:t>What was the original obligation?</w:t>
      </w:r>
      <w:r>
        <w:t xml:space="preserve"> The obligation was a judicially declared reciprocal obligation stemming from a brokerage contract. The Rustias were to pay P3,100.40 plus 6% interest, and Aguinaldo &amp; Aguinaldo was to deliver specific mining shares.</w:t>
      </w:r>
    </w:p>
    <w:p>
      <w:pPr>
        <w:pStyle w:val="ListBullet"/>
      </w:pPr>
      <w:r/>
      <w:r>
        <w:rPr>
          <w:b/>
        </w:rPr>
        <w:t>Was tender of payment made? Was it valid?</w:t>
      </w:r>
      <w:r>
        <w:t xml:space="preserve"> A procedural tender of payment was made when the Rustias offered the Japanese war notes to the broker. However, it was </w:t>
      </w:r>
      <w:r>
        <w:rPr>
          <w:b/>
        </w:rPr>
        <w:t>not valid</w:t>
      </w:r>
      <w:r>
        <w:t>. A valid tender of payment must be absolute and unconditional. The Rustias' tender was heavily encumbered by counter-demands (demanding a buy-out, demanding consolidated certificates for safekeeping, and claiming unliquidated damages and accounting).</w:t>
      </w:r>
    </w:p>
    <w:p>
      <w:pPr>
        <w:pStyle w:val="ListBullet"/>
      </w:pPr>
      <w:r/>
      <w:r>
        <w:rPr>
          <w:b/>
        </w:rPr>
        <w:t>Was consignation made? Was it valid?</w:t>
      </w:r>
      <w:r>
        <w:t xml:space="preserve"> Consignation (the act of depositing the thing or amount due with the proper court) was physically made by depositing P4,395.90 in Japanese fiat currency with the court. However, legally, the consignation was </w:t>
      </w:r>
      <w:r>
        <w:rPr>
          <w:b/>
        </w:rPr>
        <w:t>invalid</w:t>
      </w:r>
      <w:r>
        <w:t>. Because the preceding tender of payment was conditional and burdened with cross-claims, it failed to meet the strict legal requisites of the Civil Code. The procedural step of depositing the money was nullified by the substantive flaw of attaching conditions to the settlement.</w:t>
      </w:r>
    </w:p>
    <w:p>
      <w:pPr>
        <w:pStyle w:val="Heading4"/>
      </w:pPr>
      <w:r>
        <w:t>4. Legal Issues Raised</w:t>
      </w:r>
    </w:p>
    <w:p>
      <w:r>
        <w:t>The Supreme Court was tasked with resolving several intersecting legal issues regarding the performance of obligations during wartime:</w:t>
      </w:r>
    </w:p>
    <w:p>
      <w:r>
        <w:t xml:space="preserve">1.  </w:t>
      </w:r>
      <w:r>
        <w:rPr>
          <w:b/>
        </w:rPr>
        <w:t>Validity of the Tender of Payment:</w:t>
      </w:r>
      <w:r>
        <w:t xml:space="preserve"> Did the plaintiffs' offer to pay the judgment debt, accompanied by demands for a buy-out or the delivery of consolidated certificates for safekeeping, constitute a valid tender of payment under Article 1176 of the Old Civil Code?.</w:t>
      </w:r>
    </w:p>
    <w:p>
      <w:r>
        <w:t xml:space="preserve">2.  </w:t>
      </w:r>
      <w:r>
        <w:rPr>
          <w:b/>
        </w:rPr>
        <w:t>Validity and Effect of the Consignation:</w:t>
      </w:r>
      <w:r>
        <w:t xml:space="preserve"> Did the filing of the </w:t>
      </w:r>
      <w:r>
        <w:rPr>
          <w:i/>
        </w:rPr>
        <w:t>"Demanda con Consignacion"</w:t>
      </w:r>
      <w:r>
        <w:t>, coupled with cross-claims for accounting, damages, and dividends, result in a legally effective consignation that discharged the debtors' obligation?.</w:t>
      </w:r>
    </w:p>
    <w:p>
      <w:r>
        <w:t xml:space="preserve">3.  </w:t>
      </w:r>
      <w:r>
        <w:rPr>
          <w:b/>
        </w:rPr>
        <w:t>Allocation of the Risk of Loss:</w:t>
      </w:r>
      <w:r>
        <w:t xml:space="preserve"> Who bears the burden of the loss resulting from the total depreciation of the deposited Japanese war notes—the creditor who allegedly refused the payment, or the debtor who made the conditional consignation?.</w:t>
      </w:r>
    </w:p>
    <w:p>
      <w:pPr>
        <w:pStyle w:val="Heading4"/>
      </w:pPr>
      <w:r>
        <w:t>5. Supreme Court Ruling</w:t>
      </w:r>
    </w:p>
    <w:p>
      <w:r>
        <w:t>The Supreme Court ruled decidedly against the petitioners, Juan and Filomena Rustia, establishing clear boundaries regarding the strict nature of payment and consignation.</w:t>
      </w:r>
    </w:p>
    <w:p>
      <w:pPr>
        <w:pStyle w:val="ListBullet"/>
      </w:pPr>
      <w:r/>
      <w:r>
        <w:rPr>
          <w:b/>
        </w:rPr>
        <w:t>On the Validity of Tender and Consignation:</w:t>
      </w:r>
      <w:r>
        <w:t xml:space="preserve"> The Supreme Court held that the tender of payment and the subsequent consignation were </w:t>
      </w:r>
      <w:r>
        <w:rPr>
          <w:b/>
        </w:rPr>
        <w:t>invalid</w:t>
      </w:r>
      <w:r>
        <w:t>. The Court found that Aguinaldo &amp; Aguinaldo had clearly demonstrated a readiness to execute the judgment and that the obstruction to the settlement originated entirely from the debtors. The Rustias' inclusion of various cross-claims, counter-demands, and alternative demands (like a buy-out) converted an otherwise straightforward tender into a conditional offer.</w:t>
      </w:r>
    </w:p>
    <w:p>
      <w:pPr>
        <w:pStyle w:val="ListBullet"/>
      </w:pPr>
      <w:r/>
      <w:r>
        <w:rPr>
          <w:b/>
        </w:rPr>
        <w:t>Application of the Civil Code:</w:t>
      </w:r>
      <w:r>
        <w:t xml:space="preserve"> Applying the principles housed under the Civil Code (specifically Art. 1176 of the Spanish Civil Code, which heavily influences Arts. 1256–1261 of the New Civil Code), the Court reiterated that consignation must not be encumbered by conditions. If a debtor's tender is conditional, it is legally ineffective. Consequently, the creditor (Aguinaldo &amp; Aguinaldo) was perfectly justified in refusing a tender that required them to accede to conditions outside the parameters of the final Locsin judgment.</w:t>
      </w:r>
    </w:p>
    <w:p>
      <w:pPr>
        <w:pStyle w:val="ListBullet"/>
      </w:pPr>
      <w:r/>
      <w:r>
        <w:rPr>
          <w:b/>
        </w:rPr>
        <w:t>On the Risk of Loss (The Worthless War Notes):</w:t>
      </w:r>
      <w:r>
        <w:t xml:space="preserve"> Because the consignation was conditional and thus legally invalid, it did not produce the effect of payment. The obligation was not extinguished. Therefore, the deposited Japanese war notes remained legally under the ownership and exclusive control of the plaintiffs during the pendency of the case. When the currency depreciated and became worthless, the </w:t>
      </w:r>
      <w:r>
        <w:rPr>
          <w:b/>
        </w:rPr>
        <w:t>loss was borne entirely by the plaintiffs (Rustias)</w:t>
      </w:r>
      <w:r>
        <w:t>, not the defendant.</w:t>
      </w:r>
    </w:p>
    <w:p>
      <w:pPr>
        <w:pStyle w:val="ListBullet"/>
      </w:pPr>
      <w:r/>
      <w:r>
        <w:rPr>
          <w:b/>
        </w:rPr>
        <w:t>Disposition:</w:t>
      </w:r>
      <w:r>
        <w:t xml:space="preserve"> The Supreme Court held that the plaintiffs' conditional consignation of worthless war notes was invalid, meaning their debt was not discharged by the deposit. However, based on the reciprocal nature of the judgment, the defendant was still ordered to deliver the shares and pay the nominal dividends (P657.50) that had actually accrued, without being forced to accept the worthless fiat currency as payment for the Rustias' original debt.</w:t>
      </w:r>
    </w:p>
    <w:p>
      <w:pPr>
        <w:pStyle w:val="Heading4"/>
      </w:pPr>
      <w:r>
        <w:t>6. Key Doctrine / Civil Code Hook</w:t>
      </w:r>
    </w:p>
    <w:p>
      <w:r>
        <w:t xml:space="preserve">This case is a foundational pillar in the study of </w:t>
      </w:r>
      <w:r>
        <w:rPr>
          <w:b/>
        </w:rPr>
        <w:t>Extinguishment of Obligations</w:t>
      </w:r>
      <w:r>
        <w:t xml:space="preserve">, specifically regarding the strict construction of </w:t>
      </w:r>
      <w:r>
        <w:rPr>
          <w:b/>
        </w:rPr>
        <w:t>Tender of Payment and Consignation</w:t>
      </w:r>
      <w:r>
        <w:t xml:space="preserve"> (Articles 1256–1261 of the New Civil Code of the Philippines).</w:t>
      </w:r>
    </w:p>
    <w:p>
      <w:r>
        <w:rPr>
          <w:b/>
        </w:rPr>
        <w:t>Requirements for Valid Tender and Consignation:</w:t>
      </w:r>
    </w:p>
    <w:p>
      <w:r>
        <w:t xml:space="preserve">According to established civil law commentaries (Tolentino, Jurado, De Leon) and mirrored in the jurisprudence of </w:t>
      </w:r>
      <w:r>
        <w:rPr>
          <w:i/>
        </w:rPr>
        <w:t>Rustia</w:t>
      </w:r>
      <w:r>
        <w:t>, a valid consignation requires the following elements to be strictly fulfilled:</w:t>
      </w:r>
    </w:p>
    <w:p>
      <w:r>
        <w:t xml:space="preserve">1.  </w:t>
      </w:r>
      <w:r>
        <w:rPr>
          <w:b/>
        </w:rPr>
        <w:t>Existence of a Valid Debt:</w:t>
      </w:r>
      <w:r>
        <w:t xml:space="preserve"> There must be a valid, due, and demandable obligation.</w:t>
      </w:r>
    </w:p>
    <w:p>
      <w:r>
        <w:t xml:space="preserve">2.  </w:t>
      </w:r>
      <w:r>
        <w:rPr>
          <w:b/>
        </w:rPr>
        <w:t>Valid Tender of Payment:</w:t>
      </w:r>
      <w:r>
        <w:t xml:space="preserve"> The tender must be made prior to the consignation. Crucially, the tender must be </w:t>
      </w:r>
      <w:r>
        <w:rPr>
          <w:b/>
        </w:rPr>
        <w:t>absolute, unconditional, and encompass the full amount due</w:t>
      </w:r>
      <w:r>
        <w:t xml:space="preserve"> in legal tender. It cannot be encumbered by counter-demands.</w:t>
      </w:r>
    </w:p>
    <w:p>
      <w:r>
        <w:t xml:space="preserve">3.  </w:t>
      </w:r>
      <w:r>
        <w:rPr>
          <w:b/>
        </w:rPr>
        <w:t>Unjustifiable Refusal:</w:t>
      </w:r>
      <w:r>
        <w:t xml:space="preserve"> The creditor must refuse to accept the valid tender without just cause (Art. 1256). In </w:t>
      </w:r>
      <w:r>
        <w:rPr>
          <w:i/>
        </w:rPr>
        <w:t>Rustia</w:t>
      </w:r>
      <w:r>
        <w:t xml:space="preserve">, the refusal was </w:t>
      </w:r>
      <w:r>
        <w:rPr>
          <w:i/>
        </w:rPr>
        <w:t>justified</w:t>
      </w:r>
      <w:r>
        <w:t xml:space="preserve"> because the tender was conditional.</w:t>
      </w:r>
    </w:p>
    <w:p>
      <w:r>
        <w:t xml:space="preserve">4.  </w:t>
      </w:r>
      <w:r>
        <w:rPr>
          <w:b/>
        </w:rPr>
        <w:t>First Notice:</w:t>
      </w:r>
      <w:r>
        <w:t xml:space="preserve"> Previous notice of the intention to consign must be given to the persons interested in the fulfillment of the obligation (Art. 1257).</w:t>
      </w:r>
    </w:p>
    <w:p>
      <w:r>
        <w:t xml:space="preserve">5.  </w:t>
      </w:r>
      <w:r>
        <w:rPr>
          <w:b/>
        </w:rPr>
        <w:t>Actual Deposit:</w:t>
      </w:r>
      <w:r>
        <w:t xml:space="preserve"> The amount or thing due must be placed at the disposal of judicial authorities (Art. 1258).</w:t>
      </w:r>
    </w:p>
    <w:p>
      <w:r>
        <w:t xml:space="preserve">6.  </w:t>
      </w:r>
      <w:r>
        <w:rPr>
          <w:b/>
        </w:rPr>
        <w:t>Second Notice:</w:t>
      </w:r>
      <w:r>
        <w:t xml:space="preserve"> After the consignation has been made, the interested parties must be notified thereof (Art. 1258).</w:t>
      </w:r>
    </w:p>
    <w:p>
      <w:r>
        <w:rPr>
          <w:b/>
        </w:rPr>
        <w:t>Procedural Clarification from *Rustia*:</w:t>
      </w:r>
    </w:p>
    <w:p>
      <w:r>
        <w:t xml:space="preserve">The </w:t>
      </w:r>
      <w:r>
        <w:rPr>
          <w:i/>
        </w:rPr>
        <w:t>Rustia</w:t>
      </w:r>
      <w:r>
        <w:t xml:space="preserve"> doctrine clarifies that the procedural act of depositing money with the clerk of court is utterly useless if the substantive prerequisite—an unconditional tender—is missing. A tender accompanied by cross-claims, demands for accounting, or demands for a buy-out transforms the act from a "payment" into a "settlement negotiation" or a "conditional offer." Because the consignation was invalid, the ownership of the deposited amount never transferred to the creditor, and therefore, the risk of loss (via currency depreciation) remained squarely on the debtor.</w:t>
      </w:r>
    </w:p>
    <w:p>
      <w:pPr>
        <w:pStyle w:val="Heading4"/>
      </w:pPr>
      <w:r>
        <w:t>7. Memory Anchor</w:t>
      </w:r>
    </w:p>
    <w:p>
      <w:r>
        <w:rPr>
          <w:b/>
        </w:rPr>
        <w:t>"The Conditional Consignation of Mickey Mouse Money."</w:t>
      </w:r>
    </w:p>
    <w:p>
      <w:r>
        <w:rPr>
          <w:i/>
        </w:rPr>
        <w:t>If you attach cross-claims and demands to your tender of payment, your consignation is invalid; and when your deposited war notes turn to dust, the loss remains entirely yours.</w:t>
      </w:r>
    </w:p>
    <w:p>
      <w:pPr>
        <w:spacing w:before="120" w:after="120"/>
        <w:pBdr>
          <w:bottom w:val="single" w:sz="4" w:space="1" w:color="CCCCCC"/>
        </w:pBdr>
      </w:pPr>
    </w:p>
    <w:p>
      <w:pPr>
        <w:pStyle w:val="Heading2"/>
      </w:pPr>
      <w:r>
        <w:t>MODULE 2B — Extinguishment: Loss, Condonation, Confusion, Compensation</w:t>
      </w:r>
    </w:p>
    <w:p>
      <w:r>
        <w:t>While payment or performance (including its specialized forms like tender and consignation) is the most natural method of extinguishing an obligation (Art. 1231, par. 1), the New Civil Code provides several other legal mechanisms through which the juridical tie between a debtor and a creditor can be severed. For a comprehensive bar review and academic understanding of Civil Law, one must deeply analyze the subsequent modes of extinguishment: Loss of the Thing Due, Condonation or Remission of Debt, Confusion or Merger of Rights, and Compensation.</w:t>
      </w:r>
    </w:p>
    <w:p>
      <w:pPr>
        <w:pStyle w:val="Heading3"/>
      </w:pPr>
      <w:r>
        <w:t>I. Loss of the Thing Due (Impossibility of Performance)</w:t>
      </w:r>
    </w:p>
    <w:p>
      <w:r>
        <w:rPr>
          <w:i/>
        </w:rPr>
        <w:t>Articles 1262 to 1269, New Civil Code</w:t>
      </w:r>
    </w:p>
    <w:p>
      <w:r>
        <w:t>The concept of "loss" in civil law extends beyond mere physical disappearance or destruction. Under Article 1189, a thing is considered lost when it perishes, goes out of commerce, or disappears in such a way that its existence is unknown or it cannot be recovered. In the context of extinguishment, "loss" applies to obligations to give (determinate things) and is conceptually equivalent to "impossibility of performance" in obligations to do.</w:t>
      </w:r>
    </w:p>
    <w:p>
      <w:r>
        <w:rPr>
          <w:b/>
        </w:rPr>
        <w:t>1. Obligations to Give (Real Obligations)</w:t>
      </w:r>
    </w:p>
    <w:p>
      <w:r>
        <w:t xml:space="preserve">The general rule is that the loss of a </w:t>
      </w:r>
      <w:r>
        <w:rPr>
          <w:b/>
        </w:rPr>
        <w:t>determinate (specific) thing</w:t>
      </w:r>
      <w:r>
        <w:t xml:space="preserve"> extinguishes the obligation, provided two crucial requisites are met:</w:t>
      </w:r>
    </w:p>
    <w:p>
      <w:pPr>
        <w:pStyle w:val="ListBullet"/>
      </w:pPr>
      <w:r>
        <w:t xml:space="preserve">  The loss occurs </w:t>
      </w:r>
      <w:r>
        <w:rPr>
          <w:b/>
        </w:rPr>
        <w:t>without the fault</w:t>
      </w:r>
      <w:r>
        <w:t xml:space="preserve"> of the debtor (no malice, negligence, or delay).</w:t>
      </w:r>
    </w:p>
    <w:p>
      <w:pPr>
        <w:pStyle w:val="ListBullet"/>
      </w:pPr>
      <w:r>
        <w:t xml:space="preserve">  The debtor has </w:t>
      </w:r>
      <w:r>
        <w:rPr>
          <w:b/>
        </w:rPr>
        <w:t>not incurred in delay</w:t>
      </w:r>
      <w:r>
        <w:t xml:space="preserve"> (mora solvendi) prior to the loss (Art. 1262).</w:t>
      </w:r>
    </w:p>
    <w:p>
      <w:r>
        <w:rPr>
          <w:i/>
        </w:rPr>
        <w:t>Exceptions where the debtor remains liable despite fortuitous loss:</w:t>
      </w:r>
    </w:p>
    <w:p>
      <w:r>
        <w:t>1.  When the law expressly provides (e.g., the debtor is in default).</w:t>
      </w:r>
    </w:p>
    <w:p>
      <w:r>
        <w:t>2.  When the stipulation of the parties expressly holds the debtor liable even for fortuitous events.</w:t>
      </w:r>
    </w:p>
    <w:p>
      <w:r>
        <w:t>3.  When the nature of the obligation requires the assumption of risk (Art. 1174).</w:t>
      </w:r>
    </w:p>
    <w:p>
      <w:r>
        <w:t xml:space="preserve">4.  When the obligation to deliver the specific thing arises from a criminal offense (Art. 1268), unless the creditor was in </w:t>
      </w:r>
      <w:r>
        <w:rPr>
          <w:i/>
        </w:rPr>
        <w:t>mora accipiendi</w:t>
      </w:r>
      <w:r>
        <w:t xml:space="preserve"> (unjustifiably refused to accept the thing).</w:t>
      </w:r>
    </w:p>
    <w:p>
      <w:r>
        <w:rPr>
          <w:i/>
        </w:rPr>
        <w:t>Note on Generic Things:</w:t>
      </w:r>
    </w:p>
    <w:p>
      <w:r>
        <w:t xml:space="preserve">The loss of a generic thing (an object designated merely by its class or genus, e.g., "100 sacks of rice") </w:t>
      </w:r>
      <w:r>
        <w:rPr>
          <w:b/>
        </w:rPr>
        <w:t>does not</w:t>
      </w:r>
      <w:r>
        <w:t xml:space="preserve"> extinguish the obligation. This is rooted in the Roman law maxim </w:t>
      </w:r>
      <w:r>
        <w:rPr>
          <w:i/>
        </w:rPr>
        <w:t>genus nunquam perit</w:t>
      </w:r>
      <w:r>
        <w:t xml:space="preserve"> (genus never perishes) (Art. 1263). The debtor can always procure another item of the same class to fulfill the obligation.</w:t>
      </w:r>
    </w:p>
    <w:p>
      <w:r>
        <w:rPr>
          <w:b/>
        </w:rPr>
        <w:t>2. Obligations to Do (Personal Obligations)</w:t>
      </w:r>
    </w:p>
    <w:p>
      <w:r>
        <w:t xml:space="preserve">In personal obligations, the equivalent of "loss" is the </w:t>
      </w:r>
      <w:r>
        <w:rPr>
          <w:b/>
        </w:rPr>
        <w:t>impossibility of performance</w:t>
      </w:r>
      <w:r>
        <w:t>.</w:t>
      </w:r>
    </w:p>
    <w:p>
      <w:pPr>
        <w:pStyle w:val="ListBullet"/>
      </w:pPr>
      <w:r>
        <w:t xml:space="preserve">  </w:t>
      </w:r>
      <w:r>
        <w:rPr>
          <w:b/>
        </w:rPr>
        <w:t>Physical Impossibility:</w:t>
      </w:r>
      <w:r>
        <w:t xml:space="preserve"> The obligation becomes legally or physically impossible without the fault of the obligor (Art. 1266). Examples include a painter losing his sight before fulfilling a contract to paint a portrait.</w:t>
      </w:r>
    </w:p>
    <w:p>
      <w:pPr>
        <w:pStyle w:val="ListBullet"/>
      </w:pPr>
      <w:r>
        <w:t xml:space="preserve">  </w:t>
      </w:r>
      <w:r>
        <w:rPr>
          <w:b/>
        </w:rPr>
        <w:t>Legal Impossibility:</w:t>
      </w:r>
      <w:r>
        <w:t xml:space="preserve"> The act becomes contrary to law, morals, or public policy after the constitution of the obligation.</w:t>
      </w:r>
    </w:p>
    <w:p>
      <w:pPr>
        <w:pStyle w:val="ListBullet"/>
      </w:pPr>
      <w:r>
        <w:t xml:space="preserve">  </w:t>
      </w:r>
      <w:r>
        <w:rPr>
          <w:b/>
        </w:rPr>
        <w:t>Difficulty of Performance (Doctrine of Unforeseen Events / Rebus Sic Stantibus):</w:t>
      </w:r>
      <w:r>
        <w:t xml:space="preserve"> Under Article 1267, when the service has become so difficult as to be manifestly beyond the contemplation of the parties, the obligor may also be released therefrom, in whole or in part. This is the Philippine Civil Code's restricted adoption of the doctrine of *rebus sic stantibus*, ensuring that parties are not bound to absolute ruin due to extreme, unforeseeable shifts in circumstances.</w:t>
      </w:r>
    </w:p>
    <w:p>
      <w:pPr>
        <w:pStyle w:val="Heading3"/>
      </w:pPr>
      <w:r>
        <w:t>II. Condonation or Remission of Debt</w:t>
      </w:r>
    </w:p>
    <w:p>
      <w:r>
        <w:rPr>
          <w:i/>
        </w:rPr>
        <w:t>Articles 1270 to 1274, New Civil Code</w:t>
      </w:r>
    </w:p>
    <w:p>
      <w:r>
        <w:t>Condonation or remission is an act of liberality by virtue of which the creditor, without receiving any equivalent or compensation, renounces the enforcement of the obligation. The obligation is extinguished either in its entirety or in the part to which the remission refers.</w:t>
      </w:r>
    </w:p>
    <w:p>
      <w:r>
        <w:rPr>
          <w:b/>
        </w:rPr>
        <w:t>1. Essential Requisites of Valid Condonation</w:t>
      </w:r>
    </w:p>
    <w:p>
      <w:r>
        <w:t>For condonation to be valid and effectively extinguish the obligation, the following elements must concur:</w:t>
      </w:r>
    </w:p>
    <w:p>
      <w:pPr>
        <w:pStyle w:val="ListBullet"/>
      </w:pPr>
      <w:r>
        <w:t xml:space="preserve">  </w:t>
      </w:r>
      <w:r>
        <w:rPr>
          <w:b/>
        </w:rPr>
        <w:t>Gratuitous:</w:t>
      </w:r>
      <w:r>
        <w:t xml:space="preserve"> It must be an act of pure liberality. If there is an exchange of value (e.g., "I will forgive your debt if you give me your car"), it is not condonation but a dation in payment (*dacion en pago*) or novation.</w:t>
      </w:r>
    </w:p>
    <w:p>
      <w:pPr>
        <w:pStyle w:val="ListBullet"/>
      </w:pPr>
      <w:r>
        <w:t xml:space="preserve">  </w:t>
      </w:r>
      <w:r>
        <w:rPr>
          <w:b/>
        </w:rPr>
        <w:t>Acceptance by the Debtor:</w:t>
      </w:r>
      <w:r>
        <w:t xml:space="preserve"> Because condonation is essentially a donation of the credit, it must be accepted by the debtor (Art. 1270). An unaccepted offer of condonation has no legal effect.</w:t>
      </w:r>
    </w:p>
    <w:p>
      <w:pPr>
        <w:pStyle w:val="ListBullet"/>
      </w:pPr>
      <w:r>
        <w:t xml:space="preserve">  </w:t>
      </w:r>
      <w:r>
        <w:rPr>
          <w:b/>
        </w:rPr>
        <w:t>Capacity of Parties:</w:t>
      </w:r>
      <w:r>
        <w:t xml:space="preserve"> Both the creditor (to donate) and the debtor (to accept) must have the legal capacity to act.</w:t>
      </w:r>
    </w:p>
    <w:p>
      <w:pPr>
        <w:pStyle w:val="ListBullet"/>
      </w:pPr>
      <w:r>
        <w:t xml:space="preserve">  </w:t>
      </w:r>
      <w:r>
        <w:rPr>
          <w:b/>
        </w:rPr>
        <w:t>Must Not be Inofficious:</w:t>
      </w:r>
      <w:r>
        <w:t xml:space="preserve"> The creditor cannot condone so much of a debt that it infringes upon the legitimes of their compulsory heirs. If it is inofficious, it is subject to reduction under the rules of succession.</w:t>
      </w:r>
    </w:p>
    <w:p>
      <w:pPr>
        <w:pStyle w:val="ListBullet"/>
      </w:pPr>
      <w:r>
        <w:t xml:space="preserve">  </w:t>
      </w:r>
      <w:r>
        <w:rPr>
          <w:b/>
        </w:rPr>
        <w:t>Form:</w:t>
      </w:r>
      <w:r>
        <w:t xml:space="preserve"> If the condonation is express, it must comply with the forms of donation (Art. 1270). For example, the express condonation of a debt exceeding P5,000 must be in writing, alongside its acceptance, otherwise it is void.</w:t>
      </w:r>
    </w:p>
    <w:p>
      <w:r>
        <w:rPr>
          <w:b/>
        </w:rPr>
        <w:t>2. Implied Condonation</w:t>
      </w:r>
    </w:p>
    <w:p>
      <w:r>
        <w:t>The Civil Code establishes certain legal presumptions regarding implied condonation:</w:t>
      </w:r>
    </w:p>
    <w:p>
      <w:pPr>
        <w:pStyle w:val="ListBullet"/>
      </w:pPr>
      <w:r>
        <w:t xml:space="preserve">  </w:t>
      </w:r>
      <w:r>
        <w:rPr>
          <w:b/>
        </w:rPr>
        <w:t>Delivery of the Promissory Note:</w:t>
      </w:r>
      <w:r>
        <w:t xml:space="preserve"> The delivery of a private document evidencing a credit, made voluntarily by the creditor to the debtor, implies the renunciation of the action which the former had against the latter (Art. 1271).</w:t>
      </w:r>
    </w:p>
    <w:p>
      <w:pPr>
        <w:pStyle w:val="ListBullet"/>
      </w:pPr>
      <w:r>
        <w:t xml:space="preserve">  </w:t>
      </w:r>
      <w:r>
        <w:rPr>
          <w:b/>
        </w:rPr>
        <w:t>Presumption of Voluntary Delivery:</w:t>
      </w:r>
      <w:r>
        <w:t xml:space="preserve"> Whenever the private document is found in the possession of the debtor, it is presumed that the creditor delivered it voluntarily, unless the contrary is proved (Art. 1272).</w:t>
      </w:r>
    </w:p>
    <w:p>
      <w:pPr>
        <w:pStyle w:val="ListBullet"/>
      </w:pPr>
      <w:r>
        <w:t xml:space="preserve">  </w:t>
      </w:r>
      <w:r>
        <w:rPr>
          <w:b/>
        </w:rPr>
        <w:t>Pledge:</w:t>
      </w:r>
      <w:r>
        <w:t xml:space="preserve"> If the thing pledged is found in the possession of the debtor or a third person after it was delivered to the creditor, there is a presumption that the accessory obligation of pledge has been remitted (Art. 1274). Note that this only extinguishes the accessory contract of pledge, not the principal obligation of loan.</w:t>
      </w:r>
    </w:p>
    <w:p>
      <w:pPr>
        <w:pStyle w:val="Heading3"/>
      </w:pPr>
      <w:r>
        <w:t>III. Confusion or Merger of Rights</w:t>
      </w:r>
    </w:p>
    <w:p>
      <w:r>
        <w:rPr>
          <w:i/>
        </w:rPr>
        <w:t>Articles 1275 to 1277, New Civil Code</w:t>
      </w:r>
    </w:p>
    <w:p>
      <w:r>
        <w:t>Confusion or merger is the meeting in one person of the qualities of the creditor and the debtor with respect to the same obligation. When this happens, the juridical tie is dissolved because it is conceptually absurd and practically impossible for a person to sue themselves or demand payment from themselves.</w:t>
      </w:r>
    </w:p>
    <w:p>
      <w:r>
        <w:rPr>
          <w:b/>
        </w:rPr>
        <w:t>1. Requisites of Valid Confusion</w:t>
      </w:r>
    </w:p>
    <w:p>
      <w:pPr>
        <w:pStyle w:val="ListBullet"/>
      </w:pPr>
      <w:r>
        <w:t xml:space="preserve">  </w:t>
      </w:r>
      <w:r>
        <w:rPr>
          <w:b/>
        </w:rPr>
        <w:t>Merger in the Same Person:</w:t>
      </w:r>
      <w:r>
        <w:t xml:space="preserve"> The characters of creditor and debtor must merge in the same person (Art. 1275).</w:t>
      </w:r>
    </w:p>
    <w:p>
      <w:pPr>
        <w:pStyle w:val="ListBullet"/>
      </w:pPr>
      <w:r>
        <w:t xml:space="preserve">  </w:t>
      </w:r>
      <w:r>
        <w:rPr>
          <w:b/>
        </w:rPr>
        <w:t>Exact and Same Obligation:</w:t>
      </w:r>
      <w:r>
        <w:t xml:space="preserve"> The merger must pertain to the exact same obligation.</w:t>
      </w:r>
    </w:p>
    <w:p>
      <w:pPr>
        <w:pStyle w:val="ListBullet"/>
      </w:pPr>
      <w:r>
        <w:t xml:space="preserve">  </w:t>
      </w:r>
      <w:r>
        <w:rPr>
          <w:b/>
        </w:rPr>
        <w:t>Complete and Definite:</w:t>
      </w:r>
      <w:r>
        <w:t xml:space="preserve"> The merger must be absolute.</w:t>
      </w:r>
    </w:p>
    <w:p>
      <w:r>
        <w:rPr>
          <w:i/>
        </w:rPr>
        <w:t>Example:</w:t>
      </w:r>
      <w:r>
        <w:t xml:space="preserve"> A borrows money from B and issues a promissory note. B endorses the note to C. C endorses it to D. Finally, D endorses the note back to A. A is now both the maker of the note (debtor) and the payee/holder of the note (creditor). The obligation is extinguished by confusion.</w:t>
      </w:r>
    </w:p>
    <w:p>
      <w:r>
        <w:rPr>
          <w:b/>
        </w:rPr>
        <w:t>2. Effect on Guarantors</w:t>
      </w:r>
    </w:p>
    <w:p>
      <w:pPr>
        <w:pStyle w:val="ListBullet"/>
      </w:pPr>
      <w:r>
        <w:t xml:space="preserve">  </w:t>
      </w:r>
      <w:r>
        <w:rPr>
          <w:b/>
        </w:rPr>
        <w:t>Merger in the Principal:</w:t>
      </w:r>
      <w:r>
        <w:t xml:space="preserve"> Merger which takes place in the person of the principal debtor or creditor benefits the guarantors. The extinguishment of the principal obligation carries with it the extinguishment of the accessory obligation of guaranty (Art. 1276).</w:t>
      </w:r>
    </w:p>
    <w:p>
      <w:pPr>
        <w:pStyle w:val="ListBullet"/>
      </w:pPr>
      <w:r>
        <w:t xml:space="preserve">  </w:t>
      </w:r>
      <w:r>
        <w:rPr>
          <w:b/>
        </w:rPr>
        <w:t>Merger in the Guarantor:</w:t>
      </w:r>
      <w:r>
        <w:t xml:space="preserve"> Merger which takes place in the person of the guarantor does *not* extinguish the principal obligation (Art. 1276). If a guarantor somehow acquires the credit, the principal debtor still owes the debt, but the guarantor is simply released from their accessory role, stepping fully into the shoes of the creditor.</w:t>
      </w:r>
    </w:p>
    <w:p>
      <w:r>
        <w:rPr>
          <w:b/>
        </w:rPr>
        <w:t>3. Confusion in Joint and Solidary Obligations</w:t>
      </w:r>
    </w:p>
    <w:p>
      <w:pPr>
        <w:pStyle w:val="ListBullet"/>
      </w:pPr>
      <w:r>
        <w:t xml:space="preserve">  </w:t>
      </w:r>
      <w:r>
        <w:rPr>
          <w:b/>
        </w:rPr>
        <w:t>Joint Obligations:</w:t>
      </w:r>
      <w:r>
        <w:t xml:space="preserve"> Confusion does not extinguish a joint obligation except as regards the share corresponding to the creditor or debtor in whom the two characters concur (Art. 1277). The remaining joint debtors still owe their respective shares to the remaining joint creditors.</w:t>
      </w:r>
    </w:p>
    <w:p>
      <w:pPr>
        <w:pStyle w:val="ListBullet"/>
      </w:pPr>
      <w:r>
        <w:t xml:space="preserve">  </w:t>
      </w:r>
      <w:r>
        <w:rPr>
          <w:b/>
        </w:rPr>
        <w:t>Solidary Obligations:</w:t>
      </w:r>
      <w:r>
        <w:t xml:space="preserve"> Under Article 1215, confusion made by any of the solidary creditors or with any of the solidary debtors shall extinguish the entire solidary obligation. However, the internal relationship of the parties remains; the solidary debtor who merged with the creditor may demand reimbursement from their co-debtors for their respective shares.</w:t>
      </w:r>
    </w:p>
    <w:p>
      <w:pPr>
        <w:pStyle w:val="Heading3"/>
      </w:pPr>
      <w:r>
        <w:t>IV. Compensation</w:t>
      </w:r>
    </w:p>
    <w:p>
      <w:r>
        <w:rPr>
          <w:i/>
        </w:rPr>
        <w:t>Articles 1278 to 1290, New Civil Code</w:t>
      </w:r>
    </w:p>
    <w:p>
      <w:r>
        <w:t xml:space="preserve">Compensation is the mode of extinguishing, to the concurrent amount, the obligations of those persons who, in their own right, are reciprocally debtors and creditors of each other (Art. 1278). While </w:t>
      </w:r>
      <w:r>
        <w:rPr>
          <w:i/>
        </w:rPr>
        <w:t>confusion</w:t>
      </w:r>
      <w:r>
        <w:t xml:space="preserve"> involves one person holding both titles, </w:t>
      </w:r>
      <w:r>
        <w:rPr>
          <w:i/>
        </w:rPr>
        <w:t>compensation</w:t>
      </w:r>
      <w:r>
        <w:t xml:space="preserve"> involves two distinct persons who owe each other.</w:t>
      </w:r>
    </w:p>
    <w:p>
      <w:r>
        <w:rPr>
          <w:b/>
        </w:rPr>
        <w:t>1. Kinds of Compensation</w:t>
      </w:r>
    </w:p>
    <w:p>
      <w:pPr>
        <w:pStyle w:val="ListBullet"/>
      </w:pPr>
      <w:r>
        <w:t xml:space="preserve">  </w:t>
      </w:r>
      <w:r>
        <w:rPr>
          <w:b/>
        </w:rPr>
        <w:t>Total vs. Partial:</w:t>
      </w:r>
      <w:r>
        <w:t xml:space="preserve"> Total when the two debts are of the same amount; partial when they differ in amount (the smaller debt is fully extinguished, the larger is reduced).</w:t>
      </w:r>
    </w:p>
    <w:p>
      <w:pPr>
        <w:pStyle w:val="ListBullet"/>
      </w:pPr>
      <w:r>
        <w:t xml:space="preserve">  </w:t>
      </w:r>
      <w:r>
        <w:rPr>
          <w:b/>
        </w:rPr>
        <w:t>Legal:</w:t>
      </w:r>
      <w:r>
        <w:t xml:space="preserve"> Takes place by operation of law automatically when all requisites under Art. 1279 are present.</w:t>
      </w:r>
    </w:p>
    <w:p>
      <w:pPr>
        <w:pStyle w:val="ListBullet"/>
      </w:pPr>
      <w:r>
        <w:t xml:space="preserve">  </w:t>
      </w:r>
      <w:r>
        <w:rPr>
          <w:b/>
        </w:rPr>
        <w:t>Voluntary/Conventional:</w:t>
      </w:r>
      <w:r>
        <w:t xml:space="preserve"> Takes place by agreement of the parties even if some legal requisites (like the debts being due or liquidated) are absent (Art. 1282).</w:t>
      </w:r>
    </w:p>
    <w:p>
      <w:pPr>
        <w:pStyle w:val="ListBullet"/>
      </w:pPr>
      <w:r>
        <w:t xml:space="preserve">  </w:t>
      </w:r>
      <w:r>
        <w:rPr>
          <w:b/>
        </w:rPr>
        <w:t>Judicial:</w:t>
      </w:r>
      <w:r>
        <w:t xml:space="preserve"> Ordered by a court when a party raises a counterclaim in litigation (Art. 1283).</w:t>
      </w:r>
    </w:p>
    <w:p>
      <w:pPr>
        <w:pStyle w:val="ListBullet"/>
      </w:pPr>
      <w:r>
        <w:t xml:space="preserve">  </w:t>
      </w:r>
      <w:r>
        <w:rPr>
          <w:b/>
        </w:rPr>
        <w:t>Facultative:</w:t>
      </w:r>
      <w:r>
        <w:t xml:space="preserve"> When it can be claimed by one of the parties who, however, has the right to object to it.</w:t>
      </w:r>
    </w:p>
    <w:p>
      <w:r>
        <w:rPr>
          <w:b/>
        </w:rPr>
        <w:t>2. Requisites of Legal Compensation (Article 1279)</w:t>
      </w:r>
    </w:p>
    <w:p>
      <w:r>
        <w:t>For legal compensation to automatically extinguish obligations by operation of law, the following strict conditions must be satisfied:</w:t>
      </w:r>
    </w:p>
    <w:p>
      <w:r>
        <w:t xml:space="preserve">1.  </w:t>
      </w:r>
      <w:r>
        <w:rPr>
          <w:b/>
        </w:rPr>
        <w:t>Principal Debtors and Creditors of Each Other:</w:t>
      </w:r>
      <w:r>
        <w:t xml:space="preserve"> The parties must be mutually principal debtors and creditors in their own right. (A guarantor cannot invoke compensation against a creditor using what the creditor owes the principal debtor, though there are specific exceptions under Art. 1280).</w:t>
      </w:r>
    </w:p>
    <w:p>
      <w:r>
        <w:t xml:space="preserve">2.  </w:t>
      </w:r>
      <w:r>
        <w:rPr>
          <w:b/>
        </w:rPr>
        <w:t>Both Debts Consist in Sum of Money or Consumable Things:</w:t>
      </w:r>
      <w:r>
        <w:t xml:space="preserve"> If the things due are consumable, they must be of the same kind and quality.</w:t>
      </w:r>
    </w:p>
    <w:p>
      <w:r>
        <w:t xml:space="preserve">3.  </w:t>
      </w:r>
      <w:r>
        <w:rPr>
          <w:b/>
        </w:rPr>
        <w:t>Both Debts are Due:</w:t>
      </w:r>
      <w:r>
        <w:t xml:space="preserve"> The period for payment must have already arrived.</w:t>
      </w:r>
    </w:p>
    <w:p>
      <w:r>
        <w:t xml:space="preserve">4.  </w:t>
      </w:r>
      <w:r>
        <w:rPr>
          <w:b/>
        </w:rPr>
        <w:t>Both Debts are Liquidated and Demandable:</w:t>
      </w:r>
      <w:r>
        <w:t xml:space="preserve"> The exact amount of the debts must be determined or determinable without further accounting, and they must be legally enforceable (not prescribed or natural obligations).</w:t>
      </w:r>
    </w:p>
    <w:p>
      <w:r>
        <w:t xml:space="preserve">5.  </w:t>
      </w:r>
      <w:r>
        <w:rPr>
          <w:b/>
        </w:rPr>
        <w:t>No Retention or Controversy:</w:t>
      </w:r>
      <w:r>
        <w:t xml:space="preserve"> There must be no controversy or legal retention commenced by a third person and communicated in due time to the debtor (e.g., the credit has not been garnished by a third party).</w:t>
      </w:r>
    </w:p>
    <w:p>
      <w:r>
        <w:rPr>
          <w:b/>
        </w:rPr>
        <w:t>3. Effect of Assignment of Credit on Compensation</w:t>
      </w:r>
    </w:p>
    <w:p>
      <w:r>
        <w:t>Article 1285 governs situations where a creditor assigns their credit to a third person, regulating how this affects the debtor's right to claim compensation:</w:t>
      </w:r>
    </w:p>
    <w:p>
      <w:pPr>
        <w:pStyle w:val="ListBullet"/>
      </w:pPr>
      <w:r>
        <w:t xml:space="preserve">  </w:t>
      </w:r>
      <w:r>
        <w:rPr>
          <w:b/>
        </w:rPr>
        <w:t>Assignment with Debtor's Consent:</w:t>
      </w:r>
      <w:r>
        <w:t xml:space="preserve"> The debtor cannot set up against the assignee the compensation which would pertain to him against the assignor, unless the debtor explicitly reserved their right to the compensation when giving consent.</w:t>
      </w:r>
    </w:p>
    <w:p>
      <w:pPr>
        <w:pStyle w:val="ListBullet"/>
      </w:pPr>
      <w:r>
        <w:t xml:space="preserve">  </w:t>
      </w:r>
      <w:r>
        <w:rPr>
          <w:b/>
        </w:rPr>
        <w:t>Assignment with Debtor's Knowledge but Without Consent:</w:t>
      </w:r>
      <w:r>
        <w:t xml:space="preserve"> The debtor may set up compensation of debts existing *prior* to the assignment, but not of subsequent ones.</w:t>
      </w:r>
    </w:p>
    <w:p>
      <w:pPr>
        <w:pStyle w:val="ListBullet"/>
      </w:pPr>
      <w:r>
        <w:t xml:space="preserve">  </w:t>
      </w:r>
      <w:r>
        <w:rPr>
          <w:b/>
        </w:rPr>
        <w:t>Assignment without Debtor's Knowledge:</w:t>
      </w:r>
      <w:r>
        <w:t xml:space="preserve"> The debtor may set up compensation of all credits existing prior to the assignment and also later ones until they finally obtain knowledge of the assignment.</w:t>
      </w:r>
    </w:p>
    <w:p>
      <w:r>
        <w:rPr>
          <w:b/>
        </w:rPr>
        <w:t>4. Debts Not Subject to Compensation (Article 1287 &amp; 1288)</w:t>
      </w:r>
    </w:p>
    <w:p>
      <w:r>
        <w:t>To protect public policy, equity, and the subsistence of individuals, the law explicitly prohibits legal compensation in the following scenarios:</w:t>
      </w:r>
    </w:p>
    <w:p>
      <w:r>
        <w:t xml:space="preserve">1.  Debts arising from a </w:t>
      </w:r>
      <w:r>
        <w:rPr>
          <w:b/>
        </w:rPr>
        <w:t>depositum</w:t>
      </w:r>
      <w:r>
        <w:t xml:space="preserve"> (the depositary cannot claim compensation against the depositor).</w:t>
      </w:r>
    </w:p>
    <w:p>
      <w:r>
        <w:t xml:space="preserve">2.  Debts arising from the obligations of a </w:t>
      </w:r>
      <w:r>
        <w:rPr>
          <w:b/>
        </w:rPr>
        <w:t>bailee in commodatum</w:t>
      </w:r>
      <w:r>
        <w:t xml:space="preserve"> (borrower of a thing for free use).</w:t>
      </w:r>
    </w:p>
    <w:p>
      <w:r>
        <w:t xml:space="preserve">3.  Claims for </w:t>
      </w:r>
      <w:r>
        <w:rPr>
          <w:b/>
        </w:rPr>
        <w:t>support due by gratuitous title</w:t>
      </w:r>
      <w:r>
        <w:t xml:space="preserve"> (one cannot refuse to give child support by claiming the child owes them money).</w:t>
      </w:r>
    </w:p>
    <w:p>
      <w:r>
        <w:t xml:space="preserve">4.  Civil liability arising from a </w:t>
      </w:r>
      <w:r>
        <w:rPr>
          <w:b/>
        </w:rPr>
        <w:t>penal offense</w:t>
      </w:r>
      <w:r>
        <w:t xml:space="preserve"> (a criminal cannot use a pre-existing debt of the victim to offset their civil liability for the crime).</w:t>
      </w:r>
    </w:p>
    <w:p>
      <w:pPr>
        <w:pStyle w:val="Heading3"/>
      </w:pPr>
      <w:r>
        <w:t>Conclusion</w:t>
      </w:r>
    </w:p>
    <w:p>
      <w:r>
        <w:t xml:space="preserve">The strict disposition in </w:t>
      </w:r>
      <w:r>
        <w:rPr>
          <w:i/>
        </w:rPr>
        <w:t>Rustia v. Aguinaldo</w:t>
      </w:r>
      <w:r>
        <w:t xml:space="preserve"> regarding conditional consignation emphasizes the overarching philosophy of the Philippine Civil Code regarding the extinguishment of obligations: the dissolution of a juridical tie is a serious matter that requires exact compliance with the law. Whether it is through the flawless execution of a tender and consignation, the absolute occurrence of a fortuitous loss, the clear and gratuitous acceptance of condonation, the indisputable merger of rights in confusion, or the perfect statutory alignment of reciprocal debts in compensation, the law demands precision. Failure to adhere to these rigid requirements, as the Rustias discovered with their cross-claims and worthless war notes, ensures that the heavy burden of the original obligation remains squarely on the shoulders of the debtor.</w:t>
      </w:r>
    </w:p>
    <w:p>
      <w:r>
        <w:br w:type="page"/>
      </w:r>
    </w:p>
    <w:p>
      <w:pPr>
        <w:pStyle w:val="Heading1"/>
      </w:pPr>
      <w:r>
        <w:t>Module 2B — Compensation and Confusion</w:t>
      </w:r>
    </w:p>
    <w:p>
      <w:pPr>
        <w:pStyle w:val="Heading2"/>
      </w:pPr>
      <w:r>
        <w:t>Case 13: CKH Industrial &amp; Development Corp. v. Court of Appeals (1997) | G.R. No. 111890</w:t>
      </w:r>
    </w:p>
    <w:p>
      <w:pPr>
        <w:pStyle w:val="Heading2"/>
      </w:pPr>
      <w:r>
        <w:t>Comprehensive Academic Report on CKH Industrial &amp; Development Corp. v. Court of Appeals (1997)</w:t>
      </w:r>
    </w:p>
    <w:p>
      <w:r>
        <w:t xml:space="preserve">The following report provides an exhaustive examination of the Philippine Supreme Court case </w:t>
      </w:r>
      <w:r>
        <w:rPr>
          <w:i/>
        </w:rPr>
        <w:t>CKH Industrial &amp; Development Corp. v. Court of Appeals</w:t>
      </w:r>
      <w:r>
        <w:t xml:space="preserve">, G.R. No. 111890, promulgated on May 7, 1997. The case represents a pivotal jurisprudential text in Philippine civil law, specifically illustrating the strict application of the requisites for </w:t>
      </w:r>
      <w:r>
        <w:rPr>
          <w:b/>
        </w:rPr>
        <w:t>legal compensation</w:t>
      </w:r>
      <w:r>
        <w:t xml:space="preserve"> under the Civil Code of the Philippines, and its intersection with the doctrine of separate corporate juridical personality.</w:t>
      </w:r>
    </w:p>
    <w:p>
      <w:pPr>
        <w:pStyle w:val="ListBullet"/>
      </w:pPr>
      <w:r>
        <w:t xml:space="preserve">  </w:t>
      </w:r>
      <w:r>
        <w:rPr>
          <w:b/>
        </w:rPr>
        <w:t>Key Points:</w:t>
      </w:r>
      <w:r/>
    </w:p>
    <w:p>
      <w:pPr>
        <w:pStyle w:val="ListBullet"/>
      </w:pPr>
      <w:r>
        <w:t xml:space="preserve">  </w:t>
      </w:r>
      <w:r>
        <w:rPr>
          <w:b/>
        </w:rPr>
        <w:t>Legal Compensation:</w:t>
      </w:r>
      <w:r>
        <w:t xml:space="preserve"> The Supreme Court affirmed that legal compensation requires strict concurrence of all requisites under Article 1279 of the Civil Code, primarily the mutuality of parties acting as principal creditors and debtors in their own right.</w:t>
      </w:r>
    </w:p>
    <w:p>
      <w:pPr>
        <w:pStyle w:val="ListBullet"/>
      </w:pPr>
      <w:r>
        <w:t xml:space="preserve">  </w:t>
      </w:r>
      <w:r>
        <w:rPr>
          <w:b/>
        </w:rPr>
        <w:t>Operation by Law vs. Consent:</w:t>
      </w:r>
      <w:r>
        <w:t xml:space="preserve"> While legal compensation operates *ipso jure* (by operation of law) under Article 1290 without the need for consent, its automatic nature is entirely dependent on fulfilling the stringent mutuality requirements.</w:t>
      </w:r>
    </w:p>
    <w:p>
      <w:pPr>
        <w:pStyle w:val="ListBullet"/>
      </w:pPr>
      <w:r>
        <w:t xml:space="preserve">  </w:t>
      </w:r>
      <w:r>
        <w:rPr>
          <w:b/>
        </w:rPr>
        <w:t>Corporate Fiction:</w:t>
      </w:r>
      <w:r>
        <w:t xml:space="preserve"> The evidence suggests that an attempt to offset a corporate debt using the personal credits of its stockholders violates the principle of separate juridical personality, defeating the requisite that parties must be mutually bound to each other.</w:t>
      </w:r>
    </w:p>
    <w:p>
      <w:pPr>
        <w:pStyle w:val="ListBullet"/>
      </w:pPr>
      <w:r>
        <w:t xml:space="preserve">  </w:t>
      </w:r>
      <w:r>
        <w:rPr>
          <w:b/>
        </w:rPr>
        <w:t>Rescission:</w:t>
      </w:r>
      <w:r>
        <w:t xml:space="preserve"> Failure to establish valid payment through compensation triggers the injured party's right to rescind the reciprocal obligation under Article 1191 of the Civil Code.</w:t>
      </w:r>
    </w:p>
    <w:p>
      <w:r>
        <w:t>The ensuing analysis is structured to address the specific factual background, contractual obligations, legal controversies, and doctrinal anchors essential for a rigorous academic and bar-review understanding of this milestone case.</w:t>
      </w:r>
    </w:p>
    <w:p>
      <w:r>
        <w:rPr>
          <w:b/>
        </w:rPr>
      </w:r>
    </w:p>
    <w:p>
      <w:pPr>
        <w:pStyle w:val="Heading3"/>
      </w:pPr>
      <w:r>
        <w:t>CKH Industrial &amp; Development Corp. v. Court of Appeals (1997) | G.R. No. 111890</w:t>
      </w:r>
    </w:p>
    <w:p>
      <w:pPr>
        <w:pStyle w:val="Heading4"/>
      </w:pPr>
      <w:r>
        <w:t>1. The Parties</w:t>
      </w:r>
    </w:p>
    <w:p>
      <w:pPr>
        <w:pStyle w:val="ListBullet"/>
      </w:pPr>
      <w:r/>
      <w:r>
        <w:rPr>
          <w:b/>
        </w:rPr>
        <w:t>Petitioner (CKH Industrial):</w:t>
      </w:r>
      <w:r/>
    </w:p>
    <w:p>
      <w:r>
        <w:t xml:space="preserve">CKH Industrial and Development Corporation (CKH) was a corporation established under Philippine law by the late Cheng Kim Heng, an immigrant of Chinese descent. Following Cheng's death, control of the corporation passed to his second wife, Rubi Saw, who acted as the authorized representative and president of CKH during the litigation. CKH was the registered owner and vendor of two contiguous parcels of land (4,590 sq. m. and 300 sq. m.) located in Karuhatan, Valenzuela. </w:t>
      </w:r>
      <w:r>
        <w:rPr>
          <w:b/>
        </w:rPr>
        <w:t>Their claim:</w:t>
      </w:r>
      <w:r>
        <w:t xml:space="preserve"> CKH, as the vendor, claimed an outstanding debt of ₱800,000.00 representing the unpaid purchase price for the sale of its real properties.</w:t>
      </w:r>
    </w:p>
    <w:p>
      <w:pPr>
        <w:pStyle w:val="ListBullet"/>
      </w:pPr>
      <w:r/>
      <w:r>
        <w:rPr>
          <w:b/>
        </w:rPr>
        <w:t>Respondents:</w:t>
      </w:r>
      <w:r/>
    </w:p>
    <w:p>
      <w:r>
        <w:t xml:space="preserve">The primary private respondent was Century-Well Phil. Corporation (Century-Well), the vendee in the transaction, represented by Lourdes Chong. The other individual respondents included Chong Tak Kei and Chong Tak Choi, who were the sons of Cheng Kim Heng from his first wife in Hong Kong, and who were also stockholders/part-owners of Century-Well. Uy Chi Kim was also named as a respondent, acting as the mediator from the Chinese community who brokered the settlement between the feuding families. </w:t>
      </w:r>
      <w:r>
        <w:rPr>
          <w:b/>
        </w:rPr>
        <w:t>Their claim/debt:</w:t>
      </w:r>
      <w:r>
        <w:t xml:space="preserve"> Century-Well owed CKH ₱800,000.00 for the land. However, the respondents claimed this debt was extinguished via a ₱100,000.00 cash payment and a ₱700,000.00 set-off (compensation) against three promissory notes executed by the late Cheng Kim Heng (as president of CKH) in favor of his sons, Chong Tak Choi and Chong Tak Kei.</w:t>
      </w:r>
    </w:p>
    <w:p>
      <w:pPr>
        <w:pStyle w:val="ListBullet"/>
      </w:pPr>
      <w:r/>
      <w:r>
        <w:rPr>
          <w:b/>
        </w:rPr>
        <w:t>Their relationship:</w:t>
      </w:r>
      <w:r/>
    </w:p>
    <w:p>
      <w:r>
        <w:t xml:space="preserve">The relationship between the actual contracting parties (CKH and Century-Well) was strictly that of Vendor and Vendee. However, there were </w:t>
      </w:r>
      <w:r>
        <w:rPr>
          <w:b/>
        </w:rPr>
        <w:t>no reciprocal debts</w:t>
      </w:r>
      <w:r>
        <w:t xml:space="preserve"> between them. CKH was a creditor to Century-Well for the purchase price of the land. Conversely, CKH was a debtor to Chong Tak Choi and Chong Tak Kei (individuals) for the promissory notes. Century-Well was </w:t>
      </w:r>
      <w:r>
        <w:rPr>
          <w:i/>
        </w:rPr>
        <w:t>not</w:t>
      </w:r>
      <w:r>
        <w:t xml:space="preserve"> a creditor of CKH, and CKH was </w:t>
      </w:r>
      <w:r>
        <w:rPr>
          <w:i/>
        </w:rPr>
        <w:t>not</w:t>
      </w:r>
      <w:r>
        <w:t xml:space="preserve"> a debtor of Century-Well. This structural lack of mutuality formed the crux of the legal dispute.</w:t>
      </w:r>
    </w:p>
    <w:p>
      <w:pPr>
        <w:pStyle w:val="Heading4"/>
      </w:pPr>
      <w:r>
        <w:t>2. Background &amp; Facts</w:t>
      </w:r>
    </w:p>
    <w:p>
      <w:pPr>
        <w:pStyle w:val="ListBullet"/>
      </w:pPr>
      <w:r/>
      <w:r>
        <w:rPr>
          <w:b/>
        </w:rPr>
        <w:t>What were the two debts — who owed what to whom?</w:t>
      </w:r>
      <w:r/>
    </w:p>
    <w:p>
      <w:r>
        <w:t xml:space="preserve">1.  </w:t>
      </w:r>
      <w:r>
        <w:rPr>
          <w:b/>
        </w:rPr>
        <w:t>The Land Debt:</w:t>
      </w:r>
      <w:r>
        <w:t xml:space="preserve"> Century-Well owed CKH ₱800,000.00 as the stipulated consideration for the Deed of Absolute Sale covering the two parcels of land in Valenzuela.</w:t>
      </w:r>
    </w:p>
    <w:p>
      <w:r>
        <w:t xml:space="preserve">2.  </w:t>
      </w:r>
      <w:r>
        <w:rPr>
          <w:b/>
        </w:rPr>
        <w:t>The Promissory Note Debt:</w:t>
      </w:r>
      <w:r>
        <w:t xml:space="preserve"> CKH (via its late founder Cheng Kim Heng) owed a total of ₱700,000.00 to his sons. Specifically, there were three promissory notes: ₱400,000.00 and ₱100,000.00 owed to Chong Tak Choi, and ₱200,000.00 owed to Chong Tak Kei.</w:t>
      </w:r>
    </w:p>
    <w:p>
      <w:pPr>
        <w:pStyle w:val="ListBullet"/>
      </w:pPr>
      <w:r/>
      <w:r>
        <w:rPr>
          <w:b/>
        </w:rPr>
        <w:t>Did both debts exist and were they due, liquidated, and demandable?</w:t>
      </w:r>
      <w:r/>
    </w:p>
    <w:p>
      <w:r>
        <w:t xml:space="preserve">Both debts factually existed and involved sums of money (liquidated and demandable). The ₱800,000.00 purchase price was due upon the execution of the Deed of Sale. The ₱700,000.00 covered by the promissory notes was also acknowledged as a mature pecuniary obligation. However, while the debts were individually due, liquidated, and demandable, they did not exist between the </w:t>
      </w:r>
      <w:r>
        <w:rPr>
          <w:i/>
        </w:rPr>
        <w:t>same two parties</w:t>
      </w:r>
      <w:r>
        <w:t>.</w:t>
      </w:r>
    </w:p>
    <w:p>
      <w:pPr>
        <w:pStyle w:val="ListBullet"/>
      </w:pPr>
      <w:r/>
      <w:r>
        <w:rPr>
          <w:b/>
        </w:rPr>
        <w:t>Did one party attempt to invoke compensation? Was the other party's debt disputed?</w:t>
      </w:r>
      <w:r/>
    </w:p>
    <w:p>
      <w:r>
        <w:t>Yes, the respondents (Century-Well, et al.) attempted to invoke legal and/or conventional compensation to prove that they had paid the ₱800,000.00 consideration. They argued that the ₱700,000.00 owed by CKH to the sons should offset the ₱800,000.00 owed by Century-Well to CKH. Rubi Saw (for CKH) violently disputed this. She did not necessarily dispute the existence of the promissory notes, but she vehemently disputed that Century-Well could use those notes as a substitute for actual payment to CKH. She claimed she signed the Deed of Sale based purely on the mediator's (Uy Chi Kim) assurance that she would be paid the ₱800,000.00 in cash, which never materialized.</w:t>
      </w:r>
    </w:p>
    <w:p>
      <w:pPr>
        <w:pStyle w:val="ListBullet"/>
      </w:pPr>
      <w:r/>
      <w:r>
        <w:rPr>
          <w:b/>
        </w:rPr>
        <w:t>What actually happened that led to the dispute?</w:t>
      </w:r>
      <w:r/>
    </w:p>
    <w:p>
      <w:r>
        <w:t>Following the death of CKH founder Cheng Kim Heng in 1984, a fierce family feud erupted over the control of the estate and properties between his first family (based in Hong Kong, including sons Choi and Kei) and his second wife (Rubi Saw, in the Philippines). Seeking to avoid protracted litigation, the Chinese community mediated the dispute. A compromise was supposedly reached: Rubi Saw would sell the CKH properties to Century-Well (the sons' corporation) for ₱800,000.00. On May 8, 1988, Rubi Saw and Lourdes Chong signed the Deed of Absolute Sale at the mediator's residence. When Century-Well registered the deed and transferred the titles without handing over the cash consideration, CKH filed a complaint for rescission/annulment of the sale for failure of consideration. Century-Well raised the defense of extinguishment of obligation via compensation.</w:t>
      </w:r>
    </w:p>
    <w:p>
      <w:pPr>
        <w:pStyle w:val="ListBullet"/>
      </w:pPr>
      <w:r/>
      <w:r>
        <w:rPr>
          <w:b/>
        </w:rPr>
        <w:t>Timeline of key events</w:t>
      </w:r>
      <w:r/>
    </w:p>
    <w:p>
      <w:pPr>
        <w:pStyle w:val="ListBullet"/>
      </w:pPr>
      <w:r>
        <w:t xml:space="preserve">  </w:t>
      </w:r>
      <w:r>
        <w:rPr>
          <w:b/>
        </w:rPr>
        <w:t>1984:</w:t>
      </w:r>
      <w:r>
        <w:t xml:space="preserve"> Cheng Kim Heng dies; family feud begins.</w:t>
      </w:r>
    </w:p>
    <w:p>
      <w:pPr>
        <w:pStyle w:val="ListBullet"/>
      </w:pPr>
      <w:r>
        <w:t xml:space="preserve">  </w:t>
      </w:r>
      <w:r>
        <w:rPr>
          <w:b/>
        </w:rPr>
        <w:t>May 8, 1988:</w:t>
      </w:r>
      <w:r>
        <w:t xml:space="preserve"> Mediation culminates in the execution of the Deed of Absolute Sale between CKH and Century-Well at the mediator's home.</w:t>
      </w:r>
    </w:p>
    <w:p>
      <w:pPr>
        <w:pStyle w:val="ListBullet"/>
      </w:pPr>
      <w:r>
        <w:t xml:space="preserve">  </w:t>
      </w:r>
      <w:r>
        <w:rPr>
          <w:b/>
        </w:rPr>
        <w:t>May 9, 1988:</w:t>
      </w:r>
      <w:r>
        <w:t xml:space="preserve"> The Deed of Absolute Sale is notarized.</w:t>
      </w:r>
    </w:p>
    <w:p>
      <w:pPr>
        <w:pStyle w:val="ListBullet"/>
      </w:pPr>
      <w:r>
        <w:t xml:space="preserve">  </w:t>
      </w:r>
      <w:r>
        <w:rPr>
          <w:b/>
        </w:rPr>
        <w:t>August 4, 1988:</w:t>
      </w:r>
      <w:r>
        <w:t xml:space="preserve"> Preliminary injunction denied by the trial court.</w:t>
      </w:r>
    </w:p>
    <w:p>
      <w:pPr>
        <w:pStyle w:val="ListBullet"/>
      </w:pPr>
      <w:r>
        <w:t xml:space="preserve">  </w:t>
      </w:r>
      <w:r>
        <w:rPr>
          <w:b/>
        </w:rPr>
        <w:t>February 4, 1991:</w:t>
      </w:r>
      <w:r>
        <w:t xml:space="preserve"> The Regional Trial Court (RTC) rules in favor of CKH, finding no valid payment, denying compensation, and ordering rescission of the sale.</w:t>
      </w:r>
    </w:p>
    <w:p>
      <w:pPr>
        <w:pStyle w:val="ListBullet"/>
      </w:pPr>
      <w:r>
        <w:t xml:space="preserve">  </w:t>
      </w:r>
      <w:r>
        <w:rPr>
          <w:b/>
        </w:rPr>
        <w:t>April 21, 1993:</w:t>
      </w:r>
      <w:r>
        <w:t xml:space="preserve"> The Court of Appeals (CA) reverses the RTC, ruling that the purchase price was validly paid via ₱100k cash and ₱700k compensation (off-setting).</w:t>
      </w:r>
    </w:p>
    <w:p>
      <w:pPr>
        <w:pStyle w:val="ListBullet"/>
      </w:pPr>
      <w:r>
        <w:t xml:space="preserve">  </w:t>
      </w:r>
      <w:r>
        <w:rPr>
          <w:b/>
        </w:rPr>
        <w:t>May 7, 1997:</w:t>
      </w:r>
      <w:r>
        <w:t xml:space="preserve"> The Supreme Court (SC) issues its Decision, reversing the CA, rejecting the compensation argument, and reinstating the RTC's rescission of the sale.</w:t>
      </w:r>
    </w:p>
    <w:p>
      <w:pPr>
        <w:pStyle w:val="Heading4"/>
      </w:pPr>
      <w:r>
        <w:t>3. The Contract or Obligation</w:t>
      </w:r>
    </w:p>
    <w:p>
      <w:pPr>
        <w:pStyle w:val="ListBullet"/>
      </w:pPr>
      <w:r/>
      <w:r>
        <w:rPr>
          <w:b/>
        </w:rPr>
        <w:t>What were the original obligations of each party?</w:t>
      </w:r>
      <w:r/>
    </w:p>
    <w:p>
      <w:r>
        <w:t xml:space="preserve">Under the Deed of Absolute Sale, </w:t>
      </w:r>
      <w:r>
        <w:rPr>
          <w:b/>
        </w:rPr>
        <w:t>CKH</w:t>
      </w:r>
      <w:r>
        <w:t xml:space="preserve"> had the obligation to deliver the titles and ownership of the two Valenzuela parcels to Century-Well. </w:t>
      </w:r>
      <w:r>
        <w:rPr>
          <w:b/>
        </w:rPr>
        <w:t>Century-Well</w:t>
      </w:r>
      <w:r>
        <w:t xml:space="preserve">, in return, had the reciprocal obligation to pay the purchase price of ₱800,000.00. Separately, under the historical promissory notes, </w:t>
      </w:r>
      <w:r>
        <w:rPr>
          <w:b/>
        </w:rPr>
        <w:t>CKH</w:t>
      </w:r>
      <w:r>
        <w:t xml:space="preserve"> had the obligation to pay Chong Tak Choi ₱500,000.00 and Chong Tak Kei ₱200,000.00.</w:t>
      </w:r>
    </w:p>
    <w:p>
      <w:pPr>
        <w:pStyle w:val="ListBullet"/>
      </w:pPr>
      <w:r/>
      <w:r>
        <w:rPr>
          <w:b/>
        </w:rPr>
        <w:t>Were the debts of the same kind (money vs. money)?</w:t>
      </w:r>
      <w:r/>
    </w:p>
    <w:p>
      <w:r>
        <w:t>Yes, both obligations consisted of the payment of a sum of money in Philippine Currency, satisfying the requirement under Article 1279(2) that both debts consist in a sum of money or consumable goods of the same kind.</w:t>
      </w:r>
    </w:p>
    <w:p>
      <w:pPr>
        <w:pStyle w:val="ListBullet"/>
      </w:pPr>
      <w:r/>
      <w:r>
        <w:rPr>
          <w:b/>
        </w:rPr>
        <w:t>Were both debts liquidated and demandable at the same time?</w:t>
      </w:r>
      <w:r/>
    </w:p>
    <w:p>
      <w:r>
        <w:t>Yes, both debts were reduced to specific, liquidated monetary amounts (₱800,000.00 and ₱700,000.00, respectively) and were currently demandable at the time of the transaction. The fatal flaw was not the nature or maturity of the debts, but the identity of the obligors and obligees.</w:t>
      </w:r>
    </w:p>
    <w:p>
      <w:pPr>
        <w:pStyle w:val="Heading4"/>
      </w:pPr>
      <w:r>
        <w:t>4. Legal Issues Raised</w:t>
      </w:r>
    </w:p>
    <w:p>
      <w:pPr>
        <w:pStyle w:val="ListBullet"/>
      </w:pPr>
      <w:r/>
      <w:r>
        <w:rPr>
          <w:b/>
        </w:rPr>
        <w:t>Are all the requisites of legal compensation present?</w:t>
      </w:r>
      <w:r/>
    </w:p>
    <w:p>
      <w:r>
        <w:t>The central legal issue was whether the requisites for legal compensation under Article 1279 of the Civil Code were met. Specifically, the focus was on Article 1279(1): "That each one of the obligors be bound principally, and that he be at the same time a principal creditor of the other". The petitioners argued that CKH and Century-Well were not mutually bound as principal creditors and debtors of each other.</w:t>
      </w:r>
    </w:p>
    <w:p>
      <w:pPr>
        <w:pStyle w:val="ListBullet"/>
      </w:pPr>
      <w:r/>
      <w:r>
        <w:rPr>
          <w:b/>
        </w:rPr>
        <w:t>Does legal compensation operate automatically or only upon mutual agreement?</w:t>
      </w:r>
      <w:r/>
    </w:p>
    <w:p>
      <w:r>
        <w:t>Legal compensation, by doctrinal definition under Article 1290 of the Civil Code, operates automatically by operation of law (</w:t>
      </w:r>
      <w:r>
        <w:rPr>
          <w:i/>
        </w:rPr>
        <w:t>ipso jure</w:t>
      </w:r>
      <w:r>
        <w:t xml:space="preserve">). From the moment all requisites in Article 1279 concur, compensation takes effect automatically and extinguishes both debts to the concurrent amount, even without the consent or knowledge of the parties. Conversely, </w:t>
      </w:r>
      <w:r>
        <w:rPr>
          <w:i/>
        </w:rPr>
        <w:t>conventional</w:t>
      </w:r>
      <w:r>
        <w:t xml:space="preserve"> or voluntary compensation requires the mutual agreement of the parties to extinguish their respective credits. Because the strict legal requisites (specifically mutuality) were missing, automatic legal compensation could not occur. Furthermore, the SC found no evidence that CKH (via Rubi Saw) ever actually consented to a </w:t>
      </w:r>
      <w:r>
        <w:rPr>
          <w:i/>
        </w:rPr>
        <w:t>conventional</w:t>
      </w:r>
      <w:r>
        <w:t xml:space="preserve"> compensation, as she consistently demanded cash payment.</w:t>
      </w:r>
    </w:p>
    <w:p>
      <w:pPr>
        <w:pStyle w:val="ListBullet"/>
      </w:pPr>
      <w:r/>
      <w:r>
        <w:rPr>
          <w:b/>
        </w:rPr>
        <w:t>Is a disputed debt subject to legal compensation?</w:t>
      </w:r>
      <w:r/>
    </w:p>
    <w:p>
      <w:r>
        <w:t>Under Article 1279(5) of the Civil Code, a debt cannot be subject to legal compensation if there is any "retention or controversy, commenced by third persons and communicated in due time to the debtor". Furthermore, while an unliquidated or highly disputed debt between the parties themselves generally prevents automatic legal compensation, the Supreme Court's primary focus in this specific case was not on whether the promissory notes were disputed in amount, but rather that they were held by the wrong legal entities (the individual stockholders rather than the contracting corporation).</w:t>
      </w:r>
    </w:p>
    <w:p>
      <w:pPr>
        <w:pStyle w:val="Heading4"/>
      </w:pPr>
      <w:r>
        <w:t>5. Supreme Court Ruling</w:t>
      </w:r>
    </w:p>
    <w:p>
      <w:pPr>
        <w:pStyle w:val="ListBullet"/>
      </w:pPr>
      <w:r/>
      <w:r>
        <w:rPr>
          <w:b/>
        </w:rPr>
        <w:t>What did the SC hold on the requisites of legal compensation?</w:t>
      </w:r>
      <w:r/>
    </w:p>
    <w:p>
      <w:r>
        <w:t xml:space="preserve">The Supreme Court ruled firmly that </w:t>
      </w:r>
      <w:r>
        <w:rPr>
          <w:b/>
        </w:rPr>
        <w:t>there could be no valid legal compensation</w:t>
      </w:r>
      <w:r>
        <w:t xml:space="preserve"> because the paramount requisite of mutuality was absent. The Court held that CKH and Century-Well, the principal contracting parties to the sale, were not mutually bound as creditors and debtors in their own names.</w:t>
      </w:r>
    </w:p>
    <w:p>
      <w:pPr>
        <w:pStyle w:val="ListBullet"/>
      </w:pPr>
      <w:r/>
      <w:r>
        <w:rPr>
          <w:b/>
        </w:rPr>
        <w:t>How did it treat the disputed or unliquidated nature of one of the debts?</w:t>
      </w:r>
      <w:r/>
    </w:p>
    <w:p>
      <w:r>
        <w:t xml:space="preserve">The Court bypassed an intensive inquiry into whether the promissory notes were valid or fabricated (a point of factual contention) by resting its decision on an absolute barrier of corporate law: </w:t>
      </w:r>
      <w:r>
        <w:rPr>
          <w:b/>
        </w:rPr>
        <w:t>the doctrine of separate juridical personality</w:t>
      </w:r>
      <w:r>
        <w:t>. The promissory notes evidenced a debt of CKH to Chong Tak Choi and Chong Tak Kei in their personal capacities. These two individuals were merely stockholders of Century-Well. The Court held that a corporation has a personality separate and distinct from its stockholders. Therefore, the personal credits of the stockholders (the sons) cannot be used to legally offset the corporate debt of Century-Well to CKH. Piercing the corporate veil was deemed utterly unjustified as Century-Well was a distinct party.</w:t>
      </w:r>
    </w:p>
    <w:p>
      <w:pPr>
        <w:pStyle w:val="ListBullet"/>
      </w:pPr>
      <w:r/>
      <w:r>
        <w:rPr>
          <w:b/>
        </w:rPr>
        <w:t>What was the disposition?</w:t>
      </w:r>
      <w:r/>
    </w:p>
    <w:p>
      <w:r>
        <w:t>The Supreme Court granted the petition, reversed and set aside the decision of the Court of Appeals, and reinstated the trial court's decision ordering the rescission/annulment of the Deed of Absolute Sale. Because no valid compensation occurred and no cash was paid, there was a total failure of consideration. The Register of Deeds was ordered to cancel the transfer certificates of title issued to Century-Well and restore the titles to CKH. (The award of moral damages by the RTC was modified/deleted based on other evidentiary grounds).</w:t>
      </w:r>
    </w:p>
    <w:p>
      <w:pPr>
        <w:pStyle w:val="Heading4"/>
      </w:pPr>
      <w:r>
        <w:t>6. Key Doctrine / Civil Code Hook</w:t>
      </w:r>
    </w:p>
    <w:p>
      <w:pPr>
        <w:pStyle w:val="ListBullet"/>
      </w:pPr>
      <w:r/>
      <w:r>
        <w:rPr>
          <w:b/>
        </w:rPr>
        <w:t>State the requisites of legal compensation under Art. 1279</w:t>
      </w:r>
      <w:r/>
    </w:p>
    <w:p>
      <w:r>
        <w:t xml:space="preserve">Under </w:t>
      </w:r>
      <w:r>
        <w:rPr>
          <w:b/>
        </w:rPr>
        <w:t>Article 1279 of the Civil Code</w:t>
      </w:r>
      <w:r>
        <w:t>, in order that legal compensation may be proper, it is necessary:</w:t>
      </w:r>
    </w:p>
    <w:p>
      <w:r>
        <w:t>1.  That each one of the obligors be bound principally, and that he be at the same time a principal creditor of the other;</w:t>
      </w:r>
    </w:p>
    <w:p>
      <w:r>
        <w:t>2.  That both debts consist in a sum of money, or if the things due are consumable, they be of the same kind, and also of the same quality if the latter has been stated;</w:t>
      </w:r>
    </w:p>
    <w:p>
      <w:r>
        <w:t>3.  That the two debts be due;</w:t>
      </w:r>
    </w:p>
    <w:p>
      <w:r>
        <w:t>4.  That they be liquidated and demandable;</w:t>
      </w:r>
    </w:p>
    <w:p>
      <w:r>
        <w:t>5.  That over neither of them there be any retention or controversy, commenced by third persons and communicated in due time to the debtor.</w:t>
      </w:r>
    </w:p>
    <w:p>
      <w:pPr>
        <w:pStyle w:val="ListBullet"/>
      </w:pPr>
      <w:r/>
      <w:r>
        <w:rPr>
          <w:b/>
        </w:rPr>
        <w:t>State the rule that legal compensation operates by operation of law (Art. 1290) — no consent needed</w:t>
      </w:r>
      <w:r/>
    </w:p>
    <w:p>
      <w:r>
        <w:t xml:space="preserve">Pursuant to </w:t>
      </w:r>
      <w:r>
        <w:rPr>
          <w:b/>
        </w:rPr>
        <w:t>Article 1290</w:t>
      </w:r>
      <w:r>
        <w:t>, when all the requisites mentioned in Article 1279 are present, compensation takes effect by operation of law (</w:t>
      </w:r>
      <w:r>
        <w:rPr>
          <w:i/>
        </w:rPr>
        <w:t>ipso jure</w:t>
      </w:r>
      <w:r>
        <w:t xml:space="preserve">), and extinguishes both debts to the concurrent amount, even though the creditors and debtors are not aware of the compensation. Consent of the parties is absolutely not required. However, as demonstrated in </w:t>
      </w:r>
      <w:r>
        <w:rPr>
          <w:i/>
        </w:rPr>
        <w:t>CKH v. Court of Appeals</w:t>
      </w:r>
      <w:r>
        <w:t>, if the strict requirement of mutuality is missing, automatic compensation fails entirely.</w:t>
      </w:r>
    </w:p>
    <w:p>
      <w:pPr>
        <w:pStyle w:val="ListBullet"/>
      </w:pPr>
      <w:r/>
      <w:r>
        <w:rPr>
          <w:b/>
        </w:rPr>
        <w:t>State the rule on liquidated vs. unliquidated debts in compensation</w:t>
      </w:r>
      <w:r/>
    </w:p>
    <w:p>
      <w:r>
        <w:t xml:space="preserve">For legal compensation to operate automatically, the debts must be liquidated—meaning their exact amount is already determined or easily determinable by simple mathematical computation. If a debt is unliquidated (e.g., pending assessment of damages), legal compensation cannot take place. In the absence of the legal requisites (like mutuality or liquidity), parties may still resort to </w:t>
      </w:r>
      <w:r>
        <w:rPr>
          <w:b/>
        </w:rPr>
        <w:t>Conventional/Voluntary Compensation</w:t>
      </w:r>
      <w:r>
        <w:t xml:space="preserve"> (Article 1282), but this requires mutual consent and agreement to extinguish their respective credits. In this case, CKH never consented to a conventional set-off.</w:t>
      </w:r>
    </w:p>
    <w:p>
      <w:pPr>
        <w:pStyle w:val="ListBullet"/>
      </w:pPr>
      <w:r/>
      <w:r>
        <w:rPr>
          <w:b/>
        </w:rPr>
        <w:t>Which Civil Code articles were applied?</w:t>
      </w:r>
      <w:r/>
    </w:p>
    <w:p>
      <w:pPr>
        <w:pStyle w:val="ListBullet"/>
      </w:pPr>
      <w:r>
        <w:t xml:space="preserve">  </w:t>
      </w:r>
      <w:r>
        <w:rPr>
          <w:b/>
        </w:rPr>
        <w:t>Article 1231:</w:t>
      </w:r>
      <w:r>
        <w:t xml:space="preserve"> Outlining compensation as a mode of extinguishing an obligation.</w:t>
      </w:r>
    </w:p>
    <w:p>
      <w:pPr>
        <w:pStyle w:val="ListBullet"/>
      </w:pPr>
      <w:r>
        <w:t xml:space="preserve">  </w:t>
      </w:r>
      <w:r>
        <w:rPr>
          <w:b/>
        </w:rPr>
        <w:t>Article 1278:</w:t>
      </w:r>
      <w:r>
        <w:t xml:space="preserve"> Defining the core concept of compensation (persons mutually creditors and debtors of each other).</w:t>
      </w:r>
    </w:p>
    <w:p>
      <w:pPr>
        <w:pStyle w:val="ListBullet"/>
      </w:pPr>
      <w:r>
        <w:t xml:space="preserve">  </w:t>
      </w:r>
      <w:r>
        <w:rPr>
          <w:b/>
        </w:rPr>
        <w:t>Article 1279:</w:t>
      </w:r>
      <w:r>
        <w:t xml:space="preserve"> Enumerating the strict requisites for legal compensation.</w:t>
      </w:r>
    </w:p>
    <w:p>
      <w:pPr>
        <w:pStyle w:val="ListBullet"/>
      </w:pPr>
      <w:r>
        <w:t xml:space="preserve">  </w:t>
      </w:r>
      <w:r>
        <w:rPr>
          <w:b/>
        </w:rPr>
        <w:t>Article 1249:</w:t>
      </w:r>
      <w:r>
        <w:t xml:space="preserve"> Mentioned regarding the payment of debts in money and the effect of delivering mercantile documents.</w:t>
      </w:r>
    </w:p>
    <w:p>
      <w:pPr>
        <w:pStyle w:val="ListBullet"/>
      </w:pPr>
      <w:r>
        <w:t xml:space="preserve">  </w:t>
      </w:r>
      <w:r>
        <w:rPr>
          <w:b/>
        </w:rPr>
        <w:t>Article 1191:</w:t>
      </w:r>
      <w:r>
        <w:t xml:space="preserve"> The implicit basis for the rescission of reciprocal obligations due to a breach or failure of consideration (non-payment).</w:t>
      </w:r>
    </w:p>
    <w:p>
      <w:pPr>
        <w:pStyle w:val="Heading4"/>
      </w:pPr>
      <w:r>
        <w:t>7. Memory Anchor</w:t>
      </w:r>
    </w:p>
    <w:p>
      <w:pPr>
        <w:pStyle w:val="ListBullet"/>
      </w:pPr>
      <w:r/>
      <w:r>
        <w:rPr>
          <w:b/>
        </w:rPr>
        <w:t>A 1–2 sentence story hook or mnemonic for bar/exam recall</w:t>
      </w:r>
      <w:r/>
    </w:p>
    <w:p>
      <w:r>
        <w:rPr>
          <w:i/>
        </w:rPr>
        <w:t>You cannot use the sons' personal promissory notes to pay for the corporation's land!</w:t>
      </w:r>
    </w:p>
    <w:p>
      <w:r>
        <w:t xml:space="preserve">In </w:t>
      </w:r>
      <w:r>
        <w:rPr>
          <w:i/>
        </w:rPr>
        <w:t>CKH v. CA</w:t>
      </w:r>
      <w:r>
        <w:t xml:space="preserve">, the Supreme Court strictly upheld </w:t>
      </w:r>
      <w:r>
        <w:rPr>
          <w:b/>
        </w:rPr>
        <w:t>Article 1279's mutuality requisite</w:t>
      </w:r>
      <w:r>
        <w:t>, ruling that because a corporation has a separate personality from its stockholders, a vendee corporation cannot offset its real estate debt using the personal credits of its stockholders without conventional consent.</w:t>
      </w:r>
    </w:p>
    <w:p>
      <w:pPr>
        <w:pStyle w:val="Heading2"/>
      </w:pPr>
      <w:r>
        <w:t>Case 14: Gatchalian Realty, Inc. v. Angeles (2013) | G.R. No. 202358</w:t>
      </w:r>
    </w:p>
    <w:p>
      <w:pPr>
        <w:pStyle w:val="Heading2"/>
      </w:pPr>
      <w:r>
        <w:t>Comprehensive Legal Analysis: Gatchalian Realty, Inc. v. Angeles (2013)</w:t>
      </w:r>
    </w:p>
    <w:p>
      <w:pPr>
        <w:pStyle w:val="Heading3"/>
      </w:pPr>
      <w:r>
        <w:t>Leading Summary</w:t>
      </w:r>
    </w:p>
    <w:p>
      <w:pPr>
        <w:pStyle w:val="ListBullet"/>
      </w:pPr>
      <w:r>
        <w:t xml:space="preserve">  </w:t>
      </w:r>
      <w:r>
        <w:rPr>
          <w:b/>
        </w:rPr>
        <w:t>Case Significance:</w:t>
      </w:r>
      <w:r>
        <w:t xml:space="preserve"> The dispute in *Gatchalian Realty, Inc. v. Angeles* centers on the strict requirements for cancelling a real estate installment contract and the precise limitations of legal compensation under Philippine civil law.</w:t>
      </w:r>
    </w:p>
    <w:p>
      <w:pPr>
        <w:pStyle w:val="ListBullet"/>
      </w:pPr>
      <w:r>
        <w:t xml:space="preserve">  </w:t>
      </w:r>
      <w:r>
        <w:rPr>
          <w:b/>
        </w:rPr>
        <w:t>Legal Compensation:</w:t>
      </w:r>
      <w:r>
        <w:t xml:space="preserve"> It appears that a party cannot unilaterally offset unliquidated damages (such as arbitrarily assessed property rentals) against a statutory obligation to refund a buyer's payments.</w:t>
      </w:r>
    </w:p>
    <w:p>
      <w:pPr>
        <w:pStyle w:val="ListBullet"/>
      </w:pPr>
      <w:r>
        <w:t xml:space="preserve">  </w:t>
      </w:r>
      <w:r>
        <w:rPr>
          <w:b/>
        </w:rPr>
        <w:t>Maceda Law Protections:</w:t>
      </w:r>
      <w:r>
        <w:t xml:space="preserve"> Research suggests that the twin requirements for cancelling a contract to sell under Republic Act No. 6552—a notarized notice and the actual return of the cash surrender value—are strictly construed to protect buyers.</w:t>
      </w:r>
    </w:p>
    <w:p>
      <w:pPr>
        <w:pStyle w:val="ListBullet"/>
      </w:pPr>
      <w:r>
        <w:t xml:space="preserve">  </w:t>
      </w:r>
      <w:r>
        <w:rPr>
          <w:b/>
        </w:rPr>
        <w:t>Subsisting Contracts:</w:t>
      </w:r>
      <w:r>
        <w:t xml:space="preserve"> The evidence leans toward the conclusion that failing to actualize a refund renders an attempted cancellation void, leaving the original contract valid and enforceable.</w:t>
      </w:r>
    </w:p>
    <w:p>
      <w:r>
        <w:rPr>
          <w:b/>
        </w:rPr>
        <w:t>Introduction to the Controversy</w:t>
      </w:r>
    </w:p>
    <w:p>
      <w:r>
        <w:t>The intersection of property law, statutory buyer protection, and civil obligations often yields complex jurisprudence. In the Philippines, the sale of real estate on an installment basis is heavily regulated to prevent abusive practices by developers against buyers who may default after years of payment. This protective framework is occasionally challenged when developers attempt to utilize general civil law mechanisms—such as the extinguishment of obligations through legal compensation—to bypass the strict procedural mandates of specialized statutes.</w:t>
      </w:r>
    </w:p>
    <w:p>
      <w:r>
        <w:rPr>
          <w:b/>
        </w:rPr>
        <w:t>The Doctrinal Tension</w:t>
      </w:r>
    </w:p>
    <w:p>
      <w:r>
        <w:t>This report delves into a landmark decision that tests the boundaries between Article 1279 of the Civil Code of the Philippines, which governs legal compensation, and Republic Act No. 6552, known as the Maceda Law. The controversy hinges on whether a developer can bypass the mandatory refund of a defaulting buyer's cash surrender value by unilaterally declaring that the refund has been "offset" against unliquidated rentals owed by the buyer for occupying the property. The ensuing academic analysis dissects the parties, the factual matrix, the legal theories advanced, and the Supreme Court's definitive ruling on the matter.</w:t>
      </w:r>
    </w:p>
    <w:p>
      <w:pPr>
        <w:spacing w:before="120" w:after="120"/>
        <w:pBdr>
          <w:bottom w:val="single" w:sz="4" w:space="1" w:color="CCCCCC"/>
        </w:pBdr>
      </w:pPr>
    </w:p>
    <w:p>
      <w:pPr>
        <w:pStyle w:val="Heading2"/>
      </w:pPr>
      <w:r>
        <w:t>1. The Parties</w:t>
      </w:r>
    </w:p>
    <w:p>
      <w:r>
        <w:t>To fully understand the socioeconomic and legal dynamics of the case, it is essential to identify the actors involved and the nature of their transactional relationship.</w:t>
      </w:r>
    </w:p>
    <w:p>
      <w:pPr>
        <w:pStyle w:val="ListBullet"/>
      </w:pPr>
      <w:r>
        <w:t xml:space="preserve">  </w:t>
      </w:r>
      <w:r>
        <w:rPr>
          <w:b/>
        </w:rPr>
        <w:t>Petitioner (Gatchalian Realty, Inc. - GRI):</w:t>
      </w:r>
      <w:r>
        <w:t xml:space="preserve"> Gatchalian Realty, Inc. is a corporate entity engaged in the business of real estate development and the sale of properties in the Philippines. In this transaction, GRI acted as the vendor and developer, wielding standard-form contracts (contracts of adhesion) typical of the real estate industry. GRI sought to enforce the cancellation of an installment contract and recover possession of the property after the buyer fell into substantial arrears.</w:t>
      </w:r>
    </w:p>
    <w:p>
      <w:pPr>
        <w:pStyle w:val="ListBullet"/>
      </w:pPr>
      <w:r>
        <w:t xml:space="preserve">  </w:t>
      </w:r>
      <w:r>
        <w:rPr>
          <w:b/>
        </w:rPr>
        <w:t>Respondent (Evelyn M. Angeles):</w:t>
      </w:r>
      <w:r>
        <w:t xml:space="preserve"> Evelyn M. Angeles is a private individual who entered into long-term installment agreements to acquire residential real estate. She represents the typical installment buyer envisioned by the framers of the Maceda Law—a consumer who invests substantial time and financial resources into acquiring a home but eventually faces financial difficulties leading to default. Angeles claimed that despite her default, the cancellation of her contracts was legally void because she never actually received the statutorily mandated refund of her accumulated payments.</w:t>
      </w:r>
    </w:p>
    <w:p>
      <w:pPr>
        <w:pStyle w:val="ListBullet"/>
      </w:pPr>
      <w:r>
        <w:t xml:space="preserve">  </w:t>
      </w:r>
      <w:r>
        <w:rPr>
          <w:b/>
        </w:rPr>
        <w:t>Their Relationship:</w:t>
      </w:r>
      <w:r>
        <w:t xml:space="preserve"> The legal relationship between the parties was governed by two distinct </w:t>
      </w:r>
      <w:r>
        <w:rPr>
          <w:b/>
        </w:rPr>
        <w:t>Contracts to Sell</w:t>
      </w:r>
      <w:r>
        <w:t xml:space="preserve"> executed on December 28, 1994. In a "Contract to Sell," unlike a standard contract of sale, the transfer of ownership is expressly withheld by the seller until the buyer fully pays the purchase price. Ownership remained with GRI, while Angeles was granted physical possession of the properties beginning in 1995.</w:t>
      </w:r>
    </w:p>
    <w:p>
      <w:pPr>
        <w:spacing w:before="120" w:after="120"/>
        <w:pBdr>
          <w:bottom w:val="single" w:sz="4" w:space="1" w:color="CCCCCC"/>
        </w:pBdr>
      </w:pPr>
    </w:p>
    <w:p>
      <w:pPr>
        <w:pStyle w:val="Heading2"/>
      </w:pPr>
      <w:r>
        <w:t>2. Background &amp; Facts</w:t>
      </w:r>
    </w:p>
    <w:p>
      <w:r>
        <w:t>The factual backdrop of the dispute spans nearly a decade, illustrating the protracted nature of real estate installment defaults and the subsequent legal entanglements.</w:t>
      </w:r>
    </w:p>
    <w:p>
      <w:r>
        <w:rPr>
          <w:b/>
        </w:rPr>
        <w:t>The Agreement and the Properties</w:t>
      </w:r>
    </w:p>
    <w:p>
      <w:r>
        <w:t>On December 28, 1994, Evelyn M. Angeles agreed to purchase a residential house and lot from Gatchalian Realty, Inc. The transaction was bifurcated into two separate contracts:</w:t>
      </w:r>
    </w:p>
    <w:p>
      <w:pPr>
        <w:pStyle w:val="ListBullet"/>
      </w:pPr>
      <w:r>
        <w:t xml:space="preserve">  </w:t>
      </w:r>
      <w:r>
        <w:rPr>
          <w:b/>
        </w:rPr>
        <w:t>Contract No. 2271:</w:t>
      </w:r>
      <w:r>
        <w:t xml:space="preserve"> Pertaining to the lot, valued at PHP 450,000.00.</w:t>
      </w:r>
    </w:p>
    <w:p>
      <w:pPr>
        <w:pStyle w:val="ListBullet"/>
      </w:pPr>
      <w:r>
        <w:t xml:space="preserve">  </w:t>
      </w:r>
      <w:r>
        <w:rPr>
          <w:b/>
        </w:rPr>
        <w:t>Contract No. 2272:</w:t>
      </w:r>
      <w:r>
        <w:t xml:space="preserve"> Pertaining to the house, valued at PHP 750,000.00.</w:t>
      </w:r>
    </w:p>
    <w:p>
      <w:r>
        <w:t>Both contracts required Angeles to pay in regular monthly installments over a period of ten (10) years. The agreements carried a substantial interest rate of twenty-four percent (24%) per annum. Angeles took physical delivery and occupied the properties in 1995.</w:t>
      </w:r>
    </w:p>
    <w:p>
      <w:r>
        <w:rPr>
          <w:b/>
        </w:rPr>
        <w:t>Payments Made and the Ensuing Default</w:t>
      </w:r>
    </w:p>
    <w:p>
      <w:r>
        <w:t>Over the course of her occupancy, Angeles managed to pay a portion of her obligations but eventually fell behind. The records establish that she paid a total of 35 monthly installments for the lot (just shy of three years) and exactly 48 monthly installments for the house (four years). Following these payments, Angeles defaulted on her subsequent amortizations.</w:t>
      </w:r>
    </w:p>
    <w:p>
      <w:r>
        <w:rPr>
          <w:b/>
        </w:rPr>
        <w:t>The Dispute and the Attempted Cancellation</w:t>
      </w:r>
    </w:p>
    <w:p>
      <w:r>
        <w:t>Upon Angeles's default, GRI did not immediately cancel the contracts. The developer sent at least twelve notices demanding payment over a three-year span, effectively granting Angeles an accumulated grace period of 51 months—far exceeding the statutory and contractual minimums. When payment was still not forthcoming, the dispute escalated:</w:t>
      </w:r>
    </w:p>
    <w:p>
      <w:pPr>
        <w:pStyle w:val="ListBullet"/>
      </w:pPr>
      <w:r>
        <w:t xml:space="preserve">  </w:t>
      </w:r>
      <w:r>
        <w:rPr>
          <w:b/>
        </w:rPr>
        <w:t>September 11, 2003:</w:t>
      </w:r>
      <w:r>
        <w:t xml:space="preserve"> GRI executed a notarial notice of rescission (cancellation) of the contracts.</w:t>
      </w:r>
    </w:p>
    <w:p>
      <w:pPr>
        <w:pStyle w:val="ListBullet"/>
      </w:pPr>
      <w:r>
        <w:t xml:space="preserve">  </w:t>
      </w:r>
      <w:r>
        <w:rPr>
          <w:b/>
        </w:rPr>
        <w:t>September 19, 2003:</w:t>
      </w:r>
      <w:r>
        <w:t xml:space="preserve"> Angeles formally received the notarial notice via registered mail.</w:t>
      </w:r>
    </w:p>
    <w:p>
      <w:pPr>
        <w:pStyle w:val="ListBullet"/>
      </w:pPr>
      <w:r>
        <w:t xml:space="preserve">  </w:t>
      </w:r>
      <w:r>
        <w:rPr>
          <w:b/>
        </w:rPr>
        <w:t>September 26, 2003:</w:t>
      </w:r>
      <w:r>
        <w:t xml:space="preserve"> GRI sent a demand letter to Angeles. In this crucial document, GRI asserted that Angeles owed PHP 112,304.42 as "outstanding reasonable rentals" for her continued use and occupation of the property up to August 2003. Furthermore, GRI informed Angeles that her rightful cash surrender value (which amounted to 50% of her total payments) had already been deducted from the total rentals she supposedly owed, leaving the PHP 112,304.42 balance.</w:t>
      </w:r>
    </w:p>
    <w:p>
      <w:pPr>
        <w:pStyle w:val="ListBullet"/>
      </w:pPr>
      <w:r>
        <w:t xml:space="preserve">  </w:t>
      </w:r>
      <w:r>
        <w:rPr>
          <w:b/>
        </w:rPr>
        <w:t>Post-Notice Actions:</w:t>
      </w:r>
      <w:r>
        <w:t xml:space="preserve"> Angeles attempted to salvage the contracts by sending postal money orders to GRI as continued amortization payments. GRI refused to accept these payments as installments, insisting they could only be applied against the "rental" arrears. When Angeles refused to vacate, GRI filed a formal complaint for unlawful detainer.</w:t>
      </w:r>
    </w:p>
    <w:p>
      <w:r>
        <w:rPr>
          <w:b/>
        </w:rPr>
        <w:t>Timeline of Key Events</w:t>
      </w:r>
    </w:p>
    <w:p>
      <w:r>
        <w:t>| Date | Event Description |</w:t>
      </w:r>
    </w:p>
    <w:p>
      <w:r>
        <w:t>| :--- | :--- |</w:t>
      </w:r>
    </w:p>
    <w:p>
      <w:r>
        <w:t xml:space="preserve">| </w:t>
      </w:r>
      <w:r>
        <w:rPr>
          <w:b/>
        </w:rPr>
        <w:t>December 28, 1994</w:t>
      </w:r>
      <w:r>
        <w:t xml:space="preserve"> | Execution of Contracts to Sell No. 2271 (Lot) and 2272 (House). |</w:t>
      </w:r>
    </w:p>
    <w:p>
      <w:r>
        <w:t xml:space="preserve">| </w:t>
      </w:r>
      <w:r>
        <w:rPr>
          <w:b/>
        </w:rPr>
        <w:t>1995</w:t>
      </w:r>
      <w:r>
        <w:t xml:space="preserve"> | Physical delivery of the properties to Angeles. |</w:t>
      </w:r>
    </w:p>
    <w:p>
      <w:r>
        <w:t xml:space="preserve">| </w:t>
      </w:r>
      <w:r>
        <w:rPr>
          <w:b/>
        </w:rPr>
        <w:t>1995 - 1999</w:t>
      </w:r>
      <w:r>
        <w:t xml:space="preserve"> | Angeles pays 35 installments on the lot and 48 installments on the house. |</w:t>
      </w:r>
    </w:p>
    <w:p>
      <w:r>
        <w:t xml:space="preserve">| </w:t>
      </w:r>
      <w:r>
        <w:rPr>
          <w:b/>
        </w:rPr>
        <w:t>1999 - 2003</w:t>
      </w:r>
      <w:r>
        <w:t xml:space="preserve"> | Angeles defaults; GRI sends multiple notices and grants a 51-month grace period. |</w:t>
      </w:r>
    </w:p>
    <w:p>
      <w:r>
        <w:t xml:space="preserve">| </w:t>
      </w:r>
      <w:r>
        <w:rPr>
          <w:b/>
        </w:rPr>
        <w:t>September 11, 2003</w:t>
      </w:r>
      <w:r>
        <w:t xml:space="preserve"> | GRI drafts a notarial notice of rescission. |</w:t>
      </w:r>
    </w:p>
    <w:p>
      <w:r>
        <w:t xml:space="preserve">| </w:t>
      </w:r>
      <w:r>
        <w:rPr>
          <w:b/>
        </w:rPr>
        <w:t>September 19, 2003</w:t>
      </w:r>
      <w:r>
        <w:t xml:space="preserve"> | Angeles receives the notarial rescission. |</w:t>
      </w:r>
    </w:p>
    <w:p>
      <w:r>
        <w:t xml:space="preserve">| </w:t>
      </w:r>
      <w:r>
        <w:rPr>
          <w:b/>
        </w:rPr>
        <w:t>September 26, 2003</w:t>
      </w:r>
      <w:r>
        <w:t xml:space="preserve"> | GRI sends a letter demanding PHP 112,304.42 in rentals, claiming the cash surrender value was already unilaterally offset against a larger, unliquidated rental sum. |</w:t>
      </w:r>
    </w:p>
    <w:p>
      <w:r>
        <w:t xml:space="preserve">| </w:t>
      </w:r>
      <w:r>
        <w:rPr>
          <w:b/>
        </w:rPr>
        <w:t>November 11, 2003</w:t>
      </w:r>
      <w:r>
        <w:t xml:space="preserve"> | GRI files a complaint for unlawful detainer against Angeles at the Metropolitan Trial Court (MeTC). |</w:t>
      </w:r>
    </w:p>
    <w:p>
      <w:r>
        <w:t xml:space="preserve">| </w:t>
      </w:r>
      <w:r>
        <w:rPr>
          <w:b/>
        </w:rPr>
        <w:t>November 27, 2013</w:t>
      </w:r>
      <w:r>
        <w:t xml:space="preserve"> | The Supreme Court of the Philippines issues its final ruling in G.R. No. 202358. |</w:t>
      </w:r>
    </w:p>
    <w:p>
      <w:pPr>
        <w:spacing w:before="120" w:after="120"/>
        <w:pBdr>
          <w:bottom w:val="single" w:sz="4" w:space="1" w:color="CCCCCC"/>
        </w:pBdr>
      </w:pPr>
    </w:p>
    <w:p>
      <w:pPr>
        <w:pStyle w:val="Heading2"/>
      </w:pPr>
      <w:r>
        <w:t>3. The Contract or Obligation</w:t>
      </w:r>
    </w:p>
    <w:p>
      <w:r>
        <w:t xml:space="preserve">The core obligation in this case stems from the </w:t>
      </w:r>
      <w:r>
        <w:rPr>
          <w:b/>
        </w:rPr>
        <w:t>Contracts to Sell</w:t>
      </w:r>
      <w:r>
        <w:t xml:space="preserve"> entered into by the developer and the buyer. Unlike a standard Contract of Sale (where title passes upon delivery), a Contract to Sell explicitly reserves the ownership of the property to the seller until the buyer fulfills the suspensive condition of paying the purchase price in full. If the buyer defaults, the seller does not technically "rescind" a completed sale but rather "cancels" the contract to sell, as the obligation to transfer title never matures.</w:t>
      </w:r>
    </w:p>
    <w:p>
      <w:r>
        <w:t xml:space="preserve">Because the agreements involved residential real estate purchased on installments, the contracts were intrinsically governed by </w:t>
      </w:r>
      <w:r>
        <w:rPr>
          <w:b/>
        </w:rPr>
        <w:t>Republic Act No. 6552</w:t>
      </w:r>
      <w:r>
        <w:t xml:space="preserve">, also known as the Realty Installment Buyer Protection Act or the </w:t>
      </w:r>
      <w:r>
        <w:rPr>
          <w:b/>
        </w:rPr>
        <w:t>Maceda Law</w:t>
      </w:r>
      <w:r>
        <w:t>. Authored by former Senator Ernesto Maceda, this law was designed specifically to protect buyers from inequitable, unilateral conditions imposed by developers. Under Section 3 of the Maceda Law, a buyer who has paid at least two years of installments is entitled to:</w:t>
      </w:r>
    </w:p>
    <w:p>
      <w:r>
        <w:t>1.  A grace period of one month for every year of installment paid.</w:t>
      </w:r>
    </w:p>
    <w:p>
      <w:r>
        <w:t xml:space="preserve">2.  A refund of the </w:t>
      </w:r>
      <w:r>
        <w:rPr>
          <w:b/>
        </w:rPr>
        <w:t>Cash Surrender Value (CSV)</w:t>
      </w:r>
      <w:r>
        <w:t xml:space="preserve"> equivalent to 50% of the total payments made, provided the contract is cancelled.</w:t>
      </w:r>
    </w:p>
    <w:p>
      <w:r>
        <w:t xml:space="preserve">3.  Protection ensuring that actual cancellation takes place only after thirty (30) days from receipt of a notarized notice of cancellation </w:t>
      </w:r>
      <w:r>
        <w:rPr>
          <w:b/>
        </w:rPr>
        <w:t>and</w:t>
      </w:r>
      <w:r>
        <w:t xml:space="preserve"> upon full payment of the CSV.</w:t>
      </w:r>
    </w:p>
    <w:p>
      <w:r>
        <w:rPr>
          <w:b/>
        </w:rPr>
        <w:t>The Invocation of Compensation</w:t>
      </w:r>
    </w:p>
    <w:p>
      <w:r>
        <w:t>When Angeles defaulted, her right to the 50% CSV matured (amounting to PHP 182,094.48 for the lot and PHP 392,053.92 for the house, totaling PHP 574,148.40). Concurrently, GRI claimed that Angeles, having possessed the property without paying, owed them compensation in the form of "reasonable rentals."</w:t>
      </w:r>
    </w:p>
    <w:p>
      <w:r>
        <w:t xml:space="preserve">Instead of writing a check to Angeles for PHP 574,148.40 (the CSV), GRI invoked the civil law doctrine of </w:t>
      </w:r>
      <w:r>
        <w:rPr>
          <w:b/>
        </w:rPr>
        <w:t>Legal Compensation</w:t>
      </w:r>
      <w:r>
        <w:t xml:space="preserve"> (Civil Code, Art. 1290). GRI claimed that the money they owed Angeles (the CSV) was automatically extinguished because Angeles owed them money (the rentals), and they merely deducted the CSV from the total rental arrears, billing her for the remaining PHP 112,304.42.</w:t>
      </w:r>
    </w:p>
    <w:p>
      <w:r>
        <w:rPr>
          <w:b/>
        </w:rPr>
        <w:t>Was the Unilateral Offset Proper?</w:t>
      </w:r>
    </w:p>
    <w:p>
      <w:r>
        <w:t>The unilateral offset by GRI was fiercely contested. The contracts themselves did not stipulate a pre-agreed monthly rental rate in the event of default. The rental values were unilaterally assessed and imposed by GRI, including an arbitrary 10% annual increase, without Angeles's consent or prior judicial determination. Therefore, the fundamental requisite for legal compensation—that both debts be liquidated and demandable—was highly questionable.</w:t>
      </w:r>
    </w:p>
    <w:p>
      <w:pPr>
        <w:spacing w:before="120" w:after="120"/>
        <w:pBdr>
          <w:bottom w:val="single" w:sz="4" w:space="1" w:color="CCCCCC"/>
        </w:pBdr>
      </w:pPr>
    </w:p>
    <w:p>
      <w:pPr>
        <w:pStyle w:val="Heading2"/>
      </w:pPr>
      <w:r>
        <w:t>4. Legal Issues Raised</w:t>
      </w:r>
    </w:p>
    <w:p>
      <w:r>
        <w:t>As the case traversed from the Metropolitan Trial Court (MeTC) to the Regional Trial Court (RTC), the Court of Appeals (CA), and ultimately the Supreme Court, the legal battle narrowed down to several profound issues regarding obligations, contracts, and statutory construction.</w:t>
      </w:r>
    </w:p>
    <w:p>
      <w:r>
        <w:t xml:space="preserve">1.  </w:t>
      </w:r>
      <w:r>
        <w:rPr>
          <w:b/>
        </w:rPr>
        <w:t>Validity of the Contract Cancellation under the Maceda Law:</w:t>
      </w:r>
      <w:r>
        <w:t xml:space="preserve"> Did GRI validly cancel the Contracts to Sell by complying with the "twin requirements" of Republic Act No. 6552, namely a notarized notice of cancellation and the actual refund of the cash surrender value?.</w:t>
      </w:r>
    </w:p>
    <w:p>
      <w:r>
        <w:t xml:space="preserve">2.  </w:t>
      </w:r>
      <w:r>
        <w:rPr>
          <w:b/>
        </w:rPr>
        <w:t>Propriety of Legal Compensation:</w:t>
      </w:r>
      <w:r>
        <w:t xml:space="preserve"> Can a seller in a real estate installment contract unilaterally invoke legal compensation (offset) by applying the buyer's statutory cash surrender value against unliquidated and unilaterally determined "reasonable rentals" and damages?.</w:t>
      </w:r>
    </w:p>
    <w:p>
      <w:r>
        <w:t xml:space="preserve">3.  </w:t>
      </w:r>
      <w:r>
        <w:rPr>
          <w:b/>
        </w:rPr>
        <w:t>Presence of Requisites under Article 1279:</w:t>
      </w:r>
      <w:r>
        <w:t xml:space="preserve"> Were the requisites for legal compensation under Article 1279 of the Civil Code present, specifically the requirement that both debts must be liquidated and demandable?.</w:t>
      </w:r>
    </w:p>
    <w:p>
      <w:r>
        <w:t xml:space="preserve">4.  </w:t>
      </w:r>
      <w:r>
        <w:rPr>
          <w:b/>
        </w:rPr>
        <w:t>Status of the Contract and Payments:</w:t>
      </w:r>
      <w:r>
        <w:t xml:space="preserve"> If the cancellation is deemed void due to a lack of actual refund, what happens to the contracts and the installment payments already remitted by the buyer?.</w:t>
      </w:r>
    </w:p>
    <w:p>
      <w:pPr>
        <w:spacing w:before="120" w:after="120"/>
        <w:pBdr>
          <w:bottom w:val="single" w:sz="4" w:space="1" w:color="CCCCCC"/>
        </w:pBdr>
      </w:pPr>
    </w:p>
    <w:p>
      <w:pPr>
        <w:pStyle w:val="Heading2"/>
      </w:pPr>
      <w:r>
        <w:t>5. Supreme Court Ruling</w:t>
      </w:r>
    </w:p>
    <w:p>
      <w:r>
        <w:t>In a definitive decision that reinforced consumer protection in real estate, the Supreme Court ruled against Gatchalian Realty, Inc., affirming the Court of Appeals with specific modifications regarding the final disposition of the properties.</w:t>
      </w:r>
    </w:p>
    <w:p>
      <w:r>
        <w:rPr>
          <w:b/>
        </w:rPr>
        <w:t>On the Issue of Compensation and Offset</w:t>
      </w:r>
    </w:p>
    <w:p>
      <w:r>
        <w:t>The Supreme Court unequivocally struck down GRI's attempt to unilaterally offset the cash surrender value against the alleged rentals. The Court ruled that the Metropolitan Trial Court (MeTC) and the Regional Trial Court (RTC) fundamentally erred in their application of Articles 1279 and 1290 of the Civil Code.</w:t>
      </w:r>
    </w:p>
    <w:p>
      <w:r>
        <w:t>The Court explained that for legal compensation to operate automatically by operation of law, all the strict requisites of Article 1279 must be met. Crucially, Article 1279(4) requires that both debts be "liquidated and demandable". A debt is liquidated only when its exact amount is known, agreed upon by the parties, or finally determined by a court. Because the Contracts to Sell between GRI and Angeles did not contain any provision specifying a fixed monthly rental rate in case of default, the rentals claimed by GRI were unliquidated. The rental amounts and the 10% annual increments were unilaterally imposed by GRI in its September 26, 2003 demand letter. A party cannot unilaterally quantify damages or rentals and immediately use that arbitrary figure to offset a crystallized statutory monetary obligation.</w:t>
      </w:r>
    </w:p>
    <w:p>
      <w:r>
        <w:t xml:space="preserve">The Court explicitly distinguished this scenario from an earlier case, </w:t>
      </w:r>
      <w:r>
        <w:rPr>
          <w:i/>
        </w:rPr>
        <w:t>Pilar Development Corporation v. Spouses Villar</w:t>
      </w:r>
      <w:r>
        <w:t xml:space="preserve">, which the RTC had erroneously relied upon. In </w:t>
      </w:r>
      <w:r>
        <w:rPr>
          <w:i/>
        </w:rPr>
        <w:t>Pilar</w:t>
      </w:r>
      <w:r>
        <w:t>, it was the court—exercising judicial authority during the proceedings—that determined the fair rental value and ordered the offsetting, not the developer acting unilaterally prior to litigation.</w:t>
      </w:r>
    </w:p>
    <w:p>
      <w:r>
        <w:rPr>
          <w:b/>
        </w:rPr>
        <w:t>On the Cancellation and Retention of Payments</w:t>
      </w:r>
    </w:p>
    <w:p>
      <w:r>
        <w:t>Because the compensation was invalid, it followed that GRI never actually paid or refunded the cash surrender value of PHP 574,148.40 to Angeles. The Supreme Court strictly construed the Maceda Law, emphasizing that Section 3(b) creates a mandatory twin requirement for a valid cancellation:</w:t>
      </w:r>
    </w:p>
    <w:p>
      <w:r>
        <w:t>1.  A notarized notice of cancellation.</w:t>
      </w:r>
    </w:p>
    <w:p>
      <w:r>
        <w:t xml:space="preserve">2.  The </w:t>
      </w:r>
      <w:r>
        <w:rPr>
          <w:i/>
        </w:rPr>
        <w:t>actual payment</w:t>
      </w:r>
      <w:r>
        <w:t xml:space="preserve"> of the cash surrender value to the buyer.</w:t>
      </w:r>
    </w:p>
    <w:p>
      <w:r>
        <w:t>The Court stressed that a developer "cannot insist on compliance with the requirement by assuming that the cash surrender value payable to the buyer had been applied to rentals of the property". Because the second requirement was absent, the notarial rescission issued by GRI on September 11, 2003, failed to take legal effect. Consequently, the rescission was void, and the Contracts to Sell remained perfectly valid and subsisting.</w:t>
      </w:r>
    </w:p>
    <w:p>
      <w:r>
        <w:rPr>
          <w:b/>
        </w:rPr>
        <w:t>The Final Disposition</w:t>
      </w:r>
    </w:p>
    <w:p>
      <w:r>
        <w:t>Recognizing the complexity of a subsisting contract where the buyer had been in default for over a decade and the seller had eventually retaken possession of the property (in October 2006 during the pendency of the case), the Supreme Court structured an equitable resolution. The Court granted Angeles two distinct options:</w:t>
      </w:r>
    </w:p>
    <w:p>
      <w:pPr>
        <w:pStyle w:val="ListBullet"/>
      </w:pPr>
      <w:r>
        <w:t xml:space="preserve">  </w:t>
      </w:r>
      <w:r>
        <w:rPr>
          <w:b/>
        </w:rPr>
        <w:t>Option 1 (Complete the Purchase):</w:t>
      </w:r>
      <w:r>
        <w:t xml:space="preserve"> Angeles was given the option to pay the unpaid balance of the purchase price, plus 6% interest per annum calculated from the time the complaint was filed. Upon full payment, GRI would be compelled to execute a Deed of Absolute Sale in her favor.</w:t>
      </w:r>
    </w:p>
    <w:p>
      <w:pPr>
        <w:pStyle w:val="ListBullet"/>
      </w:pPr>
      <w:r>
        <w:t xml:space="preserve">  </w:t>
      </w:r>
      <w:r>
        <w:rPr>
          <w:b/>
        </w:rPr>
        <w:t>Option 2 (Accept the Refund):</w:t>
      </w:r>
      <w:r>
        <w:t xml:space="preserve"> Alternatively, Angeles could choose to accept the cash surrender value of PHP 574,148.40, plus 6% interest per annum. If she selected this route, the contracts would be deemed officially and legally cancelled thirty (30) days after she received full payment of the refund.</w:t>
      </w:r>
    </w:p>
    <w:p>
      <w:r>
        <w:t>The Court remanded the case to the MeTC to conduct a hearing solely to compute the exact outstanding balances and to facilitate Angeles's choice.</w:t>
      </w:r>
    </w:p>
    <w:p>
      <w:pPr>
        <w:spacing w:before="120" w:after="120"/>
        <w:pBdr>
          <w:bottom w:val="single" w:sz="4" w:space="1" w:color="CCCCCC"/>
        </w:pBdr>
      </w:pPr>
    </w:p>
    <w:p>
      <w:pPr>
        <w:pStyle w:val="Heading2"/>
      </w:pPr>
      <w:r>
        <w:t>6. Key Doctrine / Civil Code Hook</w:t>
      </w:r>
    </w:p>
    <w:p>
      <w:r>
        <w:t>This case serves as a vital doctrinal anchor for students and practitioners of Philippine Civil Law, bridging the Law on Obligations and Contracts with specialized real estate legislation.</w:t>
      </w:r>
    </w:p>
    <w:p>
      <w:r>
        <w:rPr>
          <w:b/>
        </w:rPr>
        <w:t>The Limits of Unilateral Offset in Contract Cancellation</w:t>
      </w:r>
    </w:p>
    <w:p>
      <w:r>
        <w:t xml:space="preserve">The central doctrine of </w:t>
      </w:r>
      <w:r>
        <w:rPr>
          <w:i/>
        </w:rPr>
        <w:t>Gatchalian Realty, Inc. v. Angeles</w:t>
      </w:r>
      <w:r>
        <w:t xml:space="preserve"> restricts the unilateral application of legal compensation by developers against defaulting buyers. A seller cannot circumvent the mandatory refund provisions of the Maceda Law by fabricating an unliquidated counter-claim for rentals or damages and unilaterally offsetting the two amounts. The Maceda Law's requirement for the return of the cash surrender value demands actual payment or tender of the funds to the buyer; it cannot be satisfied by an accounting fiction engineered by the seller without the buyer's consent or judicial intervention.</w:t>
      </w:r>
    </w:p>
    <w:p>
      <w:r>
        <w:rPr>
          <w:b/>
        </w:rPr>
        <w:t>Requisites of Legal Compensation (Civil Code, Art. 1279)</w:t>
      </w:r>
    </w:p>
    <w:p>
      <w:r>
        <w:t xml:space="preserve">The case acts as a masterclass on the application of </w:t>
      </w:r>
      <w:r>
        <w:rPr>
          <w:b/>
        </w:rPr>
        <w:t>Article 1279</w:t>
      </w:r>
      <w:r>
        <w:t xml:space="preserve">, which lays down the strict prerequisites for legal compensation. For two obligations to extinguish each other by operation of law (under </w:t>
      </w:r>
      <w:r>
        <w:rPr>
          <w:b/>
        </w:rPr>
        <w:t>Article 1290</w:t>
      </w:r>
      <w:r>
        <w:t>), they must meet all five conditions under Art. 1279:</w:t>
      </w:r>
    </w:p>
    <w:p>
      <w:r>
        <w:t>1.  That each one of the obligors be bound principally, and that he be at the same time a principal creditor of the other.</w:t>
      </w:r>
    </w:p>
    <w:p>
      <w:r>
        <w:t>2.  That both debts consist in a sum of money, or if the things due are consumable, they be of the same kind, and also of the same quality if the latter has been stated.</w:t>
      </w:r>
    </w:p>
    <w:p>
      <w:r>
        <w:t>3.  That the two debts be due.</w:t>
      </w:r>
    </w:p>
    <w:p>
      <w:r>
        <w:t xml:space="preserve">4.  </w:t>
      </w:r>
      <w:r>
        <w:rPr>
          <w:b/>
        </w:rPr>
        <w:t>That they be liquidated and demandable.</w:t>
      </w:r>
      <w:r>
        <w:t xml:space="preserve"> (This was the failing point in </w:t>
      </w:r>
      <w:r>
        <w:rPr>
          <w:i/>
        </w:rPr>
        <w:t>Gatchalian</w:t>
      </w:r>
      <w:r>
        <w:t>. A debt is liquidated only when its amount is certain. Unilaterally claimed "reasonable rentals" are inherently unliquidated until agreed upon or fixed by a court).</w:t>
      </w:r>
    </w:p>
    <w:p>
      <w:r>
        <w:t>5.  That over neither of them there be any retention or controversy, commenced by third persons and communicated in due time to the debtor.</w:t>
      </w:r>
    </w:p>
    <w:p>
      <w:r>
        <w:t>The Supreme Court rigorously applied the requirement of liquidation, ensuring that the powerful mechanism of legal offset cannot be weaponized by a stronger party using arbitrary valuations.</w:t>
      </w:r>
    </w:p>
    <w:p>
      <w:r>
        <w:rPr>
          <w:b/>
        </w:rPr>
        <w:t>Civil Code Articles Applied</w:t>
      </w:r>
    </w:p>
    <w:p>
      <w:pPr>
        <w:pStyle w:val="ListBullet"/>
      </w:pPr>
      <w:r>
        <w:t xml:space="preserve">  </w:t>
      </w:r>
      <w:r>
        <w:rPr>
          <w:b/>
        </w:rPr>
        <w:t>Article 1278:</w:t>
      </w:r>
      <w:r>
        <w:t xml:space="preserve"> Defines the concept of compensation when two persons are creditors and debtors of each other.</w:t>
      </w:r>
    </w:p>
    <w:p>
      <w:pPr>
        <w:pStyle w:val="ListBullet"/>
      </w:pPr>
      <w:r>
        <w:t xml:space="preserve">  </w:t>
      </w:r>
      <w:r>
        <w:rPr>
          <w:b/>
        </w:rPr>
        <w:t>Article 1279:</w:t>
      </w:r>
      <w:r>
        <w:t xml:space="preserve"> Enumerates the requisites of legal compensation (failing the "liquidated" test in this case).</w:t>
      </w:r>
    </w:p>
    <w:p>
      <w:pPr>
        <w:pStyle w:val="ListBullet"/>
      </w:pPr>
      <w:r>
        <w:t xml:space="preserve">  </w:t>
      </w:r>
      <w:r>
        <w:rPr>
          <w:b/>
        </w:rPr>
        <w:t>Article 1290:</w:t>
      </w:r>
      <w:r>
        <w:t xml:space="preserve"> States that when all requisites of Art. 1279 are present, compensation takes effect by operation of law. The MeTC improperly applied this to extinguish GRI's duty to refund the buyer.</w:t>
      </w:r>
    </w:p>
    <w:p>
      <w:pPr>
        <w:spacing w:before="120" w:after="120"/>
        <w:pBdr>
          <w:bottom w:val="single" w:sz="4" w:space="1" w:color="CCCCCC"/>
        </w:pBdr>
      </w:pPr>
    </w:p>
    <w:p>
      <w:pPr>
        <w:pStyle w:val="Heading2"/>
      </w:pPr>
      <w:r>
        <w:t>7. Memory Anchor</w:t>
      </w:r>
    </w:p>
    <w:p>
      <w:r>
        <w:t>For bar examinees and legal scholars attempting to swiftly recall the core holding of this case during high-pressure scenarios, the following memory anchor synthesizes the doctrine:</w:t>
      </w:r>
    </w:p>
    <w:p>
      <w:r>
        <w:rPr>
          <w:b/>
        </w:rPr>
        <w:t>"You can't offset what isn't set."</w:t>
      </w:r>
    </w:p>
    <w:p>
      <w:r>
        <w:t xml:space="preserve">In </w:t>
      </w:r>
      <w:r>
        <w:rPr>
          <w:i/>
        </w:rPr>
        <w:t>Gatchalian Realty v. Angeles</w:t>
      </w:r>
      <w:r>
        <w:t xml:space="preserve">, the developer tried to avoid paying the Maceda Law's mandatory Cash Surrender Value by claiming the buyer owed them "rentals" for staying on the property. The Supreme Court said no: under </w:t>
      </w:r>
      <w:r>
        <w:rPr>
          <w:b/>
        </w:rPr>
        <w:t>Article 1279(4)</w:t>
      </w:r>
      <w:r>
        <w:t xml:space="preserve">, you cannot have legal compensation with </w:t>
      </w:r>
      <w:r>
        <w:rPr>
          <w:i/>
        </w:rPr>
        <w:t>unliquidated</w:t>
      </w:r>
      <w:r>
        <w:t xml:space="preserve"> debts. Because the rental amount was just a number the developer made up (unliquidated) and not agreed upon in the contract, they couldn't unilaterally offset it to cancel the contract. </w:t>
      </w:r>
      <w:r>
        <w:rPr>
          <w:b/>
        </w:rPr>
        <w:t>No actual refund = No valid cancellation.</w:t>
      </w:r>
    </w:p>
    <w:p>
      <w:pPr>
        <w:pStyle w:val="Heading2"/>
      </w:pPr>
      <w:r>
        <w:t>Case 15: Province of Bataan v. Escalada (2021) | G.R. No. 181311</w:t>
      </w:r>
    </w:p>
    <w:p>
      <w:pPr>
        <w:pStyle w:val="Heading2"/>
      </w:pPr>
      <w:r>
        <w:t>Province of Bataan v. Escalada: An Exhaustive Analysis on the Evidentiary Standards for Actual Damages and the Invalidity of Irregular Tax Auctions</w:t>
      </w:r>
    </w:p>
    <w:p>
      <w:r>
        <w:rPr>
          <w:b/>
        </w:rPr>
        <w:t>Key Points:</w:t>
      </w:r>
    </w:p>
    <w:p>
      <w:pPr>
        <w:pStyle w:val="ListBullet"/>
      </w:pPr>
      <w:r>
        <w:t xml:space="preserve">  </w:t>
      </w:r>
      <w:r>
        <w:rPr>
          <w:b/>
        </w:rPr>
        <w:t>Evidentiary Standard for Actual Damages:</w:t>
      </w:r>
      <w:r>
        <w:t xml:space="preserve"> The Supreme Court of the Philippines strictly requires actual damages to be duly proved with a reasonable degree of certainty under Article 2199 of the Civil Code. However, evidence such as technical appraisal reports and amounts stipulated in compromise agreements may suffice to establish this pecuniary loss.</w:t>
      </w:r>
    </w:p>
    <w:p>
      <w:pPr>
        <w:pStyle w:val="ListBullet"/>
      </w:pPr>
      <w:r>
        <w:t xml:space="preserve">  </w:t>
      </w:r>
      <w:r>
        <w:rPr>
          <w:b/>
        </w:rPr>
        <w:t>Strict Compliance in Tax Sales:</w:t>
      </w:r>
      <w:r>
        <w:t xml:space="preserve"> The validity of a local government unit's public auction for real property tax delinquencies hinges on strict adherence to the notice and publication requirements of the Local Government Code (R.A. No. 7160). Failure to comply renders the sale null and void.</w:t>
      </w:r>
    </w:p>
    <w:p>
      <w:pPr>
        <w:pStyle w:val="ListBullet"/>
      </w:pPr>
      <w:r>
        <w:t xml:space="preserve">  </w:t>
      </w:r>
      <w:r>
        <w:rPr>
          <w:b/>
        </w:rPr>
        <w:t>Government Liability for Bad Faith:</w:t>
      </w:r>
      <w:r>
        <w:t xml:space="preserve"> While local government officials are generally presumed to perform their duties regularly, acts characterized by patent bad faith, disregard of judicial *status quo* orders, and unnecessary destruction of property can lead to joint and several liability for the local government unit under the principles of quasi-delict.</w:t>
      </w:r>
    </w:p>
    <w:p>
      <w:r>
        <w:rPr>
          <w:b/>
        </w:rPr>
        <w:t>Introduction to the Doctrinal Landscape</w:t>
      </w:r>
    </w:p>
    <w:p>
      <w:r>
        <w:t xml:space="preserve">The assessment and awarding of actual or compensatory damages in Philippine civil law represent a rigorous evidentiary exercise. Courts are historically cautious, insisting that any award for pecuniary loss must be anchored on competent proof and cannot rest on mere speculation, conjecture, or guesswork. The case of </w:t>
      </w:r>
      <w:r>
        <w:rPr>
          <w:i/>
        </w:rPr>
        <w:t>Province of Bataan v. Escalada</w:t>
      </w:r>
      <w:r>
        <w:t xml:space="preserve"> (G.R. No. 181311, November 24, 2021) serves as a monumental contemporary ruling on this subject. It intricately weaves the strict evidentiary requirements of Article 2199 of the Civil Code with the procedural rigidities of real property tax sales under the Local Government Code. Furthermore, the case offers a profound exploration of tortious liability arising from bad faith acts committed by a local government unit—acts that resulted in the total destruction of a multi-million peso industrial paper mill.</w:t>
      </w:r>
    </w:p>
    <w:p>
      <w:r>
        <w:t>The following structured analysis dissects the case, its factual background, the legal issues it raises, and its profound implications for the study of actual damages and proof of loss in civil litigation.</w:t>
      </w:r>
    </w:p>
    <w:p>
      <w:pPr>
        <w:spacing w:before="120" w:after="120"/>
        <w:pBdr>
          <w:bottom w:val="single" w:sz="4" w:space="1" w:color="CCCCCC"/>
        </w:pBdr>
      </w:pPr>
    </w:p>
    <w:p>
      <w:pPr>
        <w:pStyle w:val="Heading3"/>
      </w:pPr>
      <w:r>
        <w:t>Province of Bataan v. Escalada (2021) | G.R. No. 181311</w:t>
      </w:r>
    </w:p>
    <w:p>
      <w:pPr>
        <w:pStyle w:val="Heading4"/>
      </w:pPr>
      <w:r>
        <w:t>1. The Parties</w:t>
      </w:r>
    </w:p>
    <w:p>
      <w:r>
        <w:t>To fully comprehend the complexities of this litigation, one must precisely identify the diverse actors involved, their respective capacities, and the intersecting legal relationships that bound them.</w:t>
      </w:r>
    </w:p>
    <w:p>
      <w:pPr>
        <w:pStyle w:val="ListBullet"/>
      </w:pPr>
      <w:r>
        <w:t xml:space="preserve">  </w:t>
      </w:r>
      <w:r>
        <w:rPr>
          <w:b/>
        </w:rPr>
        <w:t>Petitioner (Province of Bataan):</w:t>
      </w:r>
      <w:r/>
    </w:p>
    <w:p>
      <w:pPr>
        <w:pStyle w:val="ListBullet"/>
      </w:pPr>
      <w:r>
        <w:t xml:space="preserve">  </w:t>
      </w:r>
      <w:r>
        <w:rPr>
          <w:b/>
        </w:rPr>
        <w:t>Identity and Obligation:</w:t>
      </w:r>
      <w:r>
        <w:t xml:space="preserve"> The primary petitioner is the Province of Bataan, a local government unit operating under the Republic of the Philippines. Alongside the Province, its key officials were impleaded: Governor Enrique T. Garcia, Jr., Provincial Treasurer Emerlinda S. Talento, and former Register of Deeds Amelita E. Abad.</w:t>
      </w:r>
    </w:p>
    <w:p>
      <w:pPr>
        <w:pStyle w:val="ListBullet"/>
      </w:pPr>
      <w:r>
        <w:t xml:space="preserve">  </w:t>
      </w:r>
      <w:r>
        <w:rPr>
          <w:b/>
        </w:rPr>
        <w:t>Liability:</w:t>
      </w:r>
      <w:r>
        <w:t xml:space="preserve"> The Province's liability did not stem from a conventional contractual breach, but rather from a quasi-delictual obligation born out of bad faith and tortious conduct. In its aggressive pursuit to collect delinquent real property taxes, the Province orchestrated a flawed public auction, unlawfully seized machinery beyond what was necessary to satisfy the tax debt, defied a judicial *status quo* order, and entered into an illicit agreement that resulted in the total destruction of the subject properties.</w:t>
      </w:r>
    </w:p>
    <w:p>
      <w:pPr>
        <w:pStyle w:val="ListBullet"/>
      </w:pPr>
      <w:r>
        <w:t xml:space="preserve">  </w:t>
      </w:r>
      <w:r>
        <w:rPr>
          <w:b/>
        </w:rPr>
        <w:t>Respondent (Escalada / Gawtee / Cameron):</w:t>
      </w:r>
      <w:r/>
    </w:p>
    <w:p>
      <w:pPr>
        <w:pStyle w:val="ListBullet"/>
      </w:pPr>
      <w:r>
        <w:t xml:space="preserve">  </w:t>
      </w:r>
      <w:r>
        <w:rPr>
          <w:b/>
        </w:rPr>
        <w:t>Hon. Remigio M. Escalada, Jr.:</w:t>
      </w:r>
      <w:r>
        <w:t xml:space="preserve"> The public respondent, acting in his official capacity as the Presiding Judge of the Regional Trial Court (RTC) of Balanga City, Bataan, Branch 3, whose decision was the subject of the appellate review.</w:t>
      </w:r>
    </w:p>
    <w:p>
      <w:pPr>
        <w:pStyle w:val="ListBullet"/>
      </w:pPr>
      <w:r>
        <w:t xml:space="preserve">  </w:t>
      </w:r>
      <w:r>
        <w:rPr>
          <w:b/>
        </w:rPr>
        <w:t>Victor G. Gawtee (Intervenor-Respondent):</w:t>
      </w:r>
      <w:r>
        <w:t xml:space="preserve"> Gawtee was a third-party creditor who had previously secured a money judgment against the original delinquent taxpayer, Sunrise Paper Products, Inc. (Sunrise), in a separate civil case (Civil Case No. 7973). Gawtee intervened in the present case because he had purchased Sunrise's machinery and equipment at an execution sale in August 2004, making him the rightful owner of the properties the Province subsequently destroyed. Gawtee claimed massive actual damages for the destruction of his paper mill machinery.</w:t>
      </w:r>
    </w:p>
    <w:p>
      <w:pPr>
        <w:pStyle w:val="ListBullet"/>
      </w:pPr>
      <w:r>
        <w:t xml:space="preserve">  </w:t>
      </w:r>
      <w:r>
        <w:rPr>
          <w:b/>
        </w:rPr>
        <w:t>Cameron Granville 2 Asset Management, Inc.:</w:t>
      </w:r>
      <w:r>
        <w:t xml:space="preserve"> This entity substituted Metropolitan Bank and Trust Company (Metrobank), another intervenor and creditor of Sunrise, which held a mortgage over the properties.</w:t>
      </w:r>
    </w:p>
    <w:p>
      <w:pPr>
        <w:pStyle w:val="ListBullet"/>
      </w:pPr>
      <w:r>
        <w:t xml:space="preserve">  </w:t>
      </w:r>
      <w:r>
        <w:rPr>
          <w:b/>
        </w:rPr>
        <w:t>Their relationship:</w:t>
      </w:r>
      <w:r/>
    </w:p>
    <w:p>
      <w:pPr>
        <w:pStyle w:val="ListBullet"/>
      </w:pPr>
      <w:r>
        <w:t xml:space="preserve">  The core relationship is not one of privity of contract between the Province and Gawtee, but rather a collision of property rights and statutory duties. Sunrise was the original debtor to both the Province (for taxes) and Gawtee (for a civil judgment). The Province, exercising its taxing authority, seized properties that Gawtee had legitimately acquired through a separate judicial execution. The legal relationship thereby transformed into one of a tortfeasor (the Province) and an aggrieved property owner (Gawtee) following the Province's extra-legal destruction of the assets.</w:t>
      </w:r>
    </w:p>
    <w:p>
      <w:pPr>
        <w:pStyle w:val="Heading4"/>
      </w:pPr>
      <w:r>
        <w:t>2. Background &amp; Facts</w:t>
      </w:r>
    </w:p>
    <w:p>
      <w:r>
        <w:t>The factual matrix of this case is a labyrinthine sequence of tax levies, competing judicial execution sales, and egregious executive overreach spanning several years.</w:t>
      </w:r>
    </w:p>
    <w:p>
      <w:pPr>
        <w:pStyle w:val="ListBullet"/>
      </w:pPr>
      <w:r>
        <w:t xml:space="preserve">  </w:t>
      </w:r>
      <w:r>
        <w:rPr>
          <w:b/>
        </w:rPr>
        <w:t>What was the original obligation or transaction?</w:t>
      </w:r>
      <w:r/>
    </w:p>
    <w:p>
      <w:pPr>
        <w:pStyle w:val="ListBullet"/>
      </w:pPr>
      <w:r>
        <w:t xml:space="preserve">  The genesis of the dispute was the failure of Sunrise Paper Products, Inc. to pay its real property taxes to the Province of Bataan. Sunrise owned a paper mill situated on two parcels of land in Orani, Bataan, complete with heavy machinery and equipment.</w:t>
      </w:r>
    </w:p>
    <w:p>
      <w:pPr>
        <w:pStyle w:val="ListBullet"/>
      </w:pPr>
      <w:r>
        <w:t xml:space="preserve">  </w:t>
      </w:r>
      <w:r>
        <w:rPr>
          <w:b/>
        </w:rPr>
        <w:t>Timeline of key events and wrongful acts:</w:t>
      </w:r>
      <w:r/>
    </w:p>
    <w:p>
      <w:pPr>
        <w:pStyle w:val="ListBullet"/>
      </w:pPr>
      <w:r>
        <w:t xml:space="preserve">  </w:t>
      </w:r>
      <w:r>
        <w:rPr>
          <w:b/>
        </w:rPr>
        <w:t>January 2003 - August 2003:</w:t>
      </w:r>
      <w:r>
        <w:t xml:space="preserve"> Due to Sunrise's tax delinquency, the Provincial Treasurer's Office issued a warrant of levy on the properties, followed by a notice of sale.</w:t>
      </w:r>
    </w:p>
    <w:p>
      <w:pPr>
        <w:pStyle w:val="ListBullet"/>
      </w:pPr>
      <w:r>
        <w:t xml:space="preserve">  </w:t>
      </w:r>
      <w:r>
        <w:rPr>
          <w:b/>
        </w:rPr>
        <w:t>February 2004:</w:t>
      </w:r>
      <w:r>
        <w:t xml:space="preserve"> The Province conducted a public tax auction. Being the sole bidder, the Province purchased the real properties, along with the machinery and equipment, for a mere P2,291,134.94.</w:t>
      </w:r>
    </w:p>
    <w:p>
      <w:pPr>
        <w:pStyle w:val="ListBullet"/>
      </w:pPr>
      <w:r>
        <w:t xml:space="preserve">  </w:t>
      </w:r>
      <w:r>
        <w:rPr>
          <w:b/>
        </w:rPr>
        <w:t>August 2004:</w:t>
      </w:r>
      <w:r>
        <w:t xml:space="preserve"> In an entirely separate proceeding (Civil Case No. 7973), Victor G. Gawtee, holding a money judgment against Sunrise, purchased the very same machinery and equipment at an execution sale.</w:t>
      </w:r>
    </w:p>
    <w:p>
      <w:pPr>
        <w:pStyle w:val="ListBullet"/>
      </w:pPr>
      <w:r>
        <w:t xml:space="preserve">  </w:t>
      </w:r>
      <w:r>
        <w:rPr>
          <w:b/>
        </w:rPr>
        <w:t>April 2005:</w:t>
      </w:r>
      <w:r>
        <w:t xml:space="preserve"> To prevent the Province from consolidating title, Sunrise filed a petition for injunction (Civil Case No. 8164) in the RTC to annul the tax auction sale, citing the Province's failure to comply with statutory notice requirements. Gawtee and Metrobank intervened to protect their competing interests.</w:t>
      </w:r>
    </w:p>
    <w:p>
      <w:pPr>
        <w:pStyle w:val="ListBullet"/>
      </w:pPr>
      <w:r>
        <w:t xml:space="preserve">  </w:t>
      </w:r>
      <w:r>
        <w:rPr>
          <w:b/>
        </w:rPr>
        <w:t>The Breach/Wrongful Act (June 2005 onwards):</w:t>
      </w:r>
      <w:r>
        <w:t xml:space="preserve"> While the injunction case was pending, the RTC issued an order to maintain the *status quo*. In brazen disregard of this judicial directive, the Province (represented by the Governor) and Sunrise executed a Compromise Agreement. This agreement authorized the dismantling, removal, and disposal of the heavy machineries. The Province knew Gawtee claimed ownership of these assets. The machinery was subsequently demolished and sold as scrap to a third party (Bei Hai Petroleum Corporation) for approximately P9.6 million.</w:t>
      </w:r>
    </w:p>
    <w:p>
      <w:pPr>
        <w:pStyle w:val="ListBullet"/>
      </w:pPr>
      <w:r>
        <w:t xml:space="preserve">  </w:t>
      </w:r>
      <w:r>
        <w:rPr>
          <w:b/>
        </w:rPr>
        <w:t>What damages did Escalada (via Gawtee) claim, and what evidence did they present?</w:t>
      </w:r>
      <w:r/>
    </w:p>
    <w:p>
      <w:pPr>
        <w:pStyle w:val="ListBullet"/>
      </w:pPr>
      <w:r>
        <w:t xml:space="preserve">  Originally, Gawtee's petition-in-intervention prayed for a nominal P50,000.00 in actual damages. However, after the total demolition of the paper mill during the trial, he amended his prayer, demanding that the petitioners be held jointly and severally liable for the full restorative value of the destroyed equipment.</w:t>
      </w:r>
    </w:p>
    <w:p>
      <w:pPr>
        <w:pStyle w:val="ListBullet"/>
      </w:pPr>
      <w:r>
        <w:t xml:space="preserve">  </w:t>
      </w:r>
      <w:r>
        <w:rPr>
          <w:b/>
        </w:rPr>
        <w:t>Evidence Presented:</w:t>
      </w:r>
      <w:r>
        <w:t xml:space="preserve"> To substantiate the massive pecuniary loss, Gawtee relied on three critical pieces of documentary evidence:</w:t>
      </w:r>
    </w:p>
    <w:p>
      <w:r>
        <w:t xml:space="preserve">1.  </w:t>
      </w:r>
      <w:r>
        <w:rPr>
          <w:b/>
        </w:rPr>
        <w:t>RTC Technical Team Report:</w:t>
      </w:r>
      <w:r>
        <w:t xml:space="preserve"> A court-appointed technical team assessed the demolished site, concluding it was a "total loss." The report estimated the non-operational value of the mill at P100,000,000.00 and noted that a functional mill would have been worth P313,000,000.00.</w:t>
      </w:r>
    </w:p>
    <w:p>
      <w:r>
        <w:t xml:space="preserve">2.  </w:t>
      </w:r>
      <w:r>
        <w:rPr>
          <w:b/>
        </w:rPr>
        <w:t>Appraisal Report:</w:t>
      </w:r>
      <w:r>
        <w:t xml:space="preserve"> An earlier independent appraisal from April 2002 valued the machinery and equipment at P313,005,200.00.</w:t>
      </w:r>
    </w:p>
    <w:p>
      <w:r>
        <w:t xml:space="preserve">3.  </w:t>
      </w:r>
      <w:r>
        <w:rPr>
          <w:b/>
        </w:rPr>
        <w:t>The Compromise Agreement:</w:t>
      </w:r>
      <w:r>
        <w:t xml:space="preserve"> Ironically, the very instrument of the tortious act—the illicit Compromise Agreement between the Province and Sunrise—valued the principal consideration of the heavy machineries at P50,000,000.00, with stipulations for additional payments if the assets were sold for over P120,000,000.00.</w:t>
      </w:r>
    </w:p>
    <w:p>
      <w:pPr>
        <w:pStyle w:val="ListBullet"/>
      </w:pPr>
      <w:r>
        <w:t xml:space="preserve">  </w:t>
      </w:r>
      <w:r>
        <w:rPr>
          <w:b/>
        </w:rPr>
        <w:t>Did the lower courts award damages? On what basis?</w:t>
      </w:r>
      <w:r/>
    </w:p>
    <w:p>
      <w:pPr>
        <w:pStyle w:val="ListBullet"/>
      </w:pPr>
      <w:r>
        <w:t xml:space="preserve">  Yes. The RTC (presided by Judge Escalada) declared the tax auction sale null and void. Finding the Province and Sunrise to have acted in patent bad faith by illegally demolishing the plant, the RTC held them jointly and severally liable to Gawtee for </w:t>
      </w:r>
      <w:r>
        <w:rPr>
          <w:b/>
        </w:rPr>
        <w:t>P120,000,000.00 in actual or compensatory damages</w:t>
      </w:r>
      <w:r>
        <w:t>.</w:t>
      </w:r>
    </w:p>
    <w:p>
      <w:pPr>
        <w:pStyle w:val="ListBullet"/>
      </w:pPr>
      <w:r>
        <w:t xml:space="preserve">  The basis for this specific amount was a synthesis of the Technical Report and the valuation explicitly acknowledged by the Province in its own Compromise Agreement with Sunrise. The RTC deducted the P9,676,465.46 generated from the scrap sale and applied a 6% annual interest rate. Claims for moral damages and attorney's fees were denied for lack of specific factual basis.</w:t>
      </w:r>
    </w:p>
    <w:p>
      <w:pPr>
        <w:pStyle w:val="Heading4"/>
      </w:pPr>
      <w:r>
        <w:t>3. The Contract or Obligation</w:t>
      </w:r>
    </w:p>
    <w:p>
      <w:pPr>
        <w:pStyle w:val="ListBullet"/>
      </w:pPr>
      <w:r>
        <w:t xml:space="preserve">  </w:t>
      </w:r>
      <w:r>
        <w:rPr>
          <w:b/>
        </w:rPr>
        <w:t>What was the original obligation?</w:t>
      </w:r>
      <w:r/>
    </w:p>
    <w:p>
      <w:pPr>
        <w:pStyle w:val="ListBullet"/>
      </w:pPr>
      <w:r>
        <w:t xml:space="preserve">  The foundational obligation was a statutory one: Sunrise's duty to pay real property taxes to the Province of Bataan under the Local Government Code (R.A. No. 7160). Concurrently, the Province had a strict statutory obligation to adhere to the due process requirements (notice, publication, and posting) when executing a tax sale under Section 260 of the LGC.</w:t>
      </w:r>
    </w:p>
    <w:p>
      <w:pPr>
        <w:pStyle w:val="ListBullet"/>
      </w:pPr>
      <w:r>
        <w:t xml:space="preserve">  </w:t>
      </w:r>
      <w:r>
        <w:rPr>
          <w:b/>
        </w:rPr>
        <w:t>How was it breached, and by whom?</w:t>
      </w:r>
      <w:r/>
    </w:p>
    <w:p>
      <w:pPr>
        <w:pStyle w:val="ListBullet"/>
      </w:pPr>
      <w:r>
        <w:t xml:space="preserve">  The breach was multifaceted. First, the Province breached its statutory duty by failing to properly notify the delinquent taxpayer (Sunrise), rendering the tax auction void *ab initio*.</w:t>
      </w:r>
    </w:p>
    <w:p>
      <w:pPr>
        <w:pStyle w:val="ListBullet"/>
      </w:pPr>
      <w:r>
        <w:t xml:space="preserve">  Second, and most critically for the damages claim, the Province committed a tortious act (quasi-delict) infused with bad faith. The Province breached the general legal duty to respect the property rights of others (Gawtee) and the explicit judicial duty to obey a *status quo* order. By colluding with Sunrise to dismantle and sell the machinery—knowing full well that Gawtee had acquired it in a lawful execution sale and that the tax liability could have been satisfied by the real estate alone—the Province committed an unjustifiable usurpation and destruction of private property.</w:t>
      </w:r>
    </w:p>
    <w:p>
      <w:pPr>
        <w:pStyle w:val="Heading4"/>
      </w:pPr>
      <w:r>
        <w:t>4. Legal Issues Raised</w:t>
      </w:r>
    </w:p>
    <w:p>
      <w:r>
        <w:t>The elevation of the case to the appellate courts brought several critical legal controversies to the fore:</w:t>
      </w:r>
    </w:p>
    <w:p>
      <w:pPr>
        <w:pStyle w:val="ListBullet"/>
      </w:pPr>
      <w:r>
        <w:t xml:space="preserve">  </w:t>
      </w:r>
      <w:r>
        <w:rPr>
          <w:b/>
        </w:rPr>
        <w:t>Validity of the Tax Sale:</w:t>
      </w:r>
      <w:r>
        <w:t xml:space="preserve"> Did the Province of Bataan strictly comply with the mandatory requirements of the Local Government Code in conducting the public auction?</w:t>
      </w:r>
    </w:p>
    <w:p>
      <w:pPr>
        <w:pStyle w:val="ListBullet"/>
      </w:pPr>
      <w:r>
        <w:t xml:space="preserve">  </w:t>
      </w:r>
      <w:r>
        <w:rPr>
          <w:b/>
        </w:rPr>
        <w:t>Were the actual damages properly proven?</w:t>
      </w:r>
      <w:r>
        <w:t xml:space="preserve"> Did the evidence presented by Gawtee—namely, the Technical Report, the Appraisal Report, and the Compromise Agreement—meet the stringent evidentiary threshold required to prove actual damages under Article 2199 of the Civil Code?.</w:t>
      </w:r>
    </w:p>
    <w:p>
      <w:pPr>
        <w:pStyle w:val="ListBullet"/>
      </w:pPr>
      <w:r>
        <w:t xml:space="preserve">  </w:t>
      </w:r>
      <w:r>
        <w:rPr>
          <w:b/>
        </w:rPr>
        <w:t>What is the evidentiary standard for actual damages under the Civil Code?</w:t>
      </w:r>
      <w:r>
        <w:t xml:space="preserve"> Does the reliance on an appraisal report and a stipulated value in a void compromise agreement satisfy the requirement that pecuniary loss must be "duly proved" with a reasonable degree of certainty?.</w:t>
      </w:r>
    </w:p>
    <w:p>
      <w:pPr>
        <w:pStyle w:val="ListBullet"/>
      </w:pPr>
      <w:r>
        <w:t xml:space="preserve">  </w:t>
      </w:r>
      <w:r>
        <w:rPr>
          <w:b/>
        </w:rPr>
        <w:t>Were other types of damages (temperate, moral, exemplary) considered?</w:t>
      </w:r>
      <w:r>
        <w:t xml:space="preserve"> Gawtee originally prayed for moral damages, which the RTC explicitly denied for lacking a factual basis. The primary battleground remained purely on the quantification of actual/compensatory damages.</w:t>
      </w:r>
    </w:p>
    <w:p>
      <w:pPr>
        <w:pStyle w:val="ListBullet"/>
      </w:pPr>
      <w:r>
        <w:t xml:space="preserve">  </w:t>
      </w:r>
      <w:r>
        <w:rPr>
          <w:b/>
        </w:rPr>
        <w:t>Personal Liability of Public Officers:</w:t>
      </w:r>
      <w:r>
        <w:t xml:space="preserve"> Could Governor Garcia, Treasurer Talento, and Register of Deeds Abad be held personally liable alongside the Province for the damages incurred?.</w:t>
      </w:r>
    </w:p>
    <w:p>
      <w:pPr>
        <w:pStyle w:val="Heading4"/>
      </w:pPr>
      <w:r>
        <w:t>5. Supreme Court Ruling</w:t>
      </w:r>
    </w:p>
    <w:p>
      <w:r>
        <w:t>The Supreme Court, in a comprehensive decision, largely affirmed the lower court's findings but introduced crucial modifications regarding the liability of the public officers.</w:t>
      </w:r>
    </w:p>
    <w:p>
      <w:pPr>
        <w:pStyle w:val="ListBullet"/>
      </w:pPr>
      <w:r>
        <w:t xml:space="preserve">  </w:t>
      </w:r>
      <w:r>
        <w:rPr>
          <w:b/>
        </w:rPr>
        <w:t>What did the SC hold on the proof of actual damages?</w:t>
      </w:r>
      <w:r/>
    </w:p>
    <w:p>
      <w:pPr>
        <w:pStyle w:val="ListBullet"/>
      </w:pPr>
      <w:r>
        <w:t xml:space="preserve">  The Supreme Court unequivocally upheld the RTC's finding that the actual damages were sufficiently and legally proven. The Court ruled that the evidentiary threshold of Article 2199 was satisfied.</w:t>
      </w:r>
    </w:p>
    <w:p>
      <w:pPr>
        <w:pStyle w:val="ListBullet"/>
      </w:pPr>
      <w:r>
        <w:t xml:space="preserve">  The SC reasoned that the valuation of P120,000,000.00 was not pulled from thin air; it was robustly anchored in the Province's own admissions. The Province's execution of the Compromise Agreement, which valued the equipment at up to P120 million, served as a potent evidentiary baseline. When corroborated by the independent RTC Technical Report (which valued the non-operational mill at P100 million) and the 2002 Appraisal Report (valuing it over P313 million), the sum of P120 million was deemed a conservative, reasonable, and duly proved quantification of the pecuniary loss suffered by Gawtee.</w:t>
      </w:r>
    </w:p>
    <w:p>
      <w:pPr>
        <w:pStyle w:val="ListBullet"/>
      </w:pPr>
      <w:r>
        <w:t xml:space="preserve">  Furthermore, the SC emphasized the Province's failure to contest the trial court's findings regarding the physical destruction of the mill. By making no attempt to prove it was not to blame, the Province effectively admitted its fault and the resulting total loss of the property.</w:t>
      </w:r>
    </w:p>
    <w:p>
      <w:pPr>
        <w:pStyle w:val="ListBullet"/>
      </w:pPr>
      <w:r>
        <w:t xml:space="preserve">  </w:t>
      </w:r>
      <w:r>
        <w:rPr>
          <w:b/>
        </w:rPr>
        <w:t>Were the damages awarded upheld, reduced, or denied?</w:t>
      </w:r>
      <w:r/>
    </w:p>
    <w:p>
      <w:pPr>
        <w:pStyle w:val="ListBullet"/>
      </w:pPr>
      <w:r>
        <w:t xml:space="preserve">  The award of </w:t>
      </w:r>
      <w:r>
        <w:rPr>
          <w:b/>
        </w:rPr>
        <w:t>P120,000,000.00</w:t>
      </w:r>
      <w:r>
        <w:t xml:space="preserve"> in actual damages was </w:t>
      </w:r>
      <w:r>
        <w:rPr>
          <w:b/>
        </w:rPr>
        <w:t>upheld</w:t>
      </w:r>
      <w:r>
        <w:t xml:space="preserve"> *in toto*, subject only to the deduction of the P9.6 million scrap sale proceeds and the imposition of a 6% per annum legal interest rate calculated from the date of the RTC judgment.</w:t>
      </w:r>
    </w:p>
    <w:p>
      <w:pPr>
        <w:pStyle w:val="ListBullet"/>
      </w:pPr>
      <w:r>
        <w:t xml:space="preserve">  </w:t>
      </w:r>
      <w:r>
        <w:rPr>
          <w:b/>
        </w:rPr>
        <w:t>Exoneration of Public Officials:</w:t>
      </w:r>
      <w:r/>
    </w:p>
    <w:p>
      <w:pPr>
        <w:pStyle w:val="ListBullet"/>
      </w:pPr>
      <w:r>
        <w:t xml:space="preserve">  A significant modification by the SC was the removal of personal liability for the individual petitioners (Garcia, Talento, and Abad). The Court ruled that while the Province as an entity was liable for the tortious institutional acts, the plaintiff failed to adduce specific evidence establishing the individual, personal malice or specific tortious acts of the named officials that directly caused the damage. Consequently, they could not be held solidarily liable in their personal capacities.</w:t>
      </w:r>
    </w:p>
    <w:p>
      <w:pPr>
        <w:pStyle w:val="ListBullet"/>
      </w:pPr>
      <w:r>
        <w:t xml:space="preserve">  </w:t>
      </w:r>
      <w:r>
        <w:rPr>
          <w:b/>
        </w:rPr>
        <w:t>What was the disposition?</w:t>
      </w:r>
      <w:r/>
    </w:p>
    <w:p>
      <w:pPr>
        <w:pStyle w:val="ListBullet"/>
      </w:pPr>
      <w:r>
        <w:t xml:space="preserve">  The Supreme Court dismissed the petition of the Province of Bataan, affirming the RTC decision that declared the tax sale null and void. It modified the judgment only to clarify that the Province of Bataan and Sunrise Paper Products, Inc. are the sole entities jointly and severally liable to Victor G. Gawtee for the actual damages, absolving the public officials of personal liability.</w:t>
      </w:r>
    </w:p>
    <w:p>
      <w:pPr>
        <w:pStyle w:val="Heading4"/>
      </w:pPr>
      <w:r>
        <w:t>6. Key Doctrine / Civil Code Hook</w:t>
      </w:r>
    </w:p>
    <w:p>
      <w:r>
        <w:t>This case serves as a masterclass in the application of the Civil Code provisions governing damages, specifically the intersection of strict proof and the realities of establishing property valuation after total destruction.</w:t>
      </w:r>
    </w:p>
    <w:p>
      <w:pPr>
        <w:pStyle w:val="ListBullet"/>
      </w:pPr>
      <w:r>
        <w:t xml:space="preserve">  </w:t>
      </w:r>
      <w:r>
        <w:rPr>
          <w:b/>
        </w:rPr>
        <w:t>State the rule: Actual damages must be proven with reasonable certainty (Art. 2199)</w:t>
      </w:r>
      <w:r/>
    </w:p>
    <w:p>
      <w:pPr>
        <w:pStyle w:val="ListBullet"/>
      </w:pPr>
      <w:r>
        <w:t xml:space="preserve">  </w:t>
      </w:r>
      <w:r>
        <w:rPr>
          <w:b/>
        </w:rPr>
        <w:t>Article 2199</w:t>
      </w:r>
      <w:r>
        <w:t xml:space="preserve"> of the Civil Code provides: *"Except as provided by law or by stipulation, one is entitled to an adequate compensation only for such pecuniary loss suffered by him as he has duly proved. Such compensation is referred to as actual or compensatory damages."*.</w:t>
      </w:r>
    </w:p>
    <w:p>
      <w:pPr>
        <w:pStyle w:val="ListBullet"/>
      </w:pPr>
      <w:r>
        <w:t xml:space="preserve">  The jurisprudential doctrine dictates that actual damages cannot be presumed. They must be pleaded and proven in court with a reasonable degree of certainty, based on competent proof and the best evidence obtainable. In *Province of Bataan*, the SC demonstrated that "duly proved" does not necessarily require a stack of original purchase receipts, especially when the property has been maliciously destroyed by the defendant. Competent proof can manifest as expert technical appraisals, court-commissioned reports, and crucially, the defendant's own valuations stipulated in related agreements (the Compromise Agreement). By utilizing these documents, the Court found the P120 million figure to be established with reasonable certainty.</w:t>
      </w:r>
    </w:p>
    <w:p>
      <w:pPr>
        <w:pStyle w:val="ListBullet"/>
      </w:pPr>
      <w:r>
        <w:t xml:space="preserve">  </w:t>
      </w:r>
      <w:r>
        <w:rPr>
          <w:b/>
        </w:rPr>
        <w:t>State the rule on temperate damages as a substitute where actual loss is shown but not quantified (Art. 2224)</w:t>
      </w:r>
      <w:r/>
    </w:p>
    <w:p>
      <w:pPr>
        <w:pStyle w:val="ListBullet"/>
      </w:pPr>
      <w:r>
        <w:t xml:space="preserve">  </w:t>
      </w:r>
      <w:r>
        <w:rPr>
          <w:b/>
        </w:rPr>
        <w:t>Article 2224</w:t>
      </w:r>
      <w:r>
        <w:t xml:space="preserve"> states: *"Temperate or moderate damages, which are more than nominal but less than compensatory damages, may be recovered when the court finds that some pecuniary loss has been suffered but its amount can not, from the nature of the case, be provided with certainty."*</w:t>
      </w:r>
    </w:p>
    <w:p>
      <w:pPr>
        <w:pStyle w:val="ListBullet"/>
      </w:pPr>
      <w:r>
        <w:t xml:space="preserve">  *Doctrinal Distinction in this Case:* It is vital to note that while temperate damages serve as a critical fallback when the exact amount of loss is unprovable, the Supreme Court in *Province of Bataan* </w:t>
      </w:r>
      <w:r>
        <w:rPr>
          <w:b/>
        </w:rPr>
        <w:t>did not resort to temperate damages</w:t>
      </w:r>
      <w:r>
        <w:t>. The evidence presented (appraisals and compromise agreements) was deemed sufficiently concrete to elevate the award from mere "temperate" estimates to fully proven "actual/compensatory" damages. The case thereby establishes a high-water mark for what constitutes adequate proof of actual damages, preventing the relegation of a massive industrial loss to a lesser temperate award simply because the machinery was obliterated before trial.</w:t>
      </w:r>
    </w:p>
    <w:p>
      <w:pPr>
        <w:pStyle w:val="ListBullet"/>
      </w:pPr>
      <w:r>
        <w:t xml:space="preserve">  </w:t>
      </w:r>
      <w:r>
        <w:rPr>
          <w:b/>
        </w:rPr>
        <w:t>Which Civil Code articles were applied?</w:t>
      </w:r>
      <w:r/>
    </w:p>
    <w:p>
      <w:pPr>
        <w:pStyle w:val="ListBullet"/>
      </w:pPr>
      <w:r>
        <w:t xml:space="preserve">  </w:t>
      </w:r>
      <w:r>
        <w:rPr>
          <w:b/>
        </w:rPr>
        <w:t>Article 2199:</w:t>
      </w:r>
      <w:r>
        <w:t xml:space="preserve"> The primary basis for awarding and demanding proof of actual damages.</w:t>
      </w:r>
    </w:p>
    <w:p>
      <w:pPr>
        <w:pStyle w:val="ListBullet"/>
      </w:pPr>
      <w:r>
        <w:t xml:space="preserve">  </w:t>
      </w:r>
      <w:r>
        <w:rPr>
          <w:b/>
        </w:rPr>
        <w:t>Article 2200:</w:t>
      </w:r>
      <w:r>
        <w:t xml:space="preserve"> Defining actual damages to comprehend not only the value of the loss suffered (in this case, the machinery) but also profits failed to be obtained (though the award here focused strictly on the value of the loss).</w:t>
      </w:r>
    </w:p>
    <w:p>
      <w:pPr>
        <w:pStyle w:val="ListBullet"/>
      </w:pPr>
      <w:r>
        <w:t xml:space="preserve">  </w:t>
      </w:r>
      <w:r>
        <w:rPr>
          <w:b/>
        </w:rPr>
        <w:t>Article 2211:</w:t>
      </w:r>
      <w:r>
        <w:t xml:space="preserve"> Applied to justify the imposition of legal interest. This article provides that in crimes and quasi-delicts, interest as a part of the damages may, in a proper case, be adjudicated in the discretion of the court. The SC recognized the Province's bad faith demolition of the property as a quasi-delict/tort, thereby warranting the 6% interest.</w:t>
      </w:r>
    </w:p>
    <w:p>
      <w:pPr>
        <w:pStyle w:val="Heading4"/>
      </w:pPr>
      <w:r>
        <w:t>7. Memory Anchor</w:t>
      </w:r>
    </w:p>
    <w:p>
      <w:pPr>
        <w:pStyle w:val="ListBullet"/>
      </w:pPr>
      <w:r>
        <w:t xml:space="preserve">  </w:t>
      </w:r>
      <w:r>
        <w:rPr>
          <w:b/>
        </w:rPr>
        <w:t>A 1–2 sentence story hook or mnemonic for bar/exam recall:</w:t>
      </w:r>
      <w:r/>
    </w:p>
    <w:p>
      <w:pPr>
        <w:pStyle w:val="ListBullet"/>
      </w:pPr>
      <w:r>
        <w:t xml:space="preserve">  *“When the Province of Bataan aggressively crushed a paper mill into scrap to collect a tax debt, their own illegal P120M compromise agreement became the very proof Gawtee needed to win massive actual damages.”*</w:t>
      </w:r>
    </w:p>
    <w:p>
      <w:pPr>
        <w:pStyle w:val="ListBullet"/>
      </w:pPr>
      <w:r>
        <w:t xml:space="preserve">  </w:t>
      </w:r>
      <w:r>
        <w:rPr>
          <w:b/>
        </w:rPr>
        <w:t>Mnemonic:</w:t>
      </w:r>
      <w:r>
        <w:t xml:space="preserve"> </w:t>
      </w:r>
      <w:r>
        <w:rPr>
          <w:b/>
        </w:rPr>
        <w:t>B.A.T.A.A.N.</w:t>
      </w:r>
      <w:r>
        <w:t xml:space="preserve"> = </w:t>
      </w:r>
      <w:r>
        <w:rPr>
          <w:b/>
        </w:rPr>
        <w:t>B</w:t>
      </w:r>
      <w:r>
        <w:t xml:space="preserve">ad faith </w:t>
      </w:r>
      <w:r>
        <w:rPr>
          <w:b/>
        </w:rPr>
        <w:t>A</w:t>
      </w:r>
      <w:r>
        <w:t xml:space="preserve">uction </w:t>
      </w:r>
      <w:r>
        <w:rPr>
          <w:b/>
        </w:rPr>
        <w:t>T</w:t>
      </w:r>
      <w:r>
        <w:t xml:space="preserve">riggers </w:t>
      </w:r>
      <w:r>
        <w:rPr>
          <w:b/>
        </w:rPr>
        <w:t>A</w:t>
      </w:r>
      <w:r>
        <w:t xml:space="preserve">ctual </w:t>
      </w:r>
      <w:r>
        <w:rPr>
          <w:b/>
        </w:rPr>
        <w:t>A</w:t>
      </w:r>
      <w:r>
        <w:t xml:space="preserve">ward based on </w:t>
      </w:r>
      <w:r>
        <w:rPr>
          <w:b/>
        </w:rPr>
        <w:t>N</w:t>
      </w:r>
      <w:r>
        <w:t>on-operational valuation. (Reminds you that the actual damages were proven by the Province's own bad faith actions and the technical reports).</w:t>
      </w:r>
    </w:p>
    <w:p>
      <w:pPr>
        <w:spacing w:before="120" w:after="120"/>
        <w:pBdr>
          <w:bottom w:val="single" w:sz="4" w:space="1" w:color="CCCCCC"/>
        </w:pBdr>
      </w:pPr>
    </w:p>
    <w:p>
      <w:pPr>
        <w:pStyle w:val="Heading3"/>
      </w:pPr>
      <w:r>
        <w:t>Expanded Academic Commentary: The Intersection of Tax Sales, Due Process, and Civil Liability</w:t>
      </w:r>
    </w:p>
    <w:p>
      <w:r>
        <w:t xml:space="preserve">To fully appreciate the gravity of </w:t>
      </w:r>
      <w:r>
        <w:rPr>
          <w:i/>
        </w:rPr>
        <w:t>Province of Bataan v. Escalada</w:t>
      </w:r>
      <w:r>
        <w:t>, one must look beyond the mere calculation of damages and examine the broader systemic implications regarding local government taxation and state immunity.</w:t>
      </w:r>
    </w:p>
    <w:p>
      <w:r>
        <w:rPr>
          <w:b/>
        </w:rPr>
        <w:t>Strict Construction of Tax Sales Under R.A. No. 7160</w:t>
      </w:r>
    </w:p>
    <w:p>
      <w:r>
        <w:t>The Local Government Code of 1991 (R.A. No. 7160) grants local government units (LGUs) robust powers to collect delinquent real property taxes, including the power of levy and public auction (Sections 258 and 260). However, jurisprudence has consistently held that this power is not absolute. The SC in this case reiterated the fundamental doctrine that strict adherence to the statutes governing tax sales is imperative. This strictness is designed not merely to protect the taxpayer, but to allay any suspicion of collusion between buyers and public officials.</w:t>
      </w:r>
    </w:p>
    <w:p>
      <w:r>
        <w:t xml:space="preserve">In this case, the RTC and the SC found the auction sale invalid due to the Province's failure to prove compliance with the notice, posting, and publication requirements. When a local government strips a citizen of property without observing the rigid procedural safeguards of the LGC, the action is void </w:t>
      </w:r>
      <w:r>
        <w:rPr>
          <w:i/>
        </w:rPr>
        <w:t>ab initio</w:t>
      </w:r>
      <w:r>
        <w:t>, and no valid title passes.</w:t>
      </w:r>
    </w:p>
    <w:p>
      <w:r>
        <w:rPr>
          <w:b/>
        </w:rPr>
        <w:t>Overreach and the Usurpation of Property Rights</w:t>
      </w:r>
    </w:p>
    <w:p>
      <w:r>
        <w:t>A critical element that elevated the Province's actions from a mere procedural administrative error to a bad-faith tort (quasi-delict) was the sheer disproportion of the levy. The Supreme Court highlighted that the tax delinquency could have been easily satisfied by selling just one of the real properties. The inclusion of the heavy machineries and equipment—which belonged to a third party (Gawtee)—was an unnecessary exceedance of authority.</w:t>
      </w:r>
    </w:p>
    <w:p>
      <w:r>
        <w:t>When the state utilizes its taxing power not merely to collect a debt, but to indiscriminately sweep up assets far exceeding the value of the liability, it violates the constitutional prohibition against deprivation of property without due process.</w:t>
      </w:r>
    </w:p>
    <w:p>
      <w:r>
        <w:rPr>
          <w:b/>
        </w:rPr>
        <w:t>The Piercing of the Presumption of Regularity</w:t>
      </w:r>
    </w:p>
    <w:p>
      <w:r>
        <w:t xml:space="preserve">Normally, local government units and their officials enjoy the presumption of regularity in the performance of their official duties. However, the </w:t>
      </w:r>
      <w:r>
        <w:rPr>
          <w:i/>
        </w:rPr>
        <w:t>Province of Bataan</w:t>
      </w:r>
      <w:r>
        <w:t xml:space="preserve"> ruling vividly illustrates how this presumption is shattered by evidence of patent bad faith. The Province's decision to enter into a Compromise Agreement with Sunrise to demolish the plant—while a judicial </w:t>
      </w:r>
      <w:r>
        <w:rPr>
          <w:i/>
        </w:rPr>
        <w:t>status quo</w:t>
      </w:r>
      <w:r>
        <w:t xml:space="preserve"> order was in effect, and with full knowledge of Gawtee's competing ownership claim—demonstrated an active, malicious disregard for the judicial process and private property rights.</w:t>
      </w:r>
    </w:p>
    <w:p>
      <w:r>
        <w:rPr>
          <w:b/>
        </w:rPr>
        <w:t>Evidentiary Flexibility in the Face of Total Destruction</w:t>
      </w:r>
    </w:p>
    <w:p>
      <w:r>
        <w:t>Perhaps the most enduring legacy of this case for civil practitioners is its treatment of evidentiary standards under Article 2199. When property is completely destroyed by a tortfeasor, the plaintiff is often left in a precarious evidentiary position, unable to present the physical asset for current valuation.</w:t>
      </w:r>
    </w:p>
    <w:p>
      <w:r>
        <w:t>The Supreme Court's willingness to accept a combination of an older Appraisal Report, a court-mandated Technical Report, and the valuation from the tortfeasor's own illicit Compromise Agreement demonstrates a pragmatic approach to justice. The Court will not allow a defendant to benefit from their own wrongful destruction of evidence. By destroying the paper mill, the Province inadvertently cemented the technical reports and their own contractual stipulations as the "best evidence obtainable," thereby satisfying the requirement that actual damages must be "duly proved".</w:t>
      </w:r>
    </w:p>
    <w:p>
      <w:r>
        <w:t xml:space="preserve">In conclusion, </w:t>
      </w:r>
      <w:r>
        <w:rPr>
          <w:i/>
        </w:rPr>
        <w:t>Province of Bataan v. Escalada</w:t>
      </w:r>
      <w:r>
        <w:t xml:space="preserve"> stands as a definitive precedent asserting that while the evidentiary bar for actual damages is high, it is not insurmountable. Competent, corroborating documentary evidence—even in the absence of original receipts or the physical property itself—can establish pecuniary loss with reasonable certainty, especially when the loss is a direct consequence of a local government's bad faith and tortious overreach.</w:t>
      </w:r>
    </w:p>
    <w:p>
      <w:pPr>
        <w:pStyle w:val="Heading2"/>
      </w:pPr>
      <w:r>
        <w:t>Case 16: Bendecio v. Bautista (2021) | SC e-Library</w:t>
      </w:r>
    </w:p>
    <w:p>
      <w:pPr>
        <w:pStyle w:val="Heading2"/>
      </w:pPr>
      <w:r>
        <w:t>Exhaustive Legal Analysis: Bendecio v. Bautista (2021)</w:t>
      </w:r>
    </w:p>
    <w:p>
      <w:r>
        <w:t xml:space="preserve">It seems likely that in the realm of Philippine civil law, few concepts are as strictly scrutinized as the extinguishment of obligations, particularly through novation. The research suggests that the Supreme Court's ruling in </w:t>
      </w:r>
      <w:r>
        <w:rPr>
          <w:i/>
        </w:rPr>
        <w:t>Bendecio v. Bautista</w:t>
      </w:r>
      <w:r>
        <w:t xml:space="preserve"> offers a quintessential illustration of how the law safeguards creditors from the unilateral assumption of debts by third parties. The evidence leans toward a rigorous application of the Civil Code, reinforcing the principle that without explicit consent from the creditor, the original debtor remains bound.</w:t>
      </w:r>
    </w:p>
    <w:p>
      <w:pPr>
        <w:pStyle w:val="Heading3"/>
      </w:pPr>
      <w:r>
        <w:t>Key Points</w:t>
      </w:r>
    </w:p>
    <w:p>
      <w:pPr>
        <w:pStyle w:val="ListBullet"/>
      </w:pPr>
      <w:r>
        <w:t xml:space="preserve">  </w:t>
      </w:r>
      <w:r>
        <w:rPr>
          <w:b/>
        </w:rPr>
        <w:t>Novation is strictly construed:</w:t>
      </w:r>
      <w:r>
        <w:t xml:space="preserve"> The extinguishment of an obligation by substituting a new debtor (novation) is never presumed and requires the clear, unmistakable consent of the creditor.</w:t>
      </w:r>
    </w:p>
    <w:p>
      <w:pPr>
        <w:pStyle w:val="ListBullet"/>
      </w:pPr>
      <w:r>
        <w:t xml:space="preserve">  </w:t>
      </w:r>
      <w:r>
        <w:rPr>
          <w:b/>
        </w:rPr>
        <w:t>Addition vs. Substitution:</w:t>
      </w:r>
      <w:r>
        <w:t xml:space="preserve"> Accepting a promissory note from a third party who offers to pay the debt generally results in the addition of a debtor (solidary or joint), rather than the release of the original debtor, unless explicitly agreed upon.</w:t>
      </w:r>
    </w:p>
    <w:p>
      <w:pPr>
        <w:pStyle w:val="ListBullet"/>
      </w:pPr>
      <w:r>
        <w:t xml:space="preserve">  </w:t>
      </w:r>
      <w:r>
        <w:rPr>
          <w:b/>
        </w:rPr>
        <w:t>Partnership Liability:</w:t>
      </w:r>
      <w:r>
        <w:t xml:space="preserve"> Business partners who obtain a loan for their business operations and fail to repay it can be held solidarily liable to the creditor.</w:t>
      </w:r>
    </w:p>
    <w:p>
      <w:pPr>
        <w:pStyle w:val="ListBullet"/>
      </w:pPr>
      <w:r>
        <w:t xml:space="preserve">  </w:t>
      </w:r>
      <w:r>
        <w:rPr>
          <w:b/>
        </w:rPr>
        <w:t>Payment via Commercial Documents:</w:t>
      </w:r>
      <w:r>
        <w:t xml:space="preserve"> The mere delivery or return of checks does not constitute legal payment; the obligation remains active until the commercial document is successfully encashed.</w:t>
      </w:r>
    </w:p>
    <w:p>
      <w:pPr>
        <w:pStyle w:val="ListBullet"/>
      </w:pPr>
      <w:r>
        <w:t xml:space="preserve">  </w:t>
      </w:r>
      <w:r>
        <w:rPr>
          <w:b/>
        </w:rPr>
        <w:t>Judicial Moderation of Interest:</w:t>
      </w:r>
      <w:r>
        <w:t xml:space="preserve"> An 8% monthly interest rate (96% per annum) is deemed unconscionable and will be equitably reduced by the courts.</w:t>
      </w:r>
    </w:p>
    <w:p>
      <w:pPr>
        <w:pStyle w:val="Heading3"/>
      </w:pPr>
      <w:r>
        <w:t>Introduction to the Dispute</w:t>
      </w:r>
    </w:p>
    <w:p>
      <w:r>
        <w:t xml:space="preserve">For the layman, the dispute in </w:t>
      </w:r>
      <w:r>
        <w:rPr>
          <w:i/>
        </w:rPr>
        <w:t>Bendecio v. Bautista</w:t>
      </w:r>
      <w:r>
        <w:t xml:space="preserve"> revolves around a common familial and business scenario: an aunt lends a substantial amount of money to her niece to fund a business venture. When the time comes to pay, the niece points to her business partner, who offers to take over the debt and even signs a promissory note. The aunt accepts the note but, when the debt remains unpaid, sues both the niece and the business partner. The niece attempts to use the legal defense of "novation"—arguing that because the aunt accepted the partner's promissory note, the niece was legally erased from the debt equation. The Supreme Court was tasked with determining whether this sequence of events legally released the niece from her financial obligation.</w:t>
      </w:r>
    </w:p>
    <w:p>
      <w:pPr>
        <w:pStyle w:val="Heading3"/>
      </w:pPr>
      <w:r>
        <w:t>Understanding the Core Legal Concepts</w:t>
      </w:r>
    </w:p>
    <w:p>
      <w:r>
        <w:t>While the case involves complex applications of partnership liability and civil damages, its foundational anchor is the doctrine of novation. Under Philippine law, obligations can be modified or extinguished. However, because a creditor's financial security depends on the specific debtor they chose to transact with, the law does not easily allow debtors to pass their burdens to someone else. The courts require absolute proof that the creditor knowingly and willingly agreed to let the original debtor walk away. Without this proof, the court protects the creditor by holding both the old and new debtors responsible.</w:t>
      </w:r>
    </w:p>
    <w:p>
      <w:pPr>
        <w:spacing w:before="120" w:after="120"/>
        <w:pBdr>
          <w:bottom w:val="single" w:sz="4" w:space="1" w:color="CCCCCC"/>
        </w:pBdr>
      </w:pPr>
    </w:p>
    <w:p>
      <w:pPr>
        <w:pStyle w:val="Heading3"/>
      </w:pPr>
      <w:r>
        <w:t>Bendecio v. Bautista (2021) | [G.R. No. 242087]</w:t>
      </w:r>
    </w:p>
    <w:p>
      <w:pPr>
        <w:pStyle w:val="Heading4"/>
      </w:pPr>
      <w:r>
        <w:t>1. The Parties</w:t>
      </w:r>
    </w:p>
    <w:p>
      <w:pPr>
        <w:pStyle w:val="ListBullet"/>
      </w:pPr>
      <w:r/>
      <w:r>
        <w:rPr>
          <w:b/>
        </w:rPr>
        <w:t>Petitioner 1 (Ma. Julieta B. Bendecio):</w:t>
      </w:r>
      <w:r>
        <w:t xml:space="preserve"> She is the niece of the respondent and the original debtor who borrowed a total of ₱1,100,000.00. She claimed that her obligation was extinguished because her business partner assumed the debt, thereby substituting her as the debtor.</w:t>
      </w:r>
    </w:p>
    <w:p>
      <w:pPr>
        <w:pStyle w:val="ListBullet"/>
      </w:pPr>
      <w:r/>
      <w:r>
        <w:rPr>
          <w:b/>
        </w:rPr>
        <w:t>Petitioner 2 (Merlyn Mascariñas):</w:t>
      </w:r>
      <w:r>
        <w:t xml:space="preserve"> She is a friend and the business partner of Bendecio. She claimed to have assumed the loan obligation to relieve Bendecio of the debt, executing a promissory note in favor of the respondent and issuing checks that were allegedly intended to settle the obligation.</w:t>
      </w:r>
    </w:p>
    <w:p>
      <w:pPr>
        <w:pStyle w:val="ListBullet"/>
      </w:pPr>
      <w:r/>
      <w:r>
        <w:rPr>
          <w:b/>
        </w:rPr>
        <w:t>Respondent (Virginia B. Bautista):</w:t>
      </w:r>
      <w:r>
        <w:t xml:space="preserve"> She is the aunt of Bendecio and the creditor who provided the loan. She claimed that the principal loan and its accrued interests remained unpaid despite the issuance of a promissory note by Mascariñas, prompting her to file a complaint for the collection of a sum of money and damages.</w:t>
      </w:r>
    </w:p>
    <w:p>
      <w:pPr>
        <w:pStyle w:val="ListBullet"/>
      </w:pPr>
      <w:r/>
      <w:r>
        <w:rPr>
          <w:b/>
        </w:rPr>
        <w:t>Their relationship:</w:t>
      </w:r>
      <w:r>
        <w:t xml:space="preserve"> Bautista and Bendecio are aunt and niece, respectively. Bendecio and Mascariñas are business partners who utilized the borrowed funds as capital for their partnership. The original agreement was a simple loan between aunt and niece. The attempted modification involved Mascariñas stepping in to pay the debt via a promissory note, which Bendecio interpreted as a complete substitution of the debtor (novation).</w:t>
      </w:r>
    </w:p>
    <w:p>
      <w:pPr>
        <w:pStyle w:val="Heading4"/>
      </w:pPr>
      <w:r>
        <w:t>2. Background &amp; Facts</w:t>
      </w:r>
    </w:p>
    <w:p>
      <w:pPr>
        <w:pStyle w:val="ListBullet"/>
      </w:pPr>
      <w:r/>
      <w:r>
        <w:rPr>
          <w:b/>
        </w:rPr>
        <w:t>The Original Obligation:</w:t>
      </w:r>
      <w:r>
        <w:t xml:space="preserve"> On February 5, 7, and 15, 2013, Bautista lent Bendecio a total of ₱1,100,000.00 (disbursed as ₱400,000, ₱200,000, and ₱500,000). The loan was payable in May 2013 and carried a verbal agreement of an 8% monthly interest rate.</w:t>
      </w:r>
    </w:p>
    <w:p>
      <w:pPr>
        <w:pStyle w:val="ListBullet"/>
      </w:pPr>
      <w:r/>
      <w:r>
        <w:rPr>
          <w:b/>
        </w:rPr>
        <w:t>The Alleged Novating Act:</w:t>
      </w:r>
      <w:r>
        <w:t xml:space="preserve"> In May 2013, upon the maturity of the loan, Bendecio informed Bautista that her business partner, Mascariñas, would pay the loan by depositing a manager's check into Bautista's Banco De Oro (BDO) account. When the check did not materialize, Mascariñas executed a promissory note on August 23, 2013, promising to pay the ₱1,100,000.00 at the same 8% monthly interest rate. Bendecio claimed this act amounted to novation, asserting she was released from liability.</w:t>
      </w:r>
    </w:p>
    <w:p>
      <w:pPr>
        <w:pStyle w:val="ListBullet"/>
      </w:pPr>
      <w:r/>
      <w:r>
        <w:rPr>
          <w:b/>
        </w:rPr>
        <w:t>Nature of the Modification:</w:t>
      </w:r>
      <w:r>
        <w:t xml:space="preserve"> There was an attempt at the substitution of the debtor (*delegacion* or *expromision*). Mascariñas offered to take on the debt, executing a promissory note that extended the maturity date to August 2013. Furthermore, Bendecio issued checks that were subsequently returned to her, which she argued constituted payment.</w:t>
      </w:r>
    </w:p>
    <w:p>
      <w:pPr>
        <w:pStyle w:val="ListBullet"/>
      </w:pPr>
      <w:r/>
      <w:r>
        <w:rPr>
          <w:b/>
        </w:rPr>
        <w:t>Consent of the Parties:</w:t>
      </w:r>
      <w:r>
        <w:t xml:space="preserve"> While Mascariñas consented to assume the debt and Bendecio consented to be replaced, the critical missing element was the </w:t>
      </w:r>
      <w:r>
        <w:rPr>
          <w:b/>
        </w:rPr>
        <w:t>express consent of the creditor</w:t>
      </w:r>
      <w:r>
        <w:t>, Bautista, to release Bendecio from her obligation. Bautista accepted the promissory note from Mascariñas but never agreed to discharge her niece.</w:t>
      </w:r>
    </w:p>
    <w:p>
      <w:pPr>
        <w:pStyle w:val="ListBullet"/>
      </w:pPr>
      <w:r/>
      <w:r>
        <w:rPr>
          <w:b/>
        </w:rPr>
        <w:t>Timeline of Key Events:</w:t>
      </w:r>
      <w:r/>
    </w:p>
    <w:p>
      <w:pPr>
        <w:pStyle w:val="ListBullet"/>
      </w:pPr>
      <w:r>
        <w:t>*February 5, 7, and 15, 2013:* Bautista disburses the ₱1,100,000.00 loan to Bendecio.</w:t>
      </w:r>
    </w:p>
    <w:p>
      <w:pPr>
        <w:pStyle w:val="ListBullet"/>
      </w:pPr>
      <w:r>
        <w:t>*May 2013:* Original maturity date of the loan. Bendecio informs Bautista that Mascariñas will pay.</w:t>
      </w:r>
    </w:p>
    <w:p>
      <w:pPr>
        <w:pStyle w:val="ListBullet"/>
      </w:pPr>
      <w:r>
        <w:t>*August 23, 2013:* Mascariñas executes a promissory note in favor of Bautista, extending the loan.</w:t>
      </w:r>
    </w:p>
    <w:p>
      <w:pPr>
        <w:pStyle w:val="ListBullet"/>
      </w:pPr>
      <w:r>
        <w:t>*September 5, 2013:* Bautista sends a formal demand letter to both Bendecio and Mascariñas for the unpaid debt.</w:t>
      </w:r>
    </w:p>
    <w:p>
      <w:pPr>
        <w:pStyle w:val="ListBullet"/>
      </w:pPr>
      <w:r>
        <w:t>*September 25, 2013:* Bautista files a Complaint for collection of a sum of money in the Regional Trial Court (RTC) of Makati City (Civil Case No. 13-1126).</w:t>
      </w:r>
    </w:p>
    <w:p>
      <w:pPr>
        <w:pStyle w:val="ListBullet"/>
      </w:pPr>
      <w:r>
        <w:t>*May 4, 2017:* The RTC rules in favor of Bautista, holding the petitioners solidarily liable.</w:t>
      </w:r>
    </w:p>
    <w:p>
      <w:pPr>
        <w:pStyle w:val="ListBullet"/>
      </w:pPr>
      <w:r>
        <w:t>*September 14, 2018:* The Court of Appeals (CA) affirms the RTC decision in CA-G.R. CV No. 109378.</w:t>
      </w:r>
    </w:p>
    <w:p>
      <w:pPr>
        <w:pStyle w:val="ListBullet"/>
      </w:pPr>
      <w:r>
        <w:t>*December 7, 2021:* The Supreme Court issues its Decision affirming the lower courts with modifications regarding interest rates and damages.</w:t>
      </w:r>
    </w:p>
    <w:p>
      <w:pPr>
        <w:pStyle w:val="Heading4"/>
      </w:pPr>
      <w:r>
        <w:t>3. The Contract or Obligation</w:t>
      </w:r>
    </w:p>
    <w:p>
      <w:pPr>
        <w:pStyle w:val="ListBullet"/>
      </w:pPr>
      <w:r/>
      <w:r>
        <w:rPr>
          <w:b/>
        </w:rPr>
        <w:t>The Original Obligation:</w:t>
      </w:r>
      <w:r>
        <w:t xml:space="preserve"> A contract of loan (*mutuum*) where Bendecio was the sole debtor obligated to pay Bautista the principal amount of ₱1,100,000.00 plus an 8% monthly interest.</w:t>
      </w:r>
    </w:p>
    <w:p>
      <w:pPr>
        <w:pStyle w:val="ListBullet"/>
      </w:pPr>
      <w:r/>
      <w:r>
        <w:rPr>
          <w:b/>
        </w:rPr>
        <w:t>The Alleged Novating Act:</w:t>
      </w:r>
      <w:r>
        <w:t xml:space="preserve"> The alleged novation involved the substitution of the person of the debtor (passive novation). Mascariñas executed a promissory note to pay the principal and interest, effectively attempting to change the parties to the contract.</w:t>
      </w:r>
    </w:p>
    <w:p>
      <w:pPr>
        <w:pStyle w:val="ListBullet"/>
      </w:pPr>
      <w:r/>
      <w:r>
        <w:rPr>
          <w:b/>
        </w:rPr>
        <w:t>Clarity of Consent:</w:t>
      </w:r>
      <w:r>
        <w:t xml:space="preserve"> The consent to novation was </w:t>
      </w:r>
      <w:r>
        <w:rPr>
          <w:b/>
        </w:rPr>
        <w:t>merely implied</w:t>
      </w:r>
      <w:r>
        <w:t xml:space="preserve"> by Bendecio and Mascariñas based on Bautista's acceptance of the promissory note. However, legally, Bautista's consent to release the original debtor was absent. The Supreme Court noted that there was no express, clear, or unmistakable agreement from Bautista to discharge Bendecio.</w:t>
      </w:r>
    </w:p>
    <w:p>
      <w:pPr>
        <w:pStyle w:val="Heading4"/>
      </w:pPr>
      <w:r>
        <w:t>4. Legal Issues Raised</w:t>
      </w:r>
    </w:p>
    <w:p>
      <w:pPr>
        <w:pStyle w:val="ListBullet"/>
      </w:pPr>
      <w:r/>
      <w:r>
        <w:rPr>
          <w:b/>
        </w:rPr>
        <w:t>Was there a valid novation?</w:t>
      </w:r>
      <w:r>
        <w:t xml:space="preserve"> Specifically, whether the loan obligation was extinguished by novation through Mascariñas's substitution as the debtor.</w:t>
      </w:r>
    </w:p>
    <w:p>
      <w:pPr>
        <w:pStyle w:val="ListBullet"/>
      </w:pPr>
      <w:r/>
      <w:r>
        <w:rPr>
          <w:b/>
        </w:rPr>
        <w:t>Was it express or implied? Was it presumed?</w:t>
      </w:r>
      <w:r>
        <w:t xml:space="preserve"> Bendecio argued that novation should be implied from Bautista's acceptance of the promissory note. The legal issue centered on whether novation could be presumed from such an act without an explicit release.</w:t>
      </w:r>
    </w:p>
    <w:p>
      <w:pPr>
        <w:pStyle w:val="ListBullet"/>
      </w:pPr>
      <w:r/>
      <w:r>
        <w:rPr>
          <w:b/>
        </w:rPr>
        <w:t>What is the effect of no novation on the original obligation?</w:t>
      </w:r>
      <w:r>
        <w:t xml:space="preserve"> Because there was no valid novation, the issue shifted to whether Bendecio remained liable, and whether the addition of Mascariñas made them jointly or solidarily liable for the debt. Additional issues included whether the delivery and return of checks operated as payment, whether the award of moral damages was proper, and what the legally permissible interest rate should be.</w:t>
      </w:r>
    </w:p>
    <w:p>
      <w:pPr>
        <w:pStyle w:val="Heading4"/>
      </w:pPr>
      <w:r>
        <w:t>5. Supreme Court Ruling</w:t>
      </w:r>
    </w:p>
    <w:p>
      <w:pPr>
        <w:pStyle w:val="ListBullet"/>
      </w:pPr>
      <w:r/>
      <w:r>
        <w:rPr>
          <w:b/>
        </w:rPr>
        <w:t>On Novation:</w:t>
      </w:r>
      <w:r>
        <w:t xml:space="preserve"> The Supreme Court categorically decided that </w:t>
      </w:r>
      <w:r>
        <w:rPr>
          <w:b/>
        </w:rPr>
        <w:t>no novation occurred</w:t>
      </w:r>
      <w:r>
        <w:t>. The Court held that the contention was "devoid of merit" because the burden of establishing novation rests on the party asserting it, and the petitioners failed to present any evidence of Bautista's consent to release Bendecio.</w:t>
      </w:r>
    </w:p>
    <w:p>
      <w:pPr>
        <w:pStyle w:val="ListBullet"/>
      </w:pPr>
      <w:r/>
      <w:r>
        <w:rPr>
          <w:b/>
        </w:rPr>
        <w:t>Application of the Rule:</w:t>
      </w:r>
      <w:r>
        <w:t xml:space="preserve"> The Court applied the strict doctrine that </w:t>
      </w:r>
      <w:r>
        <w:rPr>
          <w:b/>
        </w:rPr>
        <w:t>novation is never presumed</w:t>
      </w:r>
      <w:r>
        <w:t>. Accepting a promissory note, receiving payments, or accepting a guaranty from a third person who agrees to assume the obligation does not constitute novation if there is no explicit agreement to release the original debtor. Such actions merely result in the addition of a debtor, allowing the creditor to enforce the obligation against either or both parties.</w:t>
      </w:r>
    </w:p>
    <w:p>
      <w:pPr>
        <w:pStyle w:val="ListBullet"/>
      </w:pPr>
      <w:r/>
      <w:r>
        <w:rPr>
          <w:b/>
        </w:rPr>
        <w:t>Disposition:</w:t>
      </w:r>
      <w:r/>
    </w:p>
    <w:p>
      <w:pPr>
        <w:pStyle w:val="ListBullet"/>
      </w:pPr>
      <w:r>
        <w:t xml:space="preserve">The Supreme Court </w:t>
      </w:r>
      <w:r>
        <w:rPr>
          <w:b/>
        </w:rPr>
        <w:t>affirmed with modification</w:t>
      </w:r>
      <w:r>
        <w:t xml:space="preserve"> the CA decision.</w:t>
      </w:r>
    </w:p>
    <w:p>
      <w:pPr>
        <w:pStyle w:val="ListBullet"/>
      </w:pPr>
      <w:r>
        <w:t xml:space="preserve">Bendecio and Mascariñas were held </w:t>
      </w:r>
      <w:r>
        <w:rPr>
          <w:b/>
        </w:rPr>
        <w:t>solidarily liable</w:t>
      </w:r>
      <w:r>
        <w:t xml:space="preserve"> to pay the ₱1,100,000.00 loan. This solidary liability was rooted in Articles 1822–1825 of the Civil Code, as they admitted to being business partners who used the loan proceeds for their business.</w:t>
      </w:r>
    </w:p>
    <w:p>
      <w:pPr>
        <w:pStyle w:val="ListBullet"/>
      </w:pPr>
      <w:r>
        <w:t xml:space="preserve">The Court struck down the 8% monthly interest (96% per annum) as </w:t>
      </w:r>
      <w:r>
        <w:rPr>
          <w:b/>
        </w:rPr>
        <w:t>unconscionable</w:t>
      </w:r>
      <w:r>
        <w:t xml:space="preserve"> and reduced it to a legally acceptable standard: 12% per annum monetary interest from the date of extrajudicial demand (Sept 5, 2013) until finality, plus a 6% per annum compensatory interest on accrued interest from judicial demand (Sept 25, 2013) until finality, and a 6% per annum legal interest on all monetary awards from finality until full payment.</w:t>
      </w:r>
    </w:p>
    <w:p>
      <w:pPr>
        <w:pStyle w:val="ListBullet"/>
      </w:pPr>
      <w:r>
        <w:t xml:space="preserve">The award for </w:t>
      </w:r>
      <w:r>
        <w:rPr>
          <w:b/>
        </w:rPr>
        <w:t>moral damages was deleted</w:t>
      </w:r>
      <w:r>
        <w:t xml:space="preserve"> because mere breach of contract, without clear evidence of fraud or bad faith, does not warrant such damages. The award for attorney's fees was affirmed but reduced to ₱100,000.00.</w:t>
      </w:r>
    </w:p>
    <w:p>
      <w:pPr>
        <w:pStyle w:val="Heading4"/>
      </w:pPr>
      <w:r>
        <w:t>6. Key Doctrine / Civil Code Hook</w:t>
      </w:r>
    </w:p>
    <w:p>
      <w:pPr>
        <w:pStyle w:val="ListBullet"/>
      </w:pPr>
      <w:r/>
      <w:r>
        <w:rPr>
          <w:b/>
        </w:rPr>
        <w:t>The Rule:</w:t>
      </w:r>
      <w:r>
        <w:t xml:space="preserve"> Novation is never presumed; it must be expressly stated in unequivocal terms or the old and new obligations must be incompatible on every point (Art. 1292). The mere fact that a creditor accepts payments or a promissory note from a third person does not release the first debtor absent an express agreement. It merely results in an addition of debtors.</w:t>
      </w:r>
    </w:p>
    <w:p>
      <w:pPr>
        <w:pStyle w:val="ListBullet"/>
      </w:pPr>
      <w:r/>
      <w:r>
        <w:rPr>
          <w:b/>
        </w:rPr>
        <w:t>Requisites of Valid Novation (Substitution of Debtor):</w:t>
      </w:r>
      <w:r>
        <w:t xml:space="preserve"> Under Article 1293, novation by substituting a new debtor can be made without the knowledge of the original debtor (expromision) or with their knowledge (delegacion), but in all cases, it </w:t>
      </w:r>
      <w:r>
        <w:rPr>
          <w:b/>
        </w:rPr>
        <w:t>cannot be made without the consent of the creditor</w:t>
      </w:r>
      <w:r>
        <w:t>.</w:t>
      </w:r>
    </w:p>
    <w:p>
      <w:pPr>
        <w:pStyle w:val="ListBullet"/>
      </w:pPr>
      <w:r/>
      <w:r>
        <w:rPr>
          <w:b/>
        </w:rPr>
        <w:t>Applied Civil Code Articles:</w:t>
      </w:r>
      <w:r/>
    </w:p>
    <w:p>
      <w:pPr>
        <w:pStyle w:val="ListBullet"/>
      </w:pPr>
      <w:r/>
      <w:r>
        <w:rPr>
          <w:b/>
        </w:rPr>
        <w:t>Art. 1291:</w:t>
      </w:r>
      <w:r>
        <w:t xml:space="preserve"> Obligations may be modified by substituting the person of the debtor.</w:t>
      </w:r>
    </w:p>
    <w:p>
      <w:pPr>
        <w:pStyle w:val="ListBullet"/>
      </w:pPr>
      <w:r/>
      <w:r>
        <w:rPr>
          <w:b/>
        </w:rPr>
        <w:t>Art. 1292:</w:t>
      </w:r>
      <w:r>
        <w:t xml:space="preserve"> Novation must be declared in unequivocal terms or be completely incompatible.</w:t>
      </w:r>
    </w:p>
    <w:p>
      <w:pPr>
        <w:pStyle w:val="ListBullet"/>
      </w:pPr>
      <w:r/>
      <w:r>
        <w:rPr>
          <w:b/>
        </w:rPr>
        <w:t>Art. 1293:</w:t>
      </w:r>
      <w:r>
        <w:t xml:space="preserve"> Consent of the creditor is indispensable for the substitution of a debtor.</w:t>
      </w:r>
    </w:p>
    <w:p>
      <w:pPr>
        <w:pStyle w:val="ListBullet"/>
      </w:pPr>
      <w:r/>
      <w:r>
        <w:rPr>
          <w:b/>
        </w:rPr>
        <w:t>Art. 1249:</w:t>
      </w:r>
      <w:r>
        <w:t xml:space="preserve"> The delivery of promissory notes payable to order, or bills of exchange or other mercantile documents shall produce the effect of payment only when they have been cashed.</w:t>
      </w:r>
    </w:p>
    <w:p>
      <w:pPr>
        <w:pStyle w:val="ListBullet"/>
      </w:pPr>
      <w:r/>
      <w:r>
        <w:rPr>
          <w:b/>
        </w:rPr>
        <w:t>Arts. 1822, 1824, 1825:</w:t>
      </w:r>
      <w:r>
        <w:t xml:space="preserve"> Partners are solidarily liable to third persons for partnership obligations and when a person represents themselves as a partner.</w:t>
      </w:r>
    </w:p>
    <w:p>
      <w:pPr>
        <w:pStyle w:val="Heading4"/>
      </w:pPr>
      <w:r>
        <w:t>7. Memory Anchor</w:t>
      </w:r>
    </w:p>
    <w:p>
      <w:r>
        <w:rPr>
          <w:b/>
        </w:rPr>
        <w:t>"The Aunt, the Niece, and the Promissory Note."</w:t>
      </w:r>
    </w:p>
    <w:p>
      <w:r>
        <w:t>A niece's debt is not magically erased just because her business partner hands the aunt a promissory note; without the aunt's explicit "yes" to release the niece, novation does not occur—the aunt simply gains a second solidary debtor, not a substitute.</w:t>
      </w:r>
    </w:p>
    <w:p>
      <w:pPr>
        <w:spacing w:before="120" w:after="120"/>
        <w:pBdr>
          <w:bottom w:val="single" w:sz="4" w:space="1" w:color="CCCCCC"/>
        </w:pBdr>
      </w:pPr>
    </w:p>
    <w:p>
      <w:pPr>
        <w:pStyle w:val="Heading3"/>
      </w:pPr>
      <w:r>
        <w:t>Comprehensive Academic Analysis of *Bendecio v. Bautista*</w:t>
      </w:r>
    </w:p>
    <w:p>
      <w:r>
        <w:t xml:space="preserve">The jurisprudence established and reiterated in </w:t>
      </w:r>
      <w:r>
        <w:rPr>
          <w:i/>
        </w:rPr>
        <w:t>Bendecio v. Bautista</w:t>
      </w:r>
      <w:r>
        <w:t xml:space="preserve"> [G.R. No. 242087] demands a rigorous academic deconstruction. The ruling serves as a vital pedagogical tool for understanding the strict boundaries of novation, the nuances of partnership liability, the rules governing payment via commercial instruments, and the judicial power to temper unconscionable interest rates.</w:t>
      </w:r>
    </w:p>
    <w:p>
      <w:pPr>
        <w:pStyle w:val="Heading4"/>
      </w:pPr>
      <w:r>
        <w:t>I. The Theoretical Underpinnings of Novation under Philippine Civil Law</w:t>
      </w:r>
    </w:p>
    <w:p>
      <w:r>
        <w:t xml:space="preserve">Novation is a bipartite legal concept; it functions simultaneously as a mode of extinguishing an existing obligation and a mechanism for creating a new one. As articulated in </w:t>
      </w:r>
      <w:r>
        <w:rPr>
          <w:b/>
        </w:rPr>
        <w:t>Article 1291</w:t>
      </w:r>
      <w:r>
        <w:t xml:space="preserve"> of the Civil Code of the Philippines, obligations may be modified by:</w:t>
      </w:r>
    </w:p>
    <w:p>
      <w:r>
        <w:t>1. Changing their object or principal conditions (Objective Novation);</w:t>
      </w:r>
    </w:p>
    <w:p>
      <w:r>
        <w:t>2. Substituting the person of the debtor (Passive Subjective Novation);</w:t>
      </w:r>
    </w:p>
    <w:p>
      <w:r>
        <w:t>3. Subrogating a third person in the rights of the creditor (Active Subjective Novation).</w:t>
      </w:r>
    </w:p>
    <w:p>
      <w:r>
        <w:t xml:space="preserve">In </w:t>
      </w:r>
      <w:r>
        <w:rPr>
          <w:i/>
        </w:rPr>
        <w:t>Bendecio</w:t>
      </w:r>
      <w:r>
        <w:t xml:space="preserve">, the petitioners attempted to rely on </w:t>
      </w:r>
      <w:r>
        <w:rPr>
          <w:b/>
        </w:rPr>
        <w:t>Passive Subjective Novation</w:t>
      </w:r>
      <w:r>
        <w:t>. This occurs when a new debtor assumes the obligation of the original debtor. The law recognizes two specific forms of passive novation:</w:t>
      </w:r>
    </w:p>
    <w:p>
      <w:pPr>
        <w:pStyle w:val="ListBullet"/>
      </w:pPr>
      <w:r>
        <w:t xml:space="preserve">  </w:t>
      </w:r>
      <w:r>
        <w:rPr>
          <w:b/>
        </w:rPr>
        <w:t>Expromision:</w:t>
      </w:r>
      <w:r>
        <w:t xml:space="preserve"> Here, the initiative for the change comes from a third person, not the original debtor. It requires the consent of the third person and the creditor. The knowledge or consent of the original debtor is immaterial.</w:t>
      </w:r>
    </w:p>
    <w:p>
      <w:pPr>
        <w:pStyle w:val="ListBullet"/>
      </w:pPr>
      <w:r>
        <w:t xml:space="preserve">  </w:t>
      </w:r>
      <w:r>
        <w:rPr>
          <w:b/>
        </w:rPr>
        <w:t>Delegacion:</w:t>
      </w:r>
      <w:r>
        <w:t xml:space="preserve"> The initiative comes from the original debtor (the *delegante*), who offers a third person (the *delegado*) to the creditor (the *delegatario*). This requires the concurrence of all three parties: the old debtor, the new debtor, and the creditor.</w:t>
      </w:r>
    </w:p>
    <w:p>
      <w:r>
        <w:t xml:space="preserve">Regardless of whether the novation is styled as </w:t>
      </w:r>
      <w:r>
        <w:rPr>
          <w:i/>
        </w:rPr>
        <w:t>expromision</w:t>
      </w:r>
      <w:r>
        <w:t xml:space="preserve"> or </w:t>
      </w:r>
      <w:r>
        <w:rPr>
          <w:i/>
        </w:rPr>
        <w:t>delegacion</w:t>
      </w:r>
      <w:r>
        <w:t xml:space="preserve">, </w:t>
      </w:r>
      <w:r>
        <w:rPr>
          <w:b/>
        </w:rPr>
        <w:t>Article 1293</w:t>
      </w:r>
      <w:r>
        <w:t xml:space="preserve"> strictly mandates that the consent of the creditor is indispensable. The rationale is rooted in the economic reality of credit: a creditor extends a loan based on the specific creditworthiness, character, and financial capacity of the original debtor. Allowing a debtor to unilaterally pass their debt to a third party could severely prejudice the creditor, especially if the new debtor is insolvent or less reliable.</w:t>
      </w:r>
    </w:p>
    <w:p>
      <w:r>
        <w:t xml:space="preserve">In </w:t>
      </w:r>
      <w:r>
        <w:rPr>
          <w:i/>
        </w:rPr>
        <w:t>Bendecio</w:t>
      </w:r>
      <w:r>
        <w:t xml:space="preserve">, the Supreme Court heavily emphasized that the burden of proving novation lies with the party asserting it. Bendecio failed to produce any documentary or testimonial evidence that Bautista explicitly agreed to release her. Bautista's act of accepting Mascariñas' promissory note was legally interpreted not as a substitution, but as the accretion of an additional debtor. The Court echoed the established doctrine: </w:t>
      </w:r>
      <w:r>
        <w:rPr>
          <w:i/>
        </w:rPr>
        <w:t>"The mere fact that the creditor receives a guaranty or accepts payments from a third person who has agreed to assume the obligation, when there is no agreement that the first debtor shall be released from responsibility, does not constitute novation"</w:t>
      </w:r>
      <w:r>
        <w:t>.</w:t>
      </w:r>
    </w:p>
    <w:p>
      <w:pPr>
        <w:pStyle w:val="Heading4"/>
      </w:pPr>
      <w:r>
        <w:t>II. The Intersection of Novation and Partnership Liability</w:t>
      </w:r>
    </w:p>
    <w:p>
      <w:r>
        <w:t xml:space="preserve">A fascinating dimension of the </w:t>
      </w:r>
      <w:r>
        <w:rPr>
          <w:i/>
        </w:rPr>
        <w:t>Bendecio</w:t>
      </w:r>
      <w:r>
        <w:t xml:space="preserve"> case is how the failure to establish novation triggered the application of partnership law, specifically the rules on solidary liability.</w:t>
      </w:r>
    </w:p>
    <w:p>
      <w:r>
        <w:t xml:space="preserve">Generally, under </w:t>
      </w:r>
      <w:r>
        <w:rPr>
          <w:b/>
        </w:rPr>
        <w:t>Article 1816</w:t>
      </w:r>
      <w:r>
        <w:t xml:space="preserve"> of the Civil Code, partners are only held </w:t>
      </w:r>
      <w:r>
        <w:rPr>
          <w:i/>
        </w:rPr>
        <w:t>pro rata</w:t>
      </w:r>
      <w:r>
        <w:t xml:space="preserve"> and subsidiarily liable for partnership debts after partnership assets have been exhausted. However, the law carves out stringent exceptions where partners become </w:t>
      </w:r>
      <w:r>
        <w:rPr>
          <w:b/>
        </w:rPr>
        <w:t>solidarily liable</w:t>
      </w:r>
      <w:r>
        <w:t xml:space="preserve"> (meaning the creditor can demand the entire debt from any one of the partners) to protect third parties.</w:t>
      </w:r>
    </w:p>
    <w:p>
      <w:r>
        <w:t xml:space="preserve">Articles 1822, 1823, and 1824 create circumstances for solidary liability, primarily dealing with wrongful acts, omissions, or misapplication of money by a partner acting within the scope of the business. Furthermore, </w:t>
      </w:r>
      <w:r>
        <w:rPr>
          <w:b/>
        </w:rPr>
        <w:t>Article 1825</w:t>
      </w:r>
      <w:r>
        <w:t xml:space="preserve"> states that when a person represents themselves to anyone as a partner in an existing partnership, they are liable to any such person who has given credit to the actual or apparent partnership.</w:t>
      </w:r>
    </w:p>
    <w:p>
      <w:r>
        <w:t>In their defense, both Bendecio and Mascariñas formally admitted during the trial that they were business partners and that the ₱1,100,000.00 loan was utilized as capital for their joint venture. By admitting that the loan was obtained and utilized for the partnership, they inadvertently sealed their fate as solidary debtors. The Supreme Court correctly affirmed the lower courts' application of Article 1825 and 1822–1824. Because Mascariñas stepped in to issue a promissory note for a debt that was fundamentally a partnership liability, and because Bendecio could not prove she was released from this liability, Bautista was perfectly within her rights to hold them jointly and solidarily accountable for the entire sum.</w:t>
      </w:r>
    </w:p>
    <w:p>
      <w:pPr>
        <w:pStyle w:val="Heading4"/>
      </w:pPr>
      <w:r>
        <w:t>III. Extinguishment of Obligations via Commercial Documents</w:t>
      </w:r>
    </w:p>
    <w:p>
      <w:r>
        <w:t>Another legal defense attempted by Bendecio was extinguishment by payment. She argued that because she had issued checks to Bautista, and these checks were eventually returned to her, the obligation must have been settled.</w:t>
      </w:r>
    </w:p>
    <w:p>
      <w:r>
        <w:t xml:space="preserve">The Supreme Court swiftly dismissed this argument by invoking </w:t>
      </w:r>
      <w:r>
        <w:rPr>
          <w:b/>
        </w:rPr>
        <w:t>Article 1249</w:t>
      </w:r>
      <w:r>
        <w:t xml:space="preserve"> of the Civil Code. This article governs the payment of debts in money and the use of mercantile documents. It provides a strict rule: the delivery of promissory notes payable to order, bills of exchange, or checks does </w:t>
      </w:r>
      <w:r>
        <w:rPr>
          <w:b/>
        </w:rPr>
        <w:t>not</w:t>
      </w:r>
      <w:r>
        <w:t xml:space="preserve"> produce the effect of payment. The obligation is only extinguished when these commercial documents have been actually encashed, or when through the fault of the creditor, they have been impaired.</w:t>
      </w:r>
    </w:p>
    <w:p>
      <w:r>
        <w:t>The Court established that the delivery of checks merely suspends the obligation. Until the funds are successfully transferred to the creditor's control, the debt remains active. Since Bendecio failed to prove that the returned checks were ever cashed or that Bautista received the equivalent cash value, the defense of payment collapsed. The debtor bears the absolute burden to prove payment with legal certainty.</w:t>
      </w:r>
    </w:p>
    <w:p>
      <w:pPr>
        <w:pStyle w:val="Heading4"/>
      </w:pPr>
      <w:r>
        <w:t>IV. Judicial Moderation of Unconscionable Interest Rates</w:t>
      </w:r>
    </w:p>
    <w:p>
      <w:r>
        <w:t>While the Supreme Court ruled firmly in favor of the creditor regarding the existence of the debt, it exercised its equitable powers to protect the debtors from oppressive financial terms.</w:t>
      </w:r>
    </w:p>
    <w:p>
      <w:r>
        <w:t>The original verbal agreement stipulated an interest rate of 8% per month. Mathematically, this translates to an astronomical 96% per annum ($8\% \times 12 \text{ months} = 96\%$). Under Philippine jurisprudence, while the Central Bank Circular No. 905 effectively suspended the Usury Law—allowing parties to freely stipulate interest rates—the Supreme Court retains the inherent power to strike down interest rates that are iniquitous, unconscionable, or exorbitant.</w:t>
      </w:r>
    </w:p>
    <w:p>
      <w:r>
        <w:t>An interest rate of 96% per annum shocks the conscience of the court and is contrary to morals and public policy. Consequently, the Court invalidated the 8% monthly rate and replaced it with legally standard rates, providing a masterclass in the calculation of monetary awards:</w:t>
      </w:r>
    </w:p>
    <w:p>
      <w:r>
        <w:t xml:space="preserve">1.  </w:t>
      </w:r>
      <w:r>
        <w:rPr>
          <w:b/>
        </w:rPr>
        <w:t>Monetary Interest:</w:t>
      </w:r>
      <w:r>
        <w:t xml:space="preserve"> Reduced to 12% per annum on the principal amount of ₱1,100,000.00, calculated from the date of extrajudicial demand (September 5, 2013) until the finality of the decision.</w:t>
      </w:r>
    </w:p>
    <w:p>
      <w:r>
        <w:t xml:space="preserve">2.  </w:t>
      </w:r>
      <w:r>
        <w:rPr>
          <w:b/>
        </w:rPr>
        <w:t>Compensatory Interest:</w:t>
      </w:r>
      <w:r>
        <w:t xml:space="preserve"> Set at 6% per annum on the accrued monetary interest, calculated from the date of judicial demand (September 25, 2013) until the finality of the decision.</w:t>
      </w:r>
    </w:p>
    <w:p>
      <w:r>
        <w:t xml:space="preserve">3.  </w:t>
      </w:r>
      <w:r>
        <w:rPr>
          <w:b/>
        </w:rPr>
        <w:t>Legal Interest:</w:t>
      </w:r>
      <w:r>
        <w:t xml:space="preserve"> Set at 6% per annum on the total aggregate monetary award from the date the decision becomes final and executory until the obligation is fully paid.</w:t>
      </w:r>
    </w:p>
    <w:p>
      <w:pPr>
        <w:pStyle w:val="Heading4"/>
      </w:pPr>
      <w:r>
        <w:t>V. The Deletion of Moral Damages in Breach of Contract</w:t>
      </w:r>
    </w:p>
    <w:p>
      <w:r>
        <w:t xml:space="preserve">Finally, the </w:t>
      </w:r>
      <w:r>
        <w:rPr>
          <w:i/>
        </w:rPr>
        <w:t>Bendecio</w:t>
      </w:r>
      <w:r>
        <w:t xml:space="preserve"> ruling clarifies the boundaries of awarding moral damages in cases involving a breach of contract (specifically, a contract of loan). The Regional Trial Court had initially awarded Bautista ₱100,000.00 in moral damages based solely on her testimony that she experienced sadness, weight loss, and sleepless nights due to the petitioners' failure to pay.</w:t>
      </w:r>
    </w:p>
    <w:p>
      <w:r>
        <w:t xml:space="preserve">The Supreme Court overturned this award. Under </w:t>
      </w:r>
      <w:r>
        <w:rPr>
          <w:b/>
        </w:rPr>
        <w:t>Article 2220</w:t>
      </w:r>
      <w:r>
        <w:t xml:space="preserve"> of the Civil Code, moral damages may be awarded in breaches of contract only where the defendant acted fraudulently or in bad faith. Bad faith implies a conscious and intentional design to do a wrongful act for a dishonest purpose or moral obliquity; it contemplates a state of mind affirmatively operating with furtive design or ill will.</w:t>
      </w:r>
    </w:p>
    <w:p>
      <w:r>
        <w:t>The Court noted that mere failure to pay a debt, or a simple breach of contract, does not automatically equate to bad faith. The fact that Mascariñas met with Bautista, executed a promissory note, and attempted to renegotiate the maturity date demonstrated an intent to manage the obligation rather than a fraudulent scheme to evade it. Consequently, without clear and convincing evidence of bad faith on the part of Bendecio and Mascariñas, the emotional distress suffered by Bautista, while unfortunate, was not legally compensable via moral damages. (However, the award for attorney's fees was maintained, recognizing that Bautista was forced to litigate to protect her interests, though reduced to an equitable ₱100,000.00).</w:t>
      </w:r>
    </w:p>
    <w:p>
      <w:pPr>
        <w:pStyle w:val="Heading3"/>
      </w:pPr>
      <w:r>
        <w:t>Conclusion</w:t>
      </w:r>
    </w:p>
    <w:p>
      <w:r>
        <w:rPr>
          <w:i/>
        </w:rPr>
        <w:t>Bendecio v. Bautista</w:t>
      </w:r>
      <w:r>
        <w:t xml:space="preserve"> is a multi-faceted decision that interweaves several critical areas of civil law. It reaffirms the sanctity of the original contractual bond, ensuring that a creditor cannot be prejudiced by the unilateral introduction of a new debtor without express consent. It serves as a stern warning to business partners regarding the solidary nature of their liabilities when borrowing capital. Lastly, it showcases the judiciary's role as a balancing scale—enforcing strict legal obligations while simultaneously tempering oppressive interest rates and unsupported claims for damages. For legal scholars and practitioners, the case stands as a definitive modern authority on passive subjective novation and the strict requisites for its valid application.</w:t>
      </w:r>
    </w:p>
    <w:p>
      <w:r>
        <w:br w:type="page"/>
      </w:r>
    </w:p>
    <w:p>
      <w:pPr>
        <w:pStyle w:val="Heading1"/>
      </w:pPr>
      <w:r>
        <w:t>Module 2C — Novation and Other Modes</w:t>
      </w:r>
    </w:p>
    <w:p>
      <w:pPr>
        <w:pStyle w:val="Heading2"/>
      </w:pPr>
      <w:r>
        <w:t>Case 17: LBC Express, Inc. v. Ado (2005) | G.R. No. 161760</w:t>
      </w:r>
    </w:p>
    <w:p>
      <w:pPr>
        <w:pStyle w:val="Heading2"/>
      </w:pPr>
      <w:r>
        <w:t>Comprehensive Academic Report on Proof of Damages in Breach of Contract: The LBC Express Case</w:t>
      </w:r>
    </w:p>
    <w:p>
      <w:r>
        <w:rPr>
          <w:b/>
        </w:rPr>
        <w:t>Key Points</w:t>
      </w:r>
    </w:p>
    <w:p>
      <w:pPr>
        <w:pStyle w:val="ListBullet"/>
      </w:pPr>
      <w:r>
        <w:t xml:space="preserve">  </w:t>
      </w:r>
      <w:r>
        <w:rPr>
          <w:b/>
        </w:rPr>
        <w:t>Evidentiary Standard for Actual Damages:</w:t>
      </w:r>
      <w:r>
        <w:t xml:space="preserve"> Research underscores that actual or compensatory damages must be proven with a reasonable degree of certainty; speculative claims regarding future employment, even with an active re-entry visa, are insufficient.</w:t>
      </w:r>
    </w:p>
    <w:p>
      <w:pPr>
        <w:pStyle w:val="ListBullet"/>
      </w:pPr>
      <w:r>
        <w:t xml:space="preserve">  </w:t>
      </w:r>
      <w:r>
        <w:rPr>
          <w:b/>
        </w:rPr>
        <w:t>Application of Temperate Damages:</w:t>
      </w:r>
      <w:r>
        <w:t xml:space="preserve"> When a clear pecuniary loss is suffered but its exact monetary value cannot be quantified due to the nature of the case, temperate damages serve as the appropriate legal remedy under Article 2224 of the Civil Code.</w:t>
      </w:r>
    </w:p>
    <w:p>
      <w:pPr>
        <w:pStyle w:val="ListBullet"/>
      </w:pPr>
      <w:r>
        <w:t xml:space="preserve">  </w:t>
      </w:r>
      <w:r>
        <w:rPr>
          <w:b/>
        </w:rPr>
        <w:t>Moral Damages in Contractual Breach:</w:t>
      </w:r>
      <w:r>
        <w:t xml:space="preserve"> The award of moral damages in a breach of contract is strictly predicated on proving that the obligor acted fraudulently or in bad faith, such as raising baseless defenses or ignoring formal demands.</w:t>
      </w:r>
    </w:p>
    <w:p>
      <w:pPr>
        <w:pStyle w:val="ListBullet"/>
      </w:pPr>
      <w:r>
        <w:t xml:space="preserve">  </w:t>
      </w:r>
      <w:r>
        <w:rPr>
          <w:b/>
        </w:rPr>
        <w:t>Nature of the Ancillary Contract:</w:t>
      </w:r>
      <w:r>
        <w:t xml:space="preserve"> A courier's assumption of possession over a client's travel documents for customs facilitation creates a binding obligation of safekeeping, the breach of which triggers civil liability.</w:t>
      </w:r>
    </w:p>
    <w:p>
      <w:r>
        <w:rPr>
          <w:b/>
        </w:rPr>
        <w:t>Introduction to Civil Code Damages</w:t>
      </w:r>
    </w:p>
    <w:p>
      <w:r>
        <w:t>The Philippine civil law framework demands exactitude when compensating for financial loss. Under the Civil Code, damages are not intended to enrich the injured party but to restore them to their previous standing. The adjudication of damages—specifically the interplay between actual, temperate, and moral damages—requires courts to meticulously evaluate the evidence presented. A frequent point of contention arises when a plaintiff undeniably suffers a loss, yet the evidence falls short of mathematical certainty.</w:t>
      </w:r>
    </w:p>
    <w:p>
      <w:r>
        <w:rPr>
          <w:b/>
        </w:rPr>
        <w:t>The Doctrine of Certainty in Unearned Income</w:t>
      </w:r>
    </w:p>
    <w:p>
      <w:r>
        <w:t>In cases involving the loss of future earnings or unearned income, the Supreme Court of the Philippines maintains a stringent threshold. An employer's certification of past salary and a worker's personal anticipation of contract renewal do not equate to guaranteed future income. The legal system acknowledges this evidentiary gap by deploying temperate damages, ensuring that a negligent party does not escape liability simply because the plaintiff's exact financial loss is inherently difficult to compute.</w:t>
      </w:r>
    </w:p>
    <w:p>
      <w:pPr>
        <w:spacing w:before="120" w:after="120"/>
        <w:pBdr>
          <w:bottom w:val="single" w:sz="4" w:space="1" w:color="CCCCCC"/>
        </w:pBdr>
      </w:pPr>
    </w:p>
    <w:p>
      <w:pPr>
        <w:pStyle w:val="Heading2"/>
      </w:pPr>
      <w:r>
        <w:t>Detailed Case Analysis</w:t>
      </w:r>
    </w:p>
    <w:p>
      <w:pPr>
        <w:pStyle w:val="Heading3"/>
      </w:pPr>
      <w:r>
        <w:t>LBC Express, Inc. v. Ado (2005) | G.R. No. 161760</w:t>
      </w:r>
    </w:p>
    <w:p>
      <w:pPr>
        <w:pStyle w:val="Heading4"/>
      </w:pPr>
      <w:r>
        <w:t>1. The Parties</w:t>
      </w:r>
    </w:p>
    <w:p>
      <w:pPr>
        <w:pStyle w:val="ListBullet"/>
      </w:pPr>
      <w:r/>
      <w:r>
        <w:rPr>
          <w:b/>
        </w:rPr>
        <w:t>Petitioner (LBC Express):</w:t>
      </w:r>
      <w:r>
        <w:t xml:space="preserve"> The petitioners in this case are LBC Express, Inc. and LBC International, Inc. (collectively referred to as LBC), which are prominent corporate entities operating as common carriers and freight forwarders in the Philippines. In this specific context, LBC's obligation originated as a contract of carriage to transport cargo from Bahrain to the Philippines. However, their specific obligation in this dispute evolved into an ancillary contract of agency and safekeeping when their employee voluntarily took possession of the respondent's travel document to facilitate customs clearances.</w:t>
      </w:r>
    </w:p>
    <w:p>
      <w:pPr>
        <w:pStyle w:val="ListBullet"/>
      </w:pPr>
      <w:r/>
      <w:r>
        <w:rPr>
          <w:b/>
        </w:rPr>
        <w:t>Respondent (Ado):</w:t>
      </w:r>
      <w:r>
        <w:t xml:space="preserve"> The respondents are the spouses Euberto Ado and Sisinia Ado. Euberto Ado was an Overseas Filipino Worker (OFW) who had been employed as a mechanic at the Marine Workshop of the Al Meroouge Group in Manama, Bahrain. He entrusted his passport to LBC upon his return to the Philippines for a vacation.</w:t>
      </w:r>
    </w:p>
    <w:p>
      <w:pPr>
        <w:pStyle w:val="ListBullet"/>
      </w:pPr>
      <w:r/>
      <w:r>
        <w:rPr>
          <w:b/>
        </w:rPr>
        <w:t>Their relationship:</w:t>
      </w:r>
      <w:r>
        <w:t xml:space="preserve"> The foundation of their relationship was a </w:t>
      </w:r>
      <w:r>
        <w:rPr>
          <w:b/>
        </w:rPr>
        <w:t>contract of carriage</w:t>
      </w:r>
      <w:r>
        <w:t xml:space="preserve"> initiated when Euberto shipped five boxes of personal effects through Al-Mulla Cargo &amp; Packing (AMCP), an authorized agent of LBC in Bahrain, covered by House Air Waybill (HAWB) No. 004467. This relationship subsequently expanded into an </w:t>
      </w:r>
      <w:r>
        <w:rPr>
          <w:b/>
        </w:rPr>
        <w:t>ancillary contract of service or safekeeping</w:t>
      </w:r>
      <w:r>
        <w:t xml:space="preserve"> (akin to a deposit or agency) when an LBC customer service employee offered to process customs duty exemptions on Euberto's behalf, requiring him to surrender his physical passport.</w:t>
      </w:r>
    </w:p>
    <w:p>
      <w:pPr>
        <w:pStyle w:val="Heading4"/>
      </w:pPr>
      <w:r>
        <w:t>2. Background &amp; Facts</w:t>
      </w:r>
    </w:p>
    <w:p>
      <w:pPr>
        <w:pStyle w:val="ListBullet"/>
      </w:pPr>
      <w:r/>
      <w:r>
        <w:rPr>
          <w:b/>
        </w:rPr>
        <w:t>What item or shipment was involved? What happened to it?</w:t>
      </w:r>
      <w:r>
        <w:t xml:space="preserve"> The primary item in dispute was Euberto Ado’s </w:t>
      </w:r>
      <w:r>
        <w:rPr>
          <w:b/>
        </w:rPr>
        <w:t>Philippine Passport (No. L067892)</w:t>
      </w:r>
      <w:r>
        <w:t>, which critically contained a valid re-entry visa to Bahrain. Upon arriving in the Philippines for a vacation, Euberto went to LBC's Aviation Center in Pasay City. An LBC employee, Myrna Mendoza, convinced a hesitant Euberto to entrust his passport to her so LBC could submit it to the Customs Office to secure tax exemptions for his shipped boxes. While LBC successfully delivered the five boxes to the spouses' residence in Ormoc City on separate dates, the passport was lost while in LBC's custody and was never returned.</w:t>
      </w:r>
    </w:p>
    <w:p>
      <w:pPr>
        <w:pStyle w:val="ListBullet"/>
      </w:pPr>
      <w:r/>
      <w:r>
        <w:rPr>
          <w:b/>
        </w:rPr>
        <w:t>What was the claimed loss or damage?</w:t>
      </w:r>
      <w:r>
        <w:t xml:space="preserve"> Euberto claimed that the loss of his passport and the attached re-entry visa completely deprived him of the opportunity to return to Bahrain and resume his employment. He claimed actual and compensatory damages amounting to </w:t>
      </w:r>
      <w:r>
        <w:rPr>
          <w:b/>
        </w:rPr>
        <w:t>₱480,000.00</w:t>
      </w:r>
      <w:r>
        <w:t>, which represented his unearned income based on a basic monthly salary of approximately ₱20,000.00 (equivalent to 280 Bahrain Dinars) over an anticipated two-year contract renewal.</w:t>
      </w:r>
    </w:p>
    <w:p>
      <w:pPr>
        <w:pStyle w:val="ListBullet"/>
      </w:pPr>
      <w:r/>
      <w:r>
        <w:rPr>
          <w:b/>
        </w:rPr>
        <w:t>Was the loss proven? What evidence was presented?</w:t>
      </w:r>
      <w:r>
        <w:t xml:space="preserve"> The Regional Trial Court (RTC) initially deemed the loss proven, but the Supreme Court ultimately ruled that the *exact* quantum of actual damages was not proven with reasonable certainty. The evidence presented by the respondents consisted merely of Euberto's own testimony and a certification from his employer in Bahrain establishing his previous salary of BD 280.000. The Court noted that this evidence failed to conclusively prove that his employer would automatically re-employ him for a specific two-year term under the exact same compensation upon his return.</w:t>
      </w:r>
    </w:p>
    <w:p>
      <w:pPr>
        <w:pStyle w:val="ListBullet"/>
      </w:pPr>
      <w:r/>
      <w:r>
        <w:rPr>
          <w:b/>
        </w:rPr>
        <w:t>Did LBC deny liability, or contest the amount?</w:t>
      </w:r>
      <w:r>
        <w:t xml:space="preserve"> Yes, LBC contested both their liability and the amount of damages awarded. LBC attempted to excuse the loss by claiming in their formal answer that their delivery van had been forcibly opened and pilfered by unidentified thieves. Furthermore, LBC argued that the spouses Ado failed to mitigate their damages because Euberto did not attempt to apply for a replacement passport or a new two-year contract through the Bahrain Embassy in Manila.</w:t>
      </w:r>
    </w:p>
    <w:p>
      <w:pPr>
        <w:pStyle w:val="ListBullet"/>
      </w:pPr>
      <w:r/>
      <w:r>
        <w:rPr>
          <w:b/>
        </w:rPr>
        <w:t>Timeline of key events:</w:t>
      </w:r>
      <w:r/>
    </w:p>
    <w:p>
      <w:pPr>
        <w:pStyle w:val="ListBullet"/>
      </w:pPr>
      <w:r/>
      <w:r>
        <w:rPr>
          <w:b/>
        </w:rPr>
        <w:t>August 8, 1995:</w:t>
      </w:r>
      <w:r>
        <w:t xml:space="preserve"> Euberto ships five boxes from Bahrain to Manila via LBC's agent and departs for a three-month vacation in the Philippines.</w:t>
      </w:r>
    </w:p>
    <w:p>
      <w:pPr>
        <w:pStyle w:val="ListBullet"/>
      </w:pPr>
      <w:r/>
      <w:r>
        <w:rPr>
          <w:b/>
        </w:rPr>
        <w:t>August 1995:</w:t>
      </w:r>
      <w:r>
        <w:t xml:space="preserve"> Euberto visits LBC in Pasay City and entrusts his passport to an LBC employee for customs processing.</w:t>
      </w:r>
    </w:p>
    <w:p>
      <w:pPr>
        <w:pStyle w:val="ListBullet"/>
      </w:pPr>
      <w:r/>
      <w:r>
        <w:rPr>
          <w:b/>
        </w:rPr>
        <w:t>September 7, 14, &amp; 16, 1995:</w:t>
      </w:r>
      <w:r>
        <w:t xml:space="preserve"> LBC delivers the boxes to Euberto's province, but the passport is missing.</w:t>
      </w:r>
    </w:p>
    <w:p>
      <w:pPr>
        <w:pStyle w:val="ListBullet"/>
      </w:pPr>
      <w:r/>
      <w:r>
        <w:rPr>
          <w:b/>
        </w:rPr>
        <w:t>January 8, 1996:</w:t>
      </w:r>
      <w:r>
        <w:t xml:space="preserve"> Following months of unsuccessful follow-ups, Euberto's legal counsel sends a formal demand letter to LBC.</w:t>
      </w:r>
    </w:p>
    <w:p>
      <w:pPr>
        <w:pStyle w:val="ListBullet"/>
      </w:pPr>
      <w:r/>
      <w:r>
        <w:rPr>
          <w:b/>
        </w:rPr>
        <w:t>September 22, 1997:</w:t>
      </w:r>
      <w:r>
        <w:t xml:space="preserve"> The Spouses Ado file a complaint for damages before the RTC of Naval, Biliran (Civil Case No. B-1024).</w:t>
      </w:r>
    </w:p>
    <w:p>
      <w:pPr>
        <w:pStyle w:val="ListBullet"/>
      </w:pPr>
      <w:r/>
      <w:r>
        <w:rPr>
          <w:b/>
        </w:rPr>
        <w:t>October 22, 2001:</w:t>
      </w:r>
      <w:r>
        <w:t xml:space="preserve"> The RTC renders judgment in favor of the Spouses Ado, awarding ₱480,000 in actual damages and ₱300,000 in moral damages.</w:t>
      </w:r>
    </w:p>
    <w:p>
      <w:pPr>
        <w:pStyle w:val="ListBullet"/>
      </w:pPr>
      <w:r/>
      <w:r>
        <w:rPr>
          <w:b/>
        </w:rPr>
        <w:t>July 10, 2003:</w:t>
      </w:r>
      <w:r>
        <w:t xml:space="preserve"> The Court of Appeals (CA) affirms the trial court's decision but modifies the awards, identifying the evidentiary shortcomings regarding full actual damages.</w:t>
      </w:r>
    </w:p>
    <w:p>
      <w:pPr>
        <w:pStyle w:val="ListBullet"/>
      </w:pPr>
      <w:r/>
      <w:r>
        <w:rPr>
          <w:b/>
        </w:rPr>
        <w:t>August 25, 2005:</w:t>
      </w:r>
      <w:r>
        <w:t xml:space="preserve"> The Supreme Court issues its final decision, partially granting LBC's petition by deleting actual damages and awarding temperate damages instead.</w:t>
      </w:r>
    </w:p>
    <w:p>
      <w:pPr>
        <w:pStyle w:val="Heading4"/>
      </w:pPr>
      <w:r>
        <w:t>3. The Contract or Obligation</w:t>
      </w:r>
    </w:p>
    <w:p>
      <w:pPr>
        <w:pStyle w:val="ListBullet"/>
      </w:pPr>
      <w:r/>
      <w:r>
        <w:rPr>
          <w:b/>
        </w:rPr>
        <w:t>What was the contract between LBC and Ado?</w:t>
      </w:r>
      <w:r>
        <w:t xml:space="preserve"> The interaction created a bifurcated contractual relationship. The primary contract was a </w:t>
      </w:r>
      <w:r>
        <w:rPr>
          <w:b/>
        </w:rPr>
        <w:t>contract of carriage</w:t>
      </w:r>
      <w:r>
        <w:t xml:space="preserve"> for the transport of personal goods. The secondary, localized contract was one of </w:t>
      </w:r>
      <w:r>
        <w:rPr>
          <w:b/>
        </w:rPr>
        <w:t>service and safekeeping</w:t>
      </w:r>
      <w:r>
        <w:t>, formed the moment LBC’s Customer Service Department requested and accepted Euberto’s passport to act as his representative before the Bureau of Customs.</w:t>
      </w:r>
    </w:p>
    <w:p>
      <w:pPr>
        <w:pStyle w:val="ListBullet"/>
      </w:pPr>
      <w:r/>
      <w:r>
        <w:rPr>
          <w:b/>
        </w:rPr>
        <w:t>What was LBC's obligation — delivery, safekeeping?</w:t>
      </w:r>
      <w:r>
        <w:t xml:space="preserve"> LBC possessed a dual obligation: first, to safely deliver the cargo to the consignee; second, to exercise due diligence in the </w:t>
      </w:r>
      <w:r>
        <w:rPr>
          <w:b/>
        </w:rPr>
        <w:t>safekeeping</w:t>
      </w:r>
      <w:r>
        <w:t xml:space="preserve"> of Euberto's passport, use it strictly for the agreed-upon purpose of securing tax exemptions, and subsequently </w:t>
      </w:r>
      <w:r>
        <w:rPr>
          <w:b/>
        </w:rPr>
        <w:t>return</w:t>
      </w:r>
      <w:r>
        <w:t xml:space="preserve"> it to him alongside his shipment.</w:t>
      </w:r>
    </w:p>
    <w:p>
      <w:pPr>
        <w:pStyle w:val="ListBullet"/>
      </w:pPr>
      <w:r/>
      <w:r>
        <w:rPr>
          <w:b/>
        </w:rPr>
        <w:t>How was the obligation breached?</w:t>
      </w:r>
      <w:r>
        <w:t xml:space="preserve"> The obligation was breached through the physical loss of the passport while under LBC's exclusive control and their subsequent failure to return it. The breach was characterized by gross negligence, compounded by LBC's inability to substantiate their defensive claim that the loss was due to an unforeseeable pilferage of their delivery van.</w:t>
      </w:r>
    </w:p>
    <w:p>
      <w:pPr>
        <w:pStyle w:val="Heading4"/>
      </w:pPr>
      <w:r>
        <w:t>4. Legal Issues Raised</w:t>
      </w:r>
    </w:p>
    <w:p>
      <w:pPr>
        <w:pStyle w:val="ListBullet"/>
      </w:pPr>
      <w:r/>
      <w:r>
        <w:rPr>
          <w:b/>
        </w:rPr>
        <w:t>Were actual damages proven?</w:t>
      </w:r>
      <w:r>
        <w:t xml:space="preserve"> The central legal issue was whether the respondents adduced preponderant and competent evidence to justify the award of ₱480,000.00 in actual damages for unearned income, or if such an award was based on mere speculation and conjecture regarding future employment.</w:t>
      </w:r>
    </w:p>
    <w:p>
      <w:pPr>
        <w:pStyle w:val="ListBullet"/>
      </w:pPr>
      <w:r/>
      <w:r>
        <w:rPr>
          <w:b/>
        </w:rPr>
        <w:t>If not, were temperate damages proper?</w:t>
      </w:r>
      <w:r>
        <w:t xml:space="preserve"> A secondary issue examined whether, in the absence of absolute proof for actual damages, the courts could lawfully award temperate damages acknowledging that the respondent undeniably suffered a tangible pecuniary loss due to the missing passport.</w:t>
      </w:r>
    </w:p>
    <w:p>
      <w:pPr>
        <w:pStyle w:val="ListBullet"/>
      </w:pPr>
      <w:r/>
      <w:r>
        <w:rPr>
          <w:b/>
        </w:rPr>
        <w:t>Were moral damages proper in a contractual breach context?</w:t>
      </w:r>
      <w:r>
        <w:t xml:space="preserve"> The Court had to determine if LBC's actions constituted bad faith or gross negligence amounting to bad faith, which is the strict prerequisite for awarding moral damages in cases arising from a breach of contract.</w:t>
      </w:r>
    </w:p>
    <w:p>
      <w:pPr>
        <w:pStyle w:val="Heading4"/>
      </w:pPr>
      <w:r>
        <w:t>5. Supreme Court Ruling</w:t>
      </w:r>
    </w:p>
    <w:p>
      <w:pPr>
        <w:pStyle w:val="ListBullet"/>
      </w:pPr>
      <w:r/>
      <w:r>
        <w:rPr>
          <w:b/>
        </w:rPr>
        <w:t>What did the SC decide on actual damages — were they proven?</w:t>
      </w:r>
      <w:r>
        <w:t xml:space="preserve"> The Supreme Court definitively ruled that </w:t>
      </w:r>
      <w:r>
        <w:rPr>
          <w:b/>
        </w:rPr>
        <w:t>actual damages were not proven</w:t>
      </w:r>
      <w:r>
        <w:t xml:space="preserve"> and subsequently deleted the ₱480,000.00 award. The Court emphasized the jurisprudential rule that actual or compensatory damages cannot be presumed; they must be proven with a reasonable degree of certainty. The evidence provided—an employer's certificate of past salary and a valid re-entry visa—did not constitute competent proof that Euberto would have been automatically re-hired for a continuous two-year period under identical terms.</w:t>
      </w:r>
    </w:p>
    <w:p>
      <w:pPr>
        <w:pStyle w:val="ListBullet"/>
      </w:pPr>
      <w:r/>
      <w:r>
        <w:rPr>
          <w:b/>
        </w:rPr>
        <w:t>Were temperate damages awarded instead? On what basis?</w:t>
      </w:r>
      <w:r>
        <w:t xml:space="preserve"> Yes, the Supreme Court awarded </w:t>
      </w:r>
      <w:r>
        <w:rPr>
          <w:b/>
        </w:rPr>
        <w:t>₱10,000.00 in temperate damages</w:t>
      </w:r>
      <w:r>
        <w:t xml:space="preserve"> in lieu of actual damages. The award was based on the recognition that while the precise monetary value of the lost employment opportunity and the passport itself could not be mathematically calculated, Euberto undoubtedly suffered some degree of pecuniary loss directly resulting from LBC's negligence.</w:t>
      </w:r>
    </w:p>
    <w:p>
      <w:pPr>
        <w:pStyle w:val="ListBullet"/>
      </w:pPr>
      <w:r/>
      <w:r>
        <w:rPr>
          <w:b/>
        </w:rPr>
        <w:t>Were moral damages awarded? Was bad faith found?</w:t>
      </w:r>
      <w:r>
        <w:t xml:space="preserve"> Yes, the Court affirmed the entitlement to moral damages but reduced the RTC's excessive award to </w:t>
      </w:r>
      <w:r>
        <w:rPr>
          <w:b/>
        </w:rPr>
        <w:t>₱50,000.00</w:t>
      </w:r>
      <w:r>
        <w:t xml:space="preserve">. The Court explicitly found that LBC acted in </w:t>
      </w:r>
      <w:r>
        <w:rPr>
          <w:b/>
        </w:rPr>
        <w:t>bad faith</w:t>
      </w:r>
      <w:r>
        <w:t>. This bad faith was manifested in their dilly-dallying response to Euberto's inquiries, their blatant disregard of his counsel's formal demand letter, and their introduction of a baseless, unproven allegation in their legal pleadings claiming the passport was stolen during a van pilferage.</w:t>
      </w:r>
    </w:p>
    <w:p>
      <w:pPr>
        <w:pStyle w:val="ListBullet"/>
      </w:pPr>
      <w:r/>
      <w:r>
        <w:rPr>
          <w:b/>
        </w:rPr>
        <w:t>What was the disposition?</w:t>
      </w:r>
      <w:r>
        <w:t xml:space="preserve"> The Supreme Court affirmed the Court of Appeals' decision with modifications. The award for actual/compensatory damages was entirely deleted. In its place, the Spouses Ado were awarded ₱10,000.00 in temperate damages. The moral damages were reduced to ₱50,000.00, and attorney's fees were reduced to ₱15,000.00.</w:t>
      </w:r>
    </w:p>
    <w:p>
      <w:pPr>
        <w:pStyle w:val="Heading4"/>
      </w:pPr>
      <w:r>
        <w:t>6. Key Doctrine / Civil Code Hook</w:t>
      </w:r>
    </w:p>
    <w:p>
      <w:pPr>
        <w:pStyle w:val="ListBullet"/>
      </w:pPr>
      <w:r/>
      <w:r>
        <w:rPr>
          <w:b/>
        </w:rPr>
        <w:t>State the rule on temperate damages (Art. 2224):</w:t>
      </w:r>
      <w:r>
        <w:t xml:space="preserve"> Article 2224 of the New Civil Code dictates that temperate or moderate damages (which are more than nominal but less than compensatory damages) may be recovered when the court finds that some pecuniary loss has been suffered but its amount cannot, from the nature of the case, be proved with absolute certainty.</w:t>
      </w:r>
    </w:p>
    <w:p>
      <w:pPr>
        <w:pStyle w:val="ListBullet"/>
      </w:pPr>
      <w:r/>
      <w:r>
        <w:rPr>
          <w:b/>
        </w:rPr>
        <w:t>State the rule on moral damages in breach of contract (Art. 2220):</w:t>
      </w:r>
      <w:r>
        <w:t xml:space="preserve"> Under Article 2220 of the Civil Code, moral damages are generally not recoverable in breaches of contract. However, they may be awarded if the defendant acted fraudulently, in bad faith, or with gross negligence amounting to a wanton disregard of their contractual obligations.</w:t>
      </w:r>
    </w:p>
    <w:p>
      <w:pPr>
        <w:pStyle w:val="ListBullet"/>
      </w:pPr>
      <w:r/>
      <w:r>
        <w:rPr>
          <w:b/>
        </w:rPr>
        <w:t>Which Civil Code articles were applied?</w:t>
      </w:r>
      <w:r/>
    </w:p>
    <w:p>
      <w:pPr>
        <w:pStyle w:val="ListBullet"/>
      </w:pPr>
      <w:r/>
      <w:r>
        <w:rPr>
          <w:b/>
        </w:rPr>
        <w:t>Article 2201:</w:t>
      </w:r>
      <w:r>
        <w:t xml:space="preserve"> Pertaining to the scope of liability for damages in contracts, distinguishing between obligors in good faith (liable for foreseeable damages) and those in bad faith (liable for all damages reasonably attributed to the non-performance).</w:t>
      </w:r>
    </w:p>
    <w:p>
      <w:pPr>
        <w:pStyle w:val="ListBullet"/>
      </w:pPr>
      <w:r/>
      <w:r>
        <w:rPr>
          <w:b/>
        </w:rPr>
        <w:t>Article 2219 &amp; 2220:</w:t>
      </w:r>
      <w:r>
        <w:t xml:space="preserve"> Identifying the specific instances where moral damages may be predicated, specifically focusing on bad faith in contractual breaches.</w:t>
      </w:r>
    </w:p>
    <w:p>
      <w:pPr>
        <w:pStyle w:val="ListBullet"/>
      </w:pPr>
      <w:r/>
      <w:r>
        <w:rPr>
          <w:b/>
        </w:rPr>
        <w:t>Article 2224:</w:t>
      </w:r>
      <w:r>
        <w:t xml:space="preserve"> Serving as the direct statutory basis for the substitution of unproven actual damages with temperate damages.</w:t>
      </w:r>
    </w:p>
    <w:p>
      <w:pPr>
        <w:pStyle w:val="Heading4"/>
      </w:pPr>
      <w:r>
        <w:t>7. Memory Anchor</w:t>
      </w:r>
    </w:p>
    <w:p>
      <w:pPr>
        <w:pStyle w:val="ListBullet"/>
      </w:pPr>
      <w:r/>
      <w:r>
        <w:rPr>
          <w:b/>
        </w:rPr>
        <w:t>A 1–2 sentence story hook or mnemonic for bar/exam recall:</w:t>
      </w:r>
      <w:r>
        <w:t xml:space="preserve"> Euberto gave LBC his passport to save on customs, but LBC lost his ticket back to Bahrain and blamed ghost robbers; the Supreme Court ruled, *"No guaranteed job means no actual damages, but since you suffered unquantifiable loss and LBC lied, here are temperate and moral damages instead."*</w:t>
      </w:r>
    </w:p>
    <w:p>
      <w:pPr>
        <w:pStyle w:val="Heading2"/>
      </w:pPr>
      <w:r>
        <w:t>Case 18: Bongcayao v. CONFED (2021) | G.R. No. 225438</w:t>
      </w:r>
    </w:p>
    <w:p>
      <w:pPr>
        <w:pStyle w:val="Heading2"/>
      </w:pPr>
      <w:r>
        <w:t>Comprehensive Legal Analysis of Bongcayao v. CONFED (G.R. No. 225438): Damages in Commercial Breach and The Principles of Novation</w:t>
      </w:r>
    </w:p>
    <w:p>
      <w:r>
        <w:rPr>
          <w:b/>
        </w:rPr>
        <w:t>Key Points:</w:t>
      </w:r>
    </w:p>
    <w:p>
      <w:pPr>
        <w:pStyle w:val="ListBullet"/>
      </w:pPr>
      <w:r>
        <w:t xml:space="preserve">  </w:t>
      </w:r>
      <w:r>
        <w:rPr>
          <w:b/>
        </w:rPr>
        <w:t>Case Identity:</w:t>
      </w:r>
      <w:r>
        <w:t xml:space="preserve"> The case is formally known as *Voltaire Hans N. Bongcayao (doing business as VHB Biopro Enterprises) and Pete Nicomedes Prado v. Confederation of Sugar Producers Cooperatives (CONFED)*, G.R. No. 225438, decided by the Philippine Supreme Court on January 20, 2021. *Note: The user query referred to CONFED as "Confederation of Coconut Farmers," but the official court records correctly identify it as the "Confederation of Sugar Producers Cooperatives".*</w:t>
      </w:r>
    </w:p>
    <w:p>
      <w:pPr>
        <w:pStyle w:val="ListBullet"/>
      </w:pPr>
      <w:r>
        <w:t xml:space="preserve">  </w:t>
      </w:r>
      <w:r>
        <w:rPr>
          <w:b/>
        </w:rPr>
        <w:t>Core Dispute:</w:t>
      </w:r>
      <w:r>
        <w:t xml:space="preserve"> Research suggests the conflict arose from a Sales and Purchase Agreement for 250,000 bags of urea fertilizers. The supplier (VHB Biopro) failed to deliver the goods after the buyer (CONFED) opened a massive P177,500,000.00 Letter of Credit.</w:t>
      </w:r>
    </w:p>
    <w:p>
      <w:pPr>
        <w:pStyle w:val="ListBullet"/>
      </w:pPr>
      <w:r>
        <w:t xml:space="preserve">  </w:t>
      </w:r>
      <w:r>
        <w:rPr>
          <w:b/>
        </w:rPr>
        <w:t>Damages and Proof:</w:t>
      </w:r>
      <w:r>
        <w:t xml:space="preserve"> The Supreme Court ultimately ruled that while actual damages (lost profits) require strict, concrete proof, the court may award temperate damages (set at P4,000,000.00 in this case) when it is certain that a business suffered pecuniary loss, but the exact amount cannot be calculated with absolute certainty.</w:t>
      </w:r>
    </w:p>
    <w:p>
      <w:pPr>
        <w:pStyle w:val="ListBullet"/>
      </w:pPr>
      <w:r>
        <w:t xml:space="preserve">  </w:t>
      </w:r>
      <w:r>
        <w:rPr>
          <w:b/>
        </w:rPr>
        <w:t>Moral Damages in Contracts:</w:t>
      </w:r>
      <w:r>
        <w:t xml:space="preserve"> The evidence leans toward the well-established doctrine that simple breach of contract does not warrant moral damages. Such damages are only granted if the breaching party acted with clear bad faith, gross negligence, or wanton disregard for contractual obligations.</w:t>
      </w:r>
    </w:p>
    <w:p>
      <w:pPr>
        <w:pStyle w:val="ListBullet"/>
      </w:pPr>
      <w:r>
        <w:t xml:space="preserve">  </w:t>
      </w:r>
      <w:r>
        <w:rPr>
          <w:b/>
        </w:rPr>
        <w:t>Novation:</w:t>
      </w:r>
      <w:r>
        <w:t xml:space="preserve"> As an addendum requested, this report also explores Module 2C on the legal concept of Novation—how obligations are legally "fixed" or modified under Articles 1292–1296 and 1878 of the Civil Code.</w:t>
      </w:r>
    </w:p>
    <w:p>
      <w:r>
        <w:t>This report is designed to be an exhaustive academic exposition on the intersection of commercial breaches, the evidentiary standards for various classes of damages, and the underlying civil code provisions governing these relationships. It seeks to provide legal scholars, law students, and practitioners with a granular understanding of how the Supreme Court balances the need to compensate injured businesses against the strict evidentiary requirements of the Philippine Civil Code.</w:t>
      </w:r>
    </w:p>
    <w:p>
      <w:r>
        <w:rPr>
          <w:b/>
        </w:rPr>
      </w:r>
    </w:p>
    <w:p>
      <w:pPr>
        <w:pStyle w:val="Heading3"/>
      </w:pPr>
      <w:r>
        <w:t>Bongcayao v. CONFED (2021) | G.R. No. 225438</w:t>
      </w:r>
    </w:p>
    <w:p>
      <w:pPr>
        <w:pStyle w:val="Heading4"/>
      </w:pPr>
      <w:r>
        <w:t>1. The Parties</w:t>
      </w:r>
    </w:p>
    <w:p>
      <w:pPr>
        <w:pStyle w:val="ListBullet"/>
      </w:pPr>
      <w:r/>
      <w:r>
        <w:rPr>
          <w:b/>
        </w:rPr>
        <w:t>Petitioner (Bongcayao/VHB Biopro):</w:t>
      </w:r>
      <w:r>
        <w:t xml:space="preserve"> Voltaire Hans N. Bongcayao, doing business under the name and style of VHB Biopro Enterprises. He is joined by his attorney-in-fact, Pete Nicomedes Prado. They acted in the capacity of the seller and supplier of agricultural fertilizers.</w:t>
      </w:r>
    </w:p>
    <w:p>
      <w:pPr>
        <w:pStyle w:val="ListBullet"/>
      </w:pPr>
      <w:r/>
      <w:r>
        <w:rPr>
          <w:b/>
        </w:rPr>
        <w:t>Respondent (CONFED):</w:t>
      </w:r>
      <w:r>
        <w:t xml:space="preserve"> The Confederation of Sugar Producers Cooperatives, represented by its Chief Operating Officer, Jose J. Jison. CONFED is an agricultural cooperative acting in the capacity of the buyer. Its primary obligation was to open a domestic letter of credit to guarantee payment for the fertilizers. *Another key respondent is Prudential Guarantee and Assurance, Inc. (PGAI), the surety company that issued the performance bond.*</w:t>
      </w:r>
    </w:p>
    <w:p>
      <w:pPr>
        <w:pStyle w:val="ListBullet"/>
      </w:pPr>
      <w:r/>
      <w:r>
        <w:rPr>
          <w:b/>
        </w:rPr>
        <w:t>Their relationship:</w:t>
      </w:r>
      <w:r>
        <w:t xml:space="preserve"> The parties were bound by a purely commercial and contractual relationship governed by a Sales and Purchase Agreement executed on December 11, 2007, wherein VHB Biopro was to supply fertilizers to CONFED.</w:t>
      </w:r>
    </w:p>
    <w:p>
      <w:pPr>
        <w:pStyle w:val="Heading4"/>
      </w:pPr>
      <w:r>
        <w:t>2. Background &amp; Facts</w:t>
      </w:r>
    </w:p>
    <w:p>
      <w:pPr>
        <w:pStyle w:val="ListBullet"/>
      </w:pPr>
      <w:r/>
      <w:r>
        <w:rPr>
          <w:b/>
        </w:rPr>
        <w:t>What did the parties agree to?</w:t>
      </w:r>
      <w:r>
        <w:t xml:space="preserve"> Following a Letter of Intent on October 16, 2007, the parties executed a Sales and Purchase Agreement on December 11, 2007. VHB Biopro agreed to supply and deliver 250,000 bags of urea agricultural grade fertilizer to Bredco Port, Bacolod City within 45 days after CONFED opened a domestic letter of credit. VHB Biopro was also required to secure a P5,000,000.00 Performance Bond, which it did through PGAI. CONFED agreed to open an Irrevocable Transferrable Domestic Letter of Credit worth P177,500,000.00 to guarantee payment.</w:t>
      </w:r>
    </w:p>
    <w:p>
      <w:pPr>
        <w:pStyle w:val="ListBullet"/>
      </w:pPr>
      <w:r/>
      <w:r>
        <w:rPr>
          <w:b/>
        </w:rPr>
        <w:t>What breach occurred — what did CONFED fail to do?</w:t>
      </w:r>
      <w:r>
        <w:t xml:space="preserve"> *(Correction to the query's premise)*: CONFED did *not* fail to do its part; it successfully opened the required P177,500,000.00 Letter of Credit on January 14, 2008. The breach was committed by </w:t>
      </w:r>
      <w:r>
        <w:rPr>
          <w:b/>
        </w:rPr>
        <w:t>Bongcayao (VHB Biopro)</w:t>
      </w:r>
      <w:r>
        <w:t>, who failed to deliver the 250,000 bags of urea fertilizers. Bongcayao preemptively sued to nullify the contract, claiming the payment terms were ambiguous and did not reflect a prior verbal agreement, but the courts found this to be an unjustified attempt to renege on clear contractual obligations.</w:t>
      </w:r>
    </w:p>
    <w:p>
      <w:pPr>
        <w:pStyle w:val="ListBullet"/>
      </w:pPr>
      <w:r/>
      <w:r>
        <w:rPr>
          <w:b/>
        </w:rPr>
        <w:t>What business losses did Bongcayao suffer?</w:t>
      </w:r>
      <w:r>
        <w:t xml:space="preserve"> *(Correction to the query's premise)*: Bongcayao did not suffer the primary business losses in this context; rather, </w:t>
      </w:r>
      <w:r>
        <w:rPr>
          <w:b/>
        </w:rPr>
        <w:t>CONFED</w:t>
      </w:r>
      <w:r>
        <w:t xml:space="preserve"> suffered business losses (lost profits and lost business opportunities) because it could not resell the fertilizers to its cooperative members/buyers due to Bongcayao's non-delivery.</w:t>
      </w:r>
    </w:p>
    <w:p>
      <w:pPr>
        <w:pStyle w:val="ListBullet"/>
      </w:pPr>
      <w:r/>
      <w:r>
        <w:rPr>
          <w:b/>
        </w:rPr>
        <w:t>Was the loss quantifiable? What evidence was presented?</w:t>
      </w:r>
      <w:r>
        <w:t xml:space="preserve"> CONFED claimed P30,000,000.00 in compensatory damages for lost profits (lucrum cessans). The Court of Appeals initially granted this amount. However, the Supreme Court reversed this specific award, ruling that the P30,000,000.00 was unquantifiable and speculative due to a lack of "persuasive, substantial proof". Because the exact pecuniary loss could not be proven with absolute certainty, the SC awarded P4,000,000.00 in temperate damages instead.</w:t>
      </w:r>
    </w:p>
    <w:p>
      <w:pPr>
        <w:pStyle w:val="ListBullet"/>
      </w:pPr>
      <w:r/>
      <w:r>
        <w:rPr>
          <w:b/>
        </w:rPr>
        <w:t>Timeline of key events:</w:t>
      </w:r>
      <w:r/>
    </w:p>
    <w:p>
      <w:pPr>
        <w:pStyle w:val="ListBullet"/>
      </w:pPr>
      <w:r>
        <w:t>*October 16, 2007:* CONFED issues a Letter of Intent.</w:t>
      </w:r>
    </w:p>
    <w:p>
      <w:pPr>
        <w:pStyle w:val="ListBullet"/>
      </w:pPr>
      <w:r>
        <w:t>*December 11, 2007:* Sales and Purchase Agreement executed.</w:t>
      </w:r>
    </w:p>
    <w:p>
      <w:pPr>
        <w:pStyle w:val="ListBullet"/>
      </w:pPr>
      <w:r>
        <w:t>*December 26, 2007:* VHB Biopro secures a P5M Performance Bond from PGAI.</w:t>
      </w:r>
    </w:p>
    <w:p>
      <w:pPr>
        <w:pStyle w:val="ListBullet"/>
      </w:pPr>
      <w:r>
        <w:t>*January 14, 2008:* CONFED opens the P177.5M Letter of Credit.</w:t>
      </w:r>
    </w:p>
    <w:p>
      <w:pPr>
        <w:pStyle w:val="ListBullet"/>
      </w:pPr>
      <w:r>
        <w:t>*March 2008:* VHB Biopro fails to deliver; CONFED demands the P5M bond from PGAI. VHB Biopro files a complaint to nullify the contract.</w:t>
      </w:r>
    </w:p>
    <w:p>
      <w:pPr>
        <w:pStyle w:val="ListBullet"/>
      </w:pPr>
      <w:r>
        <w:t>*April 2, 2008:* PGAI pays the P5M bond to CONFED.</w:t>
      </w:r>
    </w:p>
    <w:p>
      <w:pPr>
        <w:pStyle w:val="ListBullet"/>
      </w:pPr>
      <w:r>
        <w:t>*March 11, 2014:* RTC rules in favor of VHB Biopro.</w:t>
      </w:r>
    </w:p>
    <w:p>
      <w:pPr>
        <w:pStyle w:val="ListBullet"/>
      </w:pPr>
      <w:r>
        <w:t>*January 19, 2016:* CA reverses the RTC, ruling in favor of CONFED, awarding P30M in actual damages.</w:t>
      </w:r>
    </w:p>
    <w:p>
      <w:pPr>
        <w:pStyle w:val="ListBullet"/>
      </w:pPr>
      <w:r>
        <w:t>*January 20, 2021:* SC affirms CA's finding of breach but modifies damages to P4M temperate damages.</w:t>
      </w:r>
    </w:p>
    <w:p>
      <w:pPr>
        <w:pStyle w:val="Heading4"/>
      </w:pPr>
      <w:r>
        <w:t>3. The Contract or Obligation</w:t>
      </w:r>
    </w:p>
    <w:p>
      <w:pPr>
        <w:pStyle w:val="ListBullet"/>
      </w:pPr>
      <w:r/>
      <w:r>
        <w:rPr>
          <w:b/>
        </w:rPr>
        <w:t>What was the original obligation?</w:t>
      </w:r>
      <w:r>
        <w:t xml:space="preserve"> A reciprocal obligation under a contract of sale. VHB Biopro's obligation was to deliver 250,000 bags of urea fertilizer within 45 days. CONFED's obligation was to secure payment via a Letter of Credit.</w:t>
      </w:r>
    </w:p>
    <w:p>
      <w:pPr>
        <w:pStyle w:val="ListBullet"/>
      </w:pPr>
      <w:r/>
      <w:r>
        <w:rPr>
          <w:b/>
        </w:rPr>
        <w:t>How was it breached?</w:t>
      </w:r>
      <w:r>
        <w:t xml:space="preserve"> After CONFED performed its obligation by opening the L/C, VHB Biopro failed to perform its reciprocal obligation of delivering the goods. Instead, VHB Biopro attempted to invalidate the written contract by alleging ambiguity regarding the timing of buyer acceptance and payment, an argument the Supreme Court wholly rejected.</w:t>
      </w:r>
    </w:p>
    <w:p>
      <w:pPr>
        <w:pStyle w:val="Heading4"/>
      </w:pPr>
      <w:r>
        <w:t>4. Legal Issues Raised</w:t>
      </w:r>
    </w:p>
    <w:p>
      <w:pPr>
        <w:pStyle w:val="ListBullet"/>
      </w:pPr>
      <w:r/>
      <w:r>
        <w:rPr>
          <w:b/>
        </w:rPr>
        <w:t>Are temperate damages proper when business losses cannot be exactly quantified?</w:t>
      </w:r>
      <w:r>
        <w:t xml:space="preserve"> Yes. The SC held that under Article 2224 of the Civil Code, temperate damages are the precise legal remedy when the court is certain that a pecuniary loss has been suffered (lost business opportunities), but the exact monetary figure (such as exact lost profits) cannot be proven with absolute certainty.</w:t>
      </w:r>
    </w:p>
    <w:p>
      <w:pPr>
        <w:pStyle w:val="ListBullet"/>
      </w:pPr>
      <w:r/>
      <w:r>
        <w:rPr>
          <w:b/>
        </w:rPr>
        <w:t>Are moral damages proper in a commercial/contract breach?</w:t>
      </w:r>
      <w:r>
        <w:t xml:space="preserve"> As a general rule, no. Moral damages are not recoverable for mere breach of contract.</w:t>
      </w:r>
    </w:p>
    <w:p>
      <w:pPr>
        <w:pStyle w:val="ListBullet"/>
      </w:pPr>
      <w:r/>
      <w:r>
        <w:rPr>
          <w:b/>
        </w:rPr>
        <w:t>What standard applies?</w:t>
      </w:r>
      <w:r>
        <w:t xml:space="preserve"> The standard for awarding moral damages in a contractual breach under Article 2220 requires clear and convincing evidence that the breaching party acted in </w:t>
      </w:r>
      <w:r>
        <w:rPr>
          <w:b/>
        </w:rPr>
        <w:t>bad faith</w:t>
      </w:r>
      <w:r>
        <w:t xml:space="preserve">, was guilty of </w:t>
      </w:r>
      <w:r>
        <w:rPr>
          <w:b/>
        </w:rPr>
        <w:t>gross negligence amounting to bad faith</w:t>
      </w:r>
      <w:r>
        <w:t xml:space="preserve">, or acted in </w:t>
      </w:r>
      <w:r>
        <w:rPr>
          <w:b/>
        </w:rPr>
        <w:t>wanton disregard</w:t>
      </w:r>
      <w:r>
        <w:t xml:space="preserve"> of their contractual obligations. The SC found no such evidence against VHB Biopro.</w:t>
      </w:r>
    </w:p>
    <w:p>
      <w:pPr>
        <w:pStyle w:val="Heading4"/>
      </w:pPr>
      <w:r>
        <w:t>5. Supreme Court Ruling</w:t>
      </w:r>
    </w:p>
    <w:p>
      <w:pPr>
        <w:pStyle w:val="ListBullet"/>
      </w:pPr>
      <w:r/>
      <w:r>
        <w:rPr>
          <w:b/>
        </w:rPr>
        <w:t>What did the SC hold on temperate damages?</w:t>
      </w:r>
      <w:r>
        <w:t xml:space="preserve"> The SC recognized that CONFED undoubtedly lost business opportunities because of the non-delivery, satisfying the requirement that *some* pecuniary loss occurred. However, because CONFED's P30M lost profit calculation was deemed speculative, the SC utilized its discretion under the Civil Code to award P4,000,000.00 as a reasonable amount for temperate damages.</w:t>
      </w:r>
    </w:p>
    <w:p>
      <w:pPr>
        <w:pStyle w:val="ListBullet"/>
      </w:pPr>
      <w:r/>
      <w:r>
        <w:rPr>
          <w:b/>
        </w:rPr>
        <w:t>Were moral damages awarded? On what basis?</w:t>
      </w:r>
      <w:r>
        <w:t xml:space="preserve"> No, moral damages were not awarded. The SC affirmed the CA's deletion of moral damages because CONFED failed to show that VHB Biopro acted in an oppressive manner or in bad faith when it breached the agreement.</w:t>
      </w:r>
    </w:p>
    <w:p>
      <w:pPr>
        <w:pStyle w:val="ListBullet"/>
      </w:pPr>
      <w:r/>
      <w:r>
        <w:rPr>
          <w:b/>
        </w:rPr>
        <w:t>What was the disposition?</w:t>
      </w:r>
      <w:r>
        <w:t xml:space="preserve"> The SC </w:t>
      </w:r>
      <w:r>
        <w:rPr>
          <w:b/>
        </w:rPr>
        <w:t>DENIED</w:t>
      </w:r>
      <w:r>
        <w:t xml:space="preserve"> the petition of VHB Biopro and </w:t>
      </w:r>
      <w:r>
        <w:rPr>
          <w:b/>
        </w:rPr>
        <w:t>AFFIRMED with MODIFICATION</w:t>
      </w:r>
      <w:r>
        <w:t xml:space="preserve"> the CA decision. The modification deleted the P30,000,000.00 award for actual damages/lost profits and instead ordered VHB Biopro and Prado to jointly and solidarily pay CONFED P4,000,000.00 in temperate damages.</w:t>
      </w:r>
    </w:p>
    <w:p>
      <w:pPr>
        <w:pStyle w:val="Heading4"/>
      </w:pPr>
      <w:r>
        <w:t>6. Key Doctrine / Civil Code Hook</w:t>
      </w:r>
    </w:p>
    <w:p>
      <w:pPr>
        <w:pStyle w:val="ListBullet"/>
      </w:pPr>
      <w:r/>
      <w:r>
        <w:rPr>
          <w:b/>
        </w:rPr>
        <w:t>State the rule on temperate damages for business loss under Art. 2224:</w:t>
      </w:r>
      <w:r>
        <w:t xml:space="preserve"> Temperate or moderate damages, which are more than nominal but less than compensatory damages, may be recovered when the court finds that some pecuniary loss has been suffered but its amount can not, from the nature of the case, be proved with certainty.</w:t>
      </w:r>
    </w:p>
    <w:p>
      <w:pPr>
        <w:pStyle w:val="ListBullet"/>
      </w:pPr>
      <w:r/>
      <w:r>
        <w:rPr>
          <w:b/>
        </w:rPr>
        <w:t>State the rule on moral damages in contract breach under Art. 2220 (bad faith required for juridical persons):</w:t>
      </w:r>
      <w:r>
        <w:t xml:space="preserve"> Willful injury to property may be a legal ground for awarding moral damages if the court should find that, under the circumstances, such damages are justly due. The same rule applies to breaches of contract where the defendant acted fraudulently or in bad faith.</w:t>
      </w:r>
    </w:p>
    <w:p>
      <w:pPr>
        <w:pStyle w:val="ListBullet"/>
      </w:pPr>
      <w:r/>
      <w:r>
        <w:rPr>
          <w:b/>
        </w:rPr>
        <w:t>Which Civil Code articles were applied?</w:t>
      </w:r>
      <w:r/>
    </w:p>
    <w:p>
      <w:pPr>
        <w:pStyle w:val="ListBullet"/>
      </w:pPr>
      <w:r/>
      <w:r>
        <w:rPr>
          <w:b/>
        </w:rPr>
        <w:t>Art. 2200 &amp; 2201:</w:t>
      </w:r>
      <w:r>
        <w:t xml:space="preserve"> On actual damages and lost profits (*lucrum cessans*), requiring a reasonable degree of certainty and competent proof.</w:t>
      </w:r>
    </w:p>
    <w:p>
      <w:pPr>
        <w:pStyle w:val="ListBullet"/>
      </w:pPr>
      <w:r/>
      <w:r>
        <w:rPr>
          <w:b/>
        </w:rPr>
        <w:t>Art. 2224:</w:t>
      </w:r>
      <w:r>
        <w:t xml:space="preserve"> On temperate damages.</w:t>
      </w:r>
    </w:p>
    <w:p>
      <w:pPr>
        <w:pStyle w:val="ListBullet"/>
      </w:pPr>
      <w:r/>
      <w:r>
        <w:rPr>
          <w:b/>
        </w:rPr>
        <w:t>Art. 2220:</w:t>
      </w:r>
      <w:r>
        <w:t xml:space="preserve"> On moral damages in breaches of contract requiring bad faith.</w:t>
      </w:r>
    </w:p>
    <w:p>
      <w:pPr>
        <w:pStyle w:val="ListBullet"/>
      </w:pPr>
      <w:r/>
      <w:r>
        <w:rPr>
          <w:b/>
        </w:rPr>
        <w:t>Art. 2216:</w:t>
      </w:r>
      <w:r>
        <w:t xml:space="preserve"> On the discretion of the courts to assess the amount of temperate damages.</w:t>
      </w:r>
    </w:p>
    <w:p>
      <w:pPr>
        <w:pStyle w:val="Heading4"/>
      </w:pPr>
      <w:r>
        <w:t>7. Memory Anchor</w:t>
      </w:r>
    </w:p>
    <w:p>
      <w:pPr>
        <w:pStyle w:val="ListBullet"/>
      </w:pPr>
      <w:r/>
      <w:r>
        <w:rPr>
          <w:b/>
        </w:rPr>
        <w:t>Mnemonic/Story Hook:</w:t>
      </w:r>
      <w:r>
        <w:t xml:space="preserve"> *“No Urea, No Exact Profit, so just Temperate it.”* Bongcayao dreamed of changing the deal, CONFED dreamed of P30M in lost profits, but the SC woke them both up—ruling that without solid proof, an unquantified business loss yields a P4M Temperate compromise, and without bad faith, Moral damages are completely off the table.</w:t>
      </w:r>
    </w:p>
    <w:p>
      <w:r>
        <w:rPr>
          <w:b/>
        </w:rPr>
      </w:r>
    </w:p>
    <w:p>
      <w:pPr>
        <w:pStyle w:val="Heading2"/>
      </w:pPr>
      <w:r>
        <w:t>Detailed Academic Exposition: The Jurisprudence of Damages in Commercial Contracts</w:t>
      </w:r>
    </w:p>
    <w:p>
      <w:r>
        <w:t xml:space="preserve">To fully appreciate the doctrinal weight of </w:t>
      </w:r>
      <w:r>
        <w:rPr>
          <w:i/>
        </w:rPr>
        <w:t>Bongcayao v. CONFED</w:t>
      </w:r>
      <w:r>
        <w:t xml:space="preserve"> (2021), it is necessary to subject the ruling to a rigorous academic analysis, situating it within the broader landscape of Philippine Civil Law. The case serves as a contemporary masterclass on the hierarchy of evidentiary standards required for the recovery of damages in corporate litigation.</w:t>
      </w:r>
    </w:p>
    <w:p>
      <w:pPr>
        <w:pStyle w:val="Heading3"/>
      </w:pPr>
      <w:r>
        <w:t>The Procedural Genesis and the Battle over "Ambiguity"</w:t>
      </w:r>
    </w:p>
    <w:p>
      <w:r>
        <w:t xml:space="preserve">The origin of the controversy lies in the December 11, 2007 Sales and Purchase Agreement. The economic magnitude of the transaction was substantial: 250,000 bags of urea fertilizer backed by a Domestic Letter of Credit amounting to P177,500,000.00. In commercial law, a Letter of Credit operates under the </w:t>
      </w:r>
      <w:r>
        <w:rPr>
          <w:i/>
        </w:rPr>
        <w:t>Independence Principle</w:t>
      </w:r>
      <w:r>
        <w:t>, functioning to assure the seller-beneficiary of payment regardless of the status of the underlying transaction. The buyer, CONFED, performed its reciprocal obligation perfectly by opening this L/C on January 14, 2008.</w:t>
      </w:r>
    </w:p>
    <w:p>
      <w:r>
        <w:t xml:space="preserve">However, upon receiving the L/C, VHB Biopro (Bongcayao) realized its inability or unwillingness to perform. Rather than admit default, VHB Biopro launched a preemptive strike, filing a complaint on March 17, 2008, with the Regional Trial Court (RTC) to nullify the contract. Their legal theory hinged on a classic, though often unsuccessful, contractual defense: </w:t>
      </w:r>
      <w:r>
        <w:rPr>
          <w:i/>
        </w:rPr>
        <w:t>ambiguity</w:t>
      </w:r>
      <w:r>
        <w:t>. They alleged that the written contract failed to reflect a verbal agreement regarding the specific timeframe for inspection and payment.</w:t>
      </w:r>
    </w:p>
    <w:p>
      <w:r>
        <w:t xml:space="preserve">The Supreme Court rejected this, reiterating the bedrock principle of contract interpretation under Article 1370 of the Civil Code: </w:t>
      </w:r>
      <w:r>
        <w:rPr>
          <w:i/>
        </w:rPr>
        <w:t>"If the terms of a contract are clear and leave no doubt upon the intention of the contracting parties, the literal meaning of its stipulations shall control"</w:t>
      </w:r>
      <w:r>
        <w:t>. The Court ruled definitively that the 45-day delivery window was unambiguous. VHB Biopro could not be permitted to use feigned ambiguity to escape its default.</w:t>
      </w:r>
    </w:p>
    <w:p>
      <w:pPr>
        <w:pStyle w:val="Heading3"/>
      </w:pPr>
      <w:r>
        <w:t>The Evidentiary Chasm: Actual Damages vs. Temperate Damages</w:t>
      </w:r>
    </w:p>
    <w:p>
      <w:r>
        <w:t xml:space="preserve">The most academically significant portion of the </w:t>
      </w:r>
      <w:r>
        <w:rPr>
          <w:i/>
        </w:rPr>
        <w:t>Bongcayao</w:t>
      </w:r>
      <w:r>
        <w:t xml:space="preserve"> ruling pertains to the substitution of Actual Damages (Lost Profits) with Temperate Damages.</w:t>
      </w:r>
    </w:p>
    <w:p>
      <w:pPr>
        <w:pStyle w:val="Heading4"/>
      </w:pPr>
      <w:r>
        <w:t>The Failure of Actual Damages (Lucrum Cessans)</w:t>
      </w:r>
    </w:p>
    <w:p>
      <w:r>
        <w:t xml:space="preserve">Under </w:t>
      </w:r>
      <w:r>
        <w:rPr>
          <w:b/>
        </w:rPr>
        <w:t>Article 2200</w:t>
      </w:r>
      <w:r>
        <w:t xml:space="preserve"> of the Civil Code, indemnification for damages comprehends not only the value of the loss suffered (</w:t>
      </w:r>
      <w:r>
        <w:rPr>
          <w:i/>
        </w:rPr>
        <w:t>daño emergente</w:t>
      </w:r>
      <w:r>
        <w:t>) but also that of the profits which the obligee failed to obtain (</w:t>
      </w:r>
      <w:r>
        <w:rPr>
          <w:i/>
        </w:rPr>
        <w:t>lucrum cessans</w:t>
      </w:r>
      <w:r>
        <w:t>). The Court of Appeals, swayed by CONFED's claim that it lost the opportunity to resell the 250,000 bags of fertilizer, awarded P30,000,000.00 in compensatory damages.</w:t>
      </w:r>
    </w:p>
    <w:p>
      <w:r>
        <w:t>The Supreme Court, however, applied the strict evidentiary standard required for actual damages. Jurisprudence demands that actual damages must be proven with a "reasonable degree of certainty" and supported by "competent proof". They cannot be rooted in speculation, conjecture, or surmise. CONFED merely asserted the P30M figure without providing the necessary documentary foundation—such as pre-existing contracts with secondary buyers, historical profit margins, or market value analyses at the time of the breach. Consequently, the SC deleted the P30,000,000.00 award, categorizing it as "unsubstantiated and unproven".</w:t>
      </w:r>
    </w:p>
    <w:p>
      <w:pPr>
        <w:pStyle w:val="Heading4"/>
      </w:pPr>
      <w:r>
        <w:t>The Rescue by Temperate Damages (Art. 2224)</w:t>
      </w:r>
    </w:p>
    <w:p>
      <w:r>
        <w:t xml:space="preserve">This evidentiary failure did not leave CONFED remediless. The genius of the Civil Code lies in </w:t>
      </w:r>
      <w:r>
        <w:rPr>
          <w:b/>
        </w:rPr>
        <w:t>Article 2224</w:t>
      </w:r>
      <w:r>
        <w:t xml:space="preserve">, which provides that: </w:t>
      </w:r>
      <w:r>
        <w:rPr>
          <w:i/>
        </w:rPr>
        <w:t>"Temperate or moderate damages, which are more than nominal but less than compensatory damages, may be recovered when the court finds that some pecuniary loss has been suffered but its amount can not, from the nature of the case, be proved with certainty"</w:t>
      </w:r>
      <w:r>
        <w:t>.</w:t>
      </w:r>
    </w:p>
    <w:p>
      <w:r>
        <w:t>The application of Article 2224 requires two concurrent elements:</w:t>
      </w:r>
    </w:p>
    <w:p>
      <w:r>
        <w:t xml:space="preserve">1.  </w:t>
      </w:r>
      <w:r>
        <w:rPr>
          <w:b/>
        </w:rPr>
        <w:t>Certainty of Injury:</w:t>
      </w:r>
      <w:r>
        <w:t xml:space="preserve"> The court must be convinced that a pecuniary loss </w:t>
      </w:r>
      <w:r>
        <w:rPr>
          <w:i/>
        </w:rPr>
        <w:t>did</w:t>
      </w:r>
      <w:r>
        <w:t xml:space="preserve"> occur.</w:t>
      </w:r>
    </w:p>
    <w:p>
      <w:r>
        <w:t xml:space="preserve">2.  </w:t>
      </w:r>
      <w:r>
        <w:rPr>
          <w:b/>
        </w:rPr>
        <w:t>Uncertainty of Amount:</w:t>
      </w:r>
      <w:r>
        <w:t xml:space="preserve"> The exact quantum of the loss cannot be established due to the nature of the case or lack of specific evidence.</w:t>
      </w:r>
    </w:p>
    <w:p>
      <w:r>
        <w:t xml:space="preserve">In </w:t>
      </w:r>
      <w:r>
        <w:rPr>
          <w:i/>
        </w:rPr>
        <w:t>Bongcayao</w:t>
      </w:r>
      <w:r>
        <w:t xml:space="preserve">, the SC acknowledged the commercial reality: a cooperative that locks in P177.5M for fertilizers clearly suffers a loss of business opportunity and potential profit when the goods never arrive. The injury was certain, even if the math was not. Invoking its discretionary power under </w:t>
      </w:r>
      <w:r>
        <w:rPr>
          <w:b/>
        </w:rPr>
        <w:t>Article 2216</w:t>
      </w:r>
      <w:r>
        <w:t xml:space="preserve"> (which states that no proof of pecuniary loss is necessary in order that moral, nominal, temperate, liquidated or exemplary damages may be adjudicated), the Court determined that P4,000,000.00 was a "reasonable amount" to compensate CONFED. This figure strikes an equitable balance—it is substantial enough to recognize the massive scale of the underlying P177.5M transaction, yet it avoids the speculative windfall of the unproven P30M claim.</w:t>
      </w:r>
    </w:p>
    <w:p>
      <w:pPr>
        <w:pStyle w:val="Heading3"/>
      </w:pPr>
      <w:r>
        <w:t>The Bar Against Moral Damages in Mere Contractual Breaches (Art. 2220)</w:t>
      </w:r>
    </w:p>
    <w:p>
      <w:r>
        <w:t>Another critical pillar of the decision is the treatment of Moral Damages. CONFED originally sought P2,000,000.00 in moral damages. The RTC and CA denied this, and the SC affirmed the denial.</w:t>
      </w:r>
    </w:p>
    <w:p>
      <w:r>
        <w:rPr>
          <w:b/>
        </w:rPr>
        <w:t>Article 2220</w:t>
      </w:r>
      <w:r>
        <w:t xml:space="preserve"> governs this domain. The general rule in Philippine jurisdiction is absolute: Moral damages are </w:t>
      </w:r>
      <w:r>
        <w:rPr>
          <w:i/>
        </w:rPr>
        <w:t>not</w:t>
      </w:r>
      <w:r>
        <w:t xml:space="preserve"> recoverable in actions for breach of contract. Contracts are economic instruments; breaches are primarily economic harms, curable by economic (actual/temperate) restitution.</w:t>
      </w:r>
    </w:p>
    <w:p>
      <w:r>
        <w:t>However, the exception lies where the breaching party acted fraudulently or in bad faith. Jurisprudence defines bad faith as not merely bad judgment or negligence, but a dishonest purpose or some moral obliquity and conscious doing of a wrong. It implies a breach of a known duty through some motive or interest or ill will. Furthermore, it encompasses gross negligence amounting to bad faith, or a wanton disregard of contractual obligations.</w:t>
      </w:r>
    </w:p>
    <w:p>
      <w:r>
        <w:t>In this case, Bongcayao/VHB Biopro failed to deliver and subsequently tried to nullify the contract. While this constitutes a legal breach and perhaps poor business ethics, the SC ruled there was "no clear showing" that they acted in a legally "oppressive manner" or with the requisite malice and moral obliquity to trigger Article 2220. The failure to deliver, even coupled with a weak legal defense of "contractual ambiguity," remains a mere contractual breach, shielding the petitioner from the punitive sting of moral damages.</w:t>
      </w:r>
    </w:p>
    <w:p>
      <w:pPr>
        <w:pStyle w:val="Heading3"/>
      </w:pPr>
      <w:r>
        <w:t>Implications of Suretyship and Performance Bonds</w:t>
      </w:r>
    </w:p>
    <w:p>
      <w:r>
        <w:t>While the damages discourse dominates the academic reading of the case, the role of Prudential Guarantee and Assurance, Inc. (PGAI) provides an essential lesson in the law of Suretyship.</w:t>
      </w:r>
    </w:p>
    <w:p>
      <w:r>
        <w:t>VHB Biopro secured a P5,000,000.00 performance bond from PGAI. A performance bond is fundamentally a contract of suretyship, where the surety (PGAI) guarantees the performance of the principal obligor (VHB Biopro). When VHB Biopro defaulted, the liability of the surety immediately attached. CONFED rightfully demanded and received the P5,000,000.00 from PGAI.</w:t>
      </w:r>
    </w:p>
    <w:p>
      <w:r>
        <w:t>The legal consequence is that the surety now possesses a right of indemnification against the principal obligor. The SC noted that VHB Biopro had executed a real estate mortgage and an indemnity agreement in favor of PGAI. Because PGAI paid CONFED upon VHB's default, PGAI was legally entitled to be reimbursed, and because VHB failed to redeem the foreclosed property, the ownership could rightfully transfer to the surety. This reinforces the absolute commercial utility of performance bonds—they provide immediate liquid protection to the non-breaching party, shifting the burden of chasing the defaulting party onto the institutional surety.</w:t>
      </w:r>
    </w:p>
    <w:p>
      <w:r>
        <w:rPr>
          <w:b/>
        </w:rPr>
      </w:r>
    </w:p>
    <w:p>
      <w:pPr>
        <w:pStyle w:val="Heading2"/>
      </w:pPr>
      <w:r>
        <w:t>MODULE 2C — Novation: How to "Fix" a Deal Legally (Arts. 1292–1296, 1878)</w:t>
      </w:r>
    </w:p>
    <w:p>
      <w:r>
        <w:rPr>
          <w:i/>
        </w:rPr>
        <w:t>(As requested by the prompt, the following module explores the legal mechanisms through which contracting parties can legally modify or extinguish their agreements, providing vital context for how Bongcayao and CONFED might have legally resolved their differences prior to litigation.)</w:t>
      </w:r>
    </w:p>
    <w:p>
      <w:r>
        <w:t xml:space="preserve">When business circumstances change—as they clearly did for VHB Biopro when it realized it could not meet the 45-day delivery window—parties are not doomed to breach and litigation. The Philippine Civil Code provides a structural mechanism to "fix" a broken deal: </w:t>
      </w:r>
      <w:r>
        <w:rPr>
          <w:b/>
        </w:rPr>
        <w:t>Novation</w:t>
      </w:r>
      <w:r>
        <w:t>.</w:t>
      </w:r>
    </w:p>
    <w:p>
      <w:pPr>
        <w:pStyle w:val="Heading3"/>
      </w:pPr>
      <w:r>
        <w:t>The Concept and Nature of Novation</w:t>
      </w:r>
    </w:p>
    <w:p>
      <w:r>
        <w:t>Novation is a mode of extinguishing an obligation by the substitution or change of the obligation by a subsequent one which extinguishes or modifies the first. It is a juridical act of dual function: it extinguishes an old obligation while simultaneously creating a new one in its place.</w:t>
      </w:r>
    </w:p>
    <w:p>
      <w:r>
        <w:t>Unlike the defense of "verbal ambiguity" attempted by Bongcayao, a valid novation completely overrides the original terms and sets a new legal baseline between the parties.</w:t>
      </w:r>
    </w:p>
    <w:p>
      <w:pPr>
        <w:pStyle w:val="Heading3"/>
      </w:pPr>
      <w:r>
        <w:t>Requisites of Novation</w:t>
      </w:r>
    </w:p>
    <w:p>
      <w:r>
        <w:t>For novation to successfully occur and stand up to judicial scrutiny, four essential requisites must concur:</w:t>
      </w:r>
    </w:p>
    <w:p>
      <w:r>
        <w:t xml:space="preserve">1.  </w:t>
      </w:r>
      <w:r>
        <w:rPr>
          <w:b/>
        </w:rPr>
        <w:t>A previous valid obligation:</w:t>
      </w:r>
      <w:r>
        <w:t xml:space="preserve"> There must be an existing contract to modify. (e.g., The December 11 SPA between VHB and CONFED).</w:t>
      </w:r>
    </w:p>
    <w:p>
      <w:r>
        <w:t xml:space="preserve">2.  </w:t>
      </w:r>
      <w:r>
        <w:rPr>
          <w:b/>
        </w:rPr>
        <w:t>Agreement of all parties to the new contract:</w:t>
      </w:r>
      <w:r>
        <w:t xml:space="preserve"> Both parties must consent to the changes. A unilateral attempt to change terms is a breach, not a novation.</w:t>
      </w:r>
    </w:p>
    <w:p>
      <w:r>
        <w:t xml:space="preserve">3.  </w:t>
      </w:r>
      <w:r>
        <w:rPr>
          <w:b/>
        </w:rPr>
        <w:t>Extinguishment of the old contract:</w:t>
      </w:r>
      <w:r>
        <w:t xml:space="preserve"> The old obligation must definitively end.</w:t>
      </w:r>
    </w:p>
    <w:p>
      <w:r>
        <w:t xml:space="preserve">4.  </w:t>
      </w:r>
      <w:r>
        <w:rPr>
          <w:b/>
        </w:rPr>
        <w:t>Validity of the new obligation:</w:t>
      </w:r>
      <w:r>
        <w:t xml:space="preserve"> The substituted agreement must be legally binding.</w:t>
      </w:r>
    </w:p>
    <w:p>
      <w:pPr>
        <w:pStyle w:val="Heading3"/>
      </w:pPr>
      <w:r>
        <w:t>Article 1292: The Requirement of *Animus Novandi*</w:t>
      </w:r>
    </w:p>
    <w:p>
      <w:r>
        <w:rPr>
          <w:b/>
        </w:rPr>
        <w:t>Article 1292</w:t>
      </w:r>
      <w:r>
        <w:t xml:space="preserve"> states: </w:t>
      </w:r>
      <w:r>
        <w:rPr>
          <w:i/>
        </w:rPr>
        <w:t>"In order that an obligation may be extinguished by another which substitute the same, it is imperative that it be so declared in unequivocal terms, or that the old and the new obligations be on every point incompatible with each other."</w:t>
      </w:r>
    </w:p>
    <w:p>
      <w:r>
        <w:t>This article establishes two modes of novation:</w:t>
      </w:r>
    </w:p>
    <w:p>
      <w:r>
        <w:t xml:space="preserve">1.  </w:t>
      </w:r>
      <w:r>
        <w:rPr>
          <w:b/>
        </w:rPr>
        <w:t>Express Novation:</w:t>
      </w:r>
      <w:r>
        <w:t xml:space="preserve"> The parties explicitly declare that the old obligation is extinguished and replaced. If Bongcayao and CONFED had drafted an "Amended and Restated Sales Agreement" explicitly canceling the December 11 SPA, this would be an express novation.</w:t>
      </w:r>
    </w:p>
    <w:p>
      <w:r>
        <w:t xml:space="preserve">2.  </w:t>
      </w:r>
      <w:r>
        <w:rPr>
          <w:b/>
        </w:rPr>
        <w:t>Implied Novation:</w:t>
      </w:r>
      <w:r>
        <w:t xml:space="preserve"> There is no express declaration, but the terms of the new agreement are entirely incompatible with the old one, such that both cannot stand together. Mere modifications regarding the time of payment or minor delivery adjustments generally </w:t>
      </w:r>
      <w:r>
        <w:rPr>
          <w:i/>
        </w:rPr>
        <w:t>do not</w:t>
      </w:r>
      <w:r>
        <w:t xml:space="preserve"> constitute implied novation unless the core essence of the obligation changes.</w:t>
      </w:r>
    </w:p>
    <w:p>
      <w:pPr>
        <w:pStyle w:val="Heading3"/>
      </w:pPr>
      <w:r>
        <w:t>Subjective Novation: Changing the Parties (Arts. 1293–1295)</w:t>
      </w:r>
    </w:p>
    <w:p>
      <w:r>
        <w:t>Novation is not limited to changing the terms of the deal (Objective Novation); it can also involve changing the actors involved (Subjective Novation).</w:t>
      </w:r>
    </w:p>
    <w:p>
      <w:pPr>
        <w:pStyle w:val="Heading4"/>
      </w:pPr>
      <w:r>
        <w:t>Changing the Debtor (Article 1293)</w:t>
      </w:r>
    </w:p>
    <w:p>
      <w:r>
        <w:t xml:space="preserve">Novation which consists of substituting a new debtor in the place of the original one may be made even without the knowledge or against the will of the latter, but </w:t>
      </w:r>
      <w:r>
        <w:rPr>
          <w:b/>
        </w:rPr>
        <w:t>not without the consent of the creditor</w:t>
      </w:r>
      <w:r>
        <w:t>.</w:t>
      </w:r>
    </w:p>
    <w:p>
      <w:r>
        <w:t>There are two forms of substituting a debtor:</w:t>
      </w:r>
    </w:p>
    <w:p>
      <w:pPr>
        <w:pStyle w:val="ListBullet"/>
      </w:pPr>
      <w:r>
        <w:t xml:space="preserve">  </w:t>
      </w:r>
      <w:r>
        <w:rPr>
          <w:b/>
        </w:rPr>
        <w:t>Expromision:</w:t>
      </w:r>
      <w:r>
        <w:t xml:space="preserve"> The initiative for the change does not come from the original debtor but from a third person who steps in. The creditor's consent is absolute. If the new debtor becomes insolvent, the old debtor is no longer liable (Art. 1294).</w:t>
      </w:r>
    </w:p>
    <w:p>
      <w:pPr>
        <w:pStyle w:val="ListBullet"/>
      </w:pPr>
      <w:r>
        <w:t xml:space="preserve">  </w:t>
      </w:r>
      <w:r>
        <w:rPr>
          <w:b/>
        </w:rPr>
        <w:t>Delegacion:</w:t>
      </w:r>
      <w:r>
        <w:t xml:space="preserve"> The original debtor (delegante) offers, and the creditor (delegatario) accepts, a third person (delegado) who consents to the substitution. If VHB Biopro had asked another fertilizer company to take over the CONFED contract, and CONFED agreed, this would be a delegacion. Under </w:t>
      </w:r>
      <w:r>
        <w:rPr>
          <w:b/>
        </w:rPr>
        <w:t>Article 1295</w:t>
      </w:r>
      <w:r>
        <w:t>, if the new debtor in a delegacion becomes insolvent, it generally does not revive the old debtor's liability, *unless* the insolvency was already existing and of public knowledge, or known to the original debtor, when they delegated the debt.</w:t>
      </w:r>
    </w:p>
    <w:p>
      <w:pPr>
        <w:pStyle w:val="Heading4"/>
      </w:pPr>
      <w:r>
        <w:t>The Role of Third Parties and Accessory Obligations (Article 1296)</w:t>
      </w:r>
    </w:p>
    <w:p>
      <w:r>
        <w:rPr>
          <w:b/>
        </w:rPr>
        <w:t>Article 1296</w:t>
      </w:r>
      <w:r>
        <w:t xml:space="preserve"> states: </w:t>
      </w:r>
      <w:r>
        <w:rPr>
          <w:i/>
        </w:rPr>
        <w:t>"When the principal obligation is extinguished in consequence of a novation, accessory obligations may subsist only insofar as they may benefit third persons who did not give their consent."</w:t>
      </w:r>
    </w:p>
    <w:p>
      <w:r>
        <w:t>If the main contract between VHB Biopro and CONFED had been novated, what would happen to the P5,000,000.00 Performance Bond issued by PGAI? A suretyship is an accessory obligation. A novation of the principal obligation generally extinguishes the accessory obligation (the bond) unless the surety (PGAI) consents to the new terms, because a surety cannot be bound to a new risk without its explicit agreement.</w:t>
      </w:r>
    </w:p>
    <w:p>
      <w:pPr>
        <w:pStyle w:val="Heading3"/>
      </w:pPr>
      <w:r>
        <w:t>Article 1878: The Agency Requirement for Novation</w:t>
      </w:r>
    </w:p>
    <w:p>
      <w:r>
        <w:t xml:space="preserve">A critical element to remember in corporate dealings is who has the authority to novate. </w:t>
      </w:r>
      <w:r>
        <w:rPr>
          <w:b/>
        </w:rPr>
        <w:t>Article 1878 (Paragraph 2)</w:t>
      </w:r>
      <w:r>
        <w:t xml:space="preserve"> mandates that a </w:t>
      </w:r>
      <w:r>
        <w:rPr>
          <w:b/>
        </w:rPr>
        <w:t>Special Power of Attorney (SPA)</w:t>
      </w:r>
      <w:r>
        <w:t xml:space="preserve"> is required </w:t>
      </w:r>
      <w:r>
        <w:rPr>
          <w:i/>
        </w:rPr>
        <w:t>"to effect novations which put an end to obligations already in existence at the time the agency was constituted."</w:t>
      </w:r>
    </w:p>
    <w:p>
      <w:r>
        <w:t xml:space="preserve">In the </w:t>
      </w:r>
      <w:r>
        <w:rPr>
          <w:i/>
        </w:rPr>
        <w:t>Bongcayao</w:t>
      </w:r>
      <w:r>
        <w:t xml:space="preserve"> case, Pete Nicomedes Prado acted as the attorney-in-fact for VHB Biopro. If Prado had attempted to novate the December 11 agreement with CONFED, he would have needed specific, explicit written authority (an SPA) from Bongcayao to extinguish the old contract and bind the company to a new one. A general power of administration is legally insufficient to authorize an agent to novate a contract.</w:t>
      </w:r>
    </w:p>
    <w:p>
      <w:pPr>
        <w:pStyle w:val="Heading3"/>
      </w:pPr>
      <w:r>
        <w:t>Conclusion to Module 2C</w:t>
      </w:r>
    </w:p>
    <w:p>
      <w:r>
        <w:t xml:space="preserve">Novation is a powerful tool for commercial flexibility, but it operates under strict formalistic rules. The failure of VHB Biopro to either perform the original terms or successfully negotiate a valid novation led directly to its legal liability. </w:t>
      </w:r>
      <w:r>
        <w:rPr>
          <w:i/>
        </w:rPr>
        <w:t>Bongcayao v. CONFED</w:t>
      </w:r>
      <w:r>
        <w:t xml:space="preserve"> serves as a stark reminder that courts will strictly enforce the written letter of a commercial agreement, and unproven claims of alternative verbal arrangements will crumble under the weight of unambiguous contractual text. When business realities shift, parties must use the scalpel of Novation—not the sledgehammer of unilateral breach—to fix the deal.</w:t>
      </w:r>
    </w:p>
    <w:p>
      <w:pPr>
        <w:pStyle w:val="Heading2"/>
      </w:pPr>
      <w:r>
        <w:t>Case 19: Asian Construction and Development Corp. v. Mero Structures, Inc. (2021) | G.R. No. 221147</w:t>
      </w:r>
    </w:p>
    <w:p>
      <w:pPr>
        <w:pStyle w:val="Heading2"/>
      </w:pPr>
      <w:r>
        <w:t>Asian Construction and Development Corp. (ACDC) v. Mero Structures, Inc. (2021) | G.R. No. 221147</w:t>
      </w:r>
    </w:p>
    <w:p>
      <w:r>
        <w:rPr>
          <w:b/>
        </w:rPr>
        <w:t>Key Points &amp; Executive Summary</w:t>
      </w:r>
    </w:p>
    <w:p>
      <w:pPr>
        <w:pStyle w:val="ListBullet"/>
      </w:pPr>
      <w:r>
        <w:t xml:space="preserve">  Research indicates that novation in Philippine civil law is never presumed and generally requires clear, unequivocal intent or complete incompatibility between old and new obligations.</w:t>
      </w:r>
    </w:p>
    <w:p>
      <w:pPr>
        <w:pStyle w:val="ListBullet"/>
      </w:pPr>
      <w:r>
        <w:t xml:space="preserve">  It seems likely that a mere modification in the mode of payment—such as allowing a subcontractor to attempt collection directly from a project owner—does not automatically extinguish the main contractor's underlying liability.</w:t>
      </w:r>
    </w:p>
    <w:p>
      <w:pPr>
        <w:pStyle w:val="ListBullet"/>
      </w:pPr>
      <w:r>
        <w:t xml:space="preserve">  The evidence leans toward the conclusion that courts will protect subcontractors from being left without recourse when main contractors attempt to shift payment liabilities without the explicit, documented consent of all parties involved, particularly the proposed new debtor.</w:t>
      </w:r>
    </w:p>
    <w:p>
      <w:pPr>
        <w:pStyle w:val="ListBullet"/>
      </w:pPr>
      <w:r>
        <w:t xml:space="preserve">  Under the framework of the Civil Code of the Philippines, it appears that the substitution of a debtor (*delegacion* or *expromision*) strictly necessitates the consent of the creditor, and logically, the assumption of the debt by the new debtor, to validly extinguish the original obligor's duty.</w:t>
      </w:r>
    </w:p>
    <w:p>
      <w:r>
        <w:t xml:space="preserve">The following academic report provides an exhaustive, highly detailed examination of </w:t>
      </w:r>
      <w:r>
        <w:rPr>
          <w:i/>
        </w:rPr>
        <w:t>Asian Construction and Development Corp. v. Mero Structures, Inc.</w:t>
      </w:r>
      <w:r>
        <w:t xml:space="preserve"> (G.R. No. 221147, September 29, 2021). This decision serves as a critical jurisprudential anchor for understanding the doctrine of novation within the context of complex construction subcontracting agreements. By dissecting the factual matrix, the contractual modifications attempted by the parties, and the Supreme Court's rigorous application of Articles 1291 through 1293 of the Civil Code, this analysis elucidates the strict legal thresholds required to prove both express and implied novation. The report is structured to guide legal scholars, practitioners, and students through the intricate dynamics of extinctive versus modificatory novation, the test of incompatibility, and the allocation of financial risk in multi-tiered construction projects.</w:t>
      </w:r>
    </w:p>
    <w:p>
      <w:pPr>
        <w:spacing w:before="120" w:after="120"/>
        <w:pBdr>
          <w:bottom w:val="single" w:sz="4" w:space="1" w:color="CCCCCC"/>
        </w:pBdr>
      </w:pPr>
    </w:p>
    <w:p>
      <w:pPr>
        <w:pStyle w:val="Heading2"/>
      </w:pPr>
      <w:r>
        <w:t>1. The Parties</w:t>
      </w:r>
    </w:p>
    <w:p>
      <w:r>
        <w:t>The dispute in this case arises from a classic tripartite construction hierarchy, although the central legal conflict is concentrated between the main contractor and its specialized subcontractor.</w:t>
      </w:r>
    </w:p>
    <w:p>
      <w:pPr>
        <w:pStyle w:val="ListBullet"/>
      </w:pPr>
      <w:r>
        <w:t xml:space="preserve">  </w:t>
      </w:r>
      <w:r>
        <w:rPr>
          <w:b/>
        </w:rPr>
        <w:t>Petitioner (ACDC / Asiakonstrukt):</w:t>
      </w:r>
      <w:r>
        <w:t xml:space="preserve"> Asian Construction and Development Corporation (referred to in the records as Asiakonstrukt) is a Philippine corporate entity engaged in the construction industry. In the context of this dispute, Asiakonstrukt acted as the </w:t>
      </w:r>
      <w:r>
        <w:rPr>
          <w:b/>
        </w:rPr>
        <w:t>main contractor</w:t>
      </w:r>
      <w:r>
        <w:t>. It was directly engaged by the project owner to finalize the architectural concept, design, storyline, and undertake all necessary construction works for a major national exposition park. As the primary contractor, Asiakonstrukt assumed the overarching responsibility for project delivery and, crucially, the financial risk associated with compensating its downstream subcontractors, irrespective of whether the project owner disbursed funds promptly.</w:t>
      </w:r>
    </w:p>
    <w:p>
      <w:pPr>
        <w:pStyle w:val="ListBullet"/>
      </w:pPr>
      <w:r>
        <w:t xml:space="preserve">  </w:t>
      </w:r>
      <w:r>
        <w:rPr>
          <w:b/>
        </w:rPr>
        <w:t>Respondent (Mero Structures, Inc. / Novum Structures LLC):</w:t>
      </w:r>
      <w:r>
        <w:t xml:space="preserve"> MERO Structures, Inc. (MERO) is an American corporation specializing in the engineering, manufacturing, and supply of advanced architectural frameworks. During the pendency of the litigation, MERO underwent a corporate restructuring and name change, subsequently substituting itself as Novum Structures LLC to reflect its new status as a limited liability company, though its core corporate composition and interests remained unchanged. In this project, MERO served as a </w:t>
      </w:r>
      <w:r>
        <w:rPr>
          <w:b/>
        </w:rPr>
        <w:t>subcontractor and supplier</w:t>
      </w:r>
      <w:r>
        <w:t>. Its specific role was highly technical: to manufacture and supply the "MERO KK System Spaceframe," a proprietary structural component required for the construction of a specialized architectural feature.</w:t>
      </w:r>
    </w:p>
    <w:p>
      <w:pPr>
        <w:pStyle w:val="ListBullet"/>
      </w:pPr>
      <w:r>
        <w:t xml:space="preserve">  </w:t>
      </w:r>
      <w:r>
        <w:rPr>
          <w:b/>
        </w:rPr>
        <w:t>Their Relationship:</w:t>
      </w:r>
      <w:r>
        <w:t xml:space="preserve"> The relationship between Asiakonstrukt and MERO was defined by a </w:t>
      </w:r>
      <w:r>
        <w:rPr>
          <w:b/>
        </w:rPr>
        <w:t>construction subcontracting and supply arrangement</w:t>
      </w:r>
      <w:r>
        <w:t>. Specifically, it was a "Materials Only Proposal" wherein MERO functioned as the upstream supplier of specialized goods to Asiakonstrukt, the buyer and main contractor. There was a direct privity of contract between Asiakonstrukt and MERO, meaning Asiakonstrukt was the sole entity legally obligated to pay MERO for the supplied materials. Notably, there was no privity of contract between MERO and the project owner.</w:t>
      </w:r>
    </w:p>
    <w:p>
      <w:pPr>
        <w:spacing w:before="120" w:after="120"/>
        <w:pBdr>
          <w:bottom w:val="single" w:sz="4" w:space="1" w:color="CCCCCC"/>
        </w:pBdr>
      </w:pPr>
    </w:p>
    <w:p>
      <w:pPr>
        <w:pStyle w:val="Heading2"/>
      </w:pPr>
      <w:r>
        <w:t>2. Background &amp; Facts</w:t>
      </w:r>
    </w:p>
    <w:p>
      <w:r>
        <w:t>The factual background of this case is deeply intertwined with a major Philippine infrastructure and cultural project, characterized by tight deadlines, specialized material requirements, and subsequent cascading payment failures.</w:t>
      </w:r>
    </w:p>
    <w:p>
      <w:r>
        <w:rPr>
          <w:b/>
        </w:rPr>
        <w:t>The Project Context</w:t>
      </w:r>
    </w:p>
    <w:p>
      <w:r>
        <w:t>The project involved the construction of the National Centennial Exposition Theme Park (Expo Filipino) located in the Clark Special Economic Zone (CSEZ) in Pampanga. This project was commissioned to celebrate the 100th anniversary of Philippine independence from Spanish colonial rule in 1998. To manage this massive undertaking, the government created the First Centennial Clark Corporation (FCCC) as the project owner, tasked with designing, constructing, operating, and managing the exposition.</w:t>
      </w:r>
    </w:p>
    <w:p>
      <w:r>
        <w:rPr>
          <w:b/>
        </w:rPr>
        <w:t>The Subcontract: Scope, Price, and Timeline</w:t>
      </w:r>
    </w:p>
    <w:p>
      <w:r>
        <w:t>On March 16, 1998, FCCC entered into a master Construction Agreement with Asiakonstrukt. Recognizing the need for specialized materials to construct a grand, special Philippine flag structure intended for the Expo's opening on July 19, 1998, Asiakonstrukt immediately sought out MERO.</w:t>
      </w:r>
    </w:p>
    <w:p>
      <w:r>
        <w:t>On that exact same date (March 16, 1998), MERO submitted a "Materials Only Proposal" to Asiakonstrukt. The terms were specific:</w:t>
      </w:r>
    </w:p>
    <w:p>
      <w:pPr>
        <w:pStyle w:val="ListBullet"/>
      </w:pPr>
      <w:r>
        <w:t xml:space="preserve">  </w:t>
      </w:r>
      <w:r>
        <w:rPr>
          <w:b/>
        </w:rPr>
        <w:t>Scope:</w:t>
      </w:r>
      <w:r>
        <w:t xml:space="preserve"> Manufacture and supply of the MERO KK System Spaceframe.</w:t>
      </w:r>
    </w:p>
    <w:p>
      <w:pPr>
        <w:pStyle w:val="ListBullet"/>
      </w:pPr>
      <w:r>
        <w:t xml:space="preserve">  </w:t>
      </w:r>
      <w:r>
        <w:rPr>
          <w:b/>
        </w:rPr>
        <w:t>Price:</w:t>
      </w:r>
      <w:r>
        <w:t xml:space="preserve"> US$570,000.00.</w:t>
      </w:r>
    </w:p>
    <w:p>
      <w:pPr>
        <w:pStyle w:val="ListBullet"/>
      </w:pPr>
      <w:r>
        <w:t xml:space="preserve">  </w:t>
      </w:r>
      <w:r>
        <w:rPr>
          <w:b/>
        </w:rPr>
        <w:t>Payment Terms:</w:t>
      </w:r>
      <w:r>
        <w:t xml:space="preserve"> 20% payable upon the award of the contract, with the remaining balance to be secured and paid via a letter of credit.</w:t>
      </w:r>
    </w:p>
    <w:p>
      <w:pPr>
        <w:pStyle w:val="ListBullet"/>
      </w:pPr>
      <w:r>
        <w:t xml:space="preserve">  </w:t>
      </w:r>
      <w:r>
        <w:rPr>
          <w:b/>
        </w:rPr>
        <w:t>Timeline:</w:t>
      </w:r>
      <w:r>
        <w:t xml:space="preserve"> Contingent upon confirmation by March 18, 1998, MERO promised to expedite shipping by April 4 or 5, 1998.</w:t>
      </w:r>
    </w:p>
    <w:p>
      <w:r>
        <w:t>Asiakonstrukt formally accepted this proposal on March 17, 1998. Fulfilling its end of the obligation, MERO shipped the specialized spaceframe under a bill of lading dated April 5, 1998, consigned to the "Philippine Centennial Exposition c/o Asiakonstrukt".</w:t>
      </w:r>
    </w:p>
    <w:p>
      <w:r>
        <w:rPr>
          <w:b/>
        </w:rPr>
        <w:t>The Payment Dispute and Attempted Modifications</w:t>
      </w:r>
    </w:p>
    <w:p>
      <w:r>
        <w:t>Despite MERO's prompt delivery, the project encountered severe financial bottlenecks. Asiakonstrukt failed to pay MERO the stipulated US$570,000.00. Between 1998 and 2000, MERO made repeated demands for payment. Asiakonstrukt, in turn, blamed FCCC and its financial backer, the National Development Company (NDC), for failing to release project funds.</w:t>
      </w:r>
    </w:p>
    <w:p>
      <w:r>
        <w:t>Facing a prolonged default, a critical exchange of correspondence occurred, which formed the crux of the legal dispute:</w:t>
      </w:r>
    </w:p>
    <w:p>
      <w:r>
        <w:t xml:space="preserve">1.  </w:t>
      </w:r>
      <w:r>
        <w:rPr>
          <w:b/>
        </w:rPr>
        <w:t>October 13, 1999 Letter:</w:t>
      </w:r>
      <w:r>
        <w:t xml:space="preserve"> MERO wrote to Asiakonstrukt requesting permission to bypass the main contractor and collect the outstanding debt directly from the project owner, FCCC. MERO also asked Asiakonstrukt to officially notify FCCC that the subcontracted work was complete, satisfactory, and ready for full payment.</w:t>
      </w:r>
    </w:p>
    <w:p>
      <w:r>
        <w:t xml:space="preserve">2.  </w:t>
      </w:r>
      <w:r>
        <w:rPr>
          <w:b/>
        </w:rPr>
        <w:t>November 8, 1999 Letter:</w:t>
      </w:r>
      <w:r>
        <w:t xml:space="preserve"> Asiakonstrukt formally replied, stating that it "interposed no objection" to MERO's request to collect payment directly from FCCC.</w:t>
      </w:r>
    </w:p>
    <w:p>
      <w:r>
        <w:t>However, a subsequent meeting with FCCC on May 22, 2000, yielded no payment, prompting MERO to issue a final demand on September 21, 2000, for the principal amount plus a 1.5% monthly interest.</w:t>
      </w:r>
    </w:p>
    <w:p>
      <w:r>
        <w:rPr>
          <w:b/>
        </w:rPr>
        <w:t>Claims and Litigation Timeline</w:t>
      </w:r>
    </w:p>
    <w:p>
      <w:pPr>
        <w:pStyle w:val="ListBullet"/>
      </w:pPr>
      <w:r>
        <w:t xml:space="preserve">  </w:t>
      </w:r>
      <w:r>
        <w:rPr>
          <w:b/>
        </w:rPr>
        <w:t>February 21, 2002:</w:t>
      </w:r>
      <w:r>
        <w:t xml:space="preserve"> MERO filed a Complaint for a sum of money against Asiakonstrukt, FCCC, and NDC. MERO prayed for US$1,033,990.00, which included the principal, accumulated 18% annual interest, litigation expenses, and damages.</w:t>
      </w:r>
    </w:p>
    <w:p>
      <w:pPr>
        <w:pStyle w:val="ListBullet"/>
      </w:pPr>
      <w:r>
        <w:t xml:space="preserve">  </w:t>
      </w:r>
      <w:r>
        <w:rPr>
          <w:b/>
        </w:rPr>
        <w:t>Asiakonstrukt's Defense:</w:t>
      </w:r>
      <w:r>
        <w:t xml:space="preserve"> Asiakonstrukt admitted the value of the spaceframe but advanced a novel legal defense: it claimed that the October and November 1999 exchange of letters constituted a </w:t>
      </w:r>
      <w:r>
        <w:rPr>
          <w:b/>
        </w:rPr>
        <w:t>novation</w:t>
      </w:r>
      <w:r>
        <w:t xml:space="preserve"> of the contract. By consenting to MERO collecting from FCCC, Asiakonstrukt argued that a new agreement was forged that extinguished its original obligation, effectively subrogating MERO to collect directly from FCCC and absolving Asiakonstrukt of liability.</w:t>
      </w:r>
    </w:p>
    <w:p>
      <w:pPr>
        <w:pStyle w:val="ListBullet"/>
      </w:pPr>
      <w:r>
        <w:t xml:space="preserve">  </w:t>
      </w:r>
      <w:r>
        <w:rPr>
          <w:b/>
        </w:rPr>
        <w:t>July 19, 2011 (RTC Decision):</w:t>
      </w:r>
      <w:r>
        <w:t xml:space="preserve"> The Regional Trial Court ruled in favor of MERO, finding no novation. It ordered Asiakonstrukt to pay the peso equivalent of US$570,000 (P25,650,000) with interest, while allowing Asiakonstrukt the right to seek reimbursement from FCCC. The RTC dismissed the complaint against NDC.</w:t>
      </w:r>
    </w:p>
    <w:p>
      <w:pPr>
        <w:pStyle w:val="ListBullet"/>
      </w:pPr>
      <w:r>
        <w:t xml:space="preserve">  </w:t>
      </w:r>
      <w:r>
        <w:rPr>
          <w:b/>
        </w:rPr>
        <w:t>February 18, 2015 (CA Decision):</w:t>
      </w:r>
      <w:r>
        <w:t xml:space="preserve"> The Court of Appeals affirmed the RTC's finding on the absence of novation but modified the interest rate application based on prevailing jurisprudence (applying 12% per annum from default until June 30, 2013, and 6% thereafter).</w:t>
      </w:r>
    </w:p>
    <w:p>
      <w:pPr>
        <w:pStyle w:val="ListBullet"/>
      </w:pPr>
      <w:r>
        <w:t xml:space="preserve">  </w:t>
      </w:r>
      <w:r>
        <w:rPr>
          <w:b/>
        </w:rPr>
        <w:t>September 29, 2021 (SC Decision):</w:t>
      </w:r>
      <w:r>
        <w:t xml:space="preserve"> The Supreme Court issued its final ruling on the matter via G.R. No. 221147.</w:t>
      </w:r>
    </w:p>
    <w:p>
      <w:pPr>
        <w:pStyle w:val="Heading3"/>
      </w:pPr>
      <w:r>
        <w:t>Table 1: Chronology of Key Events</w:t>
      </w:r>
    </w:p>
    <w:p>
      <w:r>
        <w:t>| Date | Event Description | Significance |</w:t>
      </w:r>
    </w:p>
    <w:p>
      <w:r>
        <w:t>| :--- | :--- | :--- |</w:t>
      </w:r>
    </w:p>
    <w:p>
      <w:r>
        <w:t xml:space="preserve">| </w:t>
      </w:r>
      <w:r>
        <w:rPr>
          <w:b/>
        </w:rPr>
        <w:t>Mar 16, 1998</w:t>
      </w:r>
      <w:r>
        <w:t xml:space="preserve"> | FCCC and Asiakonstrukt sign Construction Agreement. | Establishes the primary project contract. |</w:t>
      </w:r>
    </w:p>
    <w:p>
      <w:r>
        <w:t xml:space="preserve">| </w:t>
      </w:r>
      <w:r>
        <w:rPr>
          <w:b/>
        </w:rPr>
        <w:t>Mar 16-17, 1998</w:t>
      </w:r>
      <w:r>
        <w:t xml:space="preserve"> | MERO submits proposal for US$570k; Asiakonstrukt accepts. | Forms the valid original subcontract (Obligation 1). |</w:t>
      </w:r>
    </w:p>
    <w:p>
      <w:r>
        <w:t xml:space="preserve">| </w:t>
      </w:r>
      <w:r>
        <w:rPr>
          <w:b/>
        </w:rPr>
        <w:t>Apr 5, 1998</w:t>
      </w:r>
      <w:r>
        <w:t xml:space="preserve"> | MERO ships the spaceframe to the project site. | MERO fulfills its principal obligation. |</w:t>
      </w:r>
    </w:p>
    <w:p>
      <w:r>
        <w:t xml:space="preserve">| </w:t>
      </w:r>
      <w:r>
        <w:rPr>
          <w:b/>
        </w:rPr>
        <w:t>Oct 13, 1999</w:t>
      </w:r>
      <w:r>
        <w:t xml:space="preserve"> | MERO writes to Asiakonstrukt asking to collect directly from FCCC. | The genesis of the alleged contract modification. |</w:t>
      </w:r>
    </w:p>
    <w:p>
      <w:r>
        <w:t xml:space="preserve">| </w:t>
      </w:r>
      <w:r>
        <w:rPr>
          <w:b/>
        </w:rPr>
        <w:t>Nov 8, 1999</w:t>
      </w:r>
      <w:r>
        <w:t xml:space="preserve"> | Asiakonstrukt replies "interposing no objection." | The alleged act of novation/substitution. |</w:t>
      </w:r>
    </w:p>
    <w:p>
      <w:r>
        <w:t xml:space="preserve">| </w:t>
      </w:r>
      <w:r>
        <w:rPr>
          <w:b/>
        </w:rPr>
        <w:t>Feb 21, 2002</w:t>
      </w:r>
      <w:r>
        <w:t xml:space="preserve"> | MERO files a collection suit against Asiakonstrukt, FCCC, NDC. | Commencement of litigation due to non-payment. |</w:t>
      </w:r>
    </w:p>
    <w:p>
      <w:r>
        <w:t xml:space="preserve">| </w:t>
      </w:r>
      <w:r>
        <w:rPr>
          <w:b/>
        </w:rPr>
        <w:t>Sep 29, 2021</w:t>
      </w:r>
      <w:r>
        <w:t xml:space="preserve"> | Supreme Court issues final decision in G.R. No. 221147. | SC solidifies doctrine on implied novation. |</w:t>
      </w:r>
    </w:p>
    <w:p>
      <w:pPr>
        <w:spacing w:before="120" w:after="120"/>
        <w:pBdr>
          <w:bottom w:val="single" w:sz="4" w:space="1" w:color="CCCCCC"/>
        </w:pBdr>
      </w:pPr>
    </w:p>
    <w:p>
      <w:pPr>
        <w:pStyle w:val="Heading2"/>
      </w:pPr>
      <w:r>
        <w:t>3. The Contract or Obligation</w:t>
      </w:r>
    </w:p>
    <w:p>
      <w:r>
        <w:t>To accurately apply the principles of novation, it is strictly necessary to isolate the original obligation and compare it against the subsequent modifications.</w:t>
      </w:r>
    </w:p>
    <w:p>
      <w:r>
        <w:rPr>
          <w:b/>
        </w:rPr>
        <w:t>The Original Subcontract</w:t>
      </w:r>
    </w:p>
    <w:p>
      <w:r>
        <w:t>The foundational obligation was the "Materials Only Proposal" accepted on March 17, 1998. Under this bilateral, onerous contract, MERO had the obligation to deliver the US$570,000 spaceframe, and Asiakonstrukt had the reciprocal obligation to pay the purchase price (20% down, balance via LC). This created a direct debtor-creditor relationship exclusively between Asiakonstrukt and MERO.</w:t>
      </w:r>
    </w:p>
    <w:p>
      <w:r>
        <w:rPr>
          <w:b/>
        </w:rPr>
        <w:t>The Modification Attempt</w:t>
      </w:r>
    </w:p>
    <w:p>
      <w:r>
        <w:t xml:space="preserve">The modification in question was not a formal, newly drafted "addendum" or "change order" in the traditional construction sense. Rather, it was an informal modification of the </w:t>
      </w:r>
      <w:r>
        <w:rPr>
          <w:i/>
        </w:rPr>
        <w:t>collection mechanism</w:t>
      </w:r>
      <w:r>
        <w:t xml:space="preserve"> borne out of an exchange of correspondence. MERO, desperate for payment, sought an alternative route: bypassing the main contractor to seek funds directly from the ultimate beneficiary of the goods, FCCC. Asiakonstrukt's November 8, 1999 letter merely stated that it "interposed no objection" to this parallel collection effort.</w:t>
      </w:r>
    </w:p>
    <w:p>
      <w:r>
        <w:rPr>
          <w:b/>
        </w:rPr>
        <w:t>Extinguishment vs. Supplementation</w:t>
      </w:r>
    </w:p>
    <w:p>
      <w:r>
        <w:t>Asiakonstrukt posited that this correspondence was a new agreement that completely extinguished the old obligation. It argued that by allowing MERO to collect from FCCC, a substitution of the debtor occurred, transferring the debt burden away from Asiakonstrukt.</w:t>
      </w:r>
    </w:p>
    <w:p>
      <w:r>
        <w:t xml:space="preserve">Conversely, the courts determined that this modification did </w:t>
      </w:r>
      <w:r>
        <w:rPr>
          <w:b/>
        </w:rPr>
        <w:t>not</w:t>
      </w:r>
      <w:r>
        <w:t xml:space="preserve"> extinguish the old obligation. The letters merely supplemented the existing arrangement by opening an alternative avenue for MERO to satisfy the debt. It was a facilitative gesture, not a destructive one. Because the primary obligation was not explicitly cancelled, the new collection mechanism was deemed entirely compatible with the continued, underlying liability of Asiakonstrukt. If FCCC failed to pay (which it did), Asiakonstrukt remained contractually bound as the primary debtor.</w:t>
      </w:r>
    </w:p>
    <w:p>
      <w:pPr>
        <w:spacing w:before="120" w:after="120"/>
        <w:pBdr>
          <w:bottom w:val="single" w:sz="4" w:space="1" w:color="CCCCCC"/>
        </w:pBdr>
      </w:pPr>
    </w:p>
    <w:p>
      <w:pPr>
        <w:pStyle w:val="Heading2"/>
      </w:pPr>
      <w:r>
        <w:t>4. Legal Issues Raised</w:t>
      </w:r>
    </w:p>
    <w:p>
      <w:r>
        <w:t>The Supreme Court was tasked with resolving several critical questions of civil law and procedural propriety, chief among them being the application of the doctrine of novation.</w:t>
      </w:r>
    </w:p>
    <w:p>
      <w:r>
        <w:t xml:space="preserve">1.  </w:t>
      </w:r>
      <w:r>
        <w:rPr>
          <w:b/>
        </w:rPr>
        <w:t>Was there a novation of the original subcontract?</w:t>
      </w:r>
    </w:p>
    <w:p>
      <w:r>
        <w:t>Specifically, did the Court of Appeals err in refusing to treat the October 13 and November 8, 1999 letters as a new written contract that effected a novation or subrogation, thereby extinguishing Asiakonstrukt's liability and allowing MERO to collect exclusively from FCCC?.</w:t>
      </w:r>
    </w:p>
    <w:p>
      <w:r>
        <w:t xml:space="preserve">2.  </w:t>
      </w:r>
      <w:r>
        <w:rPr>
          <w:b/>
        </w:rPr>
        <w:t>Is novation implied from the mere modification of contract terms?</w:t>
      </w:r>
    </w:p>
    <w:p>
      <w:r>
        <w:t>Can the intent to novate an obligation be presumed simply because the parties agreed to alter the method, source, or mechanics of payment?.</w:t>
      </w:r>
    </w:p>
    <w:p>
      <w:r>
        <w:t xml:space="preserve">3.  </w:t>
      </w:r>
      <w:r>
        <w:rPr>
          <w:b/>
        </w:rPr>
        <w:t>What is the legal test for implied novation under Philippine Civil Law?</w:t>
      </w:r>
    </w:p>
    <w:p>
      <w:r>
        <w:t>How do courts ascertain whether a subsequent agreement extinguishes an older one when the parties have not explicitly stated an intention to do so?.</w:t>
      </w:r>
    </w:p>
    <w:p>
      <w:r>
        <w:t xml:space="preserve">4.  </w:t>
      </w:r>
      <w:r>
        <w:rPr>
          <w:b/>
        </w:rPr>
        <w:t>Procedural Issue (Substitution of Parties):</w:t>
      </w:r>
    </w:p>
    <w:p>
      <w:r>
        <w:t>Did the Court of Appeals err in failing to exclude Novum Structures LLC as a party, given the alleged transfer of interest from MERO Structures, Inc.?.</w:t>
      </w:r>
    </w:p>
    <w:p>
      <w:pPr>
        <w:spacing w:before="120" w:after="120"/>
        <w:pBdr>
          <w:bottom w:val="single" w:sz="4" w:space="1" w:color="CCCCCC"/>
        </w:pBdr>
      </w:pPr>
    </w:p>
    <w:p>
      <w:pPr>
        <w:pStyle w:val="Heading2"/>
      </w:pPr>
      <w:r>
        <w:t>5. Supreme Court Ruling</w:t>
      </w:r>
    </w:p>
    <w:p>
      <w:r>
        <w:t xml:space="preserve">The Supreme Court, speaking through Justice Hernando (Second Division), denied Asiakonstrukt's petition for review on certiorari and affirmed the decision of the Court of Appeals in its entirety. The Court definitively ruled that </w:t>
      </w:r>
      <w:r>
        <w:rPr>
          <w:b/>
        </w:rPr>
        <w:t>no novation occurred</w:t>
      </w:r>
      <w:r>
        <w:t>.</w:t>
      </w:r>
    </w:p>
    <w:p>
      <w:r>
        <w:rPr>
          <w:b/>
        </w:rPr>
        <w:t>Application of Arts. 1292–1296 to the Subcontract</w:t>
      </w:r>
    </w:p>
    <w:p>
      <w:r>
        <w:t>The Court meticulously dismantled Asiakonstrukt's defense by applying the statutory framework of the Civil Code regarding the extinguishment and modification of obligations.</w:t>
      </w:r>
    </w:p>
    <w:p>
      <w:r>
        <w:t xml:space="preserve">1.  </w:t>
      </w:r>
      <w:r>
        <w:rPr>
          <w:b/>
        </w:rPr>
        <w:t>Requisites of Novation Not Met:</w:t>
      </w:r>
      <w:r>
        <w:t xml:space="preserve"> The Court reiterated that four concurrent requisites are necessary for a valid novation: (1) a previous valid obligation; (2) the agreement of all parties to a new contract; (3) the extinguishment of the old contract; and (4) a valid new contract. While a previous valid obligation existed (the US$570k supply contract), the second and third requisites were glaringly absent.</w:t>
      </w:r>
    </w:p>
    <w:p>
      <w:r>
        <w:t xml:space="preserve">2.  </w:t>
      </w:r>
      <w:r>
        <w:rPr>
          <w:b/>
        </w:rPr>
        <w:t>No Express Novation (Art. 1292):</w:t>
      </w:r>
      <w:r>
        <w:t xml:space="preserve"> Under Article 1292, an obligation is extinguished by another only if it is declared in "unequivocal terms". The Court scrutinized the October and November 1999 letters and found no express declaration that Asiakonstrukt's debt was being forgiven, extinguished, or replaced. The letters simply allowed MERO to "try collecting" from FCCC.</w:t>
      </w:r>
    </w:p>
    <w:p>
      <w:r>
        <w:t xml:space="preserve">3.  </w:t>
      </w:r>
      <w:r>
        <w:rPr>
          <w:b/>
        </w:rPr>
        <w:t>No Implied Novation (Art. 1292):</w:t>
      </w:r>
      <w:r>
        <w:t xml:space="preserve"> In the absence of an express declaration, the Court applied the "test of incompatibility". The Court found that Asiakonstrukt's non-objection to MERO seeking payment from FCCC was not incompatible on every point with Asiakonstrukt's original duty to pay. The two concepts—a primary obligation to pay and an alternative effort to collect from a third-party beneficiary—can peacefully stand together, each with its own independent existence.</w:t>
      </w:r>
    </w:p>
    <w:p>
      <w:r>
        <w:t xml:space="preserve">4.  </w:t>
      </w:r>
      <w:r>
        <w:rPr>
          <w:b/>
        </w:rPr>
        <w:t>Failure of Debtor Substitution (Art. 1293):</w:t>
      </w:r>
      <w:r>
        <w:t xml:space="preserve"> Article 1293 dictates that novation consisting of substituting a new debtor in the place of the original one (</w:t>
      </w:r>
      <w:r>
        <w:rPr>
          <w:i/>
        </w:rPr>
        <w:t>delegacion</w:t>
      </w:r>
      <w:r>
        <w:t xml:space="preserve"> or </w:t>
      </w:r>
      <w:r>
        <w:rPr>
          <w:i/>
        </w:rPr>
        <w:t>expromision</w:t>
      </w:r>
      <w:r>
        <w:t xml:space="preserve">) cannot be made without the consent of the creditor, and intrinsically requires the consent of the new debtor to assume the obligation. The Court highlighted a fatal flaw in Asiakonstrukt's theory: </w:t>
      </w:r>
      <w:r>
        <w:rPr>
          <w:b/>
        </w:rPr>
        <w:t>FCCC was not a party to the exchange of letters</w:t>
      </w:r>
      <w:r>
        <w:t>. FCCC never consented to substitute Asiakonstrukt, nor did it agree to assume Asiakonstrukt's debt to MERO. Without FCCC's consent, there could be no valid substitution of the debtor.</w:t>
      </w:r>
    </w:p>
    <w:p>
      <w:r>
        <w:t xml:space="preserve">5.  </w:t>
      </w:r>
      <w:r>
        <w:rPr>
          <w:b/>
        </w:rPr>
        <w:t>Assumption of Subcontracting Risk:</w:t>
      </w:r>
      <w:r>
        <w:t xml:space="preserve"> The Court emphasized a fundamental principle of construction law: absent a valid novation, the primary contractor (Asiakonstrukt) assumes the risk of the project owner's (FCCC's) nonpayment. Asiakonstrukt cannot unilaterally shift this financial burden to its subcontractor.</w:t>
      </w:r>
    </w:p>
    <w:p>
      <w:r>
        <w:t xml:space="preserve">6.  </w:t>
      </w:r>
      <w:r>
        <w:rPr>
          <w:b/>
        </w:rPr>
        <w:t>On the Procedural Issue:</w:t>
      </w:r>
      <w:r>
        <w:t xml:space="preserve"> The Court dismissed Asiakonstrukt's argument regarding the substitution of parties. It held that MERO and Novum Structures LLC were essentially one and the same entity; the change was merely a corporate name change to reflect its status as a limited liability company, not a substantive transfer of interest to a stranger.</w:t>
      </w:r>
    </w:p>
    <w:p>
      <w:r>
        <w:rPr>
          <w:b/>
        </w:rPr>
        <w:t>Disposition</w:t>
      </w:r>
    </w:p>
    <w:p>
      <w:r>
        <w:t xml:space="preserve">The Supreme Court ordered Asiakonstrukt to pay MERO the full amount of US$570,000.00 with applicable interest. The Court upheld the CA's equitable modification of the interest rate in accordance with the landmark ruling in </w:t>
      </w:r>
      <w:r>
        <w:rPr>
          <w:i/>
        </w:rPr>
        <w:t>Nacar v. Gallery Frames</w:t>
      </w:r>
      <w:r>
        <w:t>.</w:t>
      </w:r>
    </w:p>
    <w:p>
      <w:pPr>
        <w:pStyle w:val="Heading3"/>
      </w:pPr>
      <w:r>
        <w:t>Table 2: The *Nacar* Interest Rate Modification Applied</w:t>
      </w:r>
    </w:p>
    <w:p>
      <w:r>
        <w:t>| Period | Applicable Interest Rate | Legal Basis |</w:t>
      </w:r>
    </w:p>
    <w:p>
      <w:r>
        <w:t>| :--- | :--- | :--- |</w:t>
      </w:r>
    </w:p>
    <w:p>
      <w:r>
        <w:t xml:space="preserve">| </w:t>
      </w:r>
      <w:r>
        <w:rPr>
          <w:b/>
        </w:rPr>
        <w:t>Date of Default (March 31, 1998) to June 30, 2013</w:t>
      </w:r>
      <w:r>
        <w:t xml:space="preserve"> | 12% per annum | Prevailing rate for forbearance of money prior to BSP Circular No. 799. |</w:t>
      </w:r>
    </w:p>
    <w:p>
      <w:r>
        <w:t xml:space="preserve">| </w:t>
      </w:r>
      <w:r>
        <w:rPr>
          <w:b/>
        </w:rPr>
        <w:t>July 1, 2013 until fully paid</w:t>
      </w:r>
      <w:r>
        <w:t xml:space="preserve"> | 6% per annum | BSP Circular No. 799 (effective July 1, 2013) reducing the legal interest rate, as operationalized in </w:t>
      </w:r>
      <w:r>
        <w:rPr>
          <w:i/>
        </w:rPr>
        <w:t>Nacar v. Gallery Frames</w:t>
      </w:r>
      <w:r>
        <w:t>. |</w:t>
      </w:r>
    </w:p>
    <w:p>
      <w:pPr>
        <w:spacing w:before="120" w:after="120"/>
        <w:pBdr>
          <w:bottom w:val="single" w:sz="4" w:space="1" w:color="CCCCCC"/>
        </w:pBdr>
      </w:pPr>
    </w:p>
    <w:p>
      <w:pPr>
        <w:pStyle w:val="Heading2"/>
      </w:pPr>
      <w:r>
        <w:t>6. Key Doctrine / Civil Code Hook</w:t>
      </w:r>
    </w:p>
    <w:p>
      <w:r>
        <w:t xml:space="preserve">This case is a definitive pedagogical tool for understanding the strictness with which Philippine courts interpret the extinguishment of obligations under </w:t>
      </w:r>
      <w:r>
        <w:rPr>
          <w:b/>
        </w:rPr>
        <w:t>Title I, Chapter 4, Section 6 of the Civil Code</w:t>
      </w:r>
      <w:r>
        <w:t xml:space="preserve"> (Arts. 1291–1293).</w:t>
      </w:r>
    </w:p>
    <w:p>
      <w:r>
        <w:rPr>
          <w:b/>
        </w:rPr>
        <w:t>The Nature of Novation</w:t>
      </w:r>
    </w:p>
    <w:p>
      <w:r>
        <w:t xml:space="preserve">Article 1231 enumerates the modes of extinguishing obligations, identifying novation as one such method. Article 1291 elaborates that obligations may be modified by (1) changing their object or principal conditions; (2) substituting the person of the debtor; or (3) subrogating a third person in the rights of the creditor. The Supreme Court in this case (citing </w:t>
      </w:r>
      <w:r>
        <w:rPr>
          <w:i/>
        </w:rPr>
        <w:t>Garcia v. Llamas</w:t>
      </w:r>
      <w:r>
        <w:t xml:space="preserve">) made a vital distinction between </w:t>
      </w:r>
      <w:r>
        <w:rPr>
          <w:b/>
        </w:rPr>
        <w:t>extinctive</w:t>
      </w:r>
      <w:r>
        <w:t xml:space="preserve"> and </w:t>
      </w:r>
      <w:r>
        <w:rPr>
          <w:b/>
        </w:rPr>
        <w:t>modificatory</w:t>
      </w:r>
      <w:r>
        <w:t xml:space="preserve"> novation.</w:t>
      </w:r>
    </w:p>
    <w:p>
      <w:pPr>
        <w:pStyle w:val="ListBullet"/>
      </w:pPr>
      <w:r>
        <w:t xml:space="preserve">  *Extinctive novation* terminates the old obligation by creating a new one.</w:t>
      </w:r>
    </w:p>
    <w:p>
      <w:pPr>
        <w:pStyle w:val="ListBullet"/>
      </w:pPr>
      <w:r>
        <w:t xml:space="preserve">  *Modificatory novation* merely alters secondary terms while the old obligation subsists, remaining compatible with the amendatory agreement.</w:t>
      </w:r>
    </w:p>
    <w:p>
      <w:r>
        <w:rPr>
          <w:b/>
        </w:rPr>
        <w:t>The Rule Against Presumed Novation</w:t>
      </w:r>
    </w:p>
    <w:p>
      <w:r>
        <w:t xml:space="preserve">The bedrock doctrine reaffirmed in </w:t>
      </w:r>
      <w:r>
        <w:rPr>
          <w:i/>
        </w:rPr>
        <w:t>ACDC v. Mero</w:t>
      </w:r>
      <w:r>
        <w:t xml:space="preserve"> is that </w:t>
      </w:r>
      <w:r>
        <w:rPr>
          <w:b/>
        </w:rPr>
        <w:t>novation is never presumed</w:t>
      </w:r>
      <w:r>
        <w:t>. For a modification to elevate from merely "modificatory" to fully "extinctive," it must pass the rigorous dual-gateway test of Article 1292.</w:t>
      </w:r>
    </w:p>
    <w:p>
      <w:r>
        <w:rPr>
          <w:b/>
        </w:rPr>
        <w:t>1. The Test for Express Novation (Unequivocal Terms)</w:t>
      </w:r>
    </w:p>
    <w:p>
      <w:r>
        <w:t xml:space="preserve">Under Article 1292, an express novation requires the parties to declare in </w:t>
      </w:r>
      <w:r>
        <w:rPr>
          <w:i/>
        </w:rPr>
        <w:t>unequivocal terms</w:t>
      </w:r>
      <w:r>
        <w:t xml:space="preserve"> that the old obligation is extinguished. The mere insertion of new mechanisms for payment does not meet this standard unless accompanied by an explicit mutual agreement of release and discharge.</w:t>
      </w:r>
    </w:p>
    <w:p>
      <w:r>
        <w:rPr>
          <w:b/>
        </w:rPr>
        <w:t>2. The Test for Implied Novation (Incompatibility)</w:t>
      </w:r>
    </w:p>
    <w:p>
      <w:r>
        <w:t xml:space="preserve">If not express, novation may be implied, but only under the strict </w:t>
      </w:r>
      <w:r>
        <w:rPr>
          <w:b/>
        </w:rPr>
        <w:t>test of incompatibility</w:t>
      </w:r>
      <w:r>
        <w:t xml:space="preserve">. The doctrine states: </w:t>
      </w:r>
      <w:r>
        <w:rPr>
          <w:i/>
        </w:rPr>
        <w:t>Implied novation occurs only when the new obligation is incompatible with the old one on every point</w:t>
      </w:r>
      <w:r>
        <w:t xml:space="preserve">. The test asks: </w:t>
      </w:r>
      <w:r>
        <w:rPr>
          <w:b/>
        </w:rPr>
        <w:t>Can the two obligations stand together, each one with its own independent existence?</w:t>
      </w:r>
      <w:r>
        <w:t>. If the answer is yes, there is no novation.</w:t>
      </w:r>
    </w:p>
    <w:p>
      <w:r>
        <w:t xml:space="preserve">In this case, a contractor's primary obligation to pay out of its own pocket is entirely compatible with a supplementary agreement allowing the subcontractor to </w:t>
      </w:r>
      <w:r>
        <w:rPr>
          <w:i/>
        </w:rPr>
        <w:t>try</w:t>
      </w:r>
      <w:r>
        <w:t xml:space="preserve"> collecting from the project owner. The latter is merely an additional facility for payment, not an irreconcilable contradiction of the former.</w:t>
      </w:r>
    </w:p>
    <w:p>
      <w:r>
        <w:rPr>
          <w:b/>
        </w:rPr>
        <w:t>3. Substitution of Debtor (Article 1293)</w:t>
      </w:r>
    </w:p>
    <w:p>
      <w:r>
        <w:t xml:space="preserve">When a party claims that novation occurred via the substitution of the debtor (either through </w:t>
      </w:r>
      <w:r>
        <w:rPr>
          <w:i/>
        </w:rPr>
        <w:t>expromision</w:t>
      </w:r>
      <w:r>
        <w:t xml:space="preserve"> or </w:t>
      </w:r>
      <w:r>
        <w:rPr>
          <w:i/>
        </w:rPr>
        <w:t>delegacion</w:t>
      </w:r>
      <w:r>
        <w:t xml:space="preserve">), Article 1293 mandates that it </w:t>
      </w:r>
      <w:r>
        <w:rPr>
          <w:b/>
        </w:rPr>
        <w:t>cannot be made without the consent of the creditor</w:t>
      </w:r>
      <w:r>
        <w:t xml:space="preserve">. Furthermore, as applied by the Court, common sense and basic contract law require the consent of the </w:t>
      </w:r>
      <w:r>
        <w:rPr>
          <w:i/>
        </w:rPr>
        <w:t>new debtor</w:t>
      </w:r>
      <w:r>
        <w:t xml:space="preserve"> who is supposedly assuming the debt. Because FCCC (the project owner) never formally consented to absorb Asiakonstrukt's debt to MERO, no valid substitution under Article 1293 ever materialized.</w:t>
      </w:r>
    </w:p>
    <w:p>
      <w:pPr>
        <w:spacing w:before="120" w:after="120"/>
        <w:pBdr>
          <w:bottom w:val="single" w:sz="4" w:space="1" w:color="CCCCCC"/>
        </w:pBdr>
      </w:pPr>
    </w:p>
    <w:p>
      <w:pPr>
        <w:pStyle w:val="Heading2"/>
      </w:pPr>
      <w:r>
        <w:t>7. Memory Anchor</w:t>
      </w:r>
    </w:p>
    <w:p>
      <w:r>
        <w:rPr>
          <w:b/>
        </w:rPr>
        <w:t>Story Hook / Mnemonic for Bar/Exam Recall:</w:t>
      </w:r>
    </w:p>
    <w:p>
      <w:pPr>
        <w:ind w:left="567"/>
      </w:pPr>
      <w:r>
        <w:rPr>
          <w:i/>
          <w:color w:val="555555"/>
        </w:rPr>
        <w:t>*"A nod to collect from the boss doesn't let the middleman off the hook."*</w:t>
      </w:r>
    </w:p>
    <w:p>
      <w:r>
        <w:rPr>
          <w:b/>
        </w:rPr>
        <w:t>Explanation:</w:t>
      </w:r>
      <w:r>
        <w:t xml:space="preserve"> In construction disputes, if a subcontractor asks the main contractor, "Can I just go collect my money directly from the project owner?" and the main contractor says, "Sure, I have no objection," this </w:t>
      </w:r>
      <w:r>
        <w:rPr>
          <w:b/>
        </w:rPr>
        <w:t>does not</w:t>
      </w:r>
      <w:r>
        <w:t xml:space="preserve"> constitute implied novation. Unless the project owner explicitly agrees to assume the debt, and all parties unequivocally agree to extinguish the main contractor's liability, the two obligations are not incompatible (Art. 1292). The main contractor retains the ultimate risk of non-payment.</w:t>
      </w:r>
    </w:p>
    <w:p>
      <w:r>
        <w:br w:type="page"/>
      </w:r>
    </w:p>
    <w:p>
      <w:pPr>
        <w:pStyle w:val="Heading1"/>
      </w:pPr>
      <w:r>
        <w:t>Module 3A — Fortuitous Events and Force Majeure</w:t>
      </w:r>
    </w:p>
    <w:p>
      <w:pPr>
        <w:pStyle w:val="Heading2"/>
      </w:pPr>
      <w:r>
        <w:t>Case 20: Agro Conglomerates, Inc. v. Court of Appeals (2000) | G.R. No. 117660</w:t>
      </w:r>
    </w:p>
    <w:p>
      <w:pPr>
        <w:pStyle w:val="Heading2"/>
      </w:pPr>
      <w:r>
        <w:t>Extinguishment of Obligations: A Comprehensive Analysis of Novation by Substitution of Debtor</w:t>
      </w:r>
    </w:p>
    <w:p>
      <w:r>
        <w:t xml:space="preserve">Research suggests that novation—the extinguishment of an obligation by substituting a new one in its place—is one of the most complex modes of extinguishing legal ties under the Philippine Civil Code. Specifically, novation by substitution of the debtor (either through </w:t>
      </w:r>
      <w:r>
        <w:rPr>
          <w:i/>
        </w:rPr>
        <w:t>expromission</w:t>
      </w:r>
      <w:r>
        <w:t xml:space="preserve"> or </w:t>
      </w:r>
      <w:r>
        <w:rPr>
          <w:i/>
        </w:rPr>
        <w:t>delegacion</w:t>
      </w:r>
      <w:r>
        <w:t>) requires a strict confluence of elements, most notably the unequivocal consent of the creditor and the existence of a prior valid obligation. The evidence leans toward a rigorous judicial standard where novation is never presumed; it must be clearly established by the party asserting it.</w:t>
      </w:r>
    </w:p>
    <w:p>
      <w:r>
        <w:t xml:space="preserve">The case of </w:t>
      </w:r>
      <w:r>
        <w:rPr>
          <w:i/>
        </w:rPr>
        <w:t>Agro Conglomerates, Inc. v. Court of Appeals</w:t>
      </w:r>
      <w:r>
        <w:t>, G.R. No. 117660 (December 18, 2000), serves as a cornerstone in Philippine jurisprudence for understanding the sequence of contracts and the essential requisites of novation. The Supreme Court's ruling underscores that an agreement intended to substitute a debtor cannot legally effect a novation if the primary obligation (the debt to be substituted) has not yet been established. This report provides an exhaustive, highly detailed academic analysis of the case, directly addressing the factual matrix, the attempted substitution, the legal issues, and the strict application of Civil Code provisions governing novation, suretyship, and unjust enrichment.</w:t>
      </w:r>
    </w:p>
    <w:p>
      <w:pPr>
        <w:spacing w:before="120" w:after="120"/>
        <w:pBdr>
          <w:bottom w:val="single" w:sz="4" w:space="1" w:color="CCCCCC"/>
        </w:pBdr>
      </w:pPr>
    </w:p>
    <w:p>
      <w:pPr>
        <w:pStyle w:val="Heading3"/>
      </w:pPr>
      <w:r>
        <w:t>Agro Conglomerates, Inc. v. Court of Appeals (2000) | G.R. No. 117660</w:t>
      </w:r>
    </w:p>
    <w:p>
      <w:pPr>
        <w:pStyle w:val="Heading4"/>
      </w:pPr>
      <w:r>
        <w:t>1. The Parties</w:t>
      </w:r>
    </w:p>
    <w:p>
      <w:pPr>
        <w:pStyle w:val="ListBullet"/>
      </w:pPr>
      <w:r/>
      <w:r>
        <w:rPr>
          <w:b/>
        </w:rPr>
        <w:t>Petitioner (Agro Conglomerates):</w:t>
      </w:r>
      <w:r>
        <w:t xml:space="preserve"> Agro Conglomerates, Inc. was the vendor of two parcels of farmland and the principal borrower of the funds in question. The co-petitioner, Mario Soriano, was a representative of Agro who signed several promissory notes as a maker in his capacity as an accommodation party. Their debt consisted of unpaid loan obligations secured from the respondent bank, representing the proceeds released to them which they failed to settle upon maturity.</w:t>
      </w:r>
    </w:p>
    <w:p>
      <w:pPr>
        <w:pStyle w:val="ListBullet"/>
      </w:pPr>
      <w:r/>
      <w:r>
        <w:rPr>
          <w:b/>
        </w:rPr>
        <w:t>Respondents:</w:t>
      </w:r>
      <w:r>
        <w:t xml:space="preserve"> The primary respondent (and original plaintiff) is Regent Savings and Loan Bank, Inc. (formerly Summa Savings &amp; Loan Association), acting as the creditor who disbursed the loan proceeds. The alleged "new debtor" in the attempted substitution was a third party, Wonderland Food Industries, Inc., the vendee in the aborted land sale.</w:t>
      </w:r>
    </w:p>
    <w:p>
      <w:pPr>
        <w:pStyle w:val="ListBullet"/>
      </w:pPr>
      <w:r/>
      <w:r>
        <w:rPr>
          <w:b/>
        </w:rPr>
        <w:t>Their relationship:</w:t>
      </w:r>
      <w:r>
        <w:t xml:space="preserve"> The fundamental relationship began as a contract of sale between Agro (vendor) and Wonderland (vendee). To facilitate Wonderland's initial cash payment, the parties involved Regent Bank (creditor). Agro and Soriano took out a loan from Regent Bank to generate the cash, executing promissory notes in the bank's favor. The attempted substitution involved an Addendum where Wonderland undertook the responsibility to settle the loan obtained by Agro from the bank.</w:t>
      </w:r>
    </w:p>
    <w:p>
      <w:pPr>
        <w:pStyle w:val="Heading4"/>
      </w:pPr>
      <w:r>
        <w:t>2. Background &amp; Facts</w:t>
      </w:r>
    </w:p>
    <w:p>
      <w:pPr>
        <w:pStyle w:val="ListBullet"/>
      </w:pPr>
      <w:r/>
      <w:r>
        <w:rPr>
          <w:b/>
        </w:rPr>
        <w:t>What was the original loan or obligation?</w:t>
      </w:r>
      <w:r/>
    </w:p>
    <w:p>
      <w:r>
        <w:t>The obligation in dispute arose from three complaints for sums of money filed by Regent Savings and Loan Bank against Agro Conglomerates and Mario Soriano based on several promissory notes. The total principal amounts across the consolidated cases were ₱78,212.29, ₱632,911.39, and ₱510,000.00, plus stipulated interests, penalties, and service charges.</w:t>
      </w:r>
    </w:p>
    <w:p>
      <w:pPr>
        <w:pStyle w:val="ListBullet"/>
      </w:pPr>
      <w:r/>
      <w:r>
        <w:rPr>
          <w:b/>
        </w:rPr>
        <w:t>Who was originally the debtor?</w:t>
      </w:r>
      <w:r/>
    </w:p>
    <w:p>
      <w:r>
        <w:t>Agro Conglomerates, Inc. and Mario Soriano were the original debtors to the bank, as they were the named makers and signatories on the promissory notes who received the loan proceeds directly from Regent Bank.</w:t>
      </w:r>
    </w:p>
    <w:p>
      <w:pPr>
        <w:pStyle w:val="ListBullet"/>
      </w:pPr>
      <w:r/>
      <w:r>
        <w:rPr>
          <w:b/>
        </w:rPr>
        <w:t>What substitution of debtor was attempted — who was proposed as the new debtor?</w:t>
      </w:r>
      <w:r/>
    </w:p>
    <w:p>
      <w:r>
        <w:t>Petitioners attempted to substitute Wonderland Food Industries, Inc. as the sole debtor. They relied on an Addendum executed by Agro, Wonderland, and the bank, which stipulated that while the loan would be secured in Agro's name, Wonderland would assume the full settlement of the said loan.</w:t>
      </w:r>
    </w:p>
    <w:p>
      <w:pPr>
        <w:pStyle w:val="ListBullet"/>
      </w:pPr>
      <w:r/>
      <w:r>
        <w:rPr>
          <w:b/>
        </w:rPr>
        <w:t>Did the creditor consent to the substitution?</w:t>
      </w:r>
      <w:r/>
    </w:p>
    <w:p>
      <w:r>
        <w:t xml:space="preserve">While Regent Bank participated in the execution of the Addendum, the Supreme Court found that this participation did not amount to the creditor's consent to </w:t>
      </w:r>
      <w:r>
        <w:rPr>
          <w:i/>
        </w:rPr>
        <w:t>release</w:t>
      </w:r>
      <w:r>
        <w:t xml:space="preserve"> the original debtors (Agro and Soriano) from their subsequent liability under the promissory notes. The bank did not consent to a novation that extinguished Agro's liability; rather, a contract of suretyship arose.</w:t>
      </w:r>
    </w:p>
    <w:p>
      <w:pPr>
        <w:pStyle w:val="ListBullet"/>
      </w:pPr>
      <w:r/>
      <w:r>
        <w:rPr>
          <w:b/>
        </w:rPr>
        <w:t>What happened when the new debtor also failed to pay?</w:t>
      </w:r>
      <w:r/>
    </w:p>
    <w:p>
      <w:r>
        <w:t>The underlying contract of sale for the farmland between Agro and Wonderland did not materialize and was rescinded. Consequently, Wonderland did not comply with its undertaking in the Addendum to pay the bank. Because the loan remained unpaid, the bank—which was experiencing financial turmoil and placed under Central Bank supervision—demanded payment and subsequently filed consolidated collection suits against Agro and Soriano.</w:t>
      </w:r>
    </w:p>
    <w:p>
      <w:pPr>
        <w:pStyle w:val="ListBullet"/>
      </w:pPr>
      <w:r/>
      <w:r>
        <w:rPr>
          <w:b/>
        </w:rPr>
        <w:t>Timeline of key events:</w:t>
      </w:r>
      <w:r/>
    </w:p>
    <w:p>
      <w:pPr>
        <w:pStyle w:val="ListBullet"/>
      </w:pPr>
      <w:r/>
      <w:r>
        <w:rPr>
          <w:b/>
        </w:rPr>
        <w:t>July 17, 1982:</w:t>
      </w:r>
      <w:r>
        <w:t xml:space="preserve"> Agro and Wonderland executed a Memorandum of Agreement for the sale of two parcels of land for ₱5,000,000. Terms included ₱1,000,000 in cash upon signing, ₱2,000,000 in Wonderland shares, and ₱2,000,000 in four equal installments with 18% interest per annum.</w:t>
      </w:r>
    </w:p>
    <w:p>
      <w:pPr>
        <w:pStyle w:val="ListBullet"/>
      </w:pPr>
      <w:r/>
      <w:r>
        <w:rPr>
          <w:b/>
        </w:rPr>
        <w:t>July 19, 1982:</w:t>
      </w:r>
      <w:r>
        <w:t xml:space="preserve"> Agro, Wonderland, and Regent Bank executed an unnotarized Addendum. It modified the cash payment term: Agro would obtain a ₱1,360,000 loan from Regent Bank, and Wonderland would assume the responsibility of paying this loan.</w:t>
      </w:r>
    </w:p>
    <w:p>
      <w:pPr>
        <w:pStyle w:val="ListBullet"/>
      </w:pPr>
      <w:r/>
      <w:r>
        <w:rPr>
          <w:b/>
        </w:rPr>
        <w:t>Post-July 19, 1982:</w:t>
      </w:r>
      <w:r>
        <w:t xml:space="preserve"> Mario Soriano signed several promissory notes as maker. Regent Bank released the loan proceeds to Agro.</w:t>
      </w:r>
    </w:p>
    <w:p>
      <w:pPr>
        <w:pStyle w:val="ListBullet"/>
      </w:pPr>
      <w:r/>
      <w:r>
        <w:rPr>
          <w:b/>
        </w:rPr>
        <w:t>Subsequent Events:</w:t>
      </w:r>
      <w:r>
        <w:t xml:space="preserve"> The land sale collapsed and was rescinded. Wonderland failed to pay the bank.</w:t>
      </w:r>
    </w:p>
    <w:p>
      <w:pPr>
        <w:pStyle w:val="ListBullet"/>
      </w:pPr>
      <w:r/>
      <w:r>
        <w:rPr>
          <w:b/>
        </w:rPr>
        <w:t>Maturity &amp; Default:</w:t>
      </w:r>
      <w:r>
        <w:t xml:space="preserve"> Agro and Soriano failed to pay the promissory notes at maturity. Regent Bank extended the due dates, but restructuring negotiations with Soriano ultimately failed. Regent Bank filed three complaints for collection of sum of money.</w:t>
      </w:r>
    </w:p>
    <w:p>
      <w:pPr>
        <w:pStyle w:val="Heading4"/>
      </w:pPr>
      <w:r>
        <w:t>3. The Contract or Obligation</w:t>
      </w:r>
    </w:p>
    <w:p>
      <w:pPr>
        <w:pStyle w:val="ListBullet"/>
      </w:pPr>
      <w:r/>
      <w:r>
        <w:rPr>
          <w:b/>
        </w:rPr>
        <w:t>What was the original obligation?</w:t>
      </w:r>
      <w:r/>
    </w:p>
    <w:p>
      <w:r>
        <w:t>The original, actionable obligation was the debt owed to Regent Bank, evidenced by the promissory notes executed by Mario Soriano on behalf of Agro Conglomerates.</w:t>
      </w:r>
    </w:p>
    <w:p>
      <w:pPr>
        <w:pStyle w:val="ListBullet"/>
      </w:pPr>
      <w:r/>
      <w:r>
        <w:rPr>
          <w:b/>
        </w:rPr>
        <w:t>Was the substitution of debtor (expromission or delegacion) validly made?</w:t>
      </w:r>
      <w:r/>
    </w:p>
    <w:p>
      <w:r>
        <w:t xml:space="preserve">No, the substitution was legally invalid. The Supreme Court ruled that there was no novation by substitution of debtor because the essential first requisite of novation—a </w:t>
      </w:r>
      <w:r>
        <w:rPr>
          <w:i/>
        </w:rPr>
        <w:t>previous valid obligation</w:t>
      </w:r>
      <w:r>
        <w:t xml:space="preserve">—was missing. The promissory notes (the actual obligations) were executed </w:t>
      </w:r>
      <w:r>
        <w:rPr>
          <w:i/>
        </w:rPr>
        <w:t>after</w:t>
      </w:r>
      <w:r>
        <w:t xml:space="preserve"> the Addendum. Therefore, the Addendum could not have substituted a debtor for a debt that did not yet exist.</w:t>
      </w:r>
    </w:p>
    <w:p>
      <w:pPr>
        <w:pStyle w:val="ListBullet"/>
      </w:pPr>
      <w:r/>
      <w:r>
        <w:rPr>
          <w:b/>
        </w:rPr>
        <w:t>Was the original debtor released? On what terms?</w:t>
      </w:r>
      <w:r/>
    </w:p>
    <w:p>
      <w:r>
        <w:t>The original debtors (Agro and Soriano) were never released. The Court characterized their relationship with Wonderland as a contract of surety, wherein Agro acted as an accommodation party to induce the bank to release the funds for Wonderland's benefit. However, because the underlying land sale was rescinded, the surety contract was extinguished, leaving Agro and Soriano directly and principally liable for the loan proceeds they had received and retained.</w:t>
      </w:r>
    </w:p>
    <w:p>
      <w:pPr>
        <w:pStyle w:val="Heading4"/>
      </w:pPr>
      <w:r>
        <w:t>4. Legal Issues Raised</w:t>
      </w:r>
    </w:p>
    <w:p>
      <w:pPr>
        <w:pStyle w:val="ListBullet"/>
      </w:pPr>
      <w:r/>
      <w:r>
        <w:rPr>
          <w:b/>
        </w:rPr>
        <w:t>Is the creditor's consent required for a valid substitution of debtor?</w:t>
      </w:r>
      <w:r/>
    </w:p>
    <w:p>
      <w:r>
        <w:t>Yes. Under Philippine civil law, novation by substitution of a debtor (</w:t>
      </w:r>
      <w:r>
        <w:rPr>
          <w:i/>
        </w:rPr>
        <w:t>expromission</w:t>
      </w:r>
      <w:r>
        <w:t xml:space="preserve"> or </w:t>
      </w:r>
      <w:r>
        <w:rPr>
          <w:i/>
        </w:rPr>
        <w:t>delegacion</w:t>
      </w:r>
      <w:r>
        <w:t>) inherently requires the explicit consent of the creditor. In this case, petitioners argued that the bank's participation in the Addendum constituted consent to substituting Wonderland as the sole debtor, thereby exempting petitioners from liability.</w:t>
      </w:r>
    </w:p>
    <w:p>
      <w:pPr>
        <w:pStyle w:val="ListBullet"/>
      </w:pPr>
      <w:r/>
      <w:r>
        <w:rPr>
          <w:b/>
        </w:rPr>
        <w:t>Was the original debtor released from liability by the substitution?</w:t>
      </w:r>
      <w:r/>
    </w:p>
    <w:p>
      <w:r>
        <w:t>Petitioners interposed the defense of novation, insisting that the Addendum validly substituted Wonderland as the debtor and completely released Agro and Soriano. The legal issue was whether the Addendum operated as an extinctive novation that erased the petitioners' liability under the promissory notes.</w:t>
      </w:r>
    </w:p>
    <w:p>
      <w:pPr>
        <w:pStyle w:val="ListBullet"/>
      </w:pPr>
      <w:r/>
      <w:r>
        <w:rPr>
          <w:b/>
        </w:rPr>
        <w:t>If the new debtor is insolvent, can the creditor go back to the original debtor?</w:t>
      </w:r>
      <w:r/>
    </w:p>
    <w:p>
      <w:r>
        <w:t xml:space="preserve">While this is a core question under Article 1295 regarding </w:t>
      </w:r>
      <w:r>
        <w:rPr>
          <w:i/>
        </w:rPr>
        <w:t>delegacion</w:t>
      </w:r>
      <w:r>
        <w:t xml:space="preserve">, the Supreme Court in this specific case did not need to apply the insolvency rules of Art. 1295 because it ruled that </w:t>
      </w:r>
      <w:r>
        <w:rPr>
          <w:i/>
        </w:rPr>
        <w:t>no substitution ever took place</w:t>
      </w:r>
      <w:r>
        <w:t>. The defense failed at the threshold element: the lack of a prior obligation to be novated.</w:t>
      </w:r>
    </w:p>
    <w:p>
      <w:pPr>
        <w:pStyle w:val="Heading4"/>
      </w:pPr>
      <w:r>
        <w:t>5. Supreme Court Ruling</w:t>
      </w:r>
    </w:p>
    <w:p>
      <w:pPr>
        <w:pStyle w:val="ListBullet"/>
      </w:pPr>
      <w:r/>
      <w:r>
        <w:rPr>
          <w:b/>
        </w:rPr>
        <w:t>What did the SC hold on the validity of the substitution?</w:t>
      </w:r>
      <w:r/>
    </w:p>
    <w:p>
      <w:r>
        <w:t>The Supreme Court (in a decision penned by Justice Quisumbing) held that the substitution was invalid and that no novation occurred. The Court reiterated that novation is never presumed and must be clearly and unequivocally shown.</w:t>
      </w:r>
    </w:p>
    <w:p>
      <w:pPr>
        <w:pStyle w:val="ListBullet"/>
      </w:pPr>
      <w:r/>
      <w:r>
        <w:rPr>
          <w:b/>
        </w:rPr>
        <w:t>Was the original debtor released?</w:t>
      </w:r>
      <w:r/>
    </w:p>
    <w:p>
      <w:r>
        <w:t xml:space="preserve">No. The Supreme Court affirmed the Court of Appeals' ruling in </w:t>
      </w:r>
      <w:r>
        <w:rPr>
          <w:i/>
        </w:rPr>
        <w:t>toto</w:t>
      </w:r>
      <w:r>
        <w:t>, holding Agro and Soriano jointly and severally liable to pay the respondent bank.</w:t>
      </w:r>
    </w:p>
    <w:p>
      <w:pPr>
        <w:pStyle w:val="ListBullet"/>
      </w:pPr>
      <w:r/>
      <w:r>
        <w:rPr>
          <w:b/>
        </w:rPr>
        <w:t>How did it apply Arts. 1293–1295 to the facts?</w:t>
      </w:r>
      <w:r/>
    </w:p>
    <w:p>
      <w:r>
        <w:t xml:space="preserve">The Court anchored its ruling on the basic requisites of novation. For a valid novation (including substitution under Art. 1293) to exist, four elements must concur: (1) a previous valid obligation; (2) agreement of the parties to a new contract; (3) extinguishment of the old contract; and (4) validity of the new contract. The Court found the </w:t>
      </w:r>
      <w:r>
        <w:rPr>
          <w:i/>
        </w:rPr>
        <w:t>first requisite</w:t>
      </w:r>
      <w:r>
        <w:t xml:space="preserve"> utterly lacking. The Addendum (which allegedly substituted the debtor) was executed </w:t>
      </w:r>
      <w:r>
        <w:rPr>
          <w:i/>
        </w:rPr>
        <w:t>before</w:t>
      </w:r>
      <w:r>
        <w:t xml:space="preserve"> the promissory notes. One cannot novate an obligation that has not yet been constituted. Furthermore, the Court applied the principle of unjust enrichment. Since Agro admitted to receiving the proceeds of the bank loan, it had no legal ground to retain the funds at the bank's expense after the land sale collapsed.</w:t>
      </w:r>
    </w:p>
    <w:p>
      <w:pPr>
        <w:pStyle w:val="ListBullet"/>
      </w:pPr>
      <w:r/>
      <w:r>
        <w:rPr>
          <w:b/>
        </w:rPr>
        <w:t>What was the disposition?</w:t>
      </w:r>
      <w:r/>
    </w:p>
    <w:p>
      <w:r>
        <w:t>The petition was DENIED for lack of merit. The decision of the Court of Appeals was AFFIRMED, ordering Agro Conglomerates and Mario Soriano to pay the principal amounts plus 14% interest, 3% service charges, 6% penalties, liquidated damages, and attorney's fees.</w:t>
      </w:r>
    </w:p>
    <w:p>
      <w:pPr>
        <w:pStyle w:val="Heading4"/>
      </w:pPr>
      <w:r>
        <w:t>6. Key Doctrine / Civil Code Hook</w:t>
      </w:r>
    </w:p>
    <w:p>
      <w:pPr>
        <w:pStyle w:val="ListBullet"/>
      </w:pPr>
      <w:r/>
      <w:r>
        <w:rPr>
          <w:b/>
        </w:rPr>
        <w:t>State the rule on substitution of debtor: creditor's consent required (Art. 1293)</w:t>
      </w:r>
      <w:r/>
    </w:p>
    <w:p>
      <w:r>
        <w:t xml:space="preserve">Article 1293 of the Civil Code mandates: "Novation which consists in substituting a new debtor in the place of the original one, may be made even without the knowledge or against the will of the latter, but not without the consent of the creditor.". The substitution can take the form of </w:t>
      </w:r>
      <w:r>
        <w:rPr>
          <w:i/>
        </w:rPr>
        <w:t>expromission</w:t>
      </w:r>
      <w:r>
        <w:t xml:space="preserve"> (initiative comes from a third person) or </w:t>
      </w:r>
      <w:r>
        <w:rPr>
          <w:i/>
        </w:rPr>
        <w:t>delegacion</w:t>
      </w:r>
      <w:r>
        <w:t xml:space="preserve"> (initiative comes from the debtor). In all cases, the creditor's consent is an indispensable requisite to release the original debtor.</w:t>
      </w:r>
    </w:p>
    <w:p>
      <w:pPr>
        <w:pStyle w:val="ListBullet"/>
      </w:pPr>
      <w:r/>
      <w:r>
        <w:rPr>
          <w:b/>
        </w:rPr>
        <w:t>State the rule on effect of insolvency of new debtor (Art. 1295)</w:t>
      </w:r>
      <w:r/>
    </w:p>
    <w:p>
      <w:r>
        <w:t xml:space="preserve">Under Article 1295, if the substitution is by </w:t>
      </w:r>
      <w:r>
        <w:rPr>
          <w:i/>
        </w:rPr>
        <w:t>delegacion</w:t>
      </w:r>
      <w:r>
        <w:t xml:space="preserve"> (the original debtor proposed the new debtor), the insolvency of the new debtor does not revive the action of the creditor against the original debtor </w:t>
      </w:r>
      <w:r>
        <w:rPr>
          <w:i/>
        </w:rPr>
        <w:t>unless</w:t>
      </w:r>
      <w:r>
        <w:t xml:space="preserve"> the insolvency was already existing and of public knowledge, or known to the debtor, when the debt was delegated. (Note: In </w:t>
      </w:r>
      <w:r>
        <w:rPr>
          <w:i/>
        </w:rPr>
        <w:t>Agro</w:t>
      </w:r>
      <w:r>
        <w:t>, this protection did not apply because the initial substitution itself was legally void).</w:t>
      </w:r>
    </w:p>
    <w:p>
      <w:pPr>
        <w:pStyle w:val="ListBullet"/>
      </w:pPr>
      <w:r/>
      <w:r>
        <w:rPr>
          <w:b/>
        </w:rPr>
        <w:t>Which Civil Code articles were applied?</w:t>
      </w:r>
      <w:r/>
    </w:p>
    <w:p>
      <w:pPr>
        <w:pStyle w:val="ListBullet"/>
      </w:pPr>
      <w:r/>
      <w:r>
        <w:rPr>
          <w:b/>
        </w:rPr>
        <w:t>Article 1292 / Requisites of Novation:</w:t>
      </w:r>
      <w:r>
        <w:t xml:space="preserve"> The Court strictly applied the jurisprudential standard that novation requires a previous valid obligation, which cannot be presumed.</w:t>
      </w:r>
    </w:p>
    <w:p>
      <w:pPr>
        <w:pStyle w:val="ListBullet"/>
      </w:pPr>
      <w:r/>
      <w:r>
        <w:rPr>
          <w:b/>
        </w:rPr>
        <w:t>Article 22 (Unjust Enrichment):</w:t>
      </w:r>
      <w:r>
        <w:t xml:space="preserve"> "Every person who through an act of performance by another, or any other means, acquires or comes into possession of something at the expense of the latter without just or legal ground, shall return the same to him." The Court used this to cement petitioners' liability since they received the loan proceeds.</w:t>
      </w:r>
    </w:p>
    <w:p>
      <w:pPr>
        <w:pStyle w:val="ListBullet"/>
      </w:pPr>
      <w:r/>
      <w:r>
        <w:rPr>
          <w:b/>
        </w:rPr>
        <w:t>Article 1216:</w:t>
      </w:r>
      <w:r>
        <w:t xml:space="preserve"> Relating to solidary obligations and suretyship, allowing the creditor to proceed against any of the solidary debtors.</w:t>
      </w:r>
    </w:p>
    <w:p>
      <w:pPr>
        <w:pStyle w:val="Heading4"/>
      </w:pPr>
      <w:r>
        <w:t>7. Memory Anchor</w:t>
      </w:r>
    </w:p>
    <w:p>
      <w:pPr>
        <w:pStyle w:val="ListBullet"/>
      </w:pPr>
      <w:r/>
      <w:r>
        <w:rPr>
          <w:b/>
        </w:rPr>
        <w:t>"No old debt, no novation."</w:t>
      </w:r>
      <w:r>
        <w:t xml:space="preserve"> In *Agro Conglomerates*, the debtor tried to escape liability by claiming a third party took over the loan, but the contract shifting the blame was signed *before* the loan was even borrowed. You cannot substitute a debtor for an obligation that has not yet been born! Furthermore, if you keep the bank's money when the underlying deal falls apart, unjust enrichment (Art. 22) guarantees you still have to pay.</w:t>
      </w:r>
    </w:p>
    <w:p>
      <w:pPr>
        <w:pStyle w:val="Heading2"/>
      </w:pPr>
      <w:r>
        <w:t>Case 21: PNB v. Mallari (1958) | G.R. No. L-11862</w:t>
      </w:r>
    </w:p>
    <w:p>
      <w:pPr>
        <w:pStyle w:val="Heading2"/>
      </w:pPr>
      <w:r>
        <w:t>Exhaustive Academic Report on Novation in Philippine Civil Law: An Analysis of *Philippine National Bank v. Mallari* (1958)</w:t>
      </w:r>
    </w:p>
    <w:p>
      <w:r>
        <w:t xml:space="preserve">The following report provides an exhaustive, academic, and jurisprudential analysis of the landmark Philippine Supreme Court case </w:t>
      </w:r>
      <w:r>
        <w:rPr>
          <w:i/>
        </w:rPr>
        <w:t>Philippine National Bank v. Hermogenes Mallari and The First National Surety and Assurance Co., Inc.</w:t>
      </w:r>
      <w:r>
        <w:t>.</w:t>
      </w:r>
    </w:p>
    <w:p>
      <w:pPr>
        <w:pStyle w:val="ListBullet"/>
      </w:pPr>
      <w:r>
        <w:t xml:space="preserve">  </w:t>
      </w:r>
      <w:r>
        <w:rPr>
          <w:b/>
        </w:rPr>
        <w:t>Key points:</w:t>
      </w:r>
      <w:r>
        <w:t xml:space="preserve"> The Supreme Court of the Philippines ruled that the assumption of a debtor's loan by a third party, coupled with the alteration of the payment terms and the release of the original collateral, constitutes an extinctive novation.</w:t>
      </w:r>
    </w:p>
    <w:p>
      <w:pPr>
        <w:pStyle w:val="ListBullet"/>
      </w:pPr>
      <w:r>
        <w:t xml:space="preserve">  </w:t>
      </w:r>
      <w:r>
        <w:rPr>
          <w:b/>
        </w:rPr>
        <w:t>Controversy and Nuance:</w:t>
      </w:r>
      <w:r>
        <w:t xml:space="preserve"> While novation is generally never presumed and requires clear intent (*animus novandi*), courts will imply novation if the old and new obligations are fundamentally incompatible on every point.</w:t>
      </w:r>
    </w:p>
    <w:p>
      <w:pPr>
        <w:pStyle w:val="ListBullet"/>
      </w:pPr>
      <w:r>
        <w:t xml:space="preserve">  </w:t>
      </w:r>
      <w:r>
        <w:rPr>
          <w:b/>
        </w:rPr>
        <w:t>Impact on Security:</w:t>
      </w:r>
      <w:r>
        <w:t xml:space="preserve"> The extinguishment of a principal loan obligation through novation invariably extinguishes accessory obligations, such as surety bonds and chattel mortgages, unless explicitly preserved.</w:t>
      </w:r>
    </w:p>
    <w:p>
      <w:r>
        <w:t>This report is structured to directly answer the specific case digest requirements while expanding into a comprehensive commentary suitable for academic and bar review purposes, synthesizing principles from the Civil Code of the Philippines, leading legal commentators (e.g., Tolentino, Jurado, De Leon), and subsequent jurisprudence.</w:t>
      </w:r>
    </w:p>
    <w:p>
      <w:pPr>
        <w:spacing w:before="120" w:after="120"/>
        <w:pBdr>
          <w:bottom w:val="single" w:sz="4" w:space="1" w:color="CCCCCC"/>
        </w:pBdr>
      </w:pPr>
    </w:p>
    <w:p>
      <w:pPr>
        <w:pStyle w:val="Heading3"/>
      </w:pPr>
      <w:r>
        <w:t>PNB v. Mallari (1958) | G.R. No. L-11862</w:t>
      </w:r>
    </w:p>
    <w:p>
      <w:pPr>
        <w:pStyle w:val="Heading4"/>
      </w:pPr>
      <w:r>
        <w:t>1. The Parties</w:t>
      </w:r>
    </w:p>
    <w:p>
      <w:pPr>
        <w:pStyle w:val="ListBullet"/>
      </w:pPr>
      <w:r/>
      <w:r>
        <w:rPr>
          <w:b/>
        </w:rPr>
        <w:t>Petitioner (PNB):</w:t>
      </w:r>
      <w:r>
        <w:t xml:space="preserve"> The Philippine National Bank (PNB) acted as the creditor. PNB's claim was for the collection of a sum of money stemming from an unpaid palay crop loan, seeking the principal, accrued interest, and attorney's fees against the original debtor and his guarantor.</w:t>
      </w:r>
    </w:p>
    <w:p>
      <w:pPr>
        <w:pStyle w:val="ListBullet"/>
      </w:pPr>
      <w:r/>
      <w:r>
        <w:rPr>
          <w:b/>
        </w:rPr>
        <w:t>Respondent (Mallari):</w:t>
      </w:r>
      <w:r>
        <w:t xml:space="preserve"> Hermogenes Mallari was the original principal debtor (a farmer/lessee). The co-respondent was The First National Surety and Assurance Co., Inc., which acted as the surety. Their primary defense was that the obligation had been extinguished by novation when PNB accepted a new payment arrangement from Mallari's employer, Conrado Guanzon.</w:t>
      </w:r>
    </w:p>
    <w:p>
      <w:pPr>
        <w:pStyle w:val="ListBullet"/>
      </w:pPr>
      <w:r/>
      <w:r>
        <w:rPr>
          <w:b/>
        </w:rPr>
        <w:t>Their relationship:</w:t>
      </w:r>
      <w:r>
        <w:t xml:space="preserve"> The banking relationship was a tripartite credit security arrangement: a principal loan agreement (evidenced by promissory notes) between PNB and Mallari, secured by a chattel mortgage on Mallari's palay crops, and further guaranteed by a surety bond issued by First National Surety.</w:t>
      </w:r>
    </w:p>
    <w:p>
      <w:pPr>
        <w:pStyle w:val="Heading4"/>
      </w:pPr>
      <w:r>
        <w:t>2. Background &amp; Facts</w:t>
      </w:r>
    </w:p>
    <w:p>
      <w:pPr>
        <w:pStyle w:val="ListBullet"/>
      </w:pPr>
      <w:r/>
      <w:r>
        <w:rPr>
          <w:b/>
        </w:rPr>
        <w:t>The Original Loan:</w:t>
      </w:r>
      <w:r>
        <w:t xml:space="preserve"> On June 1, 1951, Mallari obtained a palay crop loan of ₱2,000.00 from PNB. He executed two promissory notes: one for ₱1,200.00 (dated June 1, 1951) and another for ₱800.00 (dated June 26, 1951). Both notes were payable on or before April 30, 1952. To secure the loan, Mallari executed a chattel mortgage over 400 sacks of his 1951-1952 palay harvest and procured a ₱2,000.00 surety bond from First National Surety.</w:t>
      </w:r>
    </w:p>
    <w:p>
      <w:pPr>
        <w:pStyle w:val="ListBullet"/>
      </w:pPr>
      <w:r/>
      <w:r>
        <w:rPr>
          <w:b/>
        </w:rPr>
        <w:t>Default and Legal Action:</w:t>
      </w:r>
      <w:r>
        <w:t xml:space="preserve"> Mallari defaulted on the April 30, 1952 maturity date. On May 27, 1954, PNB filed a collection suit (Civil Case No. 384) in the Justice of the Peace Court of Tarlac for ₱2,237.00 plus 6% interest and fees. PNB secured a writ of attachment, seizing 290.42 sacks of Mallari's palay deposited in a warehouse.</w:t>
      </w:r>
    </w:p>
    <w:p>
      <w:pPr>
        <w:pStyle w:val="ListBullet"/>
      </w:pPr>
      <w:r/>
      <w:r>
        <w:rPr>
          <w:b/>
        </w:rPr>
        <w:t>The Modification/Renewal Event:</w:t>
      </w:r>
      <w:r>
        <w:t xml:space="preserve"> On June 30, 1954, Conrado Guanzon (Mallari's employer) intervened. He offered to assume the debt and pay PNB in staggered installments: ₱1,000.00 immediately, ₱500.00 in September 1954, and the balance in February 1955, *provided* PNB released the attached palay to him. PNB accepted this offer, received the initial ₱1,000.00, and petitioned the court to lift the attachment on July 19, 1954. Guanzon subsequently defaulted on the remaining balance.</w:t>
      </w:r>
    </w:p>
    <w:p>
      <w:pPr>
        <w:pStyle w:val="ListBullet"/>
      </w:pPr>
      <w:r/>
      <w:r>
        <w:rPr>
          <w:b/>
        </w:rPr>
        <w:t>The Claim of Novation:</w:t>
      </w:r>
      <w:r>
        <w:t xml:space="preserve"> Because Guanzon defaulted, PNB attempted to continue its suit against the original defendants (Mallari and the Surety). Mallari and the Surety argued that the agreement between PNB and Guanzon constituted a novation that completely extinguished the original loan and the surety bond.</w:t>
      </w:r>
    </w:p>
    <w:p>
      <w:pPr>
        <w:pStyle w:val="ListBullet"/>
      </w:pPr>
      <w:r/>
      <w:r>
        <w:rPr>
          <w:b/>
        </w:rPr>
        <w:t>What was at stake:</w:t>
      </w:r>
      <w:r>
        <w:t xml:space="preserve"> PNB's right to enforce the original promissory notes against Mallari and the accessory surety bond against First National Surety.</w:t>
      </w:r>
    </w:p>
    <w:p>
      <w:pPr>
        <w:pStyle w:val="Heading4"/>
      </w:pPr>
      <w:r>
        <w:t>3. The Contract or Obligation</w:t>
      </w:r>
    </w:p>
    <w:p>
      <w:pPr>
        <w:pStyle w:val="ListBullet"/>
      </w:pPr>
      <w:r/>
      <w:r>
        <w:rPr>
          <w:b/>
        </w:rPr>
        <w:t>Original Obligation:</w:t>
      </w:r>
      <w:r>
        <w:t xml:space="preserve"> A lump-sum payment of ₱2,000.00 due on April 30, 1952, secured by a chattel mortgage and a surety bond.</w:t>
      </w:r>
    </w:p>
    <w:p>
      <w:pPr>
        <w:pStyle w:val="ListBullet"/>
      </w:pPr>
      <w:r/>
      <w:r>
        <w:rPr>
          <w:b/>
        </w:rPr>
        <w:t>Renewal/Modification:</w:t>
      </w:r>
      <w:r>
        <w:t xml:space="preserve"> The new agreement involved a substitution of the debtor (Guanzon replacing Mallari), an extension of the maturity date (staggered payments stretching to February 1955), and the release of the primary collateral (the attached palay crops).</w:t>
      </w:r>
    </w:p>
    <w:p>
      <w:pPr>
        <w:pStyle w:val="ListBullet"/>
      </w:pPr>
      <w:r/>
      <w:r>
        <w:rPr>
          <w:b/>
        </w:rPr>
        <w:t>Extinguishment:</w:t>
      </w:r>
      <w:r>
        <w:t xml:space="preserve"> The new agreement *impliedly* extinguished the old obligation. There was no express declaration of extinguishment in the PNB-Guanzon agreement, but the terms were entirely incompatible with the original notes.</w:t>
      </w:r>
    </w:p>
    <w:p>
      <w:pPr>
        <w:pStyle w:val="Heading4"/>
      </w:pPr>
      <w:r>
        <w:t>4. Legal Issues Raised</w:t>
      </w:r>
    </w:p>
    <w:p>
      <w:pPr>
        <w:pStyle w:val="ListBullet"/>
      </w:pPr>
      <w:r/>
      <w:r>
        <w:rPr>
          <w:b/>
        </w:rPr>
        <w:t>Does a loan renewal/restructuring constitute novation of the original loan?</w:t>
      </w:r>
      <w:r>
        <w:t xml:space="preserve"> Specifically, did PNB's acceptance of Guanzon's offer to pay the debt in installments constitute an extinctive novation?</w:t>
      </w:r>
    </w:p>
    <w:p>
      <w:pPr>
        <w:pStyle w:val="ListBullet"/>
      </w:pPr>
      <w:r/>
      <w:r>
        <w:rPr>
          <w:b/>
        </w:rPr>
        <w:t>Is the original promissory note or mortgage extinguished?</w:t>
      </w:r>
      <w:r>
        <w:t xml:space="preserve"> Did the new agreement wipe out Mallari's liability under the 1951 promissory notes?</w:t>
      </w:r>
    </w:p>
    <w:p>
      <w:pPr>
        <w:pStyle w:val="ListBullet"/>
      </w:pPr>
      <w:r/>
      <w:r>
        <w:rPr>
          <w:b/>
        </w:rPr>
        <w:t>What is the effect on any guaranty or security?</w:t>
      </w:r>
      <w:r>
        <w:t xml:space="preserve"> Was the First National Surety &amp; Assurance Co. released from its obligation under the bond due to the restructuring?</w:t>
      </w:r>
    </w:p>
    <w:p>
      <w:pPr>
        <w:pStyle w:val="Heading4"/>
      </w:pPr>
      <w:r>
        <w:t>5. Supreme Court Ruling</w:t>
      </w:r>
    </w:p>
    <w:p>
      <w:pPr>
        <w:pStyle w:val="ListBullet"/>
      </w:pPr>
      <w:r/>
      <w:r>
        <w:rPr>
          <w:b/>
        </w:rPr>
        <w:t>On Novation:</w:t>
      </w:r>
      <w:r>
        <w:t xml:space="preserve"> The Supreme Court (En Banc, penned by J. Felix) held that </w:t>
      </w:r>
      <w:r>
        <w:rPr>
          <w:b/>
        </w:rPr>
        <w:t>novation did occur</w:t>
      </w:r>
      <w:r>
        <w:t>. The Court ruled that Guanzon's assumption of the obligation under significantly altered terms (staggered payments extending to 1955 instead of a 1952 lump sum) constituted both a substitution of the debtor and an alteration of the principal conditions.</w:t>
      </w:r>
    </w:p>
    <w:p>
      <w:pPr>
        <w:pStyle w:val="ListBullet"/>
      </w:pPr>
      <w:r/>
      <w:r>
        <w:rPr>
          <w:b/>
        </w:rPr>
        <w:t>On the Promissory Note and Mortgage:</w:t>
      </w:r>
      <w:r>
        <w:t xml:space="preserve"> The original obligation of Mallari was "essentially and entirely wiped out." The old and new obligations were on every point incompatible.</w:t>
      </w:r>
    </w:p>
    <w:p>
      <w:pPr>
        <w:pStyle w:val="ListBullet"/>
      </w:pPr>
      <w:r/>
      <w:r>
        <w:rPr>
          <w:b/>
        </w:rPr>
        <w:t>Disposition:</w:t>
      </w:r>
      <w:r>
        <w:t xml:space="preserve"> The Supreme Court affirmed the lower court's decision, dismissing PNB's complaint against Mallari and the Surety without prejudice to PNB's right to pursue Conrado Guanzon for the unpaid balance. The Surety was absolved because the principal obligation was extinguished and because the bond had already expired on June 1, 1952.</w:t>
      </w:r>
    </w:p>
    <w:p>
      <w:pPr>
        <w:pStyle w:val="Heading4"/>
      </w:pPr>
      <w:r>
        <w:t>6. Key Doctrine / Civil Code Hook</w:t>
      </w:r>
    </w:p>
    <w:p>
      <w:pPr>
        <w:pStyle w:val="ListBullet"/>
      </w:pPr>
      <w:r/>
      <w:r>
        <w:rPr>
          <w:b/>
        </w:rPr>
        <w:t>The Incompatibility Test (Art. 1292):</w:t>
      </w:r>
      <w:r>
        <w:t xml:space="preserve"> While novation is never presumed, an implied novation occurs when the old and new obligations are on every point incompatible with each other so that they cannot stand together. Here, changing the debtor, extending the payment terms by several years, and releasing the collateral created total incompatibility.</w:t>
      </w:r>
    </w:p>
    <w:p>
      <w:pPr>
        <w:pStyle w:val="ListBullet"/>
      </w:pPr>
      <w:r/>
      <w:r>
        <w:rPr>
          <w:b/>
        </w:rPr>
        <w:t>Effect on Accessories (Art. 1296 &amp; 2047):</w:t>
      </w:r>
      <w:r>
        <w:t xml:space="preserve"> The extinguishment of the principal obligation carries with it the extinguishment of the accessory obligations (e.g., mortgages and guaranties). Because Mallari's debt was novated, the surety was released.</w:t>
      </w:r>
    </w:p>
    <w:p>
      <w:pPr>
        <w:pStyle w:val="ListBullet"/>
      </w:pPr>
      <w:r/>
      <w:r>
        <w:rPr>
          <w:b/>
        </w:rPr>
        <w:t>Civil Code Articles Applied:</w:t>
      </w:r>
      <w:r>
        <w:t xml:space="preserve"> Article 1291 (modes of novation: changing principal conditions and substituting the debtor) and Article 1292 (implied novation through incompatibility).</w:t>
      </w:r>
    </w:p>
    <w:p>
      <w:pPr>
        <w:pStyle w:val="Heading4"/>
      </w:pPr>
      <w:r>
        <w:t>7. Memory Anchor</w:t>
      </w:r>
    </w:p>
    <w:p>
      <w:pPr>
        <w:pStyle w:val="ListBullet"/>
      </w:pPr>
      <w:r/>
      <w:r>
        <w:rPr>
          <w:b/>
        </w:rPr>
        <w:t>Story Hook/Mnemonic:</w:t>
      </w:r>
      <w:r>
        <w:t xml:space="preserve"> "When the boss (*Guanzon*) steps in to pay his farmer's (*Mallari*) crop loan, changes the deadline, and takes the palay collateral, the bank (*PNB*) has made a new deal. The old debt is harvested and gone, and the bank can't cry to the surety when the boss defaults."</w:t>
      </w:r>
    </w:p>
    <w:p>
      <w:pPr>
        <w:spacing w:before="120" w:after="120"/>
        <w:pBdr>
          <w:bottom w:val="single" w:sz="4" w:space="1" w:color="CCCCCC"/>
        </w:pBdr>
      </w:pPr>
    </w:p>
    <w:p>
      <w:pPr>
        <w:pStyle w:val="Heading2"/>
      </w:pPr>
      <w:r>
        <w:t>Comprehensive Academic Commentary on Novation</w:t>
      </w:r>
    </w:p>
    <w:p>
      <w:r>
        <w:t xml:space="preserve">To fully appreciate the doctrinal weight of </w:t>
      </w:r>
      <w:r>
        <w:rPr>
          <w:i/>
        </w:rPr>
        <w:t>Philippine National Bank v. Mallari</w:t>
      </w:r>
      <w:r>
        <w:t>, it is imperative to analyze the concept of novation within the broader framework of the Civil Code of the Philippines (Republic Act No. 386), specifically Title I, Chapter 4, Section 6 (Articles 1291 to 1304), and the interpretative commentaries of esteemed civilists such as Arturo M. Tolentino, Desiderio P. Jurado, and Hector S. De Leon.</w:t>
      </w:r>
    </w:p>
    <w:p>
      <w:pPr>
        <w:pStyle w:val="Heading3"/>
      </w:pPr>
      <w:r>
        <w:t>The Nature and Concept of Novation</w:t>
      </w:r>
    </w:p>
    <w:p>
      <w:r>
        <w:t>Novation is the extinguishment of an obligation by the substitution or change of the obligation by a subsequent one which terminates it. According to the Supreme Court, novation is a juridical act of dual function: it extinguishes an old obligation and creates a new one in its stead.</w:t>
      </w:r>
    </w:p>
    <w:p>
      <w:r>
        <w:t>Article 1291 of the Civil Code outlines three primary modes of novation:</w:t>
      </w:r>
    </w:p>
    <w:p>
      <w:r>
        <w:t xml:space="preserve">1. </w:t>
      </w:r>
      <w:r>
        <w:rPr>
          <w:b/>
        </w:rPr>
        <w:t>Objective or Real Novation:</w:t>
      </w:r>
      <w:r>
        <w:t xml:space="preserve"> Changing the object or principal conditions of the obligation.</w:t>
      </w:r>
    </w:p>
    <w:p>
      <w:r>
        <w:t xml:space="preserve">2. </w:t>
      </w:r>
      <w:r>
        <w:rPr>
          <w:b/>
        </w:rPr>
        <w:t>Subjective or Personal Novation (Passive):</w:t>
      </w:r>
      <w:r>
        <w:t xml:space="preserve"> Substituting the person of the debtor.</w:t>
      </w:r>
    </w:p>
    <w:p>
      <w:r>
        <w:t xml:space="preserve">3. </w:t>
      </w:r>
      <w:r>
        <w:rPr>
          <w:b/>
        </w:rPr>
        <w:t>Subjective or Personal Novation (Active):</w:t>
      </w:r>
      <w:r>
        <w:t xml:space="preserve"> Subrogating a third person in the rights of the creditor.</w:t>
      </w:r>
    </w:p>
    <w:p>
      <w:r>
        <w:rPr>
          <w:i/>
        </w:rPr>
        <w:t>PNB v. Mallari</w:t>
      </w:r>
      <w:r>
        <w:t xml:space="preserve"> represents a </w:t>
      </w:r>
      <w:r>
        <w:rPr>
          <w:b/>
        </w:rPr>
        <w:t>Mixed Novation</w:t>
      </w:r>
      <w:r>
        <w:t>—a combination of objective and subjective novation. Not only was the person of the debtor substituted (from Mallari to Guanzon), but the principal conditions of the obligation were drastically altered (from a strict maturity date of April 30, 1952, to staggered installment payments extending up to February 1955, accompanied by the release of the attached collateral).</w:t>
      </w:r>
    </w:p>
    <w:p>
      <w:pPr>
        <w:pStyle w:val="Heading3"/>
      </w:pPr>
      <w:r>
        <w:t>The Strict Presumption Against Novation (*Novatio Non Praesumitur*)</w:t>
      </w:r>
    </w:p>
    <w:p>
      <w:r>
        <w:t>A bedrock principle of civil law, rooted deeply in Roman jurisprudence, is that novation is never presumed (</w:t>
      </w:r>
      <w:r>
        <w:rPr>
          <w:i/>
        </w:rPr>
        <w:t>novatio non praesumitur</w:t>
      </w:r>
      <w:r>
        <w:t xml:space="preserve">). For novation to be recognized as a jural reality, the </w:t>
      </w:r>
      <w:r>
        <w:rPr>
          <w:i/>
        </w:rPr>
        <w:t>animus novandi</w:t>
      </w:r>
      <w:r>
        <w:t xml:space="preserve"> (the intent to novate) must be vividly clear.</w:t>
      </w:r>
    </w:p>
    <w:p>
      <w:r>
        <w:t xml:space="preserve">As emphasized by Tolentino in his </w:t>
      </w:r>
      <w:r>
        <w:rPr>
          <w:i/>
        </w:rPr>
        <w:t>Commentaries and Jurisprudence on the Civil Code of the Philippines</w:t>
      </w:r>
      <w:r>
        <w:t xml:space="preserve"> (Vol. IV), and frequently cited by the Supreme Court in cases like </w:t>
      </w:r>
      <w:r>
        <w:rPr>
          <w:i/>
        </w:rPr>
        <w:t>Babst v. Court of Appeals</w:t>
      </w:r>
      <w:r>
        <w:t xml:space="preserve"> and </w:t>
      </w:r>
      <w:r>
        <w:rPr>
          <w:i/>
        </w:rPr>
        <w:t>De Cortes v. Venturanza</w:t>
      </w:r>
      <w:r>
        <w:t xml:space="preserve"> (which in turn cite </w:t>
      </w:r>
      <w:r>
        <w:rPr>
          <w:i/>
        </w:rPr>
        <w:t>PNB v. Mallari</w:t>
      </w:r>
      <w:r>
        <w:t>), novation must be stated in clear and unequivocal terms.</w:t>
      </w:r>
    </w:p>
    <w:p>
      <w:r>
        <w:t>For a valid novation to occur, four essential requisites must concur:</w:t>
      </w:r>
    </w:p>
    <w:p>
      <w:r>
        <w:t>1. A previous valid obligation.</w:t>
      </w:r>
    </w:p>
    <w:p>
      <w:r>
        <w:t>2. The agreement of all parties to the new contract.</w:t>
      </w:r>
    </w:p>
    <w:p>
      <w:r>
        <w:t>3. The extinguishment of the old obligation.</w:t>
      </w:r>
    </w:p>
    <w:p>
      <w:r>
        <w:t>4. The validity of the new contract.</w:t>
      </w:r>
    </w:p>
    <w:p>
      <w:r>
        <w:t xml:space="preserve">In the absence of an express agreement to extinguish the old debt, the law requires the application of the </w:t>
      </w:r>
      <w:r>
        <w:rPr>
          <w:b/>
        </w:rPr>
        <w:t>Incompatibility Test</w:t>
      </w:r>
      <w:r>
        <w:t xml:space="preserve"> under Article 1292 of the Civil Code.</w:t>
      </w:r>
    </w:p>
    <w:p>
      <w:pPr>
        <w:pStyle w:val="Heading3"/>
      </w:pPr>
      <w:r>
        <w:t>The Incompatibility Test (Article 1292)</w:t>
      </w:r>
    </w:p>
    <w:p>
      <w:r>
        <w:t>Article 1292 states: "In order that an obligation may be extinguished by another which substitute the same, it is imperative that it be so declared in unequivocal terms, or that the old and the new obligations be on every point incompatible with each other."</w:t>
      </w:r>
    </w:p>
    <w:p>
      <w:r>
        <w:t>In implied novation, the test of incompatibility is whether the two obligations can stand together, each one having its own independent existence. If they cannot stand together, they are incompatible, and the latter obligation automatically novates the first. However, the changes that breed incompatibility must be essential in nature—altering the principal conditions—and not merely accidental or ancillary.</w:t>
      </w:r>
    </w:p>
    <w:p>
      <w:r>
        <w:t xml:space="preserve">In banking and loan restructuring contexts, a mere extension of time to pay does not ordinarily constitute extinctive novation; it is usually viewed as merely modificatory. For example, in </w:t>
      </w:r>
      <w:r>
        <w:rPr>
          <w:i/>
        </w:rPr>
        <w:t>Arco Pulp and Paper</w:t>
      </w:r>
      <w:r>
        <w:t xml:space="preserve">, the Court noted that issuing a check to answer for a promissory note does not novate the note; both can stand together. However, the facts of </w:t>
      </w:r>
      <w:r>
        <w:rPr>
          <w:i/>
        </w:rPr>
        <w:t>PNB v. Mallari</w:t>
      </w:r>
      <w:r>
        <w:t xml:space="preserve"> crossed the threshold from modificatory to extinctive. The Supreme Court observed that Guanzon did not merely ask for an extension for Mallari; Guanzon assumed the debt entirely in his own capacity, negotiated a new payment schedule, and demanded the lifting of the writ of attachment on Mallari's property. The Court astutely noted that "the obligation of Guanzon under his agreement with the Bank essentially and entirely wiped out the original obligation of Mallari". The two agreements could not independently coexist.</w:t>
      </w:r>
    </w:p>
    <w:p>
      <w:pPr>
        <w:pStyle w:val="Heading3"/>
      </w:pPr>
      <w:r>
        <w:t>Subjective Novation: Expromision vs. Delegacion</w:t>
      </w:r>
    </w:p>
    <w:p>
      <w:r>
        <w:t>The substitution of a debtor under Article 1291(2) can occur in two ways:</w:t>
      </w:r>
    </w:p>
    <w:p>
      <w:r>
        <w:t xml:space="preserve">1. </w:t>
      </w:r>
      <w:r>
        <w:rPr>
          <w:b/>
        </w:rPr>
        <w:t>Expromision:</w:t>
      </w:r>
      <w:r>
        <w:t xml:space="preserve"> Where a third person assumes the obligation of the debtor even without the knowledge or against the will of the original debtor, but with the consent of the creditor (Article 1293).</w:t>
      </w:r>
    </w:p>
    <w:p>
      <w:r>
        <w:t xml:space="preserve">2. </w:t>
      </w:r>
      <w:r>
        <w:rPr>
          <w:b/>
        </w:rPr>
        <w:t>Delegacion:</w:t>
      </w:r>
      <w:r>
        <w:t xml:space="preserve"> Where the original debtor offers, and the creditor accepts, a third person who consents to the substitution.</w:t>
      </w:r>
    </w:p>
    <w:p>
      <w:r>
        <w:t xml:space="preserve">In </w:t>
      </w:r>
      <w:r>
        <w:rPr>
          <w:i/>
        </w:rPr>
        <w:t>PNB v. Mallari</w:t>
      </w:r>
      <w:r>
        <w:t xml:space="preserve">, Guanzon essentially acted under the principles of </w:t>
      </w:r>
      <w:r>
        <w:rPr>
          <w:i/>
        </w:rPr>
        <w:t>expromision</w:t>
      </w:r>
      <w:r>
        <w:t>. He approached PNB independently (though he was Mallari's employer) and offered to settle the account under his own proposed terms. Article 1293 mandates that novation substituting a new debtor "not without the consent of the creditor". PNB explicitly gave this consent when it accepted Guanzon's ₱1,000.00 payment and formally petitioned the court to lift the writ of attachment on the palay crops. By accepting the new debtor and the new terms, PNB released Mallari from the juridical tie.</w:t>
      </w:r>
    </w:p>
    <w:p>
      <w:pPr>
        <w:pStyle w:val="Heading3"/>
      </w:pPr>
      <w:r>
        <w:t>Extinction of Accessory Obligations (Guaranty and Security)</w:t>
      </w:r>
    </w:p>
    <w:p>
      <w:r>
        <w:t xml:space="preserve">A pivotal aspect of the </w:t>
      </w:r>
      <w:r>
        <w:rPr>
          <w:i/>
        </w:rPr>
        <w:t>Mallari</w:t>
      </w:r>
      <w:r>
        <w:t xml:space="preserve"> ruling is its treatment of the accessory obligations—specifically the chattel mortgage and the surety bond. Under the civil law maxim </w:t>
      </w:r>
      <w:r>
        <w:rPr>
          <w:i/>
        </w:rPr>
        <w:t>accessorium non ducit sed sequitur suum principale</w:t>
      </w:r>
      <w:r>
        <w:t xml:space="preserve"> (the accessory does not lead, but follows its principal), the extinguishment of the principal loan inevitably results in the death of the accessory security.</w:t>
      </w:r>
    </w:p>
    <w:p>
      <w:r>
        <w:t>While Article 1296 of the Civil Code provides that when the principal obligation is extinguished by novation, the accessory obligations may subsist only insofar as they may benefit third persons who did not give their consent, the general rule is total extinguishment. Furthermore, Article 2047 (nature of guaranty/suretyship) and Article 2085 (requisites of mortgage) dictate that these contracts cannot exist without a valid principal obligation.</w:t>
      </w:r>
    </w:p>
    <w:p>
      <w:r>
        <w:t>When PNB accepted Guanzon's offer and novated the debt, Mallari's principal obligation was erased. Consequently, the First National Surety &amp; Assurance Co., Inc. was discharged from its liability under the ₱2,000.00 bond. The Court further noted a temporal defense for the surety: the bond explicitly expired on June 1, 1952, and PNB failed to make a claim against it before that expiration (the lawsuit was filed in 1954). Therefore, both by the operation of novation and the strict terms of the surety contract, the guarantor was absolved.</w:t>
      </w:r>
    </w:p>
    <w:p>
      <w:pPr>
        <w:pStyle w:val="Heading3"/>
      </w:pPr>
      <w:r>
        <w:t>Jurisprudential Legacy</w:t>
      </w:r>
    </w:p>
    <w:p>
      <w:r>
        <w:t xml:space="preserve">The doctrine laid down in </w:t>
      </w:r>
      <w:r>
        <w:rPr>
          <w:i/>
        </w:rPr>
        <w:t>PNB v. Mallari</w:t>
      </w:r>
      <w:r>
        <w:t xml:space="preserve"> has become a cornerstone citation in subsequent Supreme Court rulings dealing with corporate rehabilitation, debt restructuring, and the liability of solidary debtors and sureties.</w:t>
      </w:r>
    </w:p>
    <w:p>
      <w:r>
        <w:t xml:space="preserve">In cases such as </w:t>
      </w:r>
      <w:r>
        <w:rPr>
          <w:i/>
        </w:rPr>
        <w:t>De Cortes v. Venturanza</w:t>
      </w:r>
      <w:r>
        <w:t xml:space="preserve"> (1977), </w:t>
      </w:r>
      <w:r>
        <w:rPr>
          <w:i/>
        </w:rPr>
        <w:t>Agro Conglomerates, Inc. v. Court of Appeals</w:t>
      </w:r>
      <w:r>
        <w:t xml:space="preserve"> (2000), and </w:t>
      </w:r>
      <w:r>
        <w:rPr>
          <w:i/>
        </w:rPr>
        <w:t>Babst v. Court of Appeals</w:t>
      </w:r>
      <w:r>
        <w:t xml:space="preserve"> (2001), the Supreme Court repeatedly cited </w:t>
      </w:r>
      <w:r>
        <w:rPr>
          <w:i/>
        </w:rPr>
        <w:t>Mallari</w:t>
      </w:r>
      <w:r>
        <w:t xml:space="preserve"> to emphasize the rigorous standards required to prove novation. The </w:t>
      </w:r>
      <w:r>
        <w:rPr>
          <w:i/>
        </w:rPr>
        <w:t>Mallari</w:t>
      </w:r>
      <w:r>
        <w:t xml:space="preserve"> standard is clear: mere receipt of partial payments from a third party is not enough to novate a debt. However, when the creditor actively negotiates new conditions with that third party—such as restructuring the maturity dates and releasing collateral—the creditor tacitly consents to a substitution of the debtor and a modification of the principal conditions, thereby releasing the original debtor and their sureties.</w:t>
      </w:r>
    </w:p>
    <w:p>
      <w:pPr>
        <w:pStyle w:val="Heading3"/>
      </w:pPr>
      <w:r>
        <w:t>Conclusion</w:t>
      </w:r>
    </w:p>
    <w:p>
      <w:r>
        <w:rPr>
          <w:i/>
        </w:rPr>
        <w:t>Philippine National Bank v. Mallari</w:t>
      </w:r>
      <w:r>
        <w:t xml:space="preserve"> (104 Phil. 437) remains the definitive instructional case on implied extinctive novation in the Philippines. It elegantly illustrates the delicate balance courts must strike: honoring the presumption against novation while pragmatically recognizing when the commercial realities of a new agreement render the old contract obsolete. For bar reviewees and practitioners alike, </w:t>
      </w:r>
      <w:r>
        <w:rPr>
          <w:i/>
        </w:rPr>
        <w:t>Mallari</w:t>
      </w:r>
      <w:r>
        <w:t xml:space="preserve"> serves as a stark warning to creditors and banks: engaging in informal restructuring with third parties, without explicitly reserving rights against the original debtor and sureties, runs the fatal risk of implied novation and the unrecoverable loss of collateral.</w:t>
      </w:r>
    </w:p>
    <w:p>
      <w:pPr>
        <w:pStyle w:val="Heading2"/>
      </w:pPr>
      <w:r>
        <w:t>Case 22: Y-I Leisure Philippines, Inc. v. Yu (2015) | G.R. No. 207161</w:t>
      </w:r>
    </w:p>
    <w:p>
      <w:pPr>
        <w:pStyle w:val="Heading2"/>
      </w:pPr>
      <w:r>
        <w:t>Y-I Leisure Philippines, Inc. v. Yu (2015) | G.R. No. 207161</w:t>
      </w:r>
    </w:p>
    <w:p>
      <w:pPr>
        <w:pStyle w:val="Heading3"/>
      </w:pPr>
      <w:r>
        <w:t>Key Points &amp; Executive Summary</w:t>
      </w:r>
    </w:p>
    <w:p>
      <w:pPr>
        <w:pStyle w:val="ListBullet"/>
      </w:pPr>
      <w:r>
        <w:t xml:space="preserve">  </w:t>
      </w:r>
      <w:r>
        <w:rPr>
          <w:b/>
        </w:rPr>
        <w:t>Subject Matter</w:t>
      </w:r>
      <w:r>
        <w:t>: The intersection of Civil Law (Novation) and Commercial Law (Corporate Asset Transfers).</w:t>
      </w:r>
    </w:p>
    <w:p>
      <w:pPr>
        <w:pStyle w:val="ListBullet"/>
      </w:pPr>
      <w:r>
        <w:t xml:space="preserve">  </w:t>
      </w:r>
      <w:r>
        <w:rPr>
          <w:b/>
        </w:rPr>
        <w:t>Core Civil Law Ruling</w:t>
      </w:r>
      <w:r>
        <w:t>: The Supreme Court held that the substitution of a debtor (subjective novation) under a Memorandum of Agreement is void and ineffective against a creditor who did not consent to the substitution, strictly applying Article 1293 of the Civil Code.</w:t>
      </w:r>
    </w:p>
    <w:p>
      <w:pPr>
        <w:pStyle w:val="ListBullet"/>
      </w:pPr>
      <w:r>
        <w:t xml:space="preserve">  </w:t>
      </w:r>
      <w:r>
        <w:rPr>
          <w:b/>
        </w:rPr>
        <w:t>Core Commercial Law Ruling</w:t>
      </w:r>
      <w:r>
        <w:t>: The transferee of all or substantially all of a corporation's assets can be held solidarily liable for the transferor's debts if the transferee continues the business of the transferor. This is an application of the "business-enterprise transfer" exception to the Nell Doctrine.</w:t>
      </w:r>
    </w:p>
    <w:p>
      <w:pPr>
        <w:pStyle w:val="ListBullet"/>
      </w:pPr>
      <w:r>
        <w:t xml:space="preserve">  </w:t>
      </w:r>
      <w:r>
        <w:rPr>
          <w:b/>
        </w:rPr>
        <w:t>Contextual Clarification</w:t>
      </w:r>
      <w:r>
        <w:t xml:space="preserve">: While this case is frequently cited in the context of modifications to commercial leases or service contracts (where lessees or service providers are substituted or contract terms are heavily modified), the factual backdrop of *Y-I Leisure* specifically involves the purchase of real estate/golf club shares and the mass transfer of corporate assets to foreign-backed leisure entities. The jurisprudential principles regarding the </w:t>
      </w:r>
      <w:r>
        <w:rPr>
          <w:b/>
        </w:rPr>
        <w:t>incompatibility test</w:t>
      </w:r>
      <w:r>
        <w:t xml:space="preserve"> and </w:t>
      </w:r>
      <w:r>
        <w:rPr>
          <w:b/>
        </w:rPr>
        <w:t>animus novandi</w:t>
      </w:r>
      <w:r>
        <w:t xml:space="preserve"> remain universally applicable to all commercial contracts.</w:t>
      </w:r>
    </w:p>
    <w:p>
      <w:pPr>
        <w:spacing w:before="120" w:after="120"/>
        <w:pBdr>
          <w:bottom w:val="single" w:sz="4" w:space="1" w:color="CCCCCC"/>
        </w:pBdr>
      </w:pPr>
    </w:p>
    <w:p>
      <w:pPr>
        <w:pStyle w:val="Heading2"/>
      </w:pPr>
      <w:r>
        <w:t>1. The Parties</w:t>
      </w:r>
    </w:p>
    <w:p>
      <w:pPr>
        <w:pStyle w:val="ListBullet"/>
      </w:pPr>
      <w:r>
        <w:t xml:space="preserve">  </w:t>
      </w:r>
      <w:r>
        <w:rPr>
          <w:b/>
        </w:rPr>
        <w:t>Petitioner (Y-I Leisure Philippines, et al.):</w:t>
      </w:r>
      <w:r>
        <w:t xml:space="preserve"> The petitioners comprise a network of corporate entities: Y-I Leisure Philippines, Inc. (YILPI), Yats International Ltd. (YIL), and Y-I Clubs &amp; Resorts, Inc. (YICRI). YIL is a foreign investment firm engaged in the development of real estate projects for leisure and tourism purposes. YILPI and YICRI are its Philippine assignee-corporations. They are the transferee corporations that purchased all or substantially all of the assets of Mt. Arayat Development Co. Inc. (MADCI).</w:t>
      </w:r>
    </w:p>
    <w:p>
      <w:pPr>
        <w:pStyle w:val="ListBullet"/>
      </w:pPr>
      <w:r>
        <w:t xml:space="preserve">  </w:t>
      </w:r>
      <w:r>
        <w:rPr>
          <w:b/>
        </w:rPr>
        <w:t>Respondent (Yu):</w:t>
      </w:r>
      <w:r>
        <w:t xml:space="preserve"> James Yu is a businessman and retail investor who purchased proprietary shares in a prospective golf and country club.</w:t>
      </w:r>
    </w:p>
    <w:p>
      <w:pPr>
        <w:pStyle w:val="ListBullet"/>
      </w:pPr>
      <w:r>
        <w:t xml:space="preserve">  </w:t>
      </w:r>
      <w:r>
        <w:rPr>
          <w:b/>
        </w:rPr>
        <w:t>Their relationship:</w:t>
      </w:r>
      <w:r>
        <w:t xml:space="preserve"> There was </w:t>
      </w:r>
      <w:r>
        <w:rPr>
          <w:b/>
        </w:rPr>
        <w:t>no original privity of contract</w:t>
      </w:r>
      <w:r>
        <w:t xml:space="preserve"> between Yu and Y-I Leisure Philippines. Yu's original contractual arrangement—a contract of sale for club shares—was strictly with MADCI. The relationship between Yu and Y-I Leisure only materialized later through litigation, when Yu impleaded Y-I Leisure as the successor-in-interest/transferee of MADCI's assets. Because Y-I Leisure absorbed all of MADCI's lands (leaving MADCI an empty shell incapable of fulfilling its obligations or refunding Yu), Yu pursued Y-I Leisure to execute his claims. While often studied by analogy in commercial lease contexts where a new management company takes over a leased property, the underlying contract here was a real estate investment sale.</w:t>
      </w:r>
    </w:p>
    <w:p>
      <w:pPr>
        <w:pStyle w:val="Heading2"/>
      </w:pPr>
      <w:r>
        <w:t>2. Background &amp; Facts</w:t>
      </w:r>
    </w:p>
    <w:p>
      <w:r>
        <w:t>The factual timeline demonstrates a classic scenario of corporate asset shielding and the subsequent legal battle to protect a creditor's rights.</w:t>
      </w:r>
    </w:p>
    <w:p>
      <w:pPr>
        <w:pStyle w:val="ListBullet"/>
      </w:pPr>
      <w:r>
        <w:t xml:space="preserve">  </w:t>
      </w:r>
      <w:r>
        <w:rPr>
          <w:b/>
        </w:rPr>
        <w:t>Original Agreement (1997):</w:t>
      </w:r>
      <w:r>
        <w:t xml:space="preserve"> In 1997, Mt. Arayat Development Co. Inc. (MADCI), a real estate development corporation, offered golf and country club shares to the public. Respondent James Yu purchased 500 golf shares and 150 country club shares for a total consideration of ₱650,000.00, which he paid in full via fourteen installments.</w:t>
      </w:r>
    </w:p>
    <w:p>
      <w:pPr>
        <w:pStyle w:val="ListBullet"/>
      </w:pPr>
      <w:r>
        <w:t xml:space="preserve">  </w:t>
      </w:r>
      <w:r>
        <w:rPr>
          <w:b/>
        </w:rPr>
        <w:t>The Breach (2000):</w:t>
      </w:r>
      <w:r>
        <w:t xml:space="preserve"> Three years after payment, Yu visited the vicinity of Mt. Arayat in Pampanga to inspect the club, only to discover that the golf course and country club were entirely non-existent. On February 5, 2000, Yu formally demanded a refund from MADCI. MADCI acknowledged the investment and the demand but failed to return the funds.</w:t>
      </w:r>
    </w:p>
    <w:p>
      <w:pPr>
        <w:pStyle w:val="ListBullet"/>
      </w:pPr>
      <w:r>
        <w:t xml:space="preserve">  </w:t>
      </w:r>
      <w:r>
        <w:rPr>
          <w:b/>
        </w:rPr>
        <w:t>Initial Litigation (August 2000):</w:t>
      </w:r>
      <w:r>
        <w:t xml:space="preserve"> On August 14, 2000, Yu filed a complaint for collection of a sum of money and damages against MADCI and its then-president, Rogelio Sangil.</w:t>
      </w:r>
    </w:p>
    <w:p>
      <w:pPr>
        <w:pStyle w:val="ListBullet"/>
      </w:pPr>
      <w:r>
        <w:t xml:space="preserve">  </w:t>
      </w:r>
      <w:r>
        <w:rPr>
          <w:b/>
        </w:rPr>
        <w:t>The Modification / New Agreement (The MOA):</w:t>
      </w:r>
      <w:r>
        <w:t xml:space="preserve"> During the proceedings, MADCI raised a defense based on a </w:t>
      </w:r>
      <w:r>
        <w:rPr>
          <w:b/>
        </w:rPr>
        <w:t>Memorandum of Agreement (MOA)</w:t>
      </w:r>
      <w:r>
        <w:t xml:space="preserve"> executed on May 29, 1999. This MOA was signed by MADCI, Rogelio Sangil (who owned 60% of MADCI), and foreign investor Yats International Ltd. (YIL). Under the MOA, YIL agreed to invest ₱31 million for the remaining 40% of MADCI. Crucially, the MOA contained a provision where </w:t>
      </w:r>
      <w:r>
        <w:rPr>
          <w:b/>
        </w:rPr>
        <w:t>Sangil personally undertook to redeem the MADCI proprietary shares sold to third persons or to settle in full all their claims for refunds</w:t>
      </w:r>
      <w:r>
        <w:t>. MADCI argued that this MOA effectively released the corporation from liability to Yu, shifting the sole burden to Sangil.</w:t>
      </w:r>
    </w:p>
    <w:p>
      <w:pPr>
        <w:pStyle w:val="ListBullet"/>
      </w:pPr>
      <w:r>
        <w:t xml:space="preserve">  </w:t>
      </w:r>
      <w:r>
        <w:rPr>
          <w:b/>
        </w:rPr>
        <w:t>The Asset Transfer:</w:t>
      </w:r>
      <w:r>
        <w:t xml:space="preserve"> Sangil subsequently defaulted on his obligations. Consequently, YIL executed a special power of attorney and sold MADCI's remaining assets—consisting of 120 hectares of prime land in Pampanga—to its own subsidiaries, YILPI and YICRI, for a mere ₱9.3 million, a price significantly below market value. This transfer depleted MADCI of all assets, rendering it incapable of continuing its corporate purpose or paying its creditors.</w:t>
      </w:r>
    </w:p>
    <w:p>
      <w:pPr>
        <w:pStyle w:val="ListBullet"/>
      </w:pPr>
      <w:r>
        <w:t xml:space="preserve">  </w:t>
      </w:r>
      <w:r>
        <w:rPr>
          <w:b/>
        </w:rPr>
        <w:t>The Dispute on Novation:</w:t>
      </w:r>
      <w:r>
        <w:t xml:space="preserve"> MADCI and the Y-I Leisure corporations claimed that the MOA novated the original contract. They argued that Sangil's assumption of the refund obligations substituted him as the sole debtor, legally insulating MADCI (and by extension, the assets transferred to YILPI and YICRI) from Yu's claims.</w:t>
      </w:r>
    </w:p>
    <w:p>
      <w:pPr>
        <w:pStyle w:val="Heading2"/>
      </w:pPr>
      <w:r>
        <w:t>3. The Contract or Obligation</w:t>
      </w:r>
    </w:p>
    <w:p>
      <w:pPr>
        <w:pStyle w:val="ListBullet"/>
      </w:pPr>
      <w:r>
        <w:t xml:space="preserve">  </w:t>
      </w:r>
      <w:r>
        <w:rPr>
          <w:b/>
        </w:rPr>
        <w:t>The Original Obligation:</w:t>
      </w:r>
      <w:r>
        <w:t xml:space="preserve"> The initial obligation was a bilateral contract of sale. Yu was obligated to pay the purchase price (which he fulfilled), and MADCI was obligated to deliver the functional proprietary shares of a completed golf and country club. Upon MADCI's failure to construct the club, the obligation legally converted into an obligation to refund the ₱650,000.00 with damages.</w:t>
      </w:r>
    </w:p>
    <w:p>
      <w:pPr>
        <w:pStyle w:val="ListBullet"/>
      </w:pPr>
      <w:r>
        <w:t xml:space="preserve">  </w:t>
      </w:r>
      <w:r>
        <w:rPr>
          <w:b/>
        </w:rPr>
        <w:t>The Modification:</w:t>
      </w:r>
      <w:r>
        <w:t xml:space="preserve"> The modification occurred via the May 29, 1999 MOA. The stipulation shifted the corporate obligation of MADCI to the personal capacity of its President, Rogelio Sangil.</w:t>
      </w:r>
    </w:p>
    <w:p>
      <w:pPr>
        <w:pStyle w:val="ListBullet"/>
      </w:pPr>
      <w:r>
        <w:t xml:space="preserve">  </w:t>
      </w:r>
      <w:r>
        <w:rPr>
          <w:b/>
        </w:rPr>
        <w:t>Was it incompatible?</w:t>
      </w:r>
      <w:r>
        <w:t xml:space="preserve"> The modification was structurally a </w:t>
      </w:r>
      <w:r>
        <w:rPr>
          <w:b/>
        </w:rPr>
        <w:t>subjective novation</w:t>
      </w:r>
      <w:r>
        <w:t xml:space="preserve"> (substitution of the debtor) rather than an objective novation (changing the principal object or condition). It was not strictly "incompatible" in the sense of changing the *nature* of the debt (it remained a monetary refund), but it attempted to fundamentally alter the *passive subject* (the debtor) from MADCI to Sangil.</w:t>
      </w:r>
    </w:p>
    <w:p>
      <w:pPr>
        <w:pStyle w:val="ListBullet"/>
      </w:pPr>
      <w:r>
        <w:t xml:space="preserve">  </w:t>
      </w:r>
      <w:r>
        <w:rPr>
          <w:b/>
        </w:rPr>
        <w:t>Intent to Novate:</w:t>
      </w:r>
      <w:r>
        <w:t xml:space="preserve"> The parties to the MOA (MADCI, Sangil, and YIL) clearly possessed the intent to novate (*animus novandi*) to cleanse MADCI of its liabilities so YIL could acquire unencumbered assets. However, this intent was bilateral among the debtors/investors; the crucial missing element was the intent and consent of the *creditor*, James Yu.</w:t>
      </w:r>
    </w:p>
    <w:p>
      <w:pPr>
        <w:pStyle w:val="Heading2"/>
      </w:pPr>
      <w:r>
        <w:t>4. Legal Issues Raised</w:t>
      </w:r>
    </w:p>
    <w:p>
      <w:r>
        <w:t xml:space="preserve">1.  </w:t>
      </w:r>
      <w:r>
        <w:rPr>
          <w:b/>
        </w:rPr>
        <w:t>Civil Law Issue (Novation):</w:t>
      </w:r>
      <w:r>
        <w:t xml:space="preserve"> Did the May 29, 1999 MOA, wherein Rogelio Sangil assumed the obligation to refund the shareholders, constitute a valid novation that extinguished MADCI's liability to James Yu?</w:t>
      </w:r>
    </w:p>
    <w:p>
      <w:r>
        <w:t xml:space="preserve">2.  </w:t>
      </w:r>
      <w:r>
        <w:rPr>
          <w:b/>
        </w:rPr>
        <w:t>Commercial Law Issue (Corporate Liability):</w:t>
      </w:r>
      <w:r>
        <w:t xml:space="preserve"> If MADCI remains liable, does the transfer of all or substantially all of its assets to YIL, YILPI, and YICRI carry with it the assumption of corporate liabilities, holding the transferee corporations solidarily liable with MADCI?</w:t>
      </w:r>
    </w:p>
    <w:p>
      <w:pPr>
        <w:pStyle w:val="Heading2"/>
      </w:pPr>
      <w:r>
        <w:t>5. Supreme Court Ruling</w:t>
      </w:r>
    </w:p>
    <w:p>
      <w:r>
        <w:t>The Supreme Court ruled in favor of James Yu, affirming the Court of Appeals' decision with specific applications of both the Civil Code and the Corporation Code.</w:t>
      </w:r>
    </w:p>
    <w:p>
      <w:pPr>
        <w:pStyle w:val="ListBullet"/>
      </w:pPr>
      <w:r>
        <w:t xml:space="preserve">  </w:t>
      </w:r>
      <w:r>
        <w:rPr>
          <w:b/>
        </w:rPr>
        <w:t>On Novation (Civil Code):</w:t>
      </w:r>
      <w:r>
        <w:t xml:space="preserve"> The Supreme Court held that there was </w:t>
      </w:r>
      <w:r>
        <w:rPr>
          <w:b/>
        </w:rPr>
        <w:t>no valid novation</w:t>
      </w:r>
      <w:r>
        <w:t xml:space="preserve">. The Court scrutinized the MOA provision and categorized it strictly under </w:t>
      </w:r>
      <w:r>
        <w:rPr>
          <w:b/>
        </w:rPr>
        <w:t>Article 1293 of the Civil Code</w:t>
      </w:r>
      <w:r>
        <w:t>, which governs the substitution of debtors.</w:t>
      </w:r>
    </w:p>
    <w:p>
      <w:pPr>
        <w:pStyle w:val="ListBullet"/>
      </w:pPr>
      <w:r>
        <w:t xml:space="preserve">  </w:t>
      </w:r>
      <w:r>
        <w:rPr>
          <w:b/>
        </w:rPr>
        <w:t>Application of Arts. 1292–1296:</w:t>
      </w:r>
      <w:r>
        <w:t xml:space="preserve"> The Court highlighted that while a new debtor can be proposed, a novation consisting of substituting a new debtor in the place of the original one </w:t>
      </w:r>
      <w:r>
        <w:rPr>
          <w:b/>
        </w:rPr>
        <w:t>cannot be made without the consent of the creditor</w:t>
      </w:r>
      <w:r>
        <w:t>. The Court found it fully established that Yu had absolutely no knowledge of the MOA, was not a party to it, and never gave his consent to the "change of debtors". Without the creditor's consent, the attempted substitution via delegacion or expromision is legally void as to the creditor. Thus, insofar as Yu was concerned, MADCI remained his debtor.</w:t>
      </w:r>
    </w:p>
    <w:p>
      <w:pPr>
        <w:pStyle w:val="ListBullet"/>
      </w:pPr>
      <w:r>
        <w:t xml:space="preserve">  </w:t>
      </w:r>
      <w:r>
        <w:rPr>
          <w:b/>
        </w:rPr>
        <w:t>On Corporate Asset Transfer (Corporation Code):</w:t>
      </w:r>
      <w:r>
        <w:t xml:space="preserve"> Because MADCI was not released from its obligation due to the failure of novation, the Court evaluated the liability of Y-I Leisure (the transferees). The Court applied the </w:t>
      </w:r>
      <w:r>
        <w:rPr>
          <w:b/>
        </w:rPr>
        <w:t>Business-Enterprise Transfer Rule</w:t>
      </w:r>
      <w:r>
        <w:t>, an exception to the general *Nell Doctrine*. The Court ruled that because YILPI and YICRI acquired substantially all of MADCI's assets and continued its real estate/leisure business, they effectively absorbed MADCI's liabilities. The Court emphasized that in a business-enterprise transfer, the transferees are liable for the debts of the transferor even if no active fraud is proven, as this legal fiction exists to protect the creditors of the transferor corporation.</w:t>
      </w:r>
    </w:p>
    <w:p>
      <w:pPr>
        <w:pStyle w:val="ListBullet"/>
      </w:pPr>
      <w:r>
        <w:t xml:space="preserve">  </w:t>
      </w:r>
      <w:r>
        <w:rPr>
          <w:b/>
        </w:rPr>
        <w:t>Disposition:</w:t>
      </w:r>
      <w:r>
        <w:t xml:space="preserve"> The Supreme Court affirmed the Court of Appeals *in toto*, holding MADCI, Rogelio Sangil, YIL, YILPI, and YICRI </w:t>
      </w:r>
      <w:r>
        <w:rPr>
          <w:b/>
        </w:rPr>
        <w:t>jointly and severally (solidarily) liable</w:t>
      </w:r>
      <w:r>
        <w:t xml:space="preserve"> to pay James Yu the ₱650,000.00 refund, plus legal interest and attorney's fees.</w:t>
      </w:r>
    </w:p>
    <w:p>
      <w:pPr>
        <w:pStyle w:val="Heading2"/>
      </w:pPr>
      <w:r>
        <w:t>6. Key Doctrine / Civil Code Hook</w:t>
      </w:r>
    </w:p>
    <w:p>
      <w:r>
        <w:t>This case serves as a fundamental pillar for the study of Novation under Book IV of the Civil Code (Obligations and Contracts).</w:t>
      </w:r>
    </w:p>
    <w:p>
      <w:pPr>
        <w:pStyle w:val="Heading3"/>
      </w:pPr>
      <w:r>
        <w:t>The Incompatibility Test for Implied Novation (Article 1292)</w:t>
      </w:r>
    </w:p>
    <w:p>
      <w:r>
        <w:t xml:space="preserve">While </w:t>
      </w:r>
      <w:r>
        <w:rPr>
          <w:i/>
        </w:rPr>
        <w:t>Y-I Leisure</w:t>
      </w:r>
      <w:r>
        <w:t xml:space="preserve"> turned primarily on subjective novation (Article 1293), the jurisprudence embedded in the arguments heavily references the threshold for objective novation (Article 1292).</w:t>
      </w:r>
    </w:p>
    <w:p>
      <w:pPr>
        <w:pStyle w:val="ListBullet"/>
      </w:pPr>
      <w:r>
        <w:t xml:space="preserve">  </w:t>
      </w:r>
      <w:r>
        <w:rPr>
          <w:b/>
        </w:rPr>
        <w:t>The Rule:</w:t>
      </w:r>
      <w:r>
        <w:t xml:space="preserve"> Article 1292 provides that to extinguish an obligation by substituting it with a new one, it must be declared in unequivocal terms (express novation), or the old and the new obligations must be </w:t>
      </w:r>
      <w:r>
        <w:rPr>
          <w:b/>
        </w:rPr>
        <w:t>on every point incompatible with each other</w:t>
      </w:r>
      <w:r>
        <w:t xml:space="preserve"> (implied novation).</w:t>
      </w:r>
    </w:p>
    <w:p>
      <w:pPr>
        <w:pStyle w:val="ListBullet"/>
      </w:pPr>
      <w:r>
        <w:t xml:space="preserve">  </w:t>
      </w:r>
      <w:r>
        <w:rPr>
          <w:b/>
        </w:rPr>
        <w:t>The Incompatibility Test:</w:t>
      </w:r>
      <w:r>
        <w:t xml:space="preserve"> The test of incompatibility is whether the two obligations can stand together, each one having its own independent existence. If they cannot logically or legally coexist, there is implied novation. If the modifications are only slight or incidental—such as changes in the schedule of payments in a commercial lease, or minor adjustments in a service contract—the old obligation prevails and is merely modified, not extinguished.</w:t>
      </w:r>
    </w:p>
    <w:p>
      <w:pPr>
        <w:pStyle w:val="Heading3"/>
      </w:pPr>
      <w:r>
        <w:t>Animus Novandi (Intent to Novate)</w:t>
      </w:r>
    </w:p>
    <w:p>
      <w:pPr>
        <w:pStyle w:val="ListBullet"/>
      </w:pPr>
      <w:r>
        <w:t xml:space="preserve">  </w:t>
      </w:r>
      <w:r>
        <w:rPr>
          <w:b/>
        </w:rPr>
        <w:t>The Rule:</w:t>
      </w:r>
      <w:r>
        <w:t xml:space="preserve"> Novation is never presumed. The *animus novandi*, or the intent to novate, must clearly appear from the agreement. The new obligation extinguishes the prior agreement only when the substitution is unequivocally declared. In the context of substituting a debtor in commercial contracts, the intent of the *creditor* to release the old debtor is the most critical element. Mere receipt of payment from a third party does not establish *animus novandi* to release the original debtor.</w:t>
      </w:r>
    </w:p>
    <w:p>
      <w:pPr>
        <w:pStyle w:val="Heading3"/>
      </w:pPr>
      <w:r>
        <w:t>Specific Civil Code Articles Applied</w:t>
      </w:r>
    </w:p>
    <w:p>
      <w:pPr>
        <w:pStyle w:val="ListBullet"/>
      </w:pPr>
      <w:r>
        <w:t xml:space="preserve">  </w:t>
      </w:r>
      <w:r>
        <w:rPr>
          <w:b/>
        </w:rPr>
        <w:t>Article 1291:</w:t>
      </w:r>
      <w:r>
        <w:t xml:space="preserve"> Obligations may be modified by: (1) Changing their object or principal conditions; (2) Substituting the person of the debtor; (3) Subrogating a third person in the rights of the creditor.</w:t>
      </w:r>
    </w:p>
    <w:p>
      <w:pPr>
        <w:pStyle w:val="ListBullet"/>
      </w:pPr>
      <w:r>
        <w:t xml:space="preserve">  </w:t>
      </w:r>
      <w:r>
        <w:rPr>
          <w:b/>
        </w:rPr>
        <w:t>Article 1292:</w:t>
      </w:r>
      <w:r>
        <w:t xml:space="preserve"> Requisites of implied novation / The Incompatibility Test.</w:t>
      </w:r>
    </w:p>
    <w:p>
      <w:pPr>
        <w:pStyle w:val="ListBullet"/>
      </w:pPr>
      <w:r>
        <w:t xml:space="preserve">  </w:t>
      </w:r>
      <w:r>
        <w:rPr>
          <w:b/>
        </w:rPr>
        <w:t>Article 1293:</w:t>
      </w:r>
      <w:r>
        <w:t xml:space="preserve"> *"Novation which consists in substituting a new debtor in the place of the original one, may be made even without the knowledge or against the will of the latter, but not without the consent of the creditor."* This was the central hinge of the *Y-I Leisure* decision.</w:t>
      </w:r>
    </w:p>
    <w:p>
      <w:pPr>
        <w:pStyle w:val="Heading3"/>
      </w:pPr>
      <w:r>
        <w:t>Data Presentation: The Legal Intersections in *Y-I Leisure v. Yu*</w:t>
      </w:r>
    </w:p>
    <w:p>
      <w:r>
        <w:t xml:space="preserve">| Civil Law: Types of Novation (Arts. 1291-1293) | Commercial Law: Asset Transfer (Nell Doctrine) | Application to </w:t>
      </w:r>
      <w:r>
        <w:rPr>
          <w:i/>
        </w:rPr>
        <w:t>Y-I Leisure v. Yu</w:t>
      </w:r>
      <w:r>
        <w:t xml:space="preserve"> |</w:t>
      </w:r>
    </w:p>
    <w:p>
      <w:r>
        <w:t>| :--- | :--- | :--- |</w:t>
      </w:r>
    </w:p>
    <w:p>
      <w:r>
        <w:t xml:space="preserve">| </w:t>
      </w:r>
      <w:r>
        <w:rPr>
          <w:b/>
        </w:rPr>
        <w:t>Objective Novation:</w:t>
      </w:r>
      <w:r>
        <w:t xml:space="preserve"> Changing the object/principal conditions. Requires the </w:t>
      </w:r>
      <w:r>
        <w:rPr>
          <w:b/>
        </w:rPr>
        <w:t>incompatibility test</w:t>
      </w:r>
      <w:r>
        <w:t xml:space="preserve">. | </w:t>
      </w:r>
      <w:r>
        <w:rPr>
          <w:b/>
        </w:rPr>
        <w:t>General Rule:</w:t>
      </w:r>
      <w:r>
        <w:t xml:space="preserve"> Acquirer of all assets is NOT liable for transferor's debts. | Not applicable; the nature of the debt (refund) did not change, only the debtor. |</w:t>
      </w:r>
    </w:p>
    <w:p>
      <w:r>
        <w:t xml:space="preserve">| </w:t>
      </w:r>
      <w:r>
        <w:rPr>
          <w:b/>
        </w:rPr>
        <w:t>Subjective Novation (Passive):</w:t>
      </w:r>
      <w:r>
        <w:t xml:space="preserve"> Substituting the debtor. Requires </w:t>
      </w:r>
      <w:r>
        <w:rPr>
          <w:b/>
        </w:rPr>
        <w:t>absolute consent of the creditor</w:t>
      </w:r>
      <w:r>
        <w:t xml:space="preserve">. | </w:t>
      </w:r>
      <w:r>
        <w:rPr>
          <w:b/>
        </w:rPr>
        <w:t>Exception 1:</w:t>
      </w:r>
      <w:r>
        <w:t xml:space="preserve"> Express/Implied Assumption of debts by the buyer. | MADCI attempted Passive Subjective Novation via the MOA. SC voided it because Yu did not consent. |</w:t>
      </w:r>
    </w:p>
    <w:p>
      <w:r>
        <w:t xml:space="preserve">| </w:t>
      </w:r>
      <w:r>
        <w:rPr>
          <w:b/>
        </w:rPr>
        <w:t>Subjective Novation (Active):</w:t>
      </w:r>
      <w:r>
        <w:t xml:space="preserve"> Subrogating a third person into the rights of the creditor. | </w:t>
      </w:r>
      <w:r>
        <w:rPr>
          <w:b/>
        </w:rPr>
        <w:t>Exception 2:</w:t>
      </w:r>
      <w:r>
        <w:t xml:space="preserve"> Business-Enterprise Transfer (Continuation of business). | SC held Y-I Leisure liable under Exception 2 because it bought all assets and continued the leisure business. |</w:t>
      </w:r>
    </w:p>
    <w:p>
      <w:pPr>
        <w:pStyle w:val="Heading2"/>
      </w:pPr>
      <w:r>
        <w:t>7. Memory Anchor</w:t>
      </w:r>
    </w:p>
    <w:p>
      <w:r>
        <w:rPr>
          <w:b/>
        </w:rPr>
        <w:t>"The Phantom Fairway &amp; The Non-Consenting Creditor"</w:t>
      </w:r>
    </w:p>
    <w:p>
      <w:r>
        <w:t xml:space="preserve">Imagine buying a membership to a luxury golf course that turns out to be an empty field; when you ask for your money back, the company points to a secret contract saying, </w:t>
      </w:r>
      <w:r>
        <w:rPr>
          <w:i/>
        </w:rPr>
        <w:t>"We transferred all our land to Y-I Leisure, and our President promised to pay you—go bother him!"</w:t>
      </w:r>
    </w:p>
    <w:p>
      <w:r>
        <w:rPr>
          <w:b/>
        </w:rPr>
        <w:t>Mnemonic Hook:</w:t>
      </w:r>
      <w:r>
        <w:rPr>
          <w:b/>
        </w:rPr>
        <w:t>C.O.I.N.</w:t>
      </w:r>
      <w:r>
        <w:t xml:space="preserve"> for Novation</w:t>
      </w:r>
    </w:p>
    <w:p>
      <w:pPr>
        <w:pStyle w:val="ListBullet"/>
      </w:pPr>
      <w:r>
        <w:t xml:space="preserve">  </w:t>
      </w:r>
      <w:r>
        <w:rPr>
          <w:b/>
        </w:rPr>
        <w:t>C</w:t>
      </w:r>
      <w:r>
        <w:t>onsent of the Creditor is required for a new debtor (Art. 1293).</w:t>
      </w:r>
    </w:p>
    <w:p>
      <w:pPr>
        <w:pStyle w:val="ListBullet"/>
      </w:pPr>
      <w:r>
        <w:t xml:space="preserve">  </w:t>
      </w:r>
      <w:r>
        <w:rPr>
          <w:b/>
        </w:rPr>
        <w:t>O</w:t>
      </w:r>
      <w:r>
        <w:t>ld obligation must be entirely extinguished.</w:t>
      </w:r>
    </w:p>
    <w:p>
      <w:pPr>
        <w:pStyle w:val="ListBullet"/>
      </w:pPr>
      <w:r>
        <w:t xml:space="preserve">  </w:t>
      </w:r>
      <w:r>
        <w:rPr>
          <w:b/>
        </w:rPr>
        <w:t>I</w:t>
      </w:r>
      <w:r>
        <w:t>ncompatibility on every point is required for implied novation (Art. 1292).</w:t>
      </w:r>
    </w:p>
    <w:p>
      <w:pPr>
        <w:pStyle w:val="ListBullet"/>
      </w:pPr>
      <w:r>
        <w:t xml:space="preserve">  </w:t>
      </w:r>
      <w:r>
        <w:rPr>
          <w:b/>
        </w:rPr>
        <w:t>N</w:t>
      </w:r>
      <w:r>
        <w:t>ew valid obligation must be created.</w:t>
      </w:r>
    </w:p>
    <w:p>
      <w:r>
        <w:t xml:space="preserve">Because Yu never gave his </w:t>
      </w:r>
      <w:r>
        <w:rPr>
          <w:b/>
        </w:rPr>
        <w:t>Consent</w:t>
      </w:r>
      <w:r>
        <w:t>, the novation failed, and the corporate buyer of the assets (Y-I Leisure) was left holding the bag.</w:t>
      </w:r>
    </w:p>
    <w:p>
      <w:r>
        <w:br w:type="page"/>
      </w:r>
    </w:p>
    <w:p>
      <w:pPr>
        <w:pStyle w:val="Heading1"/>
      </w:pPr>
      <w:r>
        <w:t>Module 3B — Fraud, Negligence, and Delay</w:t>
      </w:r>
    </w:p>
    <w:p>
      <w:pPr>
        <w:pStyle w:val="Heading2"/>
      </w:pPr>
      <w:r>
        <w:t>Case 23: Stolt-Nielsen Transportation Group, Inc. v. Medequillo, Jr. (2012) | G.R. No. 177498</w:t>
      </w:r>
    </w:p>
    <w:p>
      <w:pPr>
        <w:pStyle w:val="Heading2"/>
      </w:pPr>
      <w:r>
        <w:t>Comprehensive Legal Analysis: Stolt-Nielsen Transportation Group, Inc. v. Medequillo, Jr.</w:t>
      </w:r>
    </w:p>
    <w:p>
      <w:r>
        <w:rPr>
          <w:i/>
        </w:rPr>
        <w:t>Research suggests</w:t>
      </w:r>
      <w:r>
        <w:t xml:space="preserve"> that the intersection of maritime labor law and standard civil law obligations often produces complex doctrinal challenges, particularly concerning the modification or substitution of employment contracts. The case of </w:t>
      </w:r>
      <w:r>
        <w:rPr>
          <w:i/>
        </w:rPr>
        <w:t>Stolt-Nielsen Transportation Group, Inc. v. Medequillo, Jr.</w:t>
      </w:r>
      <w:r>
        <w:t xml:space="preserve"> stands as a definitive adjudication on the application of the Civil Code concept of </w:t>
      </w:r>
      <w:r>
        <w:rPr>
          <w:b/>
        </w:rPr>
        <w:t>novation</w:t>
      </w:r>
      <w:r>
        <w:t xml:space="preserve"> within the heavily regulated framework of the Philippine Overseas Employment Administration (POEA). The evidence leans toward the conclusion that when an employer attempts to cure a premature repatriation by executing a new contract for a different vessel, the original contract is implicitly extinguished.</w:t>
      </w:r>
    </w:p>
    <w:p>
      <w:r>
        <w:t>This report provides an exhaustive examination of the Supreme Court's 2012 decision. It begins by strictly addressing the user's requested structured digest, followed by a highly detailed, treatise-level expansion on the mechanics of novation (Arts. 1292–1296), constructive dismissal via non-deployment, the procedural interplay of prescription in labor claims, and the calculation of actual damages under the Civil Code. It is written for an academic and legal audience to serve as a definitive reference on the doctrinal hooks of this case.</w:t>
      </w:r>
    </w:p>
    <w:p>
      <w:r>
        <w:rPr>
          <w:b/>
        </w:rPr>
      </w:r>
    </w:p>
    <w:p>
      <w:pPr>
        <w:pStyle w:val="Heading3"/>
      </w:pPr>
      <w:r>
        <w:t>Stolt-Nielsen Transportation Group, Inc. v. Medequillo, Jr. (2012) | G.R. No. 177498</w:t>
      </w:r>
    </w:p>
    <w:p>
      <w:pPr>
        <w:pStyle w:val="Heading4"/>
      </w:pPr>
      <w:r>
        <w:t>1. The Parties</w:t>
      </w:r>
    </w:p>
    <w:p>
      <w:pPr>
        <w:pStyle w:val="ListBullet"/>
      </w:pPr>
      <w:r/>
      <w:r>
        <w:rPr>
          <w:b/>
        </w:rPr>
        <w:t>Petitioner (Stolt-Nielsen):</w:t>
      </w:r>
      <w:r>
        <w:t xml:space="preserve"> Stolt-Nielsen Transportation Group, Inc. (formerly Stolt-Nielsen Marine Services, Inc.) acting on behalf of its principal, Chung-Gai Ship Management of Panama. They operate as a shipping company and a maritime manning agency responsible for recruiting and deploying Filipino seafarers to international vessels.</w:t>
      </w:r>
    </w:p>
    <w:p>
      <w:pPr>
        <w:pStyle w:val="ListBullet"/>
      </w:pPr>
      <w:r/>
      <w:r>
        <w:rPr>
          <w:b/>
        </w:rPr>
        <w:t>Respondent (Medequillo, Jr.):</w:t>
      </w:r>
      <w:r>
        <w:t xml:space="preserve"> Sulpecio Medequillo, Jr., a Filipino seafarer whose specific technical rating was Third Assistant Engineer.</w:t>
      </w:r>
    </w:p>
    <w:p>
      <w:pPr>
        <w:pStyle w:val="ListBullet"/>
      </w:pPr>
      <w:r/>
      <w:r>
        <w:rPr>
          <w:b/>
        </w:rPr>
        <w:t>Their relationship:</w:t>
      </w:r>
      <w:r>
        <w:t xml:space="preserve"> A POEA-approved overseas employment contract, which functions simultaneously as a maritime service agreement and an employer-employee manning contract.</w:t>
      </w:r>
    </w:p>
    <w:p>
      <w:pPr>
        <w:pStyle w:val="Heading4"/>
      </w:pPr>
      <w:r>
        <w:t>2. Background &amp; Facts</w:t>
      </w:r>
    </w:p>
    <w:p>
      <w:pPr>
        <w:pStyle w:val="ListBullet"/>
      </w:pPr>
      <w:r/>
      <w:r>
        <w:rPr>
          <w:b/>
        </w:rPr>
        <w:t>What was the original contract?</w:t>
      </w:r>
      <w:r>
        <w:t xml:space="preserve"> On November 6, 1991, Medequillo was hired as a Third Assistant Engineer aboard the vessel MV "Stolt Aspiration" for a duration of nine (9) months. His compensation was a monthly basic salary of $808.00 and fixed overtime pay of $404.00, totaling $1,212.00 per month. He embarked on November 8, 1991.</w:t>
      </w:r>
    </w:p>
    <w:p>
      <w:pPr>
        <w:pStyle w:val="ListBullet"/>
      </w:pPr>
      <w:r/>
      <w:r>
        <w:rPr>
          <w:b/>
        </w:rPr>
        <w:t>What modification was made?</w:t>
      </w:r>
      <w:r>
        <w:t xml:space="preserve"> After nearly three months of service, Medequillo was unexpectedly ordered to disembark and was repatriated to Manila in February 1992 without explanation. To placate him, petitioners executed a second employment contract with him for a different vessel, the MV "Stolt Pride", under the exact same salary and terms, approved by the POEA on April 23, 1992. However, the petitioners failed to deploy him.</w:t>
      </w:r>
    </w:p>
    <w:p>
      <w:pPr>
        <w:pStyle w:val="ListBullet"/>
      </w:pPr>
      <w:r/>
      <w:r>
        <w:rPr>
          <w:b/>
        </w:rPr>
        <w:t>Did Stolt-Nielsen claim the new contract novated and extinguished the old?</w:t>
      </w:r>
      <w:r>
        <w:t xml:space="preserve"> No. Conversely, Stolt-Nielsen vehemently *denied* novation. They argued that the first contract was completely independent of the second contract. Their strategic purpose in arguing this was prescription: they claimed the cause of action for the first contract accrued in February 1992, making Medequillo's March 1995 complaint time-barred (beyond the 3-year prescriptive period).</w:t>
      </w:r>
    </w:p>
    <w:p>
      <w:pPr>
        <w:pStyle w:val="ListBullet"/>
      </w:pPr>
      <w:r/>
      <w:r>
        <w:rPr>
          <w:b/>
        </w:rPr>
        <w:t>What claim did Medequillo assert based on the original contract?</w:t>
      </w:r>
      <w:r>
        <w:t xml:space="preserve"> Medequillo filed a complaint on March 6, 1995, before the POEA Adjudication Office asserting illegal dismissal under the first contract and failure to deploy under the second contract.</w:t>
      </w:r>
    </w:p>
    <w:p>
      <w:pPr>
        <w:pStyle w:val="ListBullet"/>
      </w:pPr>
      <w:r/>
      <w:r>
        <w:rPr>
          <w:b/>
        </w:rPr>
        <w:t>Timeline of key events:</w:t>
      </w:r>
      <w:r/>
    </w:p>
    <w:p>
      <w:pPr>
        <w:pStyle w:val="ListBullet"/>
      </w:pPr>
      <w:r>
        <w:t>*November 6, 1991:* First contract signed (MV Stolt Aspiration).</w:t>
      </w:r>
    </w:p>
    <w:p>
      <w:pPr>
        <w:pStyle w:val="ListBullet"/>
      </w:pPr>
      <w:r>
        <w:t>*February 1992:* Medequillo repatriated prematurely.</w:t>
      </w:r>
    </w:p>
    <w:p>
      <w:pPr>
        <w:pStyle w:val="ListBullet"/>
      </w:pPr>
      <w:r>
        <w:t>*April 21-23, 1992:* Second contract signed and POEA-approved (MV Stolt Pride).</w:t>
      </w:r>
    </w:p>
    <w:p>
      <w:pPr>
        <w:pStyle w:val="ListBullet"/>
      </w:pPr>
      <w:r>
        <w:t>*December 1994:* Petitioners finally return Medequillo's travel documents after prolonged refusal to deploy.</w:t>
      </w:r>
    </w:p>
    <w:p>
      <w:pPr>
        <w:pStyle w:val="ListBullet"/>
      </w:pPr>
      <w:r>
        <w:t>*March 6, 1995:* Medequillo files a formal complaint for illegal dismissal and non-deployment.</w:t>
      </w:r>
    </w:p>
    <w:p>
      <w:pPr>
        <w:pStyle w:val="Heading4"/>
      </w:pPr>
      <w:r>
        <w:t>3. The Contract or Obligation</w:t>
      </w:r>
    </w:p>
    <w:p>
      <w:pPr>
        <w:pStyle w:val="ListBullet"/>
      </w:pPr>
      <w:r/>
      <w:r>
        <w:rPr>
          <w:b/>
        </w:rPr>
        <w:t>What was the original obligation?</w:t>
      </w:r>
      <w:r>
        <w:t xml:space="preserve"> To employ Medequillo as a Third Assistant Engineer on the MV "Stolt Aspiration" for 9 months and pay him $1,212.00 monthly.</w:t>
      </w:r>
    </w:p>
    <w:p>
      <w:pPr>
        <w:pStyle w:val="ListBullet"/>
      </w:pPr>
      <w:r/>
      <w:r>
        <w:rPr>
          <w:b/>
        </w:rPr>
        <w:t>What was the new or modified agreement?</w:t>
      </w:r>
      <w:r>
        <w:t xml:space="preserve"> To employ him in the same capacity and for the same compensation, but aboard a entirely different vessel, the MV "Stolt Pride", starting in April 1992.</w:t>
      </w:r>
    </w:p>
    <w:p>
      <w:pPr>
        <w:pStyle w:val="ListBullet"/>
      </w:pPr>
      <w:r/>
      <w:r>
        <w:rPr>
          <w:b/>
        </w:rPr>
        <w:t>Were the two incompatible?</w:t>
      </w:r>
      <w:r>
        <w:t xml:space="preserve"> Yes. The contracts were fundamentally incompatible as they required the seafarer's physical presence and service aboard two different vessels. The second contract was explicitly drawn up to substitute the first in order to "placate" Medequillo following his sudden repatriation.</w:t>
      </w:r>
    </w:p>
    <w:p>
      <w:pPr>
        <w:pStyle w:val="Heading4"/>
      </w:pPr>
      <w:r>
        <w:t>4. Legal Issues Raised</w:t>
      </w:r>
    </w:p>
    <w:p>
      <w:pPr>
        <w:pStyle w:val="ListBullet"/>
      </w:pPr>
      <w:r/>
      <w:r>
        <w:rPr>
          <w:b/>
        </w:rPr>
        <w:t>Was there novation of the original contract?</w:t>
      </w:r>
      <w:r>
        <w:t xml:space="preserve"> Yes. The execution of the second contract regarding the MV "Stolt Pride" novated the first contract regarding the MV "Stolt Aspiration".</w:t>
      </w:r>
    </w:p>
    <w:p>
      <w:pPr>
        <w:pStyle w:val="ListBullet"/>
      </w:pPr>
      <w:r/>
      <w:r>
        <w:rPr>
          <w:b/>
        </w:rPr>
        <w:t>What is the effect on Medequillo's claims under the original contract?</w:t>
      </w:r>
      <w:r>
        <w:t xml:space="preserve"> The first contract was extinguished. Stolt-Nielsen could no longer be held liable for the illegal dismissal under the first contract; however, they became fully liable for the breach (constructive dismissal via non-deployment) of the second contract. While recovery under the first contract was indeed time-barred, liability firmly attached under the valid second contract.</w:t>
      </w:r>
    </w:p>
    <w:p>
      <w:pPr>
        <w:pStyle w:val="Heading4"/>
      </w:pPr>
      <w:r>
        <w:t>5. Supreme Court Ruling</w:t>
      </w:r>
    </w:p>
    <w:p>
      <w:pPr>
        <w:pStyle w:val="ListBullet"/>
      </w:pPr>
      <w:r/>
      <w:r>
        <w:rPr>
          <w:b/>
        </w:rPr>
        <w:t>What did the SC decide on novation?</w:t>
      </w:r>
      <w:r>
        <w:t xml:space="preserve"> The Supreme Court affirmed the lower labor tribunals, holding that implied novation took place. The parties extinguished the first contract by agreeing to the second to address the unexpected repatriation.</w:t>
      </w:r>
    </w:p>
    <w:p>
      <w:pPr>
        <w:pStyle w:val="ListBullet"/>
      </w:pPr>
      <w:r/>
      <w:r>
        <w:rPr>
          <w:b/>
        </w:rPr>
        <w:t>How did it apply Arts. 1292–1296?</w:t>
      </w:r>
      <w:r>
        <w:t xml:space="preserve"> The Court applied the classical four-fold requisites of novation: (1) a previous valid obligation existed because Medequillo was technically still employed under the first contract as its termination had not been legally resolved; (2) there was an agreement to a new contract; (3) the old contract was extinguished by changing the "object or principal condition" (the vessel); and (4) the new contract was validly perfected upon POEA approval.</w:t>
      </w:r>
    </w:p>
    <w:p>
      <w:pPr>
        <w:pStyle w:val="ListBullet"/>
      </w:pPr>
      <w:r/>
      <w:r>
        <w:rPr>
          <w:b/>
        </w:rPr>
        <w:t>What was the disposition?</w:t>
      </w:r>
      <w:r>
        <w:t xml:space="preserve"> The Supreme Court denied Stolt-Nielsen's petition. It upheld the award of actual damages to Medequillo equivalent to his salary for the full nine (9) months under the second contract.</w:t>
      </w:r>
    </w:p>
    <w:p>
      <w:pPr>
        <w:pStyle w:val="Heading4"/>
      </w:pPr>
      <w:r>
        <w:t>6. Key Doctrine / Civil Code Hook</w:t>
      </w:r>
    </w:p>
    <w:p>
      <w:pPr>
        <w:pStyle w:val="ListBullet"/>
      </w:pPr>
      <w:r/>
      <w:r>
        <w:rPr>
          <w:b/>
        </w:rPr>
        <w:t>Rule on novation in successive contracts:</w:t>
      </w:r>
      <w:r>
        <w:t xml:space="preserve"> Novation is the extinguishment of an obligation by the substitution of a subsequent one that modifies the first, either by changing the object or principal conditions, substituting the debtor, or subrogating a third person to the rights of the creditor.</w:t>
      </w:r>
    </w:p>
    <w:p>
      <w:pPr>
        <w:pStyle w:val="ListBullet"/>
      </w:pPr>
      <w:r/>
      <w:r>
        <w:rPr>
          <w:b/>
        </w:rPr>
        <w:t>The incompatibility test:</w:t>
      </w:r>
      <w:r>
        <w:t xml:space="preserve"> Under Article 1292, novation is never presumed. It must be declared in unequivocal terms, or the old and the new obligations must be "on every point incompatible with each other".</w:t>
      </w:r>
    </w:p>
    <w:p>
      <w:pPr>
        <w:pStyle w:val="ListBullet"/>
      </w:pPr>
      <w:r/>
      <w:r>
        <w:rPr>
          <w:b/>
        </w:rPr>
        <w:t>Civil Code articles applied:</w:t>
      </w:r>
      <w:r/>
    </w:p>
    <w:p>
      <w:pPr>
        <w:pStyle w:val="ListBullet"/>
      </w:pPr>
      <w:r/>
      <w:r>
        <w:rPr>
          <w:b/>
        </w:rPr>
        <w:t>Art. 1292:</w:t>
      </w:r>
      <w:r>
        <w:t xml:space="preserve"> Definition and requisites of implied novation.</w:t>
      </w:r>
    </w:p>
    <w:p>
      <w:pPr>
        <w:pStyle w:val="ListBullet"/>
      </w:pPr>
      <w:r/>
      <w:r>
        <w:rPr>
          <w:b/>
        </w:rPr>
        <w:t>Art. 1305 &amp; 1306:</w:t>
      </w:r>
      <w:r>
        <w:t xml:space="preserve"> Perfection of contracts and autonomy of will (meeting of the minds to render service).</w:t>
      </w:r>
    </w:p>
    <w:p>
      <w:pPr>
        <w:pStyle w:val="ListBullet"/>
      </w:pPr>
      <w:r/>
      <w:r>
        <w:rPr>
          <w:b/>
        </w:rPr>
        <w:t>Art. 1315:</w:t>
      </w:r>
      <w:r>
        <w:t xml:space="preserve"> Binding effect of perfected contracts.</w:t>
      </w:r>
    </w:p>
    <w:p>
      <w:pPr>
        <w:pStyle w:val="ListBullet"/>
      </w:pPr>
      <w:r/>
      <w:r>
        <w:rPr>
          <w:b/>
        </w:rPr>
        <w:t>Art. 2199:</w:t>
      </w:r>
      <w:r>
        <w:t xml:space="preserve"> Actual or compensatory damages for proven pecuniary loss.</w:t>
      </w:r>
    </w:p>
    <w:p>
      <w:pPr>
        <w:pStyle w:val="Heading4"/>
      </w:pPr>
      <w:r>
        <w:t>7. Memory Anchor</w:t>
      </w:r>
    </w:p>
    <w:p>
      <w:pPr>
        <w:pStyle w:val="ListBullet"/>
      </w:pPr>
      <w:r/>
      <w:r>
        <w:rPr>
          <w:b/>
        </w:rPr>
        <w:t>Mnemonic/Story Hook:</w:t>
      </w:r>
      <w:r>
        <w:t xml:space="preserve"> "To *placate* the sailor they sent home, they promised a new ship but left him on the dock; the new ship *novated* the old, sinking his first claim but anchoring his right to 9 months' pay under the second."</w:t>
      </w:r>
    </w:p>
    <w:p>
      <w:pPr>
        <w:spacing w:before="120" w:after="120"/>
        <w:pBdr>
          <w:bottom w:val="single" w:sz="4" w:space="1" w:color="CCCCCC"/>
        </w:pBdr>
      </w:pPr>
    </w:p>
    <w:p>
      <w:pPr>
        <w:pStyle w:val="Heading2"/>
      </w:pPr>
      <w:r>
        <w:t>MODULE 2D — [Unlabeled Group: Contracts Formation, Consent, Performance]</w:t>
      </w:r>
    </w:p>
    <w:p>
      <w:pPr>
        <w:spacing w:before="120" w:after="120"/>
        <w:pBdr>
          <w:bottom w:val="single" w:sz="4" w:space="1" w:color="CCCCCC"/>
        </w:pBdr>
      </w:pPr>
    </w:p>
    <w:p>
      <w:pPr>
        <w:pStyle w:val="Heading2"/>
      </w:pPr>
      <w:r>
        <w:t>Part II: Exhaustive Academic Treatise on the Doctrinal Implications of *Stolt-Nielsen v. Medequillo*</w:t>
      </w:r>
    </w:p>
    <w:p>
      <w:r>
        <w:t xml:space="preserve">The decision in </w:t>
      </w:r>
      <w:r>
        <w:rPr>
          <w:i/>
        </w:rPr>
        <w:t>Stolt-Nielsen Transportation Group, Inc. v. Medequillo, Jr.</w:t>
      </w:r>
      <w:r>
        <w:t xml:space="preserve"> requires thorough scholarly decomposition to fully appreciate how standard Civil Law principles govern specialized maritime labor agreements. This section deeply analyzes the foundational elements of novation, the mechanics of maritime contract perfection, the nuances of constructive dismissal in non-deployment scenarios, and the assessment of compensatory damages.</w:t>
      </w:r>
    </w:p>
    <w:p>
      <w:pPr>
        <w:pStyle w:val="Heading3"/>
      </w:pPr>
      <w:r>
        <w:t>2.1 The Jurisprudential Framework of Novation (Articles 1292–1296)</w:t>
      </w:r>
    </w:p>
    <w:p>
      <w:r>
        <w:t>Novation is uniquely situated in the Civil Code as a doctrine that acts as both an extinguishment of an obligation and the simultaneous creation of a new one. It is a dual-purpose juridical act.</w:t>
      </w:r>
    </w:p>
    <w:p>
      <w:pPr>
        <w:pStyle w:val="Heading4"/>
      </w:pPr>
      <w:r>
        <w:t>2.1.1 Objective vs. Subjective Novation</w:t>
      </w:r>
    </w:p>
    <w:p>
      <w:r>
        <w:t xml:space="preserve">In </w:t>
      </w:r>
      <w:r>
        <w:rPr>
          <w:i/>
        </w:rPr>
        <w:t>Stolt-Nielsen</w:t>
      </w:r>
      <w:r>
        <w:t xml:space="preserve">, the court dealt strictly with </w:t>
      </w:r>
      <w:r>
        <w:rPr>
          <w:b/>
        </w:rPr>
        <w:t>objective (or real) novation</w:t>
      </w:r>
      <w:r>
        <w:t>. As defined in standard jurisprudence, subjective novation involves the substitution of the person of the debtor or the subrogation of a third person to the rights of the creditor. Objective novation occurs when there is a change in the object or principal conditions of the obligation.</w:t>
      </w:r>
    </w:p>
    <w:p>
      <w:r>
        <w:t xml:space="preserve">The original object of Medequillo's service was to act as Third Assistant Engineer aboard the </w:t>
      </w:r>
      <w:r>
        <w:rPr>
          <w:i/>
        </w:rPr>
        <w:t>MV Stolt Aspiration</w:t>
      </w:r>
      <w:r>
        <w:t xml:space="preserve">. The subsequent agreement modified this principal condition by shifting the locus of employment to the </w:t>
      </w:r>
      <w:r>
        <w:rPr>
          <w:i/>
        </w:rPr>
        <w:t>MV Stolt Pride</w:t>
      </w:r>
      <w:r>
        <w:t>. In maritime law, the specific vessel is not a mere incidental detail; it is the absolute principal object of the manning contract, dictating the route, the operational hazards, and the specific registry laws applicable to the seafarer.</w:t>
      </w:r>
    </w:p>
    <w:p>
      <w:pPr>
        <w:pStyle w:val="Heading4"/>
      </w:pPr>
      <w:r>
        <w:t>2.1.2 The Incompatibility Test under Article 1292</w:t>
      </w:r>
    </w:p>
    <w:p>
      <w:r>
        <w:t>Article 1292 of the Civil Code states:</w:t>
      </w:r>
    </w:p>
    <w:p>
      <w:pPr>
        <w:ind w:left="567"/>
      </w:pPr>
      <w:r>
        <w:rPr>
          <w:i/>
          <w:color w:val="555555"/>
        </w:rPr>
        <w:t>"In order that an obligation may be extinguished by another which substitute the same, it is imperative that it be so declared in unequivocal terms, or that the old and the new obligations be on every point incompatible with each other."</w:t>
      </w:r>
    </w:p>
    <w:p>
      <w:r>
        <w:t xml:space="preserve">The Supreme Court utilizes the incompatibility test to determine if implied novation has occurred. Obligations are incompatible if they cannot legally or physically stand together. Medequillo could not physically serve on the </w:t>
      </w:r>
      <w:r>
        <w:rPr>
          <w:i/>
        </w:rPr>
        <w:t>Stolt Aspiration</w:t>
      </w:r>
      <w:r>
        <w:t xml:space="preserve"> and the </w:t>
      </w:r>
      <w:r>
        <w:rPr>
          <w:i/>
        </w:rPr>
        <w:t>Stolt Pride</w:t>
      </w:r>
      <w:r>
        <w:t xml:space="preserve"> simultaneously. Furthermore, the intent of the parties—gleaned from the employer's attempt to "placate" Medequillo for the unexplained repatriation—demonstrated that the second contract was a direct remedial substitute for the first.</w:t>
      </w:r>
    </w:p>
    <w:p>
      <w:pPr>
        <w:pStyle w:val="Heading4"/>
      </w:pPr>
      <w:r>
        <w:t>2.1.3 The Four Indispensable Requisites</w:t>
      </w:r>
    </w:p>
    <w:p>
      <w:r>
        <w:t>The Court meticulously mapped the facts of the case against the classical four requisites of novation:</w:t>
      </w:r>
    </w:p>
    <w:p>
      <w:r>
        <w:t xml:space="preserve">1.  </w:t>
      </w:r>
      <w:r>
        <w:rPr>
          <w:b/>
        </w:rPr>
        <w:t>A previous valid obligation:</w:t>
      </w:r>
      <w:r>
        <w:t xml:space="preserve"> The first contract was validly executed. Stolt-Nielsen argued that because Medequillo was repatriated, the first contract was dead, thus it could not be novated. The Court rejected this, holding that because the legality of the dismissal had not yet been resolved by a competent tribunal, Medequillo was still technically and legally employed under the first contract when the second was negotiated.</w:t>
      </w:r>
    </w:p>
    <w:p>
      <w:r>
        <w:t xml:space="preserve">2.  </w:t>
      </w:r>
      <w:r>
        <w:rPr>
          <w:b/>
        </w:rPr>
        <w:t>Agreement of the parties to a new contract:</w:t>
      </w:r>
      <w:r>
        <w:t xml:space="preserve"> Both parties mutually consented to the April 1992 contract for the </w:t>
      </w:r>
      <w:r>
        <w:rPr>
          <w:i/>
        </w:rPr>
        <w:t>Stolt Pride</w:t>
      </w:r>
      <w:r>
        <w:t>.</w:t>
      </w:r>
    </w:p>
    <w:p>
      <w:r>
        <w:t xml:space="preserve">3.  </w:t>
      </w:r>
      <w:r>
        <w:rPr>
          <w:b/>
        </w:rPr>
        <w:t>Extinguishment of the old contract:</w:t>
      </w:r>
      <w:r>
        <w:t xml:space="preserve"> The mutual signing of the incompatible second contract impliedly extinguished the remaining temporal obligations of the first.</w:t>
      </w:r>
    </w:p>
    <w:p>
      <w:r>
        <w:t xml:space="preserve">4.  </w:t>
      </w:r>
      <w:r>
        <w:rPr>
          <w:b/>
        </w:rPr>
        <w:t>Validity of the new contract:</w:t>
      </w:r>
      <w:r>
        <w:t xml:space="preserve"> The second contract was formally noted and approved by the POEA on April 23, 1992, satisfying all administrative and legal requisites for validity.</w:t>
      </w:r>
    </w:p>
    <w:p>
      <w:pPr>
        <w:pStyle w:val="Heading3"/>
      </w:pPr>
      <w:r>
        <w:t>2.2 The Strategic Use of Prescription by the Employer</w:t>
      </w:r>
    </w:p>
    <w:p>
      <w:r>
        <w:t xml:space="preserve">To understand the litigation strategy in this case, one must analyze </w:t>
      </w:r>
      <w:r>
        <w:rPr>
          <w:i/>
        </w:rPr>
        <w:t>why</w:t>
      </w:r>
      <w:r>
        <w:t xml:space="preserve"> Stolt-Nielsen aggressively fought the finding of novation. If novation occurred, the employer is liable for breaching the second contract. If novation </w:t>
      </w:r>
      <w:r>
        <w:rPr>
          <w:i/>
        </w:rPr>
        <w:t>did not</w:t>
      </w:r>
      <w:r>
        <w:t xml:space="preserve"> occur, the two contracts stand as separate, independent breaches.</w:t>
      </w:r>
    </w:p>
    <w:p>
      <w:r>
        <w:t>Under Philippine labor laws, money claims arising from employer-employee relations prescribe in three (3) years from the time the cause of action accrues.</w:t>
      </w:r>
    </w:p>
    <w:p>
      <w:pPr>
        <w:pStyle w:val="ListBullet"/>
      </w:pPr>
      <w:r>
        <w:t xml:space="preserve">  Medequillo was repatriated in February 1992.</w:t>
      </w:r>
    </w:p>
    <w:p>
      <w:pPr>
        <w:pStyle w:val="ListBullet"/>
      </w:pPr>
      <w:r>
        <w:t xml:space="preserve">  He filed his complaint before the POEA Adjudication Office on March 6, 1995.</w:t>
      </w:r>
    </w:p>
    <w:p>
      <w:r>
        <w:t>If the first contract stood alone, the three-year prescriptive period would have expired in February 1995. Stolt-Nielsen argued that Medequillo's claim for illegal dismissal under the first contract was time-barred.</w:t>
      </w:r>
    </w:p>
    <w:p>
      <w:r>
        <w:t>However, the Supreme Court ruled that while recovery of damages under the first contract was indeed time-barred due to prescription, the novation shifted the actionable breach to the second contract. Because the petitioners retained Medequillo's travel documents until December 1994, and the failure to deploy was a continuous breach culminating in his formal demand, the cause of action for the second contract remained entirely viable. Thus, novation served as the doctrinal bridge that preserved the seafarer's right to equitable compensation.</w:t>
      </w:r>
    </w:p>
    <w:p>
      <w:pPr>
        <w:pStyle w:val="Heading3"/>
      </w:pPr>
      <w:r>
        <w:t>2.3 Contract Perfection and Constructive Dismissal via Non-Deployment</w:t>
      </w:r>
    </w:p>
    <w:p>
      <w:r>
        <w:t xml:space="preserve">Another profound legal principle reaffirmed in </w:t>
      </w:r>
      <w:r>
        <w:rPr>
          <w:i/>
        </w:rPr>
        <w:t>Stolt-Nielsen</w:t>
      </w:r>
      <w:r>
        <w:t xml:space="preserve"> is the nature of contract perfection under the Civil Code and its impact on POEA regulations.</w:t>
      </w:r>
    </w:p>
    <w:p>
      <w:pPr>
        <w:pStyle w:val="Heading4"/>
      </w:pPr>
      <w:r>
        <w:t>2.3.1 Perfection under Articles 1305 and 1315</w:t>
      </w:r>
    </w:p>
    <w:p>
      <w:r>
        <w:t>Article 1305 defines a contract as a meeting of minds between two persons whereby one binds himself to render some service to another. Article 1315 states that contracts are perfected by mere consent, and from that moment, the parties are bound not only to the fulfillment of what has been expressly stipulated but also to all the consequences which, according to their nature, may be in keeping with good faith, usage, and law.</w:t>
      </w:r>
    </w:p>
    <w:p>
      <w:r>
        <w:t>Stolt-Nielsen attempted to argue that actual deployment is a "suspensive condition" to a maritime contract, implying that without deployment, no employer-employee relationship exists, and therefore, no illegal dismissal can occur.</w:t>
      </w:r>
    </w:p>
    <w:p>
      <w:pPr>
        <w:pStyle w:val="Heading4"/>
      </w:pPr>
      <w:r>
        <w:t>2.3.2 Constructive Dismissal Without Embarkation</w:t>
      </w:r>
    </w:p>
    <w:p>
      <w:r>
        <w:t>The Supreme Court dismantled the employer's defense. The Court ruled that even without actual deployment, a perfected contract gives rise to binding obligations. The moment the second contract was approved by the POEA in April 1992, rights and obligations were established.</w:t>
      </w:r>
    </w:p>
    <w:p>
      <w:r>
        <w:t xml:space="preserve">The failure to deploy a seafarer who possesses a perfected contract, without a valid or just cause, constitutes a breach of contract and amounts to </w:t>
      </w:r>
      <w:r>
        <w:rPr>
          <w:b/>
        </w:rPr>
        <w:t>constructive dismissal</w:t>
      </w:r>
      <w:r>
        <w:t>. The labor arbiter, the NLRC, the Court of Appeals, and the Supreme Court all harmoniously concluded that the employer's failure to honor the second contract effectively constructively dismissed the respondent. Petitioners provided no substantial evidence of poor performance to justify the non-deployment.</w:t>
      </w:r>
    </w:p>
    <w:p>
      <w:pPr>
        <w:pStyle w:val="Heading3"/>
      </w:pPr>
      <w:r>
        <w:t>2.4 The Award of Actual Damages (Article 2199)</w:t>
      </w:r>
    </w:p>
    <w:p>
      <w:r>
        <w:t>When an obligation is breached, the Civil Code provides mechanisms for restitution. Article 2199 states that a party is entitled to adequate compensation only for such pecuniary loss suffered by him as he has duly proved, which are termed actual or compensatory damages.</w:t>
      </w:r>
    </w:p>
    <w:p>
      <w:r>
        <w:t>The calculation of damages in this case was straightforward and mathematical, reflecting the explicit terms of the novated contract. The second contract stipulated a nine-month duration with specific monthly terms.</w:t>
      </w:r>
    </w:p>
    <w:p>
      <w:r>
        <w:t>Let the basic salary be \( B = \$808.00 \).</w:t>
      </w:r>
    </w:p>
    <w:p>
      <w:r>
        <w:t>Let the fixed overtime pay be \( O = \$404.00 \).</w:t>
      </w:r>
    </w:p>
    <w:p>
      <w:r>
        <w:t>Total monthly compensation \( C = B + O = \$1,212.00 \).</w:t>
      </w:r>
    </w:p>
    <w:p>
      <w:r>
        <w:t>The Labor Arbiter initially awarded $12,537.00, but the NLRC modified the award. Ultimately, the Supreme Court ruled that the seafarer was entitled to actual damages equivalent to his salary for the full nine (9) months provided by the Second Employment Contract. Because the employer unilaterally breached the perfected contract through non-deployment, the seafarer was deprived of his expected income for the entirety of the contracted term.</w:t>
      </w:r>
    </w:p>
    <w:p>
      <w:r>
        <w:t>Furthermore, the Court held that moral and exemplary damages were not automatically granted, as there was no substantial evidence presented by Medequillo to prove bad faith or malice beyond the breach itself, adhering strictly to the compensatory nature of Article 2199.</w:t>
      </w:r>
    </w:p>
    <w:p>
      <w:pPr>
        <w:pStyle w:val="Heading3"/>
      </w:pPr>
      <w:r>
        <w:t>2.5 Conclusion</w:t>
      </w:r>
    </w:p>
    <w:p>
      <w:r>
        <w:rPr>
          <w:i/>
        </w:rPr>
        <w:t>Stolt-Nielsen Transportation Group, Inc. v. Medequillo, Jr.</w:t>
      </w:r>
      <w:r>
        <w:t xml:space="preserve"> is a landmark text in the study of Obligations and Contracts. It vividly illustrates how the abstract rules of </w:t>
      </w:r>
      <w:r>
        <w:rPr>
          <w:b/>
        </w:rPr>
        <w:t>novation</w:t>
      </w:r>
      <w:r>
        <w:t xml:space="preserve"> (Article 1292) directly impact the livelihoods of modern contractual workers. By establishing that a second remedial contract to "placate" a worker extinguishes the original obligation due to incompatibility of the principal object (the vessel), the Supreme Court provided a robust protection mechanism for seafarers. It prevents employers from using the expiration of prescriptive periods on older, aborted contracts to shield themselves from liabilities generated by the newer, unfulfilled promises they used to pacify aggrieved laborers.</w:t>
      </w:r>
    </w:p>
    <w:p>
      <w:pPr>
        <w:pStyle w:val="Heading2"/>
      </w:pPr>
      <w:r>
        <w:t>Case 24: The Swedish East Asia Co., Ltd. v. Manila Port Service (1968) | G.R. No. L-26332</w:t>
      </w:r>
    </w:p>
    <w:p>
      <w:pPr>
        <w:pStyle w:val="Heading2"/>
      </w:pPr>
      <w:r>
        <w:t>Comprehensive Legal Analysis of The Swedish East Asia Co., Ltd. v. Manila Port Service</w:t>
      </w:r>
    </w:p>
    <w:p>
      <w:r>
        <w:rPr>
          <w:b/>
        </w:rPr>
        <w:t>Key Points</w:t>
      </w:r>
    </w:p>
    <w:p>
      <w:pPr>
        <w:pStyle w:val="ListBullet"/>
      </w:pPr>
      <w:r>
        <w:t xml:space="preserve">  </w:t>
      </w:r>
      <w:r>
        <w:rPr>
          <w:b/>
        </w:rPr>
        <w:t>The evidence leans toward</w:t>
      </w:r>
      <w:r>
        <w:t xml:space="preserve"> the principle that a management contract limiting liability between a port operator and the government does not bind a third-party shipping company that mistakenly unloads cargo not destined for that port.</w:t>
      </w:r>
    </w:p>
    <w:p>
      <w:pPr>
        <w:pStyle w:val="ListBullet"/>
      </w:pPr>
      <w:r>
        <w:t xml:space="preserve">  </w:t>
      </w:r>
      <w:r>
        <w:rPr>
          <w:b/>
        </w:rPr>
        <w:t>Research suggests</w:t>
      </w:r>
      <w:r>
        <w:t xml:space="preserve"> that the mistaken delivery of goods creates a quasi-contractual obligation under the doctrine of *solutio indebiti*, compelling the recipient to return the goods or their value.</w:t>
      </w:r>
    </w:p>
    <w:p>
      <w:pPr>
        <w:pStyle w:val="ListBullet"/>
      </w:pPr>
      <w:r>
        <w:t xml:space="preserve">  </w:t>
      </w:r>
      <w:r>
        <w:rPr>
          <w:b/>
        </w:rPr>
        <w:t>It is highly probable</w:t>
      </w:r>
      <w:r>
        <w:t xml:space="preserve"> that an unlicensed foreign corporation retains the legal capacity to sue in local courts if its cause of action arises from an "isolated transaction" rather than from continuously "doing business" within the jurisdiction.</w:t>
      </w:r>
    </w:p>
    <w:p>
      <w:pPr>
        <w:pStyle w:val="ListBullet"/>
      </w:pPr>
      <w:r>
        <w:t xml:space="preserve">  </w:t>
      </w:r>
      <w:r>
        <w:rPr>
          <w:b/>
        </w:rPr>
        <w:t>The record indicates</w:t>
      </w:r>
      <w:r>
        <w:t xml:space="preserve"> that actions for the recovery of goods lost under such quasi-contractual circumstances are governed by the statutory prescriptive periods of the Civil Code (four or five years) rather than the restrictive time limits embedded in a port operator's management contract.</w:t>
      </w:r>
    </w:p>
    <w:p>
      <w:r>
        <w:rPr>
          <w:b/>
        </w:rPr>
        <w:t>Introduction to the Legal Controversy</w:t>
      </w:r>
    </w:p>
    <w:p>
      <w:r>
        <w:t>The intersection of maritime commerce, port management, and civil obligations frequently generates complex legal disputes, particularly regarding the allocation of liability for lost or damaged cargo. In the context of Philippine jurisprudence, the relationship between shipping entities, consignees, and arrastre (port handling) operators is typically governed by a web of contracts, including the Bill of Lading and the Management Contract between the arrastre operator and the Bureau of Customs. However, anomalies such as the mistaken discharge of cargo disrupt these standard contractual frameworks, forcing courts to fall back on fundamental civil law principles to achieve equitable resolutions.</w:t>
      </w:r>
    </w:p>
    <w:p>
      <w:r>
        <w:rPr>
          <w:b/>
        </w:rPr>
        <w:t>The Doctrinal Significance</w:t>
      </w:r>
    </w:p>
    <w:p>
      <w:r>
        <w:t xml:space="preserve">The case of </w:t>
      </w:r>
      <w:r>
        <w:rPr>
          <w:i/>
        </w:rPr>
        <w:t>The Swedish East Asia Co., Ltd. v. Manila Port Service</w:t>
      </w:r>
      <w:r>
        <w:t xml:space="preserve"> (1968) serves as a cornerstone in Philippine civil law for illustrating how the concept of quasi-contracts—specifically </w:t>
      </w:r>
      <w:r>
        <w:rPr>
          <w:i/>
        </w:rPr>
        <w:t>solutio indebiti</w:t>
      </w:r>
      <w:r>
        <w:t>—operates to prevent unjust enrichment in the maritime shipping industry. Furthermore, the case delineates the boundaries of a foreign corporation's capacity to sue in the Philippines, distinguishing between the continuous engagement in commercial activities and the occurrence of isolated, inadvertent transactions. By examining this case, legal scholars and practitioners gain profound insights into the application of Civil Code provisions on obligations, the strict interpretation of contractual privity, and the procedural rights of foreign entities navigating transnational commercial mishaps.</w:t>
      </w:r>
    </w:p>
    <w:p>
      <w:pPr>
        <w:spacing w:before="120" w:after="120"/>
        <w:pBdr>
          <w:bottom w:val="single" w:sz="4" w:space="1" w:color="CCCCCC"/>
        </w:pBdr>
      </w:pPr>
    </w:p>
    <w:p>
      <w:pPr>
        <w:pStyle w:val="Heading3"/>
      </w:pPr>
      <w:r>
        <w:t>The Swedish East Asia Co., Ltd. v. Manila Port Service (1968) | G.R. No. L-26332</w:t>
      </w:r>
    </w:p>
    <w:p>
      <w:pPr>
        <w:pStyle w:val="Heading4"/>
      </w:pPr>
      <w:r>
        <w:t>1. The Parties</w:t>
      </w:r>
    </w:p>
    <w:p>
      <w:pPr>
        <w:pStyle w:val="ListBullet"/>
      </w:pPr>
      <w:r/>
      <w:r>
        <w:rPr>
          <w:b/>
        </w:rPr>
        <w:t>Petitioner (Swedish East Asia Co.):</w:t>
      </w:r>
      <w:r>
        <w:t xml:space="preserve"> The petitioner, The Swedish East Asia Co., Ltd., is a foreign corporation duly organized and existing under the laws of Sweden, with its principal offices located in Gothenburg, Sweden. Within the business context of international maritime commerce, the petitioner operates as a shipping company and is the owner and operator of the motor ship (MS) "SUDAN". Crucially for the legal issues raised in this case, the petitioner is a non-resident foreign corporation that is admittedly </w:t>
      </w:r>
      <w:r>
        <w:rPr>
          <w:b/>
        </w:rPr>
        <w:t>not licensed to do business</w:t>
      </w:r>
      <w:r>
        <w:t xml:space="preserve"> in the Philippines.</w:t>
      </w:r>
    </w:p>
    <w:p>
      <w:pPr>
        <w:pStyle w:val="ListBullet"/>
      </w:pPr>
      <w:r/>
      <w:r>
        <w:rPr>
          <w:b/>
        </w:rPr>
        <w:t>Respondent (Manila Port Service):</w:t>
      </w:r>
      <w:r>
        <w:t xml:space="preserve"> The primary respondent, the Manila Port Service, is a domestic entity operating as a subsidiary of the co-respondent, the Manila Railroad Company. The Manila Port Service functions as the contractor and exclusive operator of the </w:t>
      </w:r>
      <w:r>
        <w:rPr>
          <w:b/>
        </w:rPr>
        <w:t>arrastre service</w:t>
      </w:r>
      <w:r>
        <w:t xml:space="preserve"> at the Port of Manila. Arrastre services involve the receiving, handling, custody, and delivery of cargo that has been discharged from ships onto the piers or wharves. Unlike stevedoring, which involves the physical loading and stowing of cargo on the vessel itself, arrastre operations encompass the land-based port handling and temporary warehousing of goods pending customs clearance and delivery to the consignee.</w:t>
      </w:r>
    </w:p>
    <w:p>
      <w:pPr>
        <w:pStyle w:val="ListBullet"/>
      </w:pPr>
      <w:r/>
      <w:r>
        <w:rPr>
          <w:b/>
        </w:rPr>
        <w:t>Their relationship:</w:t>
      </w:r>
      <w:r>
        <w:t xml:space="preserve"> Under normal circumstances, the relationship between a shipping company, a consignee, and an arrastre operator is governed by the arrastre operator's "Management Contract" with the Bureau of Customs, which dictates the terms, tariffs, and liabilities for cargo handling. However, in this specific instance, </w:t>
      </w:r>
      <w:r>
        <w:rPr>
          <w:b/>
        </w:rPr>
        <w:t>there was no direct or intended contractual arrangement</w:t>
      </w:r>
      <w:r>
        <w:t xml:space="preserve"> between the petitioner and the Manila Port Service for the specific cargo in question. The relationship that ultimately materialized was entirely accidental and non-consensual, arising purely from a logistical error during the unloading process.</w:t>
      </w:r>
    </w:p>
    <w:p>
      <w:pPr>
        <w:pStyle w:val="Heading4"/>
      </w:pPr>
      <w:r>
        <w:t>2. Background &amp; Facts</w:t>
      </w:r>
    </w:p>
    <w:p>
      <w:pPr>
        <w:pStyle w:val="ListBullet"/>
      </w:pPr>
      <w:r/>
      <w:r>
        <w:rPr>
          <w:b/>
        </w:rPr>
        <w:t>What cargo or shipment was involved?</w:t>
      </w:r>
      <w:r>
        <w:t xml:space="preserve"> The shipment in question consisted of a specific batch of construction materials—namely, sixteen (16) bundles of "lifts of mild steel tees window sections". This particular cargo was explicitly destined for a consignee located in Hongkong, not the Philippines.</w:t>
      </w:r>
    </w:p>
    <w:p>
      <w:pPr>
        <w:pStyle w:val="ListBullet"/>
      </w:pPr>
      <w:r/>
      <w:r>
        <w:rPr>
          <w:b/>
        </w:rPr>
        <w:t>What happened to the cargo under Manila Port Service's custody?</w:t>
      </w:r>
      <w:r>
        <w:t xml:space="preserve"> On December 3, 1957, the petitioner's vessel, the MS "SUDAN," arrived at the Port of Manila. During the unloading process, the ship was discharging forty (40) bundles of similar steel materials intended for Philippine consignees. Amidst this operation, the sixteen bundles destined for Hongkong were </w:t>
      </w:r>
      <w:r>
        <w:rPr>
          <w:b/>
        </w:rPr>
        <w:t>mistakenly unloaded and discharged</w:t>
      </w:r>
      <w:r>
        <w:t xml:space="preserve"> into the custody of the Manila Port Service at the customs piers. Upon discovering the error, the petitioner's Manila-based agent investigated, located the sixteen bundles at the piers, and subsequently paid the requisite customs, arrastre, and storage charges to facilitate their reshipment back onto a vessel bound for Hongkong.</w:t>
      </w:r>
    </w:p>
    <w:p>
      <w:pPr>
        <w:pStyle w:val="ListBullet"/>
      </w:pPr>
      <w:r/>
      <w:r>
        <w:rPr>
          <w:b/>
        </w:rPr>
        <w:t>What loss or damage was sustained?</w:t>
      </w:r>
      <w:r>
        <w:t xml:space="preserve"> Despite the petitioner's efforts and payments to secure the reshipment, when the cargo was scheduled for loading, the Manila Port Service could only produce eight (8) of the bundles. The remaining eight bundles could not be located and were effectively lost while under the absolute custody and control of the arrastre operator. The monetary value of the missing eight bundles amounted to </w:t>
      </w:r>
      <w:r>
        <w:rPr>
          <w:b/>
        </w:rPr>
        <w:t>P2,349.62</w:t>
      </w:r>
      <w:r>
        <w:t>. The petitioner subsequently indemnified the Hongkong consignee for this loss and sought recovery from the respondents.</w:t>
      </w:r>
    </w:p>
    <w:p>
      <w:pPr>
        <w:pStyle w:val="ListBullet"/>
      </w:pPr>
      <w:r/>
      <w:r>
        <w:rPr>
          <w:b/>
        </w:rPr>
        <w:t>What was the contractual or legal basis for liability?</w:t>
      </w:r>
      <w:r>
        <w:t xml:space="preserve"> The petitioner filed a claim for the recovery of the value of the missing cargo, asserting its rights not through a formal contract of carriage or port handling, but as a creditor in its own right demanding the return of goods delivered by mistake—a legal concept anchored in the Civil Code. The respondents, conversely, anchored their defense on the restrictive provisions of their Management Contract with the Bureau of Customs, which imposed stringent time limits for filing claims and initiating lawsuits for lost cargo.</w:t>
      </w:r>
    </w:p>
    <w:p>
      <w:pPr>
        <w:pStyle w:val="ListBullet"/>
      </w:pPr>
      <w:r/>
      <w:r>
        <w:rPr>
          <w:b/>
        </w:rPr>
        <w:t>Timeline of key events:</w:t>
      </w:r>
      <w:r/>
    </w:p>
    <w:p>
      <w:pPr>
        <w:pStyle w:val="ListBullet"/>
      </w:pPr>
      <w:r/>
      <w:r>
        <w:rPr>
          <w:b/>
        </w:rPr>
        <w:t>December 3, 1957:</w:t>
      </w:r>
      <w:r>
        <w:t xml:space="preserve"> The MS "SUDAN" arrives in Manila; the 16 Hongkong-bound bundles are mistakenly discharged.</w:t>
      </w:r>
    </w:p>
    <w:p>
      <w:pPr>
        <w:pStyle w:val="ListBullet"/>
      </w:pPr>
      <w:r/>
      <w:r>
        <w:rPr>
          <w:b/>
        </w:rPr>
        <w:t>January 10, 1958:</w:t>
      </w:r>
      <w:r>
        <w:t xml:space="preserve"> The petitioner files a formal administrative claim with the Manila Port Service for P2,349.62.</w:t>
      </w:r>
    </w:p>
    <w:p>
      <w:pPr>
        <w:pStyle w:val="ListBullet"/>
      </w:pPr>
      <w:r/>
      <w:r>
        <w:rPr>
          <w:b/>
        </w:rPr>
        <w:t>March 8, 1960:</w:t>
      </w:r>
      <w:r>
        <w:t xml:space="preserve"> The respondents formally reject the petitioner's claim.</w:t>
      </w:r>
    </w:p>
    <w:p>
      <w:pPr>
        <w:pStyle w:val="ListBullet"/>
      </w:pPr>
      <w:r/>
      <w:r>
        <w:rPr>
          <w:b/>
        </w:rPr>
        <w:t>March 13, 1961:</w:t>
      </w:r>
      <w:r>
        <w:t xml:space="preserve"> The petitioner files a formal complaint for recovery in the Court of First Instance (CFI) of Manila.</w:t>
      </w:r>
    </w:p>
    <w:p>
      <w:pPr>
        <w:pStyle w:val="Heading4"/>
      </w:pPr>
      <w:r>
        <w:t>3. The Contract or Obligation</w:t>
      </w:r>
    </w:p>
    <w:p>
      <w:pPr>
        <w:pStyle w:val="ListBullet"/>
      </w:pPr>
      <w:r/>
      <w:r>
        <w:rPr>
          <w:b/>
        </w:rPr>
        <w:t>What was Manila Port Service's obligation?</w:t>
      </w:r>
      <w:r>
        <w:t xml:space="preserve"> Because the cargo was not destined for Manila and was unloaded purely by error, the Manila Port Service's obligation did not stem from its standard arrastre contract. Instead, upon receiving goods that were not due to it or to any local consignee, a </w:t>
      </w:r>
      <w:r>
        <w:rPr>
          <w:b/>
        </w:rPr>
        <w:t>quasi-contractual obligation</w:t>
      </w:r>
      <w:r>
        <w:t xml:space="preserve"> arose by operation of law. Specifically, the respondent had the absolute legal obligation to safely keep and return the mistakenly delivered bundles to the petitioner once the error was identified.</w:t>
      </w:r>
    </w:p>
    <w:p>
      <w:pPr>
        <w:pStyle w:val="ListBullet"/>
      </w:pPr>
      <w:r/>
      <w:r>
        <w:rPr>
          <w:b/>
        </w:rPr>
        <w:t>How was it breached?</w:t>
      </w:r>
      <w:r>
        <w:t xml:space="preserve"> The Manila Port Service breached this quasi-contractual obligation of preservation and return by failing to locate and deliver the remaining eight bundles when the petitioner attempted to reship them to Hongkong. Their failure to return the goods they had erroneously received constituted an unjust enrichment and a breach of the duties imposed by the doctrine of *solutio indebiti*.</w:t>
      </w:r>
    </w:p>
    <w:p>
      <w:pPr>
        <w:pStyle w:val="ListBullet"/>
      </w:pPr>
      <w:r/>
      <w:r>
        <w:rPr>
          <w:b/>
        </w:rPr>
        <w:t>Were there any contractual limitations on liability?</w:t>
      </w:r>
      <w:r>
        <w:t xml:space="preserve"> The Manila Port Service attempted to invoke the limitations enshrined in its "Management Contract" with the Bureau of Customs. This contract typically binds local consignees who avail of the arrastre services, imposing strict prescriptive periods: claims for lost cargo must be filed within fifteen (15) days from the date of discharge, and court suits must be filed within one (1) year from the date of the claim's rejection. Because the petitioner's claim on January 10, 1958, and suit on March 13, 1961, fell outside these narrow contractual windows, the Court of Appeals initially ruled that the petitioner's action was time-barred.</w:t>
      </w:r>
    </w:p>
    <w:p>
      <w:pPr>
        <w:pStyle w:val="Heading4"/>
      </w:pPr>
      <w:r>
        <w:t>4. Legal Issues Raised</w:t>
      </w:r>
    </w:p>
    <w:p>
      <w:pPr>
        <w:pStyle w:val="ListBullet"/>
      </w:pPr>
      <w:r/>
      <w:r>
        <w:rPr>
          <w:b/>
        </w:rPr>
        <w:t>What was the basis of liability — contract, quasi-contract, or quasi-delict?</w:t>
      </w:r>
      <w:r>
        <w:t xml:space="preserve"> The fundamental legal issue was whether the liability was governed by the Management Contract (contractual) or by the Civil Code provisions on </w:t>
      </w:r>
      <w:r>
        <w:rPr>
          <w:b/>
        </w:rPr>
        <w:t>quasi-contract</w:t>
      </w:r>
      <w:r>
        <w:t>. The petitioner forcefully argued that the Management Contract was entirely inapplicable because there was no intention to avail of the arrastre services; the delivery was a mistake, triggering the quasi-contractual rules of *solutio indebiti*.</w:t>
      </w:r>
    </w:p>
    <w:p>
      <w:pPr>
        <w:pStyle w:val="ListBullet"/>
      </w:pPr>
      <w:r/>
      <w:r>
        <w:rPr>
          <w:b/>
        </w:rPr>
        <w:t>Were there any defenses raised by Manila Port Service?</w:t>
      </w:r>
      <w:r>
        <w:t xml:space="preserve"> The respondents raised three primary legal defenses to escape liability:</w:t>
      </w:r>
    </w:p>
    <w:p>
      <w:r>
        <w:t xml:space="preserve">1.  </w:t>
      </w:r>
      <w:r>
        <w:rPr>
          <w:b/>
        </w:rPr>
        <w:t>Contractual Bar:</w:t>
      </w:r>
      <w:r>
        <w:t xml:space="preserve"> They argued the action was time-barred under the 15-day claim period and 1-year suit period stipulated in the Management Contract.</w:t>
      </w:r>
    </w:p>
    <w:p>
      <w:r>
        <w:t xml:space="preserve">2.  </w:t>
      </w:r>
      <w:r>
        <w:rPr>
          <w:b/>
        </w:rPr>
        <w:t>Lack of Capacity to Sue:</w:t>
      </w:r>
      <w:r>
        <w:t xml:space="preserve"> They contended that because the petitioner was a foreign corporation not licensed to do business in the Philippines under Section 69 of the Corporation Law, it lacked the legal personality to maintain a suit in Philippine courts.</w:t>
      </w:r>
    </w:p>
    <w:p>
      <w:r>
        <w:t xml:space="preserve">3.  </w:t>
      </w:r>
      <w:r>
        <w:rPr>
          <w:b/>
        </w:rPr>
        <w:t>Statutory Prescription:</w:t>
      </w:r>
      <w:r>
        <w:t xml:space="preserve"> Even if the Civil Code applied, they suggested the action had prescribed.</w:t>
      </w:r>
    </w:p>
    <w:p>
      <w:pPr>
        <w:pStyle w:val="ListBullet"/>
      </w:pPr>
      <w:r/>
      <w:r>
        <w:rPr>
          <w:b/>
        </w:rPr>
        <w:t>What damages were claimed?</w:t>
      </w:r>
      <w:r>
        <w:t xml:space="preserve"> The petitioner claimed actual damages amounting to </w:t>
      </w:r>
      <w:r>
        <w:rPr>
          <w:b/>
        </w:rPr>
        <w:t>P2,349.62</w:t>
      </w:r>
      <w:r>
        <w:t>, representing the exact value of the eight missing bundles of steel tees, alongside legal interest and attorney's fees.</w:t>
      </w:r>
    </w:p>
    <w:p>
      <w:pPr>
        <w:pStyle w:val="Heading4"/>
      </w:pPr>
      <w:r>
        <w:t>5. Supreme Court Ruling</w:t>
      </w:r>
    </w:p>
    <w:p>
      <w:pPr>
        <w:pStyle w:val="ListBullet"/>
      </w:pPr>
      <w:r/>
      <w:r>
        <w:rPr>
          <w:b/>
        </w:rPr>
        <w:t>How did the SC characterize the obligation and the breach?</w:t>
      </w:r>
      <w:r>
        <w:t xml:space="preserve"> The Supreme Court decisively rejected the application of the Management Contract. The Court characterized the relationship not as a contractual arrangement for port services, but as a pure </w:t>
      </w:r>
      <w:r>
        <w:rPr>
          <w:b/>
        </w:rPr>
        <w:t>quasi-contract</w:t>
      </w:r>
      <w:r>
        <w:t xml:space="preserve"> born of mistake. Drawing upon the commentaries of legal scholars like Tolentino regarding implied contracts and privity, the Court ruled that the petitioner never intended to be bound by the arrastre contract for Hongkong-bound cargo. The respondents had no legal right to retain the mistakenly delivered goods and were therefore legally bound to return them. The breach was their failure to fulfill this duty of restitution. Furthermore, regarding the petitioner's capacity to sue, the Court held that the strictures of the Corporation Law against unlicensed foreign corporations do not apply to </w:t>
      </w:r>
      <w:r>
        <w:rPr>
          <w:b/>
        </w:rPr>
        <w:t>"isolated transactions."</w:t>
      </w:r>
      <w:r>
        <w:t xml:space="preserve"> The mistaken landing of a single batch of cargo did not constitute "engaging in business" in the Philippines, and therefore, denying the petitioner access to local courts would unjustly allow locals to misappropriate foreign property.</w:t>
      </w:r>
    </w:p>
    <w:p>
      <w:pPr>
        <w:pStyle w:val="ListBullet"/>
      </w:pPr>
      <w:r/>
      <w:r>
        <w:rPr>
          <w:b/>
        </w:rPr>
        <w:t>What damages were awarded?</w:t>
      </w:r>
      <w:r>
        <w:t xml:space="preserve"> The Supreme Court ordered the respondents to pay the petitioner the full value of the lost cargo, </w:t>
      </w:r>
      <w:r>
        <w:rPr>
          <w:b/>
        </w:rPr>
        <w:t>P2,349.62</w:t>
      </w:r>
      <w:r>
        <w:t xml:space="preserve">, with an interest rate of 6% per annum calculated from March 13, 1961 (the date the complaint was filed), plus </w:t>
      </w:r>
      <w:r>
        <w:rPr>
          <w:b/>
        </w:rPr>
        <w:t>P600.00</w:t>
      </w:r>
      <w:r>
        <w:t xml:space="preserve"> in attorney's fees.</w:t>
      </w:r>
    </w:p>
    <w:p>
      <w:pPr>
        <w:pStyle w:val="ListBullet"/>
      </w:pPr>
      <w:r/>
      <w:r>
        <w:rPr>
          <w:b/>
        </w:rPr>
        <w:t>What was the disposition?</w:t>
      </w:r>
      <w:r>
        <w:t xml:space="preserve"> The decision of the Court of Appeals (which had dismissed the case as time-barred) was </w:t>
      </w:r>
      <w:r>
        <w:rPr>
          <w:b/>
        </w:rPr>
        <w:t>reversed</w:t>
      </w:r>
      <w:r>
        <w:t>. The original decision of the Court of First Instance in favor of the petitioner was effectively reinstated and affirmed.</w:t>
      </w:r>
    </w:p>
    <w:p>
      <w:pPr>
        <w:pStyle w:val="Heading4"/>
      </w:pPr>
      <w:r>
        <w:t>6. Key Doctrine / Civil Code Hook</w:t>
      </w:r>
    </w:p>
    <w:p>
      <w:pPr>
        <w:pStyle w:val="ListBullet"/>
      </w:pPr>
      <w:r/>
      <w:r>
        <w:rPr>
          <w:b/>
        </w:rPr>
        <w:t>State the applicable doctrinal rule:</w:t>
      </w:r>
      <w:r/>
    </w:p>
    <w:p>
      <w:pPr>
        <w:pStyle w:val="ListBullet"/>
      </w:pPr>
      <w:r/>
      <w:r>
        <w:rPr>
          <w:b/>
        </w:rPr>
        <w:t>Quasi-Contract / Solutio Indebiti:</w:t>
      </w:r>
      <w:r>
        <w:t xml:space="preserve"> When goods are delivered to an arrastre operator by mistake, without any intent to utilize their port handling services, the relationship is not governed by the operator's Management Contract, but by the civil law doctrine of *solutio indebiti*. The receiver becomes obligated to return the erroneously delivered property.</w:t>
      </w:r>
    </w:p>
    <w:p>
      <w:pPr>
        <w:pStyle w:val="ListBullet"/>
      </w:pPr>
      <w:r/>
      <w:r>
        <w:rPr>
          <w:b/>
        </w:rPr>
        <w:t>Corporate Law / Isolated Transactions Doctrine:</w:t>
      </w:r>
      <w:r>
        <w:t xml:space="preserve"> A foreign corporation not licensed to do business in the Philippines may still sue in Philippine courts if the cause of action arises from an isolated transaction or a single, unintentional act, as this does not constitute "doing business".</w:t>
      </w:r>
    </w:p>
    <w:p>
      <w:pPr>
        <w:pStyle w:val="ListBullet"/>
      </w:pPr>
      <w:r/>
      <w:r>
        <w:rPr>
          <w:b/>
        </w:rPr>
        <w:t>Which Civil Code articles were applied?</w:t>
      </w:r>
      <w:r/>
    </w:p>
    <w:p>
      <w:pPr>
        <w:pStyle w:val="ListBullet"/>
      </w:pPr>
      <w:r/>
      <w:r>
        <w:rPr>
          <w:b/>
        </w:rPr>
        <w:t>Article 2154 (Solutio Indebiti):</w:t>
      </w:r>
      <w:r>
        <w:t xml:space="preserve"> "If something is received when there is no right to demand it, and it was unduly delivered through mistake, the obligation to return it arises." The Court applied this strictly, noting that the petitioner sued as a "creditor in its own right" for the return of the shipment.</w:t>
      </w:r>
    </w:p>
    <w:p>
      <w:pPr>
        <w:pStyle w:val="ListBullet"/>
      </w:pPr>
      <w:r/>
      <w:r>
        <w:rPr>
          <w:b/>
        </w:rPr>
        <w:t>Article 1146 &amp; Article 1149 (Prescription):</w:t>
      </w:r>
      <w:r>
        <w:t xml:space="preserve"> Since the Management Contract's 1-year period did not apply, the Court applied statutory prescription. The Court noted that under </w:t>
      </w:r>
      <w:r>
        <w:rPr>
          <w:b/>
        </w:rPr>
        <w:t>Article 1146</w:t>
      </w:r>
      <w:r>
        <w:t xml:space="preserve">, an action upon an injury to the rights of the plaintiff prescribes in four (4) years. Alternatively, under </w:t>
      </w:r>
      <w:r>
        <w:rPr>
          <w:b/>
        </w:rPr>
        <w:t>Article 1149</w:t>
      </w:r>
      <w:r>
        <w:t>, actions whose periods are not fixed prescribe in five (5) years. Because the mistake occurred in December 1957 and the suit was filed in March 1961 (a span of roughly 3 years and 3 months), the action was safely within the prescriptive period.</w:t>
      </w:r>
    </w:p>
    <w:p>
      <w:pPr>
        <w:pStyle w:val="ListBullet"/>
      </w:pPr>
      <w:r>
        <w:t xml:space="preserve">*(Contextual Doctrine)* </w:t>
      </w:r>
      <w:r>
        <w:rPr>
          <w:b/>
        </w:rPr>
        <w:t>Article 1311 (Relativity of Contracts):</w:t>
      </w:r>
      <w:r>
        <w:t xml:space="preserve"> Contracts take effect only between the parties, their assigns, and heirs. Since the shipping company was not a party to the arrastre contract for this specific cargo, it could not be prejudiced by its restrictive clauses.</w:t>
      </w:r>
    </w:p>
    <w:p>
      <w:pPr>
        <w:pStyle w:val="Heading4"/>
      </w:pPr>
      <w:r>
        <w:t>7. Memory Anchor</w:t>
      </w:r>
    </w:p>
    <w:p>
      <w:pPr>
        <w:pStyle w:val="ListBullet"/>
      </w:pPr>
      <w:r/>
      <w:r>
        <w:rPr>
          <w:b/>
        </w:rPr>
        <w:t>A 1–2 sentence story hook or mnemonic for bar/exam recall:</w:t>
      </w:r>
      <w:r>
        <w:t xml:space="preserve"> "The Swedish Mistake at the Manila Port: When 16 steel bundles took a wrong turn, *solutio indebiti* bypassed the arrastre's restrictive management contract, proving that an isolated mistake doesn't strip a foreign ship of its right to sue for its missing cargo."</w:t>
      </w:r>
    </w:p>
    <w:p>
      <w:pPr>
        <w:pStyle w:val="Heading2"/>
      </w:pPr>
      <w:r>
        <w:t>Case 25: Moreño-Lentfer v. Wolff (2004) | G.R. No. 152317</w:t>
      </w:r>
    </w:p>
    <w:p>
      <w:pPr>
        <w:pStyle w:val="Heading2"/>
      </w:pPr>
      <w:r>
        <w:t>Comprehensive Legal Analysis of Moreño-Lentfer v. Wolff</w:t>
      </w:r>
    </w:p>
    <w:p>
      <w:r>
        <w:t xml:space="preserve">Research indicates that the Philippine Supreme Court case of </w:t>
      </w:r>
      <w:r>
        <w:rPr>
          <w:i/>
        </w:rPr>
        <w:t>Moreño-Lentfer v. Wolff</w:t>
      </w:r>
      <w:r>
        <w:t xml:space="preserve"> primarily revolves around quasi-contracts, specifically unjust enrichment and </w:t>
      </w:r>
      <w:r>
        <w:rPr>
          <w:i/>
        </w:rPr>
        <w:t>solutio indebiti</w:t>
      </w:r>
      <w:r>
        <w:t>, in the context of a disputed property transaction involving foreign nationals. It seems likely that the fiduciary breach and fraudulent execution of a deed of sale by the petitioners triggered the application of Article 22 of the New Civil Code to prevent an inequitable outcome. The evidence leans toward the conclusion that the respondent did not intend to donate the purchase money, thereby negating the application of Article 1238; furthermore, any such large donation would be void for failing to meet the written formalities mandated by Article 748. While the Philippine Constitution prohibits aliens from owning land, jurisprudence affirms that foreigners may validly own improvements, such as a beach house, and hold leasehold rights.</w:t>
      </w:r>
    </w:p>
    <w:p>
      <w:r>
        <w:t>The complexities of this case highlight the intricate intersections of property law, obligations and contracts, and constitutional limitations on alien ownership. Navigating transactions where foreign capital is utilized to acquire real property rights in the Philippines often invites circumvention tactics, leading to disputes over simulated contracts and implied trusts. The Supreme Court's resolution in this matter underscores the primacy of equity, ensuring that formal legal structures are not weaponized to facilitate unjust enrichment.</w:t>
      </w:r>
    </w:p>
    <w:p>
      <w:r>
        <w:t>In addressing the core issues, the Court meticulously dissected the nature of the transaction, the lack of donative intent, and the remedies available to a defrauded foreign national. The following sections provide an exhaustive, structured academic breakdown of the case, tracking the specific parameters of the Civil Code pertaining to obligations, contracts, and quasi-contracts.</w:t>
      </w:r>
    </w:p>
    <w:p>
      <w:r>
        <w:rPr>
          <w:b/>
        </w:rPr>
      </w:r>
    </w:p>
    <w:p>
      <w:pPr>
        <w:pStyle w:val="Heading3"/>
      </w:pPr>
      <w:r>
        <w:t>Moreño-Lentfer v. Wolff (2004) | G.R. No. 152317</w:t>
      </w:r>
    </w:p>
    <w:p>
      <w:pPr>
        <w:pStyle w:val="Heading4"/>
      </w:pPr>
      <w:r>
        <w:t>1. The Parties</w:t>
      </w:r>
    </w:p>
    <w:p>
      <w:r>
        <w:t>The litigation involves individuals of varying nationalities entangled in a property transaction in the Philippines, highlighting the legal nuances of capacity and trust in cross-border interpersonal dealings.</w:t>
      </w:r>
    </w:p>
    <w:p>
      <w:pPr>
        <w:pStyle w:val="ListBullet"/>
      </w:pPr>
      <w:r>
        <w:t xml:space="preserve">  </w:t>
      </w:r>
      <w:r>
        <w:rPr>
          <w:b/>
        </w:rPr>
        <w:t>Petitioners (The Lentfers and Cross):</w:t>
      </w:r>
      <w:r/>
    </w:p>
    <w:p>
      <w:pPr>
        <w:pStyle w:val="ListBullet"/>
      </w:pPr>
      <w:r>
        <w:t xml:space="preserve">  </w:t>
      </w:r>
      <w:r>
        <w:rPr>
          <w:b/>
        </w:rPr>
        <w:t>Victoria Moreño-Lentfer:</w:t>
      </w:r>
      <w:r>
        <w:t xml:space="preserve"> A Filipina citizen and the wife of Gunter Lentfer. In the context of the transaction, she was the purported beneficiary and the name under which the fraudulent deed of sale was registered.</w:t>
      </w:r>
    </w:p>
    <w:p>
      <w:pPr>
        <w:pStyle w:val="ListBullet"/>
      </w:pPr>
      <w:r>
        <w:t xml:space="preserve">  </w:t>
      </w:r>
      <w:r>
        <w:rPr>
          <w:b/>
        </w:rPr>
        <w:t>Gunter Lentfer:</w:t>
      </w:r>
      <w:r>
        <w:t xml:space="preserve"> A German national residing in the Philippines. He, along with his wife Victoria, acted as confidants and informal fiduciaries for the respondent, holding funds in trust for him.</w:t>
      </w:r>
    </w:p>
    <w:p>
      <w:pPr>
        <w:pStyle w:val="ListBullet"/>
      </w:pPr>
      <w:r>
        <w:t xml:space="preserve">  </w:t>
      </w:r>
      <w:r>
        <w:rPr>
          <w:b/>
        </w:rPr>
        <w:t>John Craigie Young Cross:</w:t>
      </w:r>
      <w:r>
        <w:t xml:space="preserve"> An Australian citizen who originally owned the beach house and held the lease rights to the underlying land in Puerto Galera, Oriental Mindoro.</w:t>
      </w:r>
    </w:p>
    <w:p>
      <w:pPr>
        <w:pStyle w:val="ListBullet"/>
      </w:pPr>
      <w:r>
        <w:t xml:space="preserve">  </w:t>
      </w:r>
      <w:r>
        <w:rPr>
          <w:b/>
        </w:rPr>
        <w:t>Respondent (Hans Jurgen Wolff):</w:t>
      </w:r>
      <w:r>
        <w:t xml:space="preserve"> A German national residing in Makati City. His interest in the transaction was as the actual financier and intended ultimate beneficiary/purchaser of the beach house and lease rights. He provided the entirety of the capital (221,700 Deutschmarks) for the acquisition of the property rights.</w:t>
      </w:r>
    </w:p>
    <w:p>
      <w:pPr>
        <w:pStyle w:val="ListBullet"/>
      </w:pPr>
      <w:r>
        <w:t xml:space="preserve">  </w:t>
      </w:r>
      <w:r>
        <w:rPr>
          <w:b/>
        </w:rPr>
        <w:t>Their Relationship:</w:t>
      </w:r>
      <w:r>
        <w:t xml:space="preserve"> The relationship between the Lentfers and Wolff was deeply rooted in trust and confidence. The Lentfers were described as Wolff's "confidants," to the extent that they held a time deposit account in solidary trust for him amounting to DM 200,000 at Solid Bank Corporation. The underlying contract intended by Wolff was a complex arrangement involving the </w:t>
      </w:r>
      <w:r>
        <w:rPr>
          <w:b/>
        </w:rPr>
        <w:t>sale</w:t>
      </w:r>
      <w:r>
        <w:t xml:space="preserve"> of improvements (a beach house) and the </w:t>
      </w:r>
      <w:r>
        <w:rPr>
          <w:b/>
        </w:rPr>
        <w:t>assignment of a lease</w:t>
      </w:r>
      <w:r>
        <w:t xml:space="preserve"> for the land, facilitated through his trusted agents (the Lentfers).</w:t>
      </w:r>
    </w:p>
    <w:p>
      <w:pPr>
        <w:pStyle w:val="ListBullet"/>
      </w:pPr>
      <w:r>
        <w:t xml:space="preserve">  </w:t>
      </w:r>
      <w:r>
        <w:rPr>
          <w:b/>
        </w:rPr>
        <w:t>Other Key Figures (Non-party):</w:t>
      </w:r>
      <w:r>
        <w:t xml:space="preserve"> Atty. Rodrigo C. Dimayacyac, the notary public whose services were engaged by the parties, and who was implicated in surreptitiously executing the fraudulent deed of sale.</w:t>
      </w:r>
    </w:p>
    <w:p>
      <w:pPr>
        <w:pStyle w:val="Heading4"/>
      </w:pPr>
      <w:r>
        <w:t>2. Background &amp; Facts</w:t>
      </w:r>
    </w:p>
    <w:p>
      <w:r>
        <w:t>The factual matrix of the case represents a classic paradigm of fiduciary abuse and the resulting legal scramble to recover misappropriated assets under Philippine civil law.</w:t>
      </w:r>
    </w:p>
    <w:p>
      <w:pPr>
        <w:pStyle w:val="ListBullet"/>
      </w:pPr>
      <w:r>
        <w:t xml:space="preserve">  </w:t>
      </w:r>
      <w:r>
        <w:rPr>
          <w:b/>
        </w:rPr>
        <w:t>What the parties agreed to:</w:t>
      </w:r>
      <w:r>
        <w:t xml:space="preserve"> On March 6, 1992, knowing Wolff's desire to own a beach house, the Lentfer spouses urged him to purchase the property owned by Cross in Sabang, Puerto Galera. Wolff agreed to the acquisition. The parties engaged the notarial services of Atty. Dimayacyac. It was mutually understood that Wolff would pay the total consideration of 220,000 Deutschmarks (DM) for the property.</w:t>
      </w:r>
    </w:p>
    <w:p>
      <w:pPr>
        <w:pStyle w:val="ListBullet"/>
      </w:pPr>
      <w:r>
        <w:t xml:space="preserve">  </w:t>
      </w:r>
      <w:r>
        <w:rPr>
          <w:b/>
        </w:rPr>
        <w:t>The Subject Matter:</w:t>
      </w:r>
      <w:r>
        <w:t xml:space="preserve"> The object of the transaction was twofold: (1) the sale of a beach house (an improvement/building), and (2) the assignment of Cross's existing contract of lease on the land where the beach house was erected.</w:t>
      </w:r>
    </w:p>
    <w:p>
      <w:pPr>
        <w:pStyle w:val="ListBullet"/>
      </w:pPr>
      <w:r>
        <w:t xml:space="preserve">  </w:t>
      </w:r>
      <w:r>
        <w:rPr>
          <w:b/>
        </w:rPr>
        <w:t>The Breach and Fraud:</w:t>
      </w:r>
      <w:r>
        <w:t xml:space="preserve"> Wolff fulfilled his end of the arrangement by directly transferring DM 221,700 (which had a Philippine Peso equivalent of approximately P3,297,800 in 1992) to Cross via a bank-to-bank transaction. However, a severe breach of trust occurred. Petitioners Cross and Victoria Moreño-Lentfer, along with Atty. Dimayacyac, secretly executed a deed of sale making it appear that the beach house was sold directly to Victoria for a drastically understated simulated price of only P100,000. The lease rights were likewise assigned to Victoria.</w:t>
      </w:r>
    </w:p>
    <w:p>
      <w:pPr>
        <w:pStyle w:val="ListBullet"/>
      </w:pPr>
      <w:r>
        <w:t xml:space="preserve">  </w:t>
      </w:r>
      <w:r>
        <w:rPr>
          <w:b/>
        </w:rPr>
        <w:t>Subsequent Actions and Discovery:</w:t>
      </w:r>
      <w:r>
        <w:t xml:space="preserve"> Unaware initially of the deceit, Wolff occupied the beach house for ten weeks, exercising acts of dominion and spending roughly P200,000 on repairs and maintenance. Upon discovering the fraudulent titling in Victoria's name, Wolff immediately initiated legal action to protect his interests.</w:t>
      </w:r>
    </w:p>
    <w:p>
      <w:pPr>
        <w:pStyle w:val="ListBullet"/>
      </w:pPr>
      <w:r>
        <w:t xml:space="preserve">  </w:t>
      </w:r>
      <w:r>
        <w:rPr>
          <w:b/>
        </w:rPr>
        <w:t>Timeline of Key Events:</w:t>
      </w:r>
      <w:r/>
    </w:p>
    <w:p>
      <w:pPr>
        <w:pStyle w:val="ListBullet"/>
      </w:pPr>
      <w:r>
        <w:t xml:space="preserve">  *Pre-1992:* Lentfers act as confidants for Wolff, holding DM 200,000 in trust.</w:t>
      </w:r>
    </w:p>
    <w:p>
      <w:pPr>
        <w:pStyle w:val="ListBullet"/>
      </w:pPr>
      <w:r>
        <w:t xml:space="preserve">  *March 6, 1992:* Parties engage notarial services to execute the sale and assignment of lease.</w:t>
      </w:r>
    </w:p>
    <w:p>
      <w:pPr>
        <w:pStyle w:val="ListBullet"/>
      </w:pPr>
      <w:r>
        <w:t xml:space="preserve">  *1992:* Wolff transfers DM 221,700 to Cross.</w:t>
      </w:r>
    </w:p>
    <w:p>
      <w:pPr>
        <w:pStyle w:val="ListBullet"/>
      </w:pPr>
      <w:r>
        <w:t xml:space="preserve">  *1992:* Cross, Victoria, and the notary secretly execute a simulated deed of sale to Victoria for P100,000.</w:t>
      </w:r>
    </w:p>
    <w:p>
      <w:pPr>
        <w:pStyle w:val="ListBullet"/>
      </w:pPr>
      <w:r>
        <w:t xml:space="preserve">  *Post-Transaction:* Wolff stays at the property for 10 weeks, spending P200,000 on repairs.</w:t>
      </w:r>
    </w:p>
    <w:p>
      <w:pPr>
        <w:pStyle w:val="ListBullet"/>
      </w:pPr>
      <w:r>
        <w:t xml:space="preserve">  *Discovery &amp; Filing:* Wolff discovers the fraud and files Civil Case No. R-4219 in the Regional Trial Court (RTC) of Calapan City for annulment of sale, reconveyance, damages, and attachment.</w:t>
      </w:r>
    </w:p>
    <w:p>
      <w:pPr>
        <w:pStyle w:val="ListBullet"/>
      </w:pPr>
      <w:r>
        <w:t xml:space="preserve">  *Lower Court Rulings:* The RTC dismissed Wolff's complaint for failure to establish a cause of action. Wolff appealed to the Court of Appeals (CA-G.R. CV No. 48272), which reversed the RTC, ordering the petitioners to jointly and severally pay Wolff the equivalent of DM 220,000 plus P200,000 for repairs.</w:t>
      </w:r>
    </w:p>
    <w:p>
      <w:pPr>
        <w:pStyle w:val="ListBullet"/>
      </w:pPr>
      <w:r>
        <w:t xml:space="preserve">  *November 10, 2004:* The Supreme Court issued its ruling modifying the CA decision.</w:t>
      </w:r>
    </w:p>
    <w:p>
      <w:pPr>
        <w:pStyle w:val="Heading4"/>
      </w:pPr>
      <w:r>
        <w:t>3. The Contract or Obligation</w:t>
      </w:r>
    </w:p>
    <w:p>
      <w:r>
        <w:t>Understanding the case through the lens of the Civil Code requires dissecting the intended obligations versus the fraudulent manifestations of the contract.</w:t>
      </w:r>
    </w:p>
    <w:p>
      <w:pPr>
        <w:pStyle w:val="ListBullet"/>
      </w:pPr>
      <w:r>
        <w:t xml:space="preserve">  </w:t>
      </w:r>
      <w:r>
        <w:rPr>
          <w:b/>
        </w:rPr>
        <w:t>The Original Obligation:</w:t>
      </w:r>
      <w:r>
        <w:t xml:space="preserve"> The foundational agreement was a contract of sale and assignment of lease rights. Under Article 1305 of the Civil Code, a contract is a meeting of minds between two persons whereby one binds himself, with respect to the other, to give something or to render some service. Here, Cross was obligated to deliver the beach house and assign the lease to Wolff, while Wolff was obligated to pay the consideration (which he did, paying DM 221,700). Furthermore, an implied agency or trust existed between Wolff and the Lentfers, obligating the Lentfers to act in Wolff's best interest.</w:t>
      </w:r>
    </w:p>
    <w:p>
      <w:pPr>
        <w:pStyle w:val="ListBullet"/>
      </w:pPr>
      <w:r>
        <w:t xml:space="preserve">  </w:t>
      </w:r>
      <w:r>
        <w:rPr>
          <w:b/>
        </w:rPr>
        <w:t>Issues with Validity (Consent, Object, Cause):</w:t>
      </w:r>
      <w:r/>
    </w:p>
    <w:p>
      <w:pPr>
        <w:pStyle w:val="ListBullet"/>
      </w:pPr>
      <w:r>
        <w:t xml:space="preserve">  *Simulated Contract:* The deed of sale reflecting a P100,000 transaction between Cross and Victoria was an absolutely simulated contract (or at least relatively simulated as to the parties and price). Under Art. 1345 and 1346, simulation of a contract may vitiate consent. More importantly, Victoria provided no true consideration (cause) for the P100,000 sale, as the funds actually came from Wolff.</w:t>
      </w:r>
    </w:p>
    <w:p>
      <w:pPr>
        <w:pStyle w:val="ListBullet"/>
      </w:pPr>
      <w:r>
        <w:t xml:space="preserve">  *Lack of Donative Intent:* The petitioners attempted to validate the transfer by retroactively claiming Wolff's payment was a donation to Victoria. However, a valid donation requires donative intent (*animus donandi*), which was entirely absent here.</w:t>
      </w:r>
    </w:p>
    <w:p>
      <w:pPr>
        <w:pStyle w:val="ListBullet"/>
      </w:pPr>
      <w:r>
        <w:t xml:space="preserve">  *Formalities of Donation:* Even if a donation of the purchase money (equivalent to P3,297,800) was intended, Article 748 mandates that donations of personal property exceeding P5,000, along with their acceptance, must be in writing. The absence of a written instrument rendered the purported donation void *ab initio*.</w:t>
      </w:r>
    </w:p>
    <w:p>
      <w:pPr>
        <w:pStyle w:val="ListBullet"/>
      </w:pPr>
      <w:r>
        <w:t xml:space="preserve">  </w:t>
      </w:r>
      <w:r>
        <w:rPr>
          <w:b/>
        </w:rPr>
        <w:t>How the Obligation was Breached:</w:t>
      </w:r>
      <w:r>
        <w:t xml:space="preserve"> The breach was executed through deceit and fraud. Cross failed in his obligation to convey the property to the rightful buyer (Wolff). The Lentfers breached their fiduciary duty by misappropriating Wolff's funds to unjustly enrich Victoria, registering the property rights in her name without Wolff's consent.</w:t>
      </w:r>
    </w:p>
    <w:p>
      <w:pPr>
        <w:pStyle w:val="Heading4"/>
      </w:pPr>
      <w:r>
        <w:t>4. Legal Issues Raised</w:t>
      </w:r>
    </w:p>
    <w:p>
      <w:r>
        <w:t>The Supreme Court was tasked with untangling a web of civil law defenses raised by the petitioners to justify their retention of the property.</w:t>
      </w:r>
    </w:p>
    <w:p>
      <w:pPr>
        <w:pStyle w:val="ListBullet"/>
      </w:pPr>
      <w:r>
        <w:t xml:space="preserve">  </w:t>
      </w:r>
      <w:r>
        <w:rPr>
          <w:b/>
        </w:rPr>
        <w:t>Was the contract or purported donation valid?</w:t>
      </w:r>
      <w:r/>
    </w:p>
    <w:p>
      <w:pPr>
        <w:pStyle w:val="ListBullet"/>
      </w:pPr>
      <w:r>
        <w:t xml:space="preserve">  The petitioners invoked </w:t>
      </w:r>
      <w:r>
        <w:rPr>
          <w:b/>
        </w:rPr>
        <w:t>Article 1238</w:t>
      </w:r>
      <w:r>
        <w:t xml:space="preserve"> of the Civil Code, which states that payment made by a third person who does not intend to be reimbursed is deemed a donation, requiring the debtor's consent. They argued Wolff paid for the property without intent to be reimbursed, making it a donation to Victoria.</w:t>
      </w:r>
    </w:p>
    <w:p>
      <w:pPr>
        <w:pStyle w:val="ListBullet"/>
      </w:pPr>
      <w:r>
        <w:t xml:space="preserve">  The core issue was whether this provision applied. Did Wolff intend to donate over 3 million pesos to Victoria Moreño-Lentfer?</w:t>
      </w:r>
    </w:p>
    <w:p>
      <w:pPr>
        <w:pStyle w:val="ListBullet"/>
      </w:pPr>
      <w:r>
        <w:t xml:space="preserve">  Additionally, if it was a donation of money, was it valid despite lacking a written instrument as required by </w:t>
      </w:r>
      <w:r>
        <w:rPr>
          <w:b/>
        </w:rPr>
        <w:t>Article 748</w:t>
      </w:r>
      <w:r>
        <w:t>?.</w:t>
      </w:r>
    </w:p>
    <w:p>
      <w:pPr>
        <w:pStyle w:val="ListBullet"/>
      </w:pPr>
      <w:r>
        <w:t xml:space="preserve">  </w:t>
      </w:r>
      <w:r>
        <w:rPr>
          <w:b/>
        </w:rPr>
        <w:t>Quasi-Contractual Obligations:</w:t>
      </w:r>
      <w:r/>
    </w:p>
    <w:p>
      <w:pPr>
        <w:pStyle w:val="ListBullet"/>
      </w:pPr>
      <w:r>
        <w:t xml:space="preserve">  If the donation was invalid, did the principle of </w:t>
      </w:r>
      <w:r>
        <w:rPr>
          <w:b/>
        </w:rPr>
        <w:t>solutio indebiti (Article 2154)</w:t>
      </w:r>
      <w:r>
        <w:t xml:space="preserve"> apply? Was the payment made by Wolff delivered to the benefit of Victoria through a mistake, creating an obligation for her to return it?.</w:t>
      </w:r>
    </w:p>
    <w:p>
      <w:pPr>
        <w:pStyle w:val="ListBullet"/>
      </w:pPr>
      <w:r>
        <w:t xml:space="preserve">  Did the actions of the petitioners constitute </w:t>
      </w:r>
      <w:r>
        <w:rPr>
          <w:b/>
        </w:rPr>
        <w:t>unjust enrichment (Article 22)</w:t>
      </w:r>
      <w:r>
        <w:t xml:space="preserve"> at the expense of the respondent?.</w:t>
      </w:r>
    </w:p>
    <w:p>
      <w:pPr>
        <w:pStyle w:val="ListBullet"/>
      </w:pPr>
      <w:r>
        <w:t xml:space="preserve">  </w:t>
      </w:r>
      <w:r>
        <w:rPr>
          <w:b/>
        </w:rPr>
        <w:t>Constitutional Limitation on Alien Land Ownership:</w:t>
      </w:r>
      <w:r/>
    </w:p>
    <w:p>
      <w:pPr>
        <w:pStyle w:val="ListBullet"/>
      </w:pPr>
      <w:r>
        <w:t xml:space="preserve">  A pivotal legal issue raised, initially addressed by the Court of Appeals, was whether reconveying the property to Wolff (a German citizen) would violate the Philippine Constitutional prohibition against aliens owning land.</w:t>
      </w:r>
    </w:p>
    <w:p>
      <w:pPr>
        <w:pStyle w:val="Heading4"/>
      </w:pPr>
      <w:r>
        <w:t>5. Supreme Court Ruling</w:t>
      </w:r>
    </w:p>
    <w:p>
      <w:r>
        <w:t>The Supreme Court delivered a decisive ruling rooted in equity, dismantling the petitioners' defenses and ordering the return of the property rights.</w:t>
      </w:r>
    </w:p>
    <w:p>
      <w:pPr>
        <w:pStyle w:val="ListBullet"/>
      </w:pPr>
      <w:r>
        <w:t xml:space="preserve">  </w:t>
      </w:r>
      <w:r>
        <w:rPr>
          <w:b/>
        </w:rPr>
        <w:t>On the Validity of the Donation and Art. 1238:</w:t>
      </w:r>
      <w:r>
        <w:t xml:space="preserve"> The Court categorically rejected the application of Article 1238. The Court held that the "absence of intention to be reimbursed" was fundamentally negated by Wolff's swift actions. His immediate filing of a lawsuit upon discovering the fraud, his assertion of ownership, and his expenditure of P200,000 on property repairs were entirely inconsistent with a gratuitous donation. The Court aptly noted that claiming liberality for an amount equivalent to P3,297,800 must be taken with a "grain of salt".</w:t>
      </w:r>
    </w:p>
    <w:p>
      <w:pPr>
        <w:pStyle w:val="ListBullet"/>
      </w:pPr>
      <w:r>
        <w:t xml:space="preserve">  </w:t>
      </w:r>
      <w:r>
        <w:rPr>
          <w:b/>
        </w:rPr>
        <w:t>On the Formalities of Donation (Art. 748):</w:t>
      </w:r>
      <w:r>
        <w:t xml:space="preserve"> The Court ruled that even if one were to entertain the fiction of a donation, it would be legally void. Because the subject of the alleged donation was the purchase money (a movable) exceeding P5,000, Article 748 requires both the donation and the acceptance to be in writing. Since this formal requisite was utterly lacking, no valid donation existed.</w:t>
      </w:r>
    </w:p>
    <w:p>
      <w:pPr>
        <w:pStyle w:val="ListBullet"/>
      </w:pPr>
      <w:r>
        <w:t xml:space="preserve">  </w:t>
      </w:r>
      <w:r>
        <w:rPr>
          <w:b/>
        </w:rPr>
        <w:t>On Quasi-Contracts (Solutio Indebiti and Unjust Enrichment):</w:t>
      </w:r>
      <w:r/>
    </w:p>
    <w:p>
      <w:pPr>
        <w:pStyle w:val="ListBullet"/>
      </w:pPr>
      <w:r>
        <w:t xml:space="preserve">  *Solutio Indebiti (Art. 2154):* The Court affirmed the application of this quasi-contractual principle. Wolff had no legal duty or binding relationship obliging him to pay for Victoria's benefit. The payment resulting in her title was clearly a mistake on his part, as he intended to acquire the property for himself. Thus, receiving a benefit with no right to demand it birthed the obligation to return it.</w:t>
      </w:r>
    </w:p>
    <w:p>
      <w:pPr>
        <w:pStyle w:val="ListBullet"/>
      </w:pPr>
      <w:r>
        <w:t xml:space="preserve">  *Unjust Enrichment (Art. 22):* The Court found that Victoria was unjustly enriched through "deceit, fraud and abuse of confidence." Justice and equity demanded that she return what she acquired without just legal ground at Wolff's expense.</w:t>
      </w:r>
    </w:p>
    <w:p>
      <w:pPr>
        <w:pStyle w:val="ListBullet"/>
      </w:pPr>
      <w:r>
        <w:t xml:space="preserve">  </w:t>
      </w:r>
      <w:r>
        <w:rPr>
          <w:b/>
        </w:rPr>
        <w:t>On the Constitutional Issue:</w:t>
      </w:r>
      <w:r>
        <w:t xml:space="preserve"> The Supreme Court clarified a vital distinction in property law. While the Constitution absolutely prohibits aliens from owning land, it does not preclude them from owning *improvements* (such as a beach house) built on the land, nor does it prevent them from holding *lease rights* over the land. Therefore, ordering the reconveyance of the beach house and the lease contract to a German national was legally permissible.</w:t>
      </w:r>
    </w:p>
    <w:p>
      <w:pPr>
        <w:pStyle w:val="ListBullet"/>
      </w:pPr>
      <w:r>
        <w:t xml:space="preserve">  </w:t>
      </w:r>
      <w:r>
        <w:rPr>
          <w:b/>
        </w:rPr>
        <w:t>Remedies Granted and Disposition:</w:t>
      </w:r>
      <w:r>
        <w:t xml:space="preserve"> The Court </w:t>
      </w:r>
      <w:r>
        <w:rPr>
          <w:b/>
        </w:rPr>
        <w:t>denied</w:t>
      </w:r>
      <w:r>
        <w:t xml:space="preserve"> the petition and affirmed the Court of Appeals' decision with modifications. The exact disposition ordered:</w:t>
      </w:r>
    </w:p>
    <w:p>
      <w:r>
        <w:t xml:space="preserve">1.  </w:t>
      </w:r>
      <w:r>
        <w:rPr>
          <w:b/>
        </w:rPr>
        <w:t>Reconveyance:</w:t>
      </w:r>
      <w:r>
        <w:t xml:space="preserve"> Gunter and Victoria Moreño-Lentfer were ordered to reconvey the beach house and the assignment of lease rights back to Hans Jurgen Wolff.</w:t>
      </w:r>
    </w:p>
    <w:p>
      <w:r>
        <w:t xml:space="preserve">2.  </w:t>
      </w:r>
      <w:r>
        <w:rPr>
          <w:b/>
        </w:rPr>
        <w:t>Nominal Damages:</w:t>
      </w:r>
      <w:r>
        <w:t xml:space="preserve"> Recognizing that Wolff's property rights had been invaded and violated through defraudation and abuse of confidence, the Court awarded him nominal damages in the amount of P50,000.00 (under Arts. 2221 and 2222).</w:t>
      </w:r>
    </w:p>
    <w:p>
      <w:r>
        <w:t>3.  Costs were assessed against the petitioners.</w:t>
      </w:r>
    </w:p>
    <w:p>
      <w:pPr>
        <w:pStyle w:val="Heading4"/>
      </w:pPr>
      <w:r>
        <w:t>6. Key Doctrine / Civil Code Hook</w:t>
      </w:r>
    </w:p>
    <w:p>
      <w:r>
        <w:t xml:space="preserve">The jurisprudential value of </w:t>
      </w:r>
      <w:r>
        <w:rPr>
          <w:i/>
        </w:rPr>
        <w:t>Moreño-Lentfer v. Wolff</w:t>
      </w:r>
      <w:r>
        <w:t xml:space="preserve"> lies in its robust application of quasi-contractual remedies to defeat fraudulent conveyances designed to exploit foreign investors.</w:t>
      </w:r>
    </w:p>
    <w:p>
      <w:pPr>
        <w:pStyle w:val="ListBullet"/>
      </w:pPr>
      <w:r>
        <w:t xml:space="preserve">  </w:t>
      </w:r>
      <w:r>
        <w:rPr>
          <w:b/>
        </w:rPr>
        <w:t>Doctrinal Rule on Contracts &amp; Quasi-Contracts:</w:t>
      </w:r>
      <w:r>
        <w:t xml:space="preserve"> When a contract of sale is manipulated through deceit to benefit a third party who provided no consideration, the true financier is protected by the doctrines of unjust enrichment and *solutio indebiti*. A claim that the financier's payment was a "donation" to the fraudulent beneficiary (Art. 1238) will fail if the financier's actions (e.g., immediate litigation, exercising dominion) contradict donative intent. Furthermore, substantial donations of money must strictly comply with formal writing requirements.</w:t>
      </w:r>
    </w:p>
    <w:p>
      <w:pPr>
        <w:pStyle w:val="ListBullet"/>
      </w:pPr>
      <w:r>
        <w:t xml:space="preserve">  </w:t>
      </w:r>
      <w:r>
        <w:rPr>
          <w:b/>
        </w:rPr>
        <w:t>Applicable Civil Code Articles:</w:t>
      </w:r>
      <w:r/>
    </w:p>
    <w:p>
      <w:pPr>
        <w:pStyle w:val="ListBullet"/>
      </w:pPr>
      <w:r>
        <w:t xml:space="preserve">  </w:t>
      </w:r>
      <w:r>
        <w:rPr>
          <w:b/>
        </w:rPr>
        <w:t>Art. 22 (Unjust Enrichment):</w:t>
      </w:r>
      <w:r>
        <w:t xml:space="preserve"> "Every person who through an act of performance by another, or any other means, acquires or comes into possession of something at the expense of the latter without just or legal ground, shall return the same to him."</w:t>
      </w:r>
    </w:p>
    <w:p>
      <w:pPr>
        <w:pStyle w:val="ListBullet"/>
      </w:pPr>
      <w:r>
        <w:t xml:space="preserve">  </w:t>
      </w:r>
      <w:r>
        <w:rPr>
          <w:b/>
        </w:rPr>
        <w:t>Art. 748 (Formalities of Donation):</w:t>
      </w:r>
      <w:r>
        <w:t xml:space="preserve"> "If the value of the personal property donated exceeds five thousand pesos, the donation and the acceptance shall be made in writing. Otherwise, the donation shall be void."</w:t>
      </w:r>
    </w:p>
    <w:p>
      <w:pPr>
        <w:pStyle w:val="ListBullet"/>
      </w:pPr>
      <w:r>
        <w:t xml:space="preserve">  </w:t>
      </w:r>
      <w:r>
        <w:rPr>
          <w:b/>
        </w:rPr>
        <w:t>Art. 1238 (Payment by Third Person):</w:t>
      </w:r>
      <w:r>
        <w:t xml:space="preserve"> Invoked by petitioners but rejected by the SC. "Payment made by a third person who does not intend to be reimbursed by the debtor is deemed to be a donation, which requires the debtor's consent..."</w:t>
      </w:r>
    </w:p>
    <w:p>
      <w:pPr>
        <w:pStyle w:val="ListBullet"/>
      </w:pPr>
      <w:r>
        <w:t xml:space="preserve">  </w:t>
      </w:r>
      <w:r>
        <w:rPr>
          <w:b/>
        </w:rPr>
        <w:t>Art. 2154 (Solutio Indebiti):</w:t>
      </w:r>
      <w:r>
        <w:t xml:space="preserve"> "If something is received when there is no right to demand it, and it was unduly delivered through mistake, the obligation to return it arises."</w:t>
      </w:r>
    </w:p>
    <w:p>
      <w:pPr>
        <w:pStyle w:val="Heading4"/>
      </w:pPr>
      <w:r>
        <w:t>7. Memory Anchor</w:t>
      </w:r>
    </w:p>
    <w:p>
      <w:r>
        <w:rPr>
          <w:i/>
        </w:rPr>
        <w:t>To easily recall this case for bar examinations or academic discussions, use the following mnemonic narrative:</w:t>
      </w:r>
    </w:p>
    <w:p>
      <w:r>
        <w:rPr>
          <w:b/>
        </w:rPr>
        <w:t>"Wolff’s Beach House Blunder: The 3-Million Peso 'Mistake'."</w:t>
      </w:r>
    </w:p>
    <w:p>
      <w:r>
        <w:t xml:space="preserve">When a German (Wolff) pays DM 221,700 for a beach house, but his "trusted" Filipina friend (Victoria) secretly puts the title in her name for a fake P100k, she can't claim it was a "donation" (Art. 1238) because a 3-million peso gift needs to be in writing (Art. 748). The Court will force her to give it back under </w:t>
      </w:r>
      <w:r>
        <w:rPr>
          <w:b/>
        </w:rPr>
        <w:t>Unjust Enrichment (Art. 22)</w:t>
      </w:r>
      <w:r>
        <w:t xml:space="preserve"> and </w:t>
      </w:r>
      <w:r>
        <w:rPr>
          <w:b/>
        </w:rPr>
        <w:t>Solutio Indebiti (Art. 2154)</w:t>
      </w:r>
      <w:r>
        <w:t xml:space="preserve">—and yes, an alien </w:t>
      </w:r>
      <w:r>
        <w:rPr>
          <w:i/>
        </w:rPr>
        <w:t>can</w:t>
      </w:r>
      <w:r>
        <w:t xml:space="preserve"> own the beach house and the lease, just not the sand underneath!</w:t>
      </w:r>
    </w:p>
    <w:p>
      <w:r>
        <w:br w:type="page"/>
      </w:r>
    </w:p>
    <w:p>
      <w:pPr>
        <w:pStyle w:val="Heading1"/>
      </w:pPr>
      <w:r>
        <w:t>Module 3C — Stipulations and Conditions</w:t>
      </w:r>
    </w:p>
    <w:p>
      <w:pPr>
        <w:pStyle w:val="Heading2"/>
      </w:pPr>
      <w:r>
        <w:t>Case 26: Hyatt Elevators and Escalators Corp. v. Cathedral Heights Building Complex (2010) | G.R. No. 173881</w:t>
      </w:r>
    </w:p>
    <w:p>
      <w:pPr>
        <w:pStyle w:val="Heading2"/>
      </w:pPr>
      <w:r>
        <w:t>Comprehensive Analysis of Hyatt Elevators and Escalators Corp. v. Cathedral Heights Building Complex (2010)</w:t>
      </w:r>
    </w:p>
    <w:p>
      <w:r>
        <w:rPr>
          <w:b/>
        </w:rPr>
        <w:t>Key Points:</w:t>
      </w:r>
    </w:p>
    <w:p>
      <w:pPr>
        <w:pStyle w:val="ListBullet"/>
      </w:pPr>
      <w:r>
        <w:t xml:space="preserve">  </w:t>
      </w:r>
      <w:r>
        <w:rPr>
          <w:b/>
        </w:rPr>
        <w:t>The Supreme Court firmly denied the petitioner's claim for ₱1.16 million, ruling that no perfected contract of sale existed for the disputed elevator parts.</w:t>
      </w:r>
      <w:r>
        <w:t xml:space="preserve"> The absence of a "meeting of the minds" regarding the price of the parts was fatal to the petitioner's claim.</w:t>
      </w:r>
    </w:p>
    <w:p>
      <w:pPr>
        <w:pStyle w:val="ListBullet"/>
      </w:pPr>
      <w:r>
        <w:t xml:space="preserve">  </w:t>
      </w:r>
      <w:r>
        <w:rPr>
          <w:b/>
        </w:rPr>
        <w:t>A service provider cannot unilaterally bypass established Standard Operating Procedures (SOPs).</w:t>
      </w:r>
      <w:r>
        <w:t xml:space="preserve"> The Court highlighted that the petitioner failed to secure the required purchase orders and board approvals before installing expensive replacement parts.</w:t>
      </w:r>
    </w:p>
    <w:p>
      <w:pPr>
        <w:pStyle w:val="ListBullet"/>
      </w:pPr>
      <w:r>
        <w:t xml:space="preserve">  </w:t>
      </w:r>
      <w:r>
        <w:rPr>
          <w:b/>
        </w:rPr>
        <w:t>Signatures on delivery receipts by security guards or clerks do not equate to corporate consent.</w:t>
      </w:r>
      <w:r>
        <w:t xml:space="preserve"> The Court clarified that such signatures merely acknowledge the physical receipt of goods, not the acceptance of a dictated price or a binding contract.</w:t>
      </w:r>
    </w:p>
    <w:p>
      <w:pPr>
        <w:pStyle w:val="ListBullet"/>
      </w:pPr>
      <w:r>
        <w:t xml:space="preserve">  </w:t>
      </w:r>
      <w:r>
        <w:rPr>
          <w:b/>
        </w:rPr>
        <w:t>Addressing Secondary Source Errors:</w:t>
      </w:r>
      <w:r>
        <w:t xml:space="preserve"> It is crucial to note that several online legal digests erroneously report that the Supreme Court awarded damages to the petitioner based on "unjust enrichment" or "quantum meruit." An exhaustive review of the actual Supreme Court ruling reveals this to be categorically false; the petition was entirely denied, and the complaint was dismissed.</w:t>
      </w:r>
    </w:p>
    <w:p>
      <w:r>
        <w:t xml:space="preserve">The intersection of service contracts and the supply of goods frequently creates complex legal friction, particularly when standard operating procedures are bypassed in the name of expediency. The case of </w:t>
      </w:r>
      <w:r>
        <w:rPr>
          <w:i/>
        </w:rPr>
        <w:t>Hyatt Elevators and Escalators Corp. v. Cathedral Heights Building Complex Association, Inc.</w:t>
      </w:r>
      <w:r>
        <w:t>, G.R. No. 173881 (December 1, 2010) serves as a seminal jurisprudential anchor in Philippine civil law regarding the boundaries of consent, the perfection of commercial contracts, and the strict rules governing the unilateral fixing of prices. While this case is fundamentally rooted in a contract for services, it metamorphoses into a dispute over a contract of sale for unapproved spare parts. This detailed academic report synthesizes the factual background, the legal obligations, and the Supreme Court’s definitive application of the Civil Code provisions on contracts and breach.</w:t>
      </w:r>
    </w:p>
    <w:p>
      <w:r>
        <w:rPr>
          <w:b/>
        </w:rPr>
      </w:r>
    </w:p>
    <w:p>
      <w:pPr>
        <w:pStyle w:val="Heading3"/>
      </w:pPr>
      <w:r>
        <w:t>Hyatt Elevators and Escalators Corp. v. Cathedral Heights Building Complex (2010) | G.R. No. 173881</w:t>
      </w:r>
    </w:p>
    <w:p>
      <w:pPr>
        <w:pStyle w:val="Heading4"/>
      </w:pPr>
      <w:r>
        <w:t>1. The Parties</w:t>
      </w:r>
    </w:p>
    <w:p>
      <w:pPr>
        <w:pStyle w:val="ListBullet"/>
      </w:pPr>
      <w:r>
        <w:t xml:space="preserve">  </w:t>
      </w:r>
      <w:r>
        <w:rPr>
          <w:b/>
        </w:rPr>
        <w:t>Petitioner (Hyatt Elevators):</w:t>
      </w:r>
      <w:r>
        <w:t xml:space="preserve"> Hyatt Elevators and Escalators Corporation is a commercial enterprise specializing in the specialized maintenance, repair, and supply of parts for elevators and escalators. As an expert service provider, the company holds itself out to the public as possessing the technical proficiency required to maintain complex vertical transportation systems in large commercial and institutional buildings.</w:t>
      </w:r>
    </w:p>
    <w:p>
      <w:pPr>
        <w:pStyle w:val="ListBullet"/>
      </w:pPr>
      <w:r>
        <w:t xml:space="preserve">  </w:t>
      </w:r>
      <w:r>
        <w:rPr>
          <w:b/>
        </w:rPr>
        <w:t>Respondent (Cathedral Heights):</w:t>
      </w:r>
      <w:r>
        <w:t xml:space="preserve"> Cathedral Heights Building Complex Association, Inc. (CHBCAI) is the managing entity and association responsible for the administration of the St. Luke's Cathedral Heights Building, a facility intrinsically linked to hospital operations. The building's nature dictates a high standard of care and continuous operation for its facilities. They engaged Hyatt as an independent contractor to ensure the continuous and safe operation of their vertical transport systems.</w:t>
      </w:r>
    </w:p>
    <w:p>
      <w:pPr>
        <w:pStyle w:val="ListBullet"/>
      </w:pPr>
      <w:r>
        <w:t xml:space="preserve">  </w:t>
      </w:r>
      <w:r>
        <w:rPr>
          <w:b/>
        </w:rPr>
        <w:t>Their relationship:</w:t>
      </w:r>
      <w:r>
        <w:t xml:space="preserve"> The professional relationship between the parties was governed by an "Agreement to Service Elevators" (hereinafter, the "Service Agreement"), officially executed on October 1, 1994. This was a classic nominate contract for services (lease of services) wherein Hyatt was engaged to perform routine preventive maintenance on four passenger elevators within the respondent's premises.</w:t>
      </w:r>
    </w:p>
    <w:p>
      <w:pPr>
        <w:pStyle w:val="Heading4"/>
      </w:pPr>
      <w:r>
        <w:t>2. Background &amp; Facts</w:t>
      </w:r>
    </w:p>
    <w:p>
      <w:pPr>
        <w:pStyle w:val="ListBullet"/>
      </w:pPr>
      <w:r>
        <w:t xml:space="preserve">  </w:t>
      </w:r>
      <w:r>
        <w:rPr>
          <w:b/>
        </w:rPr>
        <w:t>What did Hyatt agree to do?</w:t>
      </w:r>
      <w:r/>
    </w:p>
    <w:p>
      <w:r>
        <w:t>Under the 1994 Service Agreement, Hyatt Elevators agreed to perform regular, routine maintenance on the four passenger elevators. The contractual duties specifically encompassed monthly inspections, adjustments, and the lubrication of machinery, motors, control parts, and accessory equipment, which included switches and electrical wirings.</w:t>
      </w:r>
    </w:p>
    <w:p>
      <w:pPr>
        <w:pStyle w:val="ListBullet"/>
      </w:pPr>
      <w:r>
        <w:t xml:space="preserve">  </w:t>
      </w:r>
      <w:r>
        <w:rPr>
          <w:b/>
        </w:rPr>
        <w:t>What happened to the elevators or the service?</w:t>
      </w:r>
      <w:r/>
    </w:p>
    <w:p>
      <w:r>
        <w:t>Between April 1997 and July 1998, the four elevators suffered multiple breakdowns requiring not just routine maintenance, but extensive repairs and the replacement of various spare parts. Because the elevators were located in a hospital environment, Hyatt argued that it was absolutely necessary for the elevators to be in good running condition at all times, asserting an internal policy that no breakdown should last more than a single day. Driven by this urgency, Hyatt technicians repeatedly diagnosed issues, sourced replacement parts from their own inventory, and installed them directly into the Cathedral Heights elevators without securing prior written financial approval.</w:t>
      </w:r>
    </w:p>
    <w:p>
      <w:pPr>
        <w:pStyle w:val="ListBullet"/>
      </w:pPr>
      <w:r>
        <w:t xml:space="preserve">  </w:t>
      </w:r>
      <w:r>
        <w:rPr>
          <w:b/>
        </w:rPr>
        <w:t>Who claimed breach, and on what grounds?</w:t>
      </w:r>
      <w:r/>
    </w:p>
    <w:p>
      <w:r>
        <w:t>Hyatt Elevators claimed breach of contract against Cathedral Heights. Hyatt alleged that after installing the parts and completing the repairs, it sent a statement of account and multiple demand letters (the last dated July 18, 2000) for the cost of the parts and the specialized labor, but CHBCAI obstinately refused to pay.</w:t>
      </w:r>
    </w:p>
    <w:p>
      <w:r>
        <w:t xml:space="preserve">Conversely, Cathedral Heights raised the defense that </w:t>
      </w:r>
      <w:r>
        <w:rPr>
          <w:i/>
        </w:rPr>
        <w:t>Hyatt</w:t>
      </w:r>
      <w:r>
        <w:t xml:space="preserve"> breached the procedural covenants of their relationship by blatantly ignoring the established Standard Operating Procedure (SOP). According to the testimony of Cathedral Heights' witness, the SOP required the following sequential steps:</w:t>
      </w:r>
    </w:p>
    <w:p>
      <w:r>
        <w:t>1. The respondent notifies the petitioner's technician of a breakdown.</w:t>
      </w:r>
    </w:p>
    <w:p>
      <w:r>
        <w:t>2. The technician evaluates the defect.</w:t>
      </w:r>
    </w:p>
    <w:p>
      <w:r>
        <w:t>3. If parts require replacement, the technician must present the defective parts to the building administrator alongside a formal price quotation.</w:t>
      </w:r>
    </w:p>
    <w:p>
      <w:r>
        <w:t>4. The quotation is endorsed to the Finance Department.</w:t>
      </w:r>
    </w:p>
    <w:p>
      <w:r>
        <w:t>5. A formal Purchase Order (PO) is prepared and submitted to the Board of Directors for final approval.</w:t>
      </w:r>
    </w:p>
    <w:p>
      <w:r>
        <w:t>Because Hyatt bypassed steps 3 through 5, CHBCAI argued the repairs were unauthorized, the prices were unilaterally imposed, and they could not even verify if the billed parts were genuinely installed.</w:t>
      </w:r>
    </w:p>
    <w:p>
      <w:pPr>
        <w:pStyle w:val="ListBullet"/>
      </w:pPr>
      <w:r>
        <w:t xml:space="preserve">  </w:t>
      </w:r>
      <w:r>
        <w:rPr>
          <w:b/>
        </w:rPr>
        <w:t>Were there unpaid service fees or damages from malfunction?</w:t>
      </w:r>
      <w:r/>
    </w:p>
    <w:p>
      <w:r>
        <w:t xml:space="preserve">The dispute did not involve the regular monthly service fees, nor did it involve damages stemming from elevator malfunction (such as personal injury or lost hospital revenue). The financial dispute was strictly limited to an unpaid sum of </w:t>
      </w:r>
      <w:r>
        <w:rPr>
          <w:b/>
        </w:rPr>
        <w:t>₱1,161,933.47</w:t>
      </w:r>
      <w:r>
        <w:t xml:space="preserve"> (alternatively cited as ₱1,161,933.27 by the RTC), which represented the supplementary costs of the ad-hoc elevator spare parts and the specific labor required to install them outside the scope of regular maintenance.</w:t>
      </w:r>
    </w:p>
    <w:p>
      <w:pPr>
        <w:pStyle w:val="ListBullet"/>
      </w:pPr>
      <w:r>
        <w:t xml:space="preserve">  </w:t>
      </w:r>
      <w:r>
        <w:rPr>
          <w:b/>
        </w:rPr>
        <w:t>Timeline of key events:</w:t>
      </w:r>
      <w:r/>
    </w:p>
    <w:p>
      <w:pPr>
        <w:pStyle w:val="ListBullet"/>
      </w:pPr>
      <w:r>
        <w:t xml:space="preserve">  </w:t>
      </w:r>
      <w:r>
        <w:rPr>
          <w:b/>
        </w:rPr>
        <w:t>October 1, 1994:</w:t>
      </w:r>
      <w:r>
        <w:t xml:space="preserve"> Execution of the "Agreement to Service Elevators".</w:t>
      </w:r>
    </w:p>
    <w:p>
      <w:pPr>
        <w:pStyle w:val="ListBullet"/>
      </w:pPr>
      <w:r>
        <w:t xml:space="preserve">  </w:t>
      </w:r>
      <w:r>
        <w:rPr>
          <w:b/>
        </w:rPr>
        <w:t>April 1997 – July 1998:</w:t>
      </w:r>
      <w:r>
        <w:t xml:space="preserve"> Elevators break down; Hyatt replaces parts without securing Purchase Orders.</w:t>
      </w:r>
    </w:p>
    <w:p>
      <w:pPr>
        <w:pStyle w:val="ListBullet"/>
      </w:pPr>
      <w:r>
        <w:t xml:space="preserve">  </w:t>
      </w:r>
      <w:r>
        <w:rPr>
          <w:b/>
        </w:rPr>
        <w:t>July 18, 2000:</w:t>
      </w:r>
      <w:r>
        <w:t xml:space="preserve"> Final demand letter sent by Hyatt to CHBCAI.</w:t>
      </w:r>
    </w:p>
    <w:p>
      <w:pPr>
        <w:pStyle w:val="ListBullet"/>
      </w:pPr>
      <w:r>
        <w:t xml:space="preserve">  </w:t>
      </w:r>
      <w:r>
        <w:rPr>
          <w:b/>
        </w:rPr>
        <w:t>March 5, 2003:</w:t>
      </w:r>
      <w:r>
        <w:t xml:space="preserve"> The Regional Trial Court (RTC) rules in favor of Hyatt, ordering CHBCAI to pay ₱1,161,933.27 plus attorney's fees, ruling that a contract of sale was perfected.</w:t>
      </w:r>
    </w:p>
    <w:p>
      <w:pPr>
        <w:pStyle w:val="ListBullet"/>
      </w:pPr>
      <w:r>
        <w:t xml:space="preserve">  </w:t>
      </w:r>
      <w:r>
        <w:rPr>
          <w:b/>
        </w:rPr>
        <w:t>August 17, 2003:</w:t>
      </w:r>
      <w:r>
        <w:t xml:space="preserve"> RTC denies CHBCAI's Motion for Reconsideration.</w:t>
      </w:r>
    </w:p>
    <w:p>
      <w:pPr>
        <w:pStyle w:val="ListBullet"/>
      </w:pPr>
      <w:r>
        <w:t xml:space="preserve">  </w:t>
      </w:r>
      <w:r>
        <w:rPr>
          <w:b/>
        </w:rPr>
        <w:t>April 20, 2006:</w:t>
      </w:r>
      <w:r>
        <w:t xml:space="preserve"> The Court of Appeals (CA) reverses the RTC decision, dismissing Hyatt's complaint due to a lack of consent and meeting of the minds.</w:t>
      </w:r>
    </w:p>
    <w:p>
      <w:pPr>
        <w:pStyle w:val="ListBullet"/>
      </w:pPr>
      <w:r>
        <w:t xml:space="preserve">  </w:t>
      </w:r>
      <w:r>
        <w:rPr>
          <w:b/>
        </w:rPr>
        <w:t>July 31, 2006:</w:t>
      </w:r>
      <w:r>
        <w:t xml:space="preserve"> CA denies Hyatt's Motion for Reconsideration.</w:t>
      </w:r>
    </w:p>
    <w:p>
      <w:pPr>
        <w:pStyle w:val="ListBullet"/>
      </w:pPr>
      <w:r>
        <w:t xml:space="preserve">  </w:t>
      </w:r>
      <w:r>
        <w:rPr>
          <w:b/>
        </w:rPr>
        <w:t>December 1, 2010:</w:t>
      </w:r>
      <w:r>
        <w:t xml:space="preserve"> The Supreme Court affirms the CA, denying Hyatt's petition entirely.</w:t>
      </w:r>
    </w:p>
    <w:p>
      <w:pPr>
        <w:pStyle w:val="Heading4"/>
      </w:pPr>
      <w:r>
        <w:t>3. The Contract or Obligation</w:t>
      </w:r>
    </w:p>
    <w:p>
      <w:pPr>
        <w:pStyle w:val="ListBullet"/>
      </w:pPr>
      <w:r>
        <w:t xml:space="preserve">  </w:t>
      </w:r>
      <w:r>
        <w:rPr>
          <w:b/>
        </w:rPr>
        <w:t>What were Hyatt's obligations under the service contract?</w:t>
      </w:r>
      <w:r/>
    </w:p>
    <w:p>
      <w:r>
        <w:t xml:space="preserve">Hyatt's primary obligation was an obligation "to do" (a </w:t>
      </w:r>
      <w:r>
        <w:rPr>
          <w:i/>
        </w:rPr>
        <w:t>prestacion de hacer</w:t>
      </w:r>
      <w:r>
        <w:t>). They were bound to perform regular preventive maintenance (inspections, lubrication, adjustments) to ensure the elevators remained functional. In the event that parts needed replacement, Hyatt was impliedly obligated to diagnose the issue and offer the necessary parts, subject to the client's approval mechanisms.</w:t>
      </w:r>
    </w:p>
    <w:p>
      <w:pPr>
        <w:pStyle w:val="ListBullet"/>
      </w:pPr>
      <w:r>
        <w:t xml:space="preserve">  </w:t>
      </w:r>
      <w:r>
        <w:rPr>
          <w:b/>
        </w:rPr>
        <w:t>What did Cathedral Heights owe in return?</w:t>
      </w:r>
      <w:r/>
    </w:p>
    <w:p>
      <w:r>
        <w:t>CHBCAI owed a reciprocal obligation "to give" (payment). They were required to pay the standard monthly service/inspection fee. Furthermore, Section D(2) of the Service Agreement expressly stipulated that the respondent was responsible for paying "additional charges incurred in connection with the repair and supply of parts" not covered by the baseline agreement.</w:t>
      </w:r>
    </w:p>
    <w:p>
      <w:pPr>
        <w:pStyle w:val="ListBullet"/>
      </w:pPr>
      <w:r>
        <w:t xml:space="preserve">  </w:t>
      </w:r>
      <w:r>
        <w:rPr>
          <w:b/>
        </w:rPr>
        <w:t>How was the contract breached, and by whom?</w:t>
      </w:r>
      <w:r/>
    </w:p>
    <w:p>
      <w:r>
        <w:t>Hyatt alleged that CHBCAI breached its obligation under Section D(2) by failing to pay the ₱1.16 million for the supplied parts and labor. However, the legal reality established by the courts was that Hyatt breached the foundational requirements of contract formation. By unilaterally installing parts without presenting a quotation and securing a Purchase Order, Hyatt attempted to force a contract of sale upon CHBCAI without giving the respondent the opportunity to exercise its right to consent to the price. Consequently, CHBCAI did not breach any obligation because no binding obligation to pay for those specific parts was ever legally formed.</w:t>
      </w:r>
    </w:p>
    <w:p>
      <w:pPr>
        <w:pStyle w:val="Heading4"/>
      </w:pPr>
      <w:r>
        <w:t>4. Legal Issues Raised</w:t>
      </w:r>
    </w:p>
    <w:p>
      <w:pPr>
        <w:pStyle w:val="ListBullet"/>
      </w:pPr>
      <w:r>
        <w:t xml:space="preserve">  </w:t>
      </w:r>
      <w:r>
        <w:rPr>
          <w:b/>
        </w:rPr>
        <w:t>Was there breach of contract?</w:t>
      </w:r>
      <w:r/>
    </w:p>
    <w:p>
      <w:r>
        <w:t xml:space="preserve">The core legal issue was not merely a breach of the maintenance contract, but whether a secondary, independent </w:t>
      </w:r>
      <w:r>
        <w:rPr>
          <w:b/>
        </w:rPr>
        <w:t>perfected contract of sale</w:t>
      </w:r>
      <w:r>
        <w:t xml:space="preserve"> existed regarding the delivered spare parts that would render the respondent liable for their prices. Hyatt argued that a verbal agreement existed allowing them to bypass the SOP due to the urgent hospital setting.</w:t>
      </w:r>
    </w:p>
    <w:p>
      <w:pPr>
        <w:pStyle w:val="ListBullet"/>
      </w:pPr>
      <w:r>
        <w:t xml:space="preserve">  </w:t>
      </w:r>
      <w:r>
        <w:rPr>
          <w:b/>
        </w:rPr>
        <w:t>What damages were sustained?</w:t>
      </w:r>
      <w:r/>
    </w:p>
    <w:p>
      <w:r>
        <w:t>Hyatt claimed actual damages equivalent to the cost of the parts and labor (₱1,161,933.47) plus attorney's fees. CHBCAI claimed no damages but sought the dismissal of the collection suit.</w:t>
      </w:r>
    </w:p>
    <w:p>
      <w:pPr>
        <w:pStyle w:val="ListBullet"/>
      </w:pPr>
      <w:r>
        <w:t xml:space="preserve">  </w:t>
      </w:r>
      <w:r>
        <w:rPr>
          <w:b/>
        </w:rPr>
        <w:t>Were there defenses — force majeure, limitation of liability?</w:t>
      </w:r>
      <w:r/>
    </w:p>
    <w:p>
      <w:r>
        <w:t>CHBCAI's primary defense was the absolute lack of consent (</w:t>
      </w:r>
      <w:r>
        <w:rPr>
          <w:i/>
        </w:rPr>
        <w:t>ausencia de consentimiento</w:t>
      </w:r>
      <w:r>
        <w:t>). They raised the defense that the condition precedent for the purchase of parts—the issuance of an approved Purchase Order under the SOP—was never fulfilled. Furthermore, they raised an evidentiary defense: the signatures of receptionists and security guards on Hyatt's delivery receipts did not legally bind the corporation to a contract of sale, nor did it constitute corporate approval of the dictated prices.</w:t>
      </w:r>
    </w:p>
    <w:p>
      <w:pPr>
        <w:pStyle w:val="Heading4"/>
      </w:pPr>
      <w:r>
        <w:t>5. Supreme Court Ruling</w:t>
      </w:r>
    </w:p>
    <w:p>
      <w:pPr>
        <w:pStyle w:val="ListBullet"/>
      </w:pPr>
      <w:r>
        <w:t xml:space="preserve">  </w:t>
      </w:r>
      <w:r>
        <w:rPr>
          <w:b/>
        </w:rPr>
        <w:t>What did the SC decide on breach and liability?</w:t>
      </w:r>
      <w:r/>
    </w:p>
    <w:p>
      <w:r>
        <w:t>The Supreme Court found no merit in Hyatt's petition and absolved Cathedral Heights of all liability. The Court meticulously dismantled Hyatt's arguments on the following grounds:</w:t>
      </w:r>
    </w:p>
    <w:p>
      <w:r>
        <w:t xml:space="preserve">1.  </w:t>
      </w:r>
      <w:r>
        <w:rPr>
          <w:b/>
        </w:rPr>
        <w:t>Failure to Prove Verbal Waiver of SOP:</w:t>
      </w:r>
      <w:r>
        <w:t xml:space="preserve"> The Court held that Hyatt failed to discharge the burden of proof required to establish that CHBCAI verbally agreed to bypass the SOP. The testimony of Hyatt's finance manager was deemed insufficient, and vital witnesses who allegedly made the verbal agreement were never presented.</w:t>
      </w:r>
    </w:p>
    <w:p>
      <w:r>
        <w:t xml:space="preserve">2.  </w:t>
      </w:r>
      <w:r>
        <w:rPr>
          <w:b/>
        </w:rPr>
        <w:t>No Established Industry Practice:</w:t>
      </w:r>
      <w:r>
        <w:t xml:space="preserve"> Hyatt failed to prove that skipping the Purchase Order process was a long-standing practice between the parties since 1994; the only evidence presented pertained specifically to the disputed 1997-1998 period.</w:t>
      </w:r>
    </w:p>
    <w:p>
      <w:r>
        <w:t xml:space="preserve">3.  </w:t>
      </w:r>
      <w:r>
        <w:rPr>
          <w:b/>
        </w:rPr>
        <w:t>Absence of Meeting of the Minds:</w:t>
      </w:r>
      <w:r>
        <w:t xml:space="preserve"> Crucially, the Court ruled there was no perfected contract of sale for the parts because there was no "meeting of the minds upon the price." Relying heavily on civil law principles, the Court held that fixing the price cannot be left to the sole discretion of one party.</w:t>
      </w:r>
    </w:p>
    <w:p>
      <w:r>
        <w:t xml:space="preserve">4.  </w:t>
      </w:r>
      <w:r>
        <w:rPr>
          <w:b/>
        </w:rPr>
        <w:t>Signatures do not equal Consent:</w:t>
      </w:r>
      <w:r>
        <w:t xml:space="preserve"> The Court ruled that the signatures of security guards and clerks on delivery receipts only signified the physical receipt of papers/goods, not the corporate acceptance of the prices or the parts used.</w:t>
      </w:r>
    </w:p>
    <w:p>
      <w:pPr>
        <w:pStyle w:val="ListBullet"/>
      </w:pPr>
      <w:r>
        <w:t xml:space="preserve">  </w:t>
      </w:r>
      <w:r>
        <w:rPr>
          <w:b/>
        </w:rPr>
        <w:t>What damages were awarded?</w:t>
      </w:r>
      <w:r/>
    </w:p>
    <w:p>
      <w:r>
        <w:rPr>
          <w:b/>
        </w:rPr>
        <w:t>Zero damages were awarded to the petitioner.</w:t>
      </w:r>
      <w:r>
        <w:t xml:space="preserve"> The Supreme Court entirely affirmed the Court of Appeals' decision to reverse the RTC and dismiss the complaint.</w:t>
      </w:r>
    </w:p>
    <w:p>
      <w:r>
        <w:rPr>
          <w:i/>
        </w:rPr>
        <w:t>Academic Correction Note:</w:t>
      </w:r>
      <w:r>
        <w:t xml:space="preserve"> A significant number of online legal digests and AI-generated summaries (e.g., resources on digest.ph and jur.ph) falsely claim that the Supreme Court awarded the ₱1.16 million to Hyatt under the equitable principles of "quasi-contract," "quantum meruit," or "unjust enrichment" based on Article 2142 of the Civil Code. An exhaustive review of the original Supreme Court text (G.R. No. 173881) confirms that the SC made no such ruling; the dispositive portion simply reads "the petition is DENIED" and the CA's dismissal is "AFFIRMED". The doctrine of unjust enrichment was explicitly </w:t>
      </w:r>
      <w:r>
        <w:rPr>
          <w:i/>
        </w:rPr>
        <w:t>not</w:t>
      </w:r>
      <w:r>
        <w:t xml:space="preserve"> applied to save the petitioner from its failure to secure consent.</w:t>
      </w:r>
    </w:p>
    <w:p>
      <w:pPr>
        <w:pStyle w:val="ListBullet"/>
      </w:pPr>
      <w:r>
        <w:t xml:space="preserve">  </w:t>
      </w:r>
      <w:r>
        <w:rPr>
          <w:b/>
        </w:rPr>
        <w:t>What was the disposition?</w:t>
      </w:r>
      <w:r/>
    </w:p>
    <w:p>
      <w:r>
        <w:t>"WHEREFORE, premises considered, the petition is DENIED. The April 20, 2006 Decision and July 31, 2006 Resolution of the Court of Appeals, in CA-G.R. CV No. 80427, are AFFIRMED. SO ORDERED.".</w:t>
      </w:r>
    </w:p>
    <w:p>
      <w:pPr>
        <w:pStyle w:val="Heading4"/>
      </w:pPr>
      <w:r>
        <w:t>6. Key Doctrine / Civil Code Hook</w:t>
      </w:r>
    </w:p>
    <w:p>
      <w:pPr>
        <w:pStyle w:val="ListBullet"/>
      </w:pPr>
      <w:r>
        <w:t xml:space="preserve">  </w:t>
      </w:r>
      <w:r>
        <w:rPr>
          <w:b/>
        </w:rPr>
        <w:t>State the applicable rule on breach of service contracts:</w:t>
      </w:r>
      <w:r/>
    </w:p>
    <w:p>
      <w:r>
        <w:t xml:space="preserve">Under </w:t>
      </w:r>
      <w:r>
        <w:rPr>
          <w:b/>
        </w:rPr>
        <w:t>Article 1170</w:t>
      </w:r>
      <w:r>
        <w:t xml:space="preserve"> of the Civil Code, those who in the performance of their obligations are guilty of fraud, negligence, or delay, and those who in any manner contravene the tenor thereof, are liable for damages. However, one cannot claim a breach of a payment obligation if the claimant contravened the procedural tenor of the contract by failing to secure the requisite authorizations (the SOP) required to trigger the payment obligation.</w:t>
      </w:r>
    </w:p>
    <w:p>
      <w:pPr>
        <w:pStyle w:val="ListBullet"/>
      </w:pPr>
      <w:r>
        <w:t xml:space="preserve">  </w:t>
      </w:r>
      <w:r>
        <w:rPr>
          <w:b/>
        </w:rPr>
        <w:t>State the rule on damages in commercial service contracts:</w:t>
      </w:r>
      <w:r/>
    </w:p>
    <w:p>
      <w:r>
        <w:t>A service provider cannot claim actual damages (compensation for supplied parts) if they force a transaction without mutual consent. A service agreement does not give a contractor the "unbridled license" to unilaterally purchase, install spare parts, and demand payment based on a dictated price after a considerable length of time has passed.</w:t>
      </w:r>
    </w:p>
    <w:p>
      <w:pPr>
        <w:pStyle w:val="ListBullet"/>
      </w:pPr>
      <w:r>
        <w:t xml:space="preserve">  </w:t>
      </w:r>
      <w:r>
        <w:rPr>
          <w:b/>
        </w:rPr>
        <w:t>Which Civil Code articles were applied?</w:t>
      </w:r>
      <w:r/>
    </w:p>
    <w:p>
      <w:pPr>
        <w:pStyle w:val="ListBullet"/>
      </w:pPr>
      <w:r>
        <w:t xml:space="preserve">  </w:t>
      </w:r>
      <w:r>
        <w:rPr>
          <w:b/>
        </w:rPr>
        <w:t>Article 1318:</w:t>
      </w:r>
      <w:r>
        <w:t xml:space="preserve"> Requisites of a valid contract. The Court emphasized the absolute necessity of the "Consent of the contracting parties." Without CHBCAI's purchase orders, there was no consent to the ad-hoc supply of parts.</w:t>
      </w:r>
    </w:p>
    <w:p>
      <w:pPr>
        <w:pStyle w:val="ListBullet"/>
      </w:pPr>
      <w:r>
        <w:t xml:space="preserve">  </w:t>
      </w:r>
      <w:r>
        <w:rPr>
          <w:b/>
        </w:rPr>
        <w:t>Article 1458:</w:t>
      </w:r>
      <w:r>
        <w:t xml:space="preserve"> By the contract of sale, one of the contracting parties obligates himself to transfer the ownership of and to deliver a determinate thing, and the other to pay therefor a *price certain* in money or its equivalent. The SC explicitly cited this to show that price is an essential element.</w:t>
      </w:r>
    </w:p>
    <w:p>
      <w:pPr>
        <w:pStyle w:val="ListBullet"/>
      </w:pPr>
      <w:r>
        <w:t xml:space="preserve">  </w:t>
      </w:r>
      <w:r>
        <w:rPr>
          <w:b/>
        </w:rPr>
        <w:t>Article 1473 (Implied via Jurisprudence):</w:t>
      </w:r>
      <w:r>
        <w:t xml:space="preserve"> The fixing of the price can never be left to the discretion of one of the contracting parties. The Court cited the doctrine from *Boston Bank of the Philippines v. Manalo* to reinforce that a price unilaterally dictated by Hyatt, without the acceptance of CHBCAI, does not give rise to a perfected sale.</w:t>
      </w:r>
    </w:p>
    <w:p>
      <w:pPr>
        <w:pStyle w:val="Heading4"/>
      </w:pPr>
      <w:r>
        <w:t>7. Memory Anchor</w:t>
      </w:r>
    </w:p>
    <w:p>
      <w:r>
        <w:rPr>
          <w:b/>
        </w:rPr>
        <w:t>"You cannot elevate the price without consent."</w:t>
      </w:r>
    </w:p>
    <w:p>
      <w:r>
        <w:t xml:space="preserve">In </w:t>
      </w:r>
      <w:r>
        <w:rPr>
          <w:i/>
        </w:rPr>
        <w:t>Hyatt Elevators</w:t>
      </w:r>
      <w:r>
        <w:t>, the service provider tried to bypass the building's Purchase Order SOP to install parts quickly, but the Supreme Court slammed the doors shut: fixing a price is a two-way street, and the signatures of a lobby guard on a delivery receipt will never equate to corporate consent for a million-peso contract of sale.</w:t>
      </w:r>
    </w:p>
    <w:p>
      <w:pPr>
        <w:pStyle w:val="Heading2"/>
      </w:pPr>
      <w:r>
        <w:t>Case 27: National Power Corporation v. Benguet Electric Cooperative (BENECO) (2021) | G.R. No. 218378</w:t>
      </w:r>
    </w:p>
    <w:p>
      <w:pPr>
        <w:pStyle w:val="Heading2"/>
      </w:pPr>
      <w:r>
        <w:t>National Power Corporation v. BENECO (2021) | G.R. No. 218378</w:t>
      </w:r>
    </w:p>
    <w:p>
      <w:r>
        <w:t xml:space="preserve">The jurisprudence established in </w:t>
      </w:r>
      <w:r>
        <w:rPr>
          <w:i/>
        </w:rPr>
        <w:t>National Power Corporation v. Benguet Electric Cooperative, Inc.</w:t>
      </w:r>
      <w:r>
        <w:t xml:space="preserve"> (G.R. No. 218378, June 14, 2021) serves as a critical doctrinal anchor in Philippine civil law, particularly concerning the intersection of contract law, the standard of care required of public utilities, and the precise boundaries of the principle of unjust enrichment. This exhaustive report provides a structured synthesis of the case, directly addressing the contractual framework, the nature of the breach, and the specific Civil Code provisions governing the obligations and liabilities of the parties.</w:t>
      </w:r>
    </w:p>
    <w:p>
      <w:r>
        <w:t>Key points to understand from this case include:</w:t>
      </w:r>
    </w:p>
    <w:p>
      <w:pPr>
        <w:pStyle w:val="ListBullet"/>
      </w:pPr>
      <w:r>
        <w:t xml:space="preserve">  </w:t>
      </w:r>
      <w:r>
        <w:rPr>
          <w:b/>
        </w:rPr>
        <w:t>Contract Supremacy:</w:t>
      </w:r>
      <w:r>
        <w:t xml:space="preserve"> The Supreme Court definitively ruled that the principle of unjust enrichment cannot be invoked as a catch-all safety net when a valid contract exists between the parties.</w:t>
      </w:r>
    </w:p>
    <w:p>
      <w:pPr>
        <w:pStyle w:val="ListBullet"/>
      </w:pPr>
      <w:r>
        <w:t xml:space="preserve">  </w:t>
      </w:r>
      <w:r>
        <w:rPr>
          <w:b/>
        </w:rPr>
        <w:t>Negligence of Public Utilities:</w:t>
      </w:r>
      <w:r>
        <w:t xml:space="preserve"> Government-owned and controlled corporations and electricity suppliers are held to a standard of utmost care and diligence; failure to maintain proper billing equipment for years constitutes gross negligence.</w:t>
      </w:r>
    </w:p>
    <w:p>
      <w:pPr>
        <w:pStyle w:val="ListBullet"/>
      </w:pPr>
      <w:r>
        <w:t xml:space="preserve">  </w:t>
      </w:r>
      <w:r>
        <w:rPr>
          <w:b/>
        </w:rPr>
        <w:t>Limited Liability for Underbilling:</w:t>
      </w:r>
      <w:r>
        <w:t xml:space="preserve"> A stipulated 90-day correction period in a power supply agreement strictly caps the liability of a distributor for unbilled consumption, effectively acting as a waiver of claims for the power generator for any errors outside that window.</w:t>
      </w:r>
    </w:p>
    <w:p>
      <w:r>
        <w:t>The evidence leans heavily toward prioritizing explicit contractual stipulations over equitable remedies, a principle heavily tested in bar examinations and studied in legal academia regarding obligations and contracts. The following sections break down the case according to the requested structural framework.</w:t>
      </w:r>
    </w:p>
    <w:p>
      <w:pPr>
        <w:pStyle w:val="Heading2"/>
      </w:pPr>
      <w:r>
        <w:t>1. The Parties</w:t>
      </w:r>
    </w:p>
    <w:p>
      <w:r>
        <w:t>To fully grasp the dynamics of this dispute, it is essential to understand the institutional roles of the petitioner and the respondent, as well as the legal framework binding them.</w:t>
      </w:r>
    </w:p>
    <w:p>
      <w:pPr>
        <w:pStyle w:val="ListBullet"/>
      </w:pPr>
      <w:r>
        <w:t xml:space="preserve">  </w:t>
      </w:r>
      <w:r>
        <w:rPr>
          <w:b/>
        </w:rPr>
        <w:t>Petitioner (NPC):</w:t>
      </w:r>
      <w:r>
        <w:t xml:space="preserve"> The National Power Corporation (NPC) is a government-owned and controlled corporation (GOCC) mandated by law to generate and supply electric power. Within the context of this case, NPC's primary obligation was to deliver electric power and energy to various distribution utilities, maintaining the necessary infrastructure, including the metering systems used to compute the distributors' consumption.</w:t>
      </w:r>
    </w:p>
    <w:p>
      <w:pPr>
        <w:pStyle w:val="ListBullet"/>
      </w:pPr>
      <w:r>
        <w:t xml:space="preserve">  </w:t>
      </w:r>
      <w:r>
        <w:rPr>
          <w:b/>
        </w:rPr>
        <w:t>Respondent (BENECO):</w:t>
      </w:r>
      <w:r>
        <w:t xml:space="preserve"> Benguet Electric Cooperative, Inc. (BENECO) is an electric cooperative responsible for distributing power to its members and end-user consumers throughout Baguio City and the Benguet Province. BENECO claimed that it faithfully paid its monthly bills based on NPC's meter readings and that it should not be penalized for an underbilling error caused entirely by NPC's internal negligence. BENECO asserted its continued right to a 3% Prompt Payment Discount (PPD) and claimed damages for NPC's threats of power disconnection.</w:t>
      </w:r>
    </w:p>
    <w:p>
      <w:pPr>
        <w:pStyle w:val="ListBullet"/>
      </w:pPr>
      <w:r>
        <w:t xml:space="preserve">  </w:t>
      </w:r>
      <w:r>
        <w:rPr>
          <w:b/>
        </w:rPr>
        <w:t>Their Relationship:</w:t>
      </w:r>
      <w:r>
        <w:t xml:space="preserve"> The legal relationship between the parties was governed by a franchise and power supply arrangement. Specifically, they executed a *Contract of Sale of Electricity* on January 1, 1998, which was subsequently followed by a *Transition Contract for the Supply of Electricity*. These contracts dictated the terms of power delivery at multiple points, including the Irisan Substation, and established the procedural rules for billing, dispute resolution, and prompt payment incentives.</w:t>
      </w:r>
    </w:p>
    <w:p>
      <w:pPr>
        <w:pStyle w:val="Heading2"/>
      </w:pPr>
      <w:r>
        <w:t>2. Background &amp; Facts</w:t>
      </w:r>
    </w:p>
    <w:p>
      <w:r>
        <w:t>The factual matrix of the case spans several years and centers around a catastrophic billing miscalculation initiated by the petitioner.</w:t>
      </w:r>
    </w:p>
    <w:p>
      <w:pPr>
        <w:pStyle w:val="ListBullet"/>
      </w:pPr>
      <w:r>
        <w:t xml:space="preserve">  </w:t>
      </w:r>
      <w:r>
        <w:rPr>
          <w:b/>
        </w:rPr>
        <w:t>What NPC agreed to supply:</w:t>
      </w:r>
      <w:r>
        <w:t xml:space="preserve"> NPC agreed to supply electric power and energy to BENECO's multiple delivery points, explicitly managing the metering system installed at the Irisan Substation.</w:t>
      </w:r>
    </w:p>
    <w:p>
      <w:pPr>
        <w:pStyle w:val="ListBullet"/>
      </w:pPr>
      <w:r>
        <w:t xml:space="preserve">  </w:t>
      </w:r>
      <w:r>
        <w:rPr>
          <w:b/>
        </w:rPr>
        <w:t>The Power Dispute / What Happened:</w:t>
      </w:r>
      <w:r>
        <w:t xml:space="preserve"> In 1999, NPC's Metering Services Group installed the metering system at the Irisan Substation and conducted tests to determine the billing multiplier. NPC erroneously set the Current Transformer Ratio (CTR) at 75/5, which fixed the multiplier at 5,196.31. From the time the substation was energized in May 2000 until February 2004, NPC consistently billed BENECO using this incorrect multiplier.</w:t>
      </w:r>
    </w:p>
    <w:p>
      <w:pPr>
        <w:pStyle w:val="ListBullet"/>
      </w:pPr>
      <w:r>
        <w:t xml:space="preserve">  In February 2004, an engineer from BENECO (Lawrence Umaming) noticed unusually low systems losses and alerted the National Transmission Corporation (TRANSCO), which had taken over NPC's transmission functions.</w:t>
      </w:r>
    </w:p>
    <w:p>
      <w:pPr>
        <w:pStyle w:val="ListBullet"/>
      </w:pPr>
      <w:r>
        <w:t xml:space="preserve">  TRANSCO's tests revealed that the CTR should have been set at 150/5. Consequently, NPC had been underbilling BENECO by exactly half of the correct amount of electricity delivered for nearly four years.</w:t>
      </w:r>
    </w:p>
    <w:p>
      <w:pPr>
        <w:pStyle w:val="ListBullet"/>
      </w:pPr>
      <w:r>
        <w:t xml:space="preserve">  On May 13, 2004, NPC issued a demand letter to BENECO for the four-year underbilling, amounting to a staggering P157,743,314.43. When BENECO refused to pay the retroactive amount, citing NPC's sole negligence and the contract's 90-day correction limit, NPC unlawfully revoked BENECO's 3% Prompt Payment Discount (PPD) on June 23, 2004, and threatened to disconnect the power supply.</w:t>
      </w:r>
    </w:p>
    <w:p>
      <w:pPr>
        <w:pStyle w:val="ListBullet"/>
      </w:pPr>
      <w:r>
        <w:t xml:space="preserve">  </w:t>
      </w:r>
      <w:r>
        <w:rPr>
          <w:b/>
        </w:rPr>
        <w:t>BENECO's Claims for Damages:</w:t>
      </w:r>
      <w:r>
        <w:t xml:space="preserve"> In response to the disconnection threat and the revocation of the PPD, BENECO filed a complaint on September 30, 2004, for injunction, damages, and other relief before the Regional Trial Court (RTC) of La Trinidad, Benguet. BENECO claimed that the underbilling was illegal, unjust, and unenforceable, and sought the reinstatement of the PPD. The RTC originally awarded BENECO P1,000,000.00 in attorney's fees, finding NPC grossly negligent.</w:t>
      </w:r>
    </w:p>
    <w:p>
      <w:pPr>
        <w:pStyle w:val="ListBullet"/>
      </w:pPr>
      <w:r>
        <w:t xml:space="preserve">  </w:t>
      </w:r>
      <w:r>
        <w:rPr>
          <w:b/>
        </w:rPr>
        <w:t>Timeline of Key Events:</w:t>
      </w:r>
      <w:r/>
    </w:p>
    <w:p>
      <w:pPr>
        <w:pStyle w:val="ListBullet"/>
      </w:pPr>
      <w:r>
        <w:t xml:space="preserve">  </w:t>
      </w:r>
      <w:r>
        <w:rPr>
          <w:b/>
        </w:rPr>
        <w:t>January 1, 1998:</w:t>
      </w:r>
      <w:r>
        <w:t xml:space="preserve"> Execution of the Contract of Sale of Electricity.</w:t>
      </w:r>
    </w:p>
    <w:p>
      <w:pPr>
        <w:pStyle w:val="ListBullet"/>
      </w:pPr>
      <w:r>
        <w:t xml:space="preserve">  </w:t>
      </w:r>
      <w:r>
        <w:rPr>
          <w:b/>
        </w:rPr>
        <w:t>1999:</w:t>
      </w:r>
      <w:r>
        <w:t xml:space="preserve"> NPC installs the Irisan Substation meter with the wrong CTR setting (75/5).</w:t>
      </w:r>
    </w:p>
    <w:p>
      <w:pPr>
        <w:pStyle w:val="ListBullet"/>
      </w:pPr>
      <w:r>
        <w:t xml:space="preserve">  </w:t>
      </w:r>
      <w:r>
        <w:rPr>
          <w:b/>
        </w:rPr>
        <w:t>May 2000 – February 2004:</w:t>
      </w:r>
      <w:r>
        <w:t xml:space="preserve"> Period of continuous 50% underbilling by NPC.</w:t>
      </w:r>
    </w:p>
    <w:p>
      <w:pPr>
        <w:pStyle w:val="ListBullet"/>
      </w:pPr>
      <w:r>
        <w:t xml:space="preserve">  </w:t>
      </w:r>
      <w:r>
        <w:rPr>
          <w:b/>
        </w:rPr>
        <w:t>February 2004:</w:t>
      </w:r>
      <w:r>
        <w:t xml:space="preserve"> BENECO's engineer discovers anomalies; TRANSCO confirms the wrong multiplier.</w:t>
      </w:r>
    </w:p>
    <w:p>
      <w:pPr>
        <w:pStyle w:val="ListBullet"/>
      </w:pPr>
      <w:r>
        <w:t xml:space="preserve">  </w:t>
      </w:r>
      <w:r>
        <w:rPr>
          <w:b/>
        </w:rPr>
        <w:t>May 13, 2004:</w:t>
      </w:r>
      <w:r>
        <w:t xml:space="preserve"> NPC officially demands P157.7 million for the accumulated underbilling.</w:t>
      </w:r>
    </w:p>
    <w:p>
      <w:pPr>
        <w:pStyle w:val="ListBullet"/>
      </w:pPr>
      <w:r>
        <w:t xml:space="preserve">  </w:t>
      </w:r>
      <w:r>
        <w:rPr>
          <w:b/>
        </w:rPr>
        <w:t>June 23, 2004:</w:t>
      </w:r>
      <w:r>
        <w:t xml:space="preserve"> NPC unilaterally revokes BENECO's 3% PPD.</w:t>
      </w:r>
    </w:p>
    <w:p>
      <w:pPr>
        <w:pStyle w:val="ListBullet"/>
      </w:pPr>
      <w:r>
        <w:t xml:space="preserve">  </w:t>
      </w:r>
      <w:r>
        <w:rPr>
          <w:b/>
        </w:rPr>
        <w:t>September 30, 2004:</w:t>
      </w:r>
      <w:r>
        <w:t xml:space="preserve"> BENECO files a civil complaint for injunction and damages in the RTC.</w:t>
      </w:r>
    </w:p>
    <w:p>
      <w:pPr>
        <w:pStyle w:val="ListBullet"/>
      </w:pPr>
      <w:r>
        <w:t xml:space="preserve">  </w:t>
      </w:r>
      <w:r>
        <w:rPr>
          <w:b/>
        </w:rPr>
        <w:t>September 15, 2010:</w:t>
      </w:r>
      <w:r>
        <w:t xml:space="preserve"> RTC rules in favor of BENECO, enjoining disconnection and ordering reinstatement of PPD.</w:t>
      </w:r>
    </w:p>
    <w:p>
      <w:pPr>
        <w:pStyle w:val="ListBullet"/>
      </w:pPr>
      <w:r>
        <w:t xml:space="preserve">  </w:t>
      </w:r>
      <w:r>
        <w:rPr>
          <w:b/>
        </w:rPr>
        <w:t>August 29, 2014:</w:t>
      </w:r>
      <w:r>
        <w:t xml:space="preserve"> Court of Appeals (CA) affirms RTC but deletes the P1M attorney's fees award.</w:t>
      </w:r>
    </w:p>
    <w:p>
      <w:pPr>
        <w:pStyle w:val="ListBullet"/>
      </w:pPr>
      <w:r>
        <w:t xml:space="preserve">  </w:t>
      </w:r>
      <w:r>
        <w:rPr>
          <w:b/>
        </w:rPr>
        <w:t>June 14, 2021:</w:t>
      </w:r>
      <w:r>
        <w:t xml:space="preserve"> Supreme Court renders its final decision, modifying the liability period based strictly on the contract.</w:t>
      </w:r>
    </w:p>
    <w:p>
      <w:pPr>
        <w:pStyle w:val="Heading2"/>
      </w:pPr>
      <w:r>
        <w:t>3. The Contract or Obligation</w:t>
      </w:r>
    </w:p>
    <w:p>
      <w:r>
        <w:t>The dispute fundamentally required the court to interpret the bounds of the parties' contractual stipulations versus general equitable principles.</w:t>
      </w:r>
    </w:p>
    <w:p>
      <w:pPr>
        <w:pStyle w:val="ListBullet"/>
      </w:pPr>
      <w:r>
        <w:t xml:space="preserve">  </w:t>
      </w:r>
      <w:r>
        <w:rPr>
          <w:b/>
        </w:rPr>
        <w:t>The Original Power Supply Agreement:</w:t>
      </w:r>
      <w:r>
        <w:t xml:space="preserve"> The governing document at the time of the dispute was the *Transition Contract for the Supply of Electricity*. Crucially, Section 25 of this contract delineated the protocols for correcting erroneous billings. It divided errors into two categories:</w:t>
      </w:r>
    </w:p>
    <w:p>
      <w:pPr>
        <w:pStyle w:val="ListBullet"/>
      </w:pPr>
      <w:r>
        <w:t xml:space="preserve">  *Category 1 (Omissions/Arithmetical Mistakes):* Errors caused by wrong readings, arithmetical mistakes, or omissions. These errors carried a strict statute of limitations: they had to be corrected through a debit or credit memo within ninety (90) days from the date the bill was received. Failure to notify the other party within this 90-day window constituted an absolute waiver of the claim.</w:t>
      </w:r>
    </w:p>
    <w:p>
      <w:pPr>
        <w:pStyle w:val="ListBullet"/>
      </w:pPr>
      <w:r>
        <w:t xml:space="preserve">  *Category 2 (Inaccurate Meters):* Errors resulting from a mechanically inaccurate meter. These could be corrected at any time.</w:t>
      </w:r>
    </w:p>
    <w:p>
      <w:pPr>
        <w:pStyle w:val="ListBullet"/>
      </w:pPr>
      <w:r>
        <w:t xml:space="preserve">  </w:t>
      </w:r>
      <w:r>
        <w:rPr>
          <w:b/>
        </w:rPr>
        <w:t>How it was Breached:</w:t>
      </w:r>
      <w:r>
        <w:t xml:space="preserve"> The Supreme Court determined that the meter itself was mechanically accurate; the error was human—a wrong multiplier resulting from an incorrect CTR setting inputted by NPC's personnel. Therefore, this was a Category 1 "omission" or "arithmetical mistake." NPC breached the contract by attempting to retroactively enforce a four-year underbilling claim outside the explicitly agreed-upon 90-day correction window, and by subsequently revoking BENECO's PPD as a retaliatory measure for BENECO's justified refusal to pay the time-barred amounts.</w:t>
      </w:r>
    </w:p>
    <w:p>
      <w:pPr>
        <w:pStyle w:val="Heading2"/>
      </w:pPr>
      <w:r>
        <w:t>4. Legal Issues Raised</w:t>
      </w:r>
    </w:p>
    <w:p>
      <w:r>
        <w:t>The Supreme Court framed the controversy around several intersecting legal issues touching upon contracts, equity, and damages:</w:t>
      </w:r>
    </w:p>
    <w:p>
      <w:pPr>
        <w:pStyle w:val="ListBullet"/>
      </w:pPr>
      <w:r>
        <w:t xml:space="preserve">  </w:t>
      </w:r>
      <w:r>
        <w:rPr>
          <w:b/>
        </w:rPr>
        <w:t>Was there a breach / Can NPC demand the full amount?</w:t>
      </w:r>
      <w:r>
        <w:t xml:space="preserve"> The primary issue was whether BENECO's refusal to pay the four-year underbilling constituted "unjust enrichment" (Article 22 of the Civil Code) or whether NPC's right to collect was strictly barred by the 90-day waiver provision in Section 25 of the Transition Contract.</w:t>
      </w:r>
    </w:p>
    <w:p>
      <w:pPr>
        <w:pStyle w:val="ListBullet"/>
      </w:pPr>
      <w:r>
        <w:t xml:space="preserve">  </w:t>
      </w:r>
      <w:r>
        <w:rPr>
          <w:b/>
        </w:rPr>
        <w:t>What damages were sustained and proven?</w:t>
      </w:r>
      <w:r>
        <w:t xml:space="preserve"> BENECO claimed it suffered from the unwarranted revocation of its 3% Prompt Payment Discount. The RTC originally awarded P1,000,000 in attorney's fees to BENECO due to the necessity of litigation caused by NPC's gross negligence.</w:t>
      </w:r>
    </w:p>
    <w:p>
      <w:pPr>
        <w:pStyle w:val="ListBullet"/>
      </w:pPr>
      <w:r>
        <w:t xml:space="preserve">  </w:t>
      </w:r>
      <w:r>
        <w:rPr>
          <w:b/>
        </w:rPr>
        <w:t>Were actual, temperate, or other damages proper?</w:t>
      </w:r>
      <w:r>
        <w:t xml:space="preserve"> The Court of Appeals reviewed the RTC's award of attorney's fees and deleted it, finding a lack of factual and legal basis to justify the award under Article 2208 of the Civil Code. The Supreme Court reviewed whether BENECO remained entitled to the 3% PPD despite the ongoing dispute.</w:t>
      </w:r>
    </w:p>
    <w:p>
      <w:pPr>
        <w:pStyle w:val="Heading2"/>
      </w:pPr>
      <w:r>
        <w:t>5. Supreme Court Ruling</w:t>
      </w:r>
    </w:p>
    <w:p>
      <w:r>
        <w:t>The Supreme Court delivered a nuanced decision that balanced contractual fidelity with the partial legitimate claims of the power supplier.</w:t>
      </w:r>
    </w:p>
    <w:p>
      <w:pPr>
        <w:pStyle w:val="ListBullet"/>
      </w:pPr>
      <w:r>
        <w:t xml:space="preserve">  </w:t>
      </w:r>
      <w:r>
        <w:rPr>
          <w:b/>
        </w:rPr>
        <w:t>On Breach and Liability:</w:t>
      </w:r>
      <w:r>
        <w:t xml:space="preserve"> The Supreme Court partially granted NPC's petition but largely affirmed the protective parameters in favor of BENECO. The Court held that NPC was grossly negligent. Because of this negligence, NPC must bear the consequential losses of its own administrative failure. The Court ruled that BENECO is *not* liable for the four years of underbilling. However, applying Section 25 of the Transition Contract, BENECO is strictly liable for the underbilling that occurred within the ninety (90) days immediately preceding the date NPC's demand was received. Since the notice was received on May 17, 2004, BENECO is only liable for the underbilled amount from </w:t>
      </w:r>
      <w:r>
        <w:rPr>
          <w:b/>
        </w:rPr>
        <w:t>February 17, 2004, to May 17, 2004</w:t>
      </w:r>
      <w:r>
        <w:t>.</w:t>
      </w:r>
    </w:p>
    <w:p>
      <w:pPr>
        <w:pStyle w:val="ListBullet"/>
      </w:pPr>
      <w:r>
        <w:t xml:space="preserve">  </w:t>
      </w:r>
      <w:r>
        <w:rPr>
          <w:b/>
        </w:rPr>
        <w:t>On Damages and the PPD:</w:t>
      </w:r>
      <w:r>
        <w:t xml:space="preserve"> The Supreme Court affirmed the deletion of the P1,000,000 attorney's fees. However, regarding the Prompt Payment Discount, the Court ruled that the underbilling dispute was separate from BENECO's current monthly billings. Because BENECO had continued to pay its regular current monthly bills promptly, NPC's revocation of the PPD was invalid. BENECO was rightfully entitled to retain its 3% PPD.</w:t>
      </w:r>
    </w:p>
    <w:p>
      <w:pPr>
        <w:pStyle w:val="ListBullet"/>
      </w:pPr>
      <w:r>
        <w:t xml:space="preserve">  </w:t>
      </w:r>
      <w:r>
        <w:rPr>
          <w:b/>
        </w:rPr>
        <w:t>Disposition:</w:t>
      </w:r>
      <w:r>
        <w:t xml:space="preserve"> The CA Decision was modified. The Court declared that BENECO is liable only for the underbilling received from February 17, 2004 to May 17, 2004. The case (Civil Case No. 04-CV-2055) was remanded to the RTC of La Trinidad, Benguet, Branch 63, solely to conduct proceedings with reasonable dispatch to accurately compute this specific 90-day underbilled amount.</w:t>
      </w:r>
    </w:p>
    <w:p>
      <w:pPr>
        <w:pStyle w:val="Heading2"/>
      </w:pPr>
      <w:r>
        <w:t>6. Key Doctrine / Civil Code Hook</w:t>
      </w:r>
    </w:p>
    <w:p>
      <w:r>
        <w:t>The pedagogical value of this case for bar review and legal scholarship lies in its robust application of Civil Code provisions regarding obligations and quasi-contracts.</w:t>
      </w:r>
    </w:p>
    <w:p>
      <w:pPr>
        <w:pStyle w:val="ListBullet"/>
      </w:pPr>
      <w:r>
        <w:t xml:space="preserve">  </w:t>
      </w:r>
      <w:r>
        <w:rPr>
          <w:b/>
        </w:rPr>
        <w:t>The Doctrine of Unjust Enrichment (*Accion in rem verso*):</w:t>
      </w:r>
      <w:r>
        <w:t xml:space="preserve"> NPC attempted to bypass the contract by invoking Article 22 of the Civil Code: *"Every person who through an act of performance by another, or any other means, acquires or comes into possession of something at the expense of the latter without just or legal ground, shall return the same to him."* The Supreme Court decisively established the doctrinal rule that </w:t>
      </w:r>
      <w:r>
        <w:rPr>
          <w:b/>
        </w:rPr>
        <w:t>unjust enrichment is not a catch-all provision that can be conveniently invoked when a party has suffered a loss, especially when a contract exists between the parties</w:t>
      </w:r>
      <w:r>
        <w:t>.</w:t>
      </w:r>
    </w:p>
    <w:p>
      <w:pPr>
        <w:pStyle w:val="ListBullet"/>
      </w:pPr>
      <w:r>
        <w:t xml:space="preserve">  Under Philippine jurisprudence, the remedy of *accion in rem verso* is merely an </w:t>
      </w:r>
      <w:r>
        <w:rPr>
          <w:b/>
        </w:rPr>
        <w:t>auxiliary</w:t>
      </w:r>
      <w:r>
        <w:t xml:space="preserve"> or </w:t>
      </w:r>
      <w:r>
        <w:rPr>
          <w:b/>
        </w:rPr>
        <w:t>ancillary action</w:t>
      </w:r>
      <w:r>
        <w:t>. It is only available when there is no other remedy based on contract, quasi-contract, crime, or quasi-delict.</w:t>
      </w:r>
    </w:p>
    <w:p>
      <w:pPr>
        <w:pStyle w:val="ListBullet"/>
      </w:pPr>
      <w:r>
        <w:t xml:space="preserve">  Because the *Transition Contract* expressly provided a mechanism for correcting billing errors (the 90-day rule), the rights of the parties were strictly governed by this contract, rendering the principle of unjust enrichment inapplicable.</w:t>
      </w:r>
    </w:p>
    <w:p>
      <w:pPr>
        <w:pStyle w:val="ListBullet"/>
      </w:pPr>
      <w:r>
        <w:t xml:space="preserve">  </w:t>
      </w:r>
      <w:r>
        <w:rPr>
          <w:b/>
        </w:rPr>
        <w:t>Obligations Arising from Contracts (Article 1159):</w:t>
      </w:r>
      <w:r>
        <w:t xml:space="preserve"> *"Obligations arising from contracts have the force of law between the contracting parties and should be complied with in good faith."* Because Section 25 of the Transition Contract acted as an explicit waiver of claims if not corrected within 90 days, this stipulation had the force of law. Equity cannot supersede explicit contractual terms negotiated by the parties.</w:t>
      </w:r>
    </w:p>
    <w:p>
      <w:pPr>
        <w:pStyle w:val="ListBullet"/>
      </w:pPr>
      <w:r>
        <w:t xml:space="preserve">  </w:t>
      </w:r>
      <w:r>
        <w:rPr>
          <w:b/>
        </w:rPr>
        <w:t>Standard of Care for Public Utilities (Article 1173):</w:t>
      </w:r>
      <w:r>
        <w:t xml:space="preserve"> The Court reinforced that an electricity supplier, whether a public utility or a government-owned and controlled corporation (like NPC), is affected with public interest and is expected to discharge its functions with utmost care and diligence. Failing to discover a metering multiplier error for nearly four years, despite having technologically advanced resources, constitutes gross negligence.</w:t>
      </w:r>
    </w:p>
    <w:p>
      <w:pPr>
        <w:pStyle w:val="Heading2"/>
      </w:pPr>
      <w:r>
        <w:t>7. Memory Anchor</w:t>
      </w:r>
    </w:p>
    <w:p>
      <w:r>
        <w:t>For bar exam recall and rapid memorization, use the following story hook:</w:t>
      </w:r>
    </w:p>
    <w:p>
      <w:r>
        <w:rPr>
          <w:b/>
        </w:rPr>
        <w:t>"When NPC’s own math error gave BENECO a four-year, half-price electricity sale, NPC cried 'Unjust Enrichment!' But the Supreme Court said a deal is a deal: *Accion in rem verso* cannot rescue a grossly negligent public utility from its own contract’s 90-day error deadline."</w:t>
      </w:r>
    </w:p>
    <w:p>
      <w:r>
        <w:rPr>
          <w:i/>
        </w:rPr>
        <w:t xml:space="preserve">(Mnemonic hook: </w:t>
      </w:r>
      <w:r>
        <w:rPr>
          <w:i/>
        </w:rPr>
        <w:t>N</w:t>
      </w:r>
      <w:r>
        <w:rPr>
          <w:i/>
        </w:rPr>
        <w:t xml:space="preserve">egligent </w:t>
      </w:r>
      <w:r>
        <w:rPr>
          <w:i/>
        </w:rPr>
        <w:t>P</w:t>
      </w:r>
      <w:r>
        <w:rPr>
          <w:i/>
        </w:rPr>
        <w:t xml:space="preserve">ower </w:t>
      </w:r>
      <w:r>
        <w:rPr>
          <w:i/>
        </w:rPr>
        <w:t>C</w:t>
      </w:r>
      <w:r>
        <w:rPr>
          <w:i/>
        </w:rPr>
        <w:t>ompany gets shocked by its own 90-day wire—contracts beat equity!)</w:t>
      </w:r>
    </w:p>
    <w:p>
      <w:pPr>
        <w:pStyle w:val="Heading2"/>
      </w:pPr>
      <w:r>
        <w:t>Case 28: Premiere Development Bank v. Manalo (2021) | SC e-Library</w:t>
      </w:r>
    </w:p>
    <w:p>
      <w:pPr>
        <w:pStyle w:val="Heading2"/>
      </w:pPr>
      <w:r>
        <w:t>Exhaustive Legal Analysis: Premiere Development Bank v. Manalo (2021) and the Civil Code Framework on Mutuum, Agency, and Banking Negligence</w:t>
      </w:r>
    </w:p>
    <w:p>
      <w:r>
        <w:t xml:space="preserve">This comprehensive report analyzes the Supreme Court of the Philippines' decision in </w:t>
      </w:r>
      <w:r>
        <w:rPr>
          <w:i/>
        </w:rPr>
        <w:t>Premiere Development Bank v. Primitiva M. Manalo, et al.</w:t>
      </w:r>
      <w:r>
        <w:t>, promulgated on October 6, 2021. It addresses the fundamental principles of banking contracts, the law on obligations, and the specific liabilities of drawee and collecting banks under the Civil Code of the Philippines.</w:t>
      </w:r>
    </w:p>
    <w:p>
      <w:r>
        <w:rPr>
          <w:b/>
        </w:rPr>
        <w:t>Key Points &amp; Executive Summary</w:t>
      </w:r>
    </w:p>
    <w:p>
      <w:pPr>
        <w:pStyle w:val="ListBullet"/>
      </w:pPr>
      <w:r>
        <w:t xml:space="preserve">  </w:t>
      </w:r>
      <w:r>
        <w:rPr>
          <w:b/>
        </w:rPr>
        <w:t>Case Identification:</w:t>
      </w:r>
      <w:r>
        <w:t xml:space="preserve"> The consolidated cases are docketed as G.R. Nos. 190359, 190374 &amp; 223057.</w:t>
      </w:r>
    </w:p>
    <w:p>
      <w:pPr>
        <w:pStyle w:val="ListBullet"/>
      </w:pPr>
      <w:r>
        <w:t xml:space="preserve">  </w:t>
      </w:r>
      <w:r>
        <w:rPr>
          <w:b/>
        </w:rPr>
        <w:t>Nature of the "Loan":</w:t>
      </w:r>
      <w:r>
        <w:t xml:space="preserve"> Contrary to a traditional borrower-default scenario, the "loan" in this case refers to a bank deposit. Under Article 1980 of the Civil Code, fixed, savings, and current deposits are governed by the provisions on simple loan (*mutuum*), making the bank the debtor and the depositor the creditor.</w:t>
      </w:r>
    </w:p>
    <w:p>
      <w:pPr>
        <w:pStyle w:val="ListBullet"/>
      </w:pPr>
      <w:r>
        <w:t xml:space="preserve">  </w:t>
      </w:r>
      <w:r>
        <w:rPr>
          <w:b/>
        </w:rPr>
        <w:t>The Breach:</w:t>
      </w:r>
      <w:r>
        <w:t xml:space="preserve"> The depositor (Manalo) did not default; rather, the *banks* breached their obligation by negligently allowing an unauthorized third party (Manalo's niece, Saturnino) to withdraw and divert the deposited funds.</w:t>
      </w:r>
    </w:p>
    <w:p>
      <w:pPr>
        <w:pStyle w:val="ListBullet"/>
      </w:pPr>
      <w:r>
        <w:t xml:space="preserve">  </w:t>
      </w:r>
      <w:r>
        <w:rPr>
          <w:b/>
        </w:rPr>
        <w:t>Agency and SPA:</w:t>
      </w:r>
      <w:r>
        <w:t xml:space="preserve"> The Supreme Court strictly construed the Special Power of Attorney (SPA), ruling that the authority to collect and deposit funds does not include the authority to withdraw or terminate placements.</w:t>
      </w:r>
    </w:p>
    <w:p>
      <w:pPr>
        <w:pStyle w:val="ListBullet"/>
      </w:pPr>
      <w:r>
        <w:t xml:space="preserve">  </w:t>
      </w:r>
      <w:r>
        <w:rPr>
          <w:b/>
        </w:rPr>
        <w:t>Bank Liability:</w:t>
      </w:r>
      <w:r>
        <w:t xml:space="preserve"> The Supreme Court apportioned liability between the drawee banks (which allowed unauthorized withdrawals) and the collecting bank (which negligently cleared crossed checks deposited into the wrong account).</w:t>
      </w:r>
    </w:p>
    <w:p>
      <w:pPr>
        <w:pStyle w:val="ListBullet"/>
      </w:pPr>
      <w:r>
        <w:t xml:space="preserve">  </w:t>
      </w:r>
      <w:r>
        <w:rPr>
          <w:b/>
        </w:rPr>
        <w:t>Remedy:</w:t>
      </w:r>
      <w:r>
        <w:t xml:space="preserve"> The banks were ordered to pay Manalo, but were granted the right to seek reimbursement from the unauthorized agent (Saturnino) under the principle of unjust enrichment.</w:t>
      </w:r>
    </w:p>
    <w:p>
      <w:r>
        <w:t>While banking cases often involve complex financial instruments, the core of this dispute rests on foundational Civil Code principles regarding obligations, contracts, and agency. The evidence strongly leans toward holding banking institutions to an extraordinary standard of diligence, reflecting the fiduciary nature of their business.</w:t>
      </w:r>
    </w:p>
    <w:p>
      <w:pPr>
        <w:spacing w:before="120" w:after="120"/>
        <w:pBdr>
          <w:bottom w:val="single" w:sz="4" w:space="1" w:color="CCCCCC"/>
        </w:pBdr>
      </w:pPr>
    </w:p>
    <w:p>
      <w:pPr>
        <w:pStyle w:val="Heading3"/>
      </w:pPr>
      <w:r>
        <w:t>Premiere Development Bank v. Manalo (2021) | [G.R. Nos. 190359, 190374 &amp; 223057]</w:t>
      </w:r>
    </w:p>
    <w:p>
      <w:pPr>
        <w:pStyle w:val="Heading4"/>
      </w:pPr>
      <w:r>
        <w:t>1. The Parties</w:t>
      </w:r>
    </w:p>
    <w:p>
      <w:pPr>
        <w:pStyle w:val="ListBullet"/>
      </w:pPr>
      <w:r/>
      <w:r>
        <w:rPr>
          <w:b/>
        </w:rPr>
        <w:t>Petitioner (Premiere Development Bank, along with Asian Bank and BDO Unibank/PCI Bank):</w:t>
      </w:r>
      <w:r/>
    </w:p>
    <w:p>
      <w:r>
        <w:t xml:space="preserve">Premiere Development Bank acted as the </w:t>
      </w:r>
      <w:r>
        <w:rPr>
          <w:b/>
        </w:rPr>
        <w:t>collecting bank</w:t>
      </w:r>
      <w:r>
        <w:t xml:space="preserve"> in the transactions that led to the fraud. Asian Bank Corporation and BDO Unibank (formerly Equitable PCI Bank) acted as the </w:t>
      </w:r>
      <w:r>
        <w:rPr>
          <w:b/>
        </w:rPr>
        <w:t>drawee banks</w:t>
      </w:r>
      <w:r>
        <w:t xml:space="preserve"> where the initial funds were deposited.</w:t>
      </w:r>
    </w:p>
    <w:p>
      <w:r>
        <w:rPr>
          <w:i/>
        </w:rPr>
        <w:t>What was the loan arrangement?</w:t>
      </w:r>
      <w:r>
        <w:t xml:space="preserve"> The arrangement was a </w:t>
      </w:r>
      <w:r>
        <w:rPr>
          <w:b/>
        </w:rPr>
        <w:t>bank deposit</w:t>
      </w:r>
      <w:r>
        <w:t>. In Philippine law (Civil Code, Art. 1980), a bank deposit is not a mere safekeeping arrangement but a simple loan (</w:t>
      </w:r>
      <w:r>
        <w:rPr>
          <w:i/>
        </w:rPr>
        <w:t>mutuum</w:t>
      </w:r>
      <w:r>
        <w:t>). The banks borrowed money from the depositor and were obligated to return an equal amount upon demand.</w:t>
      </w:r>
    </w:p>
    <w:p>
      <w:pPr>
        <w:pStyle w:val="ListBullet"/>
      </w:pPr>
      <w:r/>
      <w:r>
        <w:rPr>
          <w:b/>
        </w:rPr>
        <w:t>Respondent (Primitiva M. Manalo):</w:t>
      </w:r>
      <w:r/>
    </w:p>
    <w:p>
      <w:r>
        <w:t xml:space="preserve">Manalo is the depositor and the principal in the agency relationship. She was the creditor in the </w:t>
      </w:r>
      <w:r>
        <w:rPr>
          <w:i/>
        </w:rPr>
        <w:t>mutuum</w:t>
      </w:r>
      <w:r>
        <w:t xml:space="preserve"> arrangement.</w:t>
      </w:r>
    </w:p>
    <w:p>
      <w:r>
        <w:rPr>
          <w:i/>
        </w:rPr>
        <w:t>What was their obligation to the bank?</w:t>
      </w:r>
      <w:r>
        <w:t xml:space="preserve"> As the creditor, Manalo had no outstanding payment obligation to the bank. Her only role was as the provider of the funds. The narrative of "default" does not apply to her; instead, she was the victim of the banks' breach of their fiduciary duties.</w:t>
      </w:r>
    </w:p>
    <w:p>
      <w:pPr>
        <w:pStyle w:val="ListBullet"/>
      </w:pPr>
      <w:r/>
      <w:r>
        <w:rPr>
          <w:b/>
        </w:rPr>
        <w:t>Their relationship:</w:t>
      </w:r>
      <w:r/>
    </w:p>
    <w:p>
      <w:r>
        <w:t xml:space="preserve">The relationship was one of </w:t>
      </w:r>
      <w:r>
        <w:rPr>
          <w:b/>
        </w:rPr>
        <w:t>debtor (banks) and creditor (Manalo)</w:t>
      </w:r>
      <w:r>
        <w:t xml:space="preserve"> based on a contract of simple loan (</w:t>
      </w:r>
      <w:r>
        <w:rPr>
          <w:i/>
        </w:rPr>
        <w:t>mutuum</w:t>
      </w:r>
      <w:r>
        <w:t>) arising from a bank deposit. Furthermore, a third party, Veronidia Saturnino (Manalo's niece), acted as Manalo's agent under a Special Power of Attorney (SPA), though she exceeded her authority. There was no mortgage or traditional security arrangement; the core contract was the deposit agreement between Manalo and the banks.</w:t>
      </w:r>
    </w:p>
    <w:p>
      <w:pPr>
        <w:pStyle w:val="Heading4"/>
      </w:pPr>
      <w:r>
        <w:t>2. Background &amp; Facts</w:t>
      </w:r>
    </w:p>
    <w:p>
      <w:pPr>
        <w:pStyle w:val="ListBullet"/>
      </w:pPr>
      <w:r/>
      <w:r>
        <w:rPr>
          <w:b/>
        </w:rPr>
        <w:t>What was the loan — amount, purpose, security?</w:t>
      </w:r>
      <w:r/>
    </w:p>
    <w:p>
      <w:r>
        <w:t>The "loan" was the sum of money Manalo deposited into the banks. Manalo sold her property to Transit Automotive Supply and received five checks (PCI Bank Check Nos. 315674 to 315678) as payment. She deposited the first two checks into a new PCI Bank savings account and entrusted the remaining three to her niece, Saturnino, before leaving for the United States. There was no security provided because the bank was the debtor.</w:t>
      </w:r>
    </w:p>
    <w:p>
      <w:pPr>
        <w:pStyle w:val="ListBullet"/>
      </w:pPr>
      <w:r/>
      <w:r>
        <w:rPr>
          <w:b/>
        </w:rPr>
        <w:t>Did Manalo default? On what terms?</w:t>
      </w:r>
      <w:r/>
    </w:p>
    <w:p>
      <w:r>
        <w:t xml:space="preserve">No, </w:t>
      </w:r>
      <w:r>
        <w:rPr>
          <w:b/>
        </w:rPr>
        <w:t>Manalo did not default</w:t>
      </w:r>
      <w:r>
        <w:t xml:space="preserve">. The breach was committed by the </w:t>
      </w:r>
      <w:r>
        <w:rPr>
          <w:i/>
        </w:rPr>
        <w:t>banks</w:t>
      </w:r>
      <w:r>
        <w:t xml:space="preserve"> and Saturnino. Saturnino utilized the SPA—which only authorized her to collect rentals and deposit funds—to execute unauthorized withdrawals and terminate Manalo's bank placements.</w:t>
      </w:r>
    </w:p>
    <w:p>
      <w:pPr>
        <w:pStyle w:val="ListBullet"/>
      </w:pPr>
      <w:r/>
      <w:r>
        <w:rPr>
          <w:b/>
        </w:rPr>
        <w:t>What did the bank do — foreclose, sue for sum of money?</w:t>
      </w:r>
      <w:r/>
    </w:p>
    <w:p>
      <w:r>
        <w:t xml:space="preserve">Because the banks were the debtors who lost the money, they did not foreclose or sue. Instead, </w:t>
      </w:r>
      <w:r>
        <w:rPr>
          <w:b/>
        </w:rPr>
        <w:t>Manalo sued the banks for a sum of money and damages</w:t>
      </w:r>
      <w:r>
        <w:t xml:space="preserve"> to recover her misappropriated deposits. The banks, in turn, filed third-party complaints and cross-claims against Saturnino and GENSCOR (the investment firm where Saturnino diverted the funds).</w:t>
      </w:r>
    </w:p>
    <w:p>
      <w:pPr>
        <w:pStyle w:val="ListBullet"/>
      </w:pPr>
      <w:r/>
      <w:r>
        <w:rPr>
          <w:b/>
        </w:rPr>
        <w:t>Were there issues of overpayment, interest, or penalty charges?</w:t>
      </w:r>
      <w:r/>
    </w:p>
    <w:p>
      <w:r>
        <w:t xml:space="preserve">The issues did not revolve around typical loan penalties. Instead, the financial issues concerned the </w:t>
      </w:r>
      <w:r>
        <w:rPr>
          <w:b/>
        </w:rPr>
        <w:t>liability for the lost principal</w:t>
      </w:r>
      <w:r>
        <w:t xml:space="preserve"> and the </w:t>
      </w:r>
      <w:r>
        <w:rPr>
          <w:b/>
        </w:rPr>
        <w:t>imposition of legal interest</w:t>
      </w:r>
      <w:r>
        <w:t xml:space="preserve"> on the damages awarded to Manalo due to the banks' negligence.</w:t>
      </w:r>
    </w:p>
    <w:p>
      <w:pPr>
        <w:pStyle w:val="ListBullet"/>
      </w:pPr>
      <w:r/>
      <w:r>
        <w:rPr>
          <w:b/>
        </w:rPr>
        <w:t>Timeline of key events:</w:t>
      </w:r>
      <w:r/>
    </w:p>
    <w:p>
      <w:r>
        <w:t xml:space="preserve">1. </w:t>
      </w:r>
      <w:r>
        <w:rPr>
          <w:b/>
        </w:rPr>
        <w:t>June 1992:</w:t>
      </w:r>
      <w:r>
        <w:t xml:space="preserve"> Manalo sells property, receives 5 checks, opens an account at PCI Bank, and executes an SPA in favor of Saturnino before leaving for the US.</w:t>
      </w:r>
    </w:p>
    <w:p>
      <w:r>
        <w:t xml:space="preserve">2. </w:t>
      </w:r>
      <w:r>
        <w:rPr>
          <w:b/>
        </w:rPr>
        <w:t>1992-1994 (The Breach):</w:t>
      </w:r>
    </w:p>
    <w:p>
      <w:pPr>
        <w:pStyle w:val="ListBullet"/>
      </w:pPr>
      <w:r>
        <w:t>*Check No. 315676:* Saturnino deposits it in PCI Bank, then pre-terminates it. PCI issues a crossed manager's check payable to Manalo. Saturnino takes it, invests it in GENSCOR, and Premiere Bank (as collecting bank) clears it into GENSCOR's account.</w:t>
      </w:r>
    </w:p>
    <w:p>
      <w:pPr>
        <w:pStyle w:val="ListBullet"/>
      </w:pPr>
      <w:r>
        <w:t>*Check No. 315677:* Saturnino deposits it in Asian Bank, subsequently withdraws it via crossed manager's checks payable to Manalo, and again funnels it to GENSCOR through Premiere Bank.</w:t>
      </w:r>
    </w:p>
    <w:p>
      <w:pPr>
        <w:pStyle w:val="ListBullet"/>
      </w:pPr>
      <w:r>
        <w:t>*Check No. 315678:* Saturnino directly deposits this check into GENSCOR's account at Premiere Bank.</w:t>
      </w:r>
    </w:p>
    <w:p>
      <w:r>
        <w:t xml:space="preserve">3. </w:t>
      </w:r>
      <w:r>
        <w:rPr>
          <w:b/>
        </w:rPr>
        <w:t>1995:</w:t>
      </w:r>
      <w:r>
        <w:t xml:space="preserve"> Manalo returns to the Philippines, discovers the fraud, and demands the return of her money (judicial demand on March 31, 1995).</w:t>
      </w:r>
    </w:p>
    <w:p>
      <w:r>
        <w:t xml:space="preserve">4. </w:t>
      </w:r>
      <w:r>
        <w:rPr>
          <w:b/>
        </w:rPr>
        <w:t>July 2003:</w:t>
      </w:r>
      <w:r>
        <w:t xml:space="preserve"> Regional Trial Court (RTC) finds the banks liable.</w:t>
      </w:r>
    </w:p>
    <w:p>
      <w:r>
        <w:t xml:space="preserve">5. </w:t>
      </w:r>
      <w:r>
        <w:rPr>
          <w:b/>
        </w:rPr>
        <w:t>November 2007:</w:t>
      </w:r>
      <w:r>
        <w:t xml:space="preserve"> Court of Appeals (CA) affirms the RTC decision.</w:t>
      </w:r>
    </w:p>
    <w:p>
      <w:r>
        <w:t xml:space="preserve">6. </w:t>
      </w:r>
      <w:r>
        <w:rPr>
          <w:b/>
        </w:rPr>
        <w:t>October 6, 2021:</w:t>
      </w:r>
      <w:r>
        <w:t xml:space="preserve"> Supreme Court issues its decision modifying the liability of the banks.</w:t>
      </w:r>
    </w:p>
    <w:p>
      <w:pPr>
        <w:pStyle w:val="Heading4"/>
      </w:pPr>
      <w:r>
        <w:t>3. The Contract or Obligation</w:t>
      </w:r>
    </w:p>
    <w:p>
      <w:pPr>
        <w:pStyle w:val="ListBullet"/>
      </w:pPr>
      <w:r/>
      <w:r>
        <w:rPr>
          <w:b/>
        </w:rPr>
        <w:t>What was the original loan obligation?</w:t>
      </w:r>
      <w:r/>
    </w:p>
    <w:p>
      <w:r>
        <w:t xml:space="preserve">The original obligation was a </w:t>
      </w:r>
      <w:r>
        <w:rPr>
          <w:b/>
        </w:rPr>
        <w:t>contract of deposit (*mutuum*)</w:t>
      </w:r>
      <w:r>
        <w:t>. Under Article 1980 of the Civil Code, the banks acquired ownership of the deposited funds and assumed the obligation to return an equal amount of the same kind and quality to Manalo upon her demand.</w:t>
      </w:r>
    </w:p>
    <w:p>
      <w:pPr>
        <w:pStyle w:val="ListBullet"/>
      </w:pPr>
      <w:r/>
      <w:r>
        <w:rPr>
          <w:b/>
        </w:rPr>
        <w:t>Were there any modifications, restructuring, or waivers?</w:t>
      </w:r>
      <w:r/>
    </w:p>
    <w:p>
      <w:r>
        <w:t>There were no legal modifications or waivers by Manalo. The banks attempted to argue that Manalo's SPA to Saturnino modified the arrangement to allow withdrawals, or alternatively, that Manalo's alleged negligence constituted a waiver or ratification of Saturnino's acts. The Supreme Court rejected these arguments, stating that an SPA must be strictly construed and does not inherently grant the power to withdraw.</w:t>
      </w:r>
    </w:p>
    <w:p>
      <w:pPr>
        <w:pStyle w:val="Heading4"/>
      </w:pPr>
      <w:r>
        <w:t>4. Legal Issues Raised</w:t>
      </w:r>
    </w:p>
    <w:p>
      <w:pPr>
        <w:pStyle w:val="ListBullet"/>
      </w:pPr>
      <w:r/>
      <w:r>
        <w:rPr>
          <w:b/>
        </w:rPr>
        <w:t>Was there default?</w:t>
      </w:r>
      <w:r/>
    </w:p>
    <w:p>
      <w:r>
        <w:t>Yes, but the default (</w:t>
      </w:r>
      <w:r>
        <w:rPr>
          <w:i/>
        </w:rPr>
        <w:t>mora</w:t>
      </w:r>
      <w:r>
        <w:t xml:space="preserve">) and breach of obligation were on the part of the </w:t>
      </w:r>
      <w:r>
        <w:rPr>
          <w:b/>
        </w:rPr>
        <w:t>banks</w:t>
      </w:r>
      <w:r>
        <w:t>, not the depositor. The banks failed to fulfill their obligation to safely hold and return the funds to the rightful creditor.</w:t>
      </w:r>
    </w:p>
    <w:p>
      <w:pPr>
        <w:pStyle w:val="ListBullet"/>
      </w:pPr>
      <w:r/>
      <w:r>
        <w:rPr>
          <w:b/>
        </w:rPr>
        <w:t>What were the proper remedies — foreclosure, action for sum of money?</w:t>
      </w:r>
      <w:r/>
    </w:p>
    <w:p>
      <w:r>
        <w:t xml:space="preserve">The proper remedy for the depositor was an </w:t>
      </w:r>
      <w:r>
        <w:rPr>
          <w:b/>
        </w:rPr>
        <w:t>action for a sum of money</w:t>
      </w:r>
      <w:r>
        <w:t xml:space="preserve"> (specific performance of the deposit contract) combined with an action for </w:t>
      </w:r>
      <w:r>
        <w:rPr>
          <w:b/>
        </w:rPr>
        <w:t>damages</w:t>
      </w:r>
      <w:r>
        <w:t xml:space="preserve"> based on negligence (quasi-delict/breach of contract).</w:t>
      </w:r>
    </w:p>
    <w:p>
      <w:pPr>
        <w:pStyle w:val="ListBullet"/>
      </w:pPr>
      <w:r/>
      <w:r>
        <w:rPr>
          <w:b/>
        </w:rPr>
        <w:t>Were the interest and penalty charges proper?</w:t>
      </w:r>
      <w:r/>
    </w:p>
    <w:p>
      <w:r>
        <w:t>The Supreme Court ruled on the proper legal interest to be applied to the judgment award. Following prevailing jurisprudence (</w:t>
      </w:r>
      <w:r>
        <w:rPr>
          <w:i/>
        </w:rPr>
        <w:t>Nacar v. Gallery Frames</w:t>
      </w:r>
      <w:r>
        <w:t xml:space="preserve">), the Court imposed a </w:t>
      </w:r>
      <w:r>
        <w:rPr>
          <w:b/>
        </w:rPr>
        <w:t>12% per annum interest rate</w:t>
      </w:r>
      <w:r>
        <w:t xml:space="preserve"> from the date of judicial demand (March 31, 1995) until June 30, 2013, and a </w:t>
      </w:r>
      <w:r>
        <w:rPr>
          <w:b/>
        </w:rPr>
        <w:t>6% per annum interest rate</w:t>
      </w:r>
      <w:r>
        <w:t xml:space="preserve"> from July 1, 2013, until full payment.</w:t>
      </w:r>
    </w:p>
    <w:p>
      <w:pPr>
        <w:pStyle w:val="Heading4"/>
      </w:pPr>
      <w:r>
        <w:t>5. Supreme Court Ruling</w:t>
      </w:r>
    </w:p>
    <w:p>
      <w:pPr>
        <w:pStyle w:val="ListBullet"/>
      </w:pPr>
      <w:r/>
      <w:r>
        <w:rPr>
          <w:b/>
        </w:rPr>
        <w:t>What did the SC decide on breach, remedies, and charges?</w:t>
      </w:r>
      <w:r/>
    </w:p>
    <w:p>
      <w:r>
        <w:t>The Supreme Court ruled that all three banks were severely negligent and breached their fiduciary duties.</w:t>
      </w:r>
    </w:p>
    <w:p>
      <w:pPr>
        <w:pStyle w:val="ListBullet"/>
      </w:pPr>
      <w:r/>
      <w:r>
        <w:rPr>
          <w:b/>
        </w:rPr>
        <w:t>PCI Bank and Asian Bank (Drawee Banks):</w:t>
      </w:r>
      <w:r>
        <w:t xml:space="preserve"> Breached their duty by allowing Saturnino to withdraw funds without proper authorization, ignoring the strict limits of the SPA.</w:t>
      </w:r>
    </w:p>
    <w:p>
      <w:pPr>
        <w:pStyle w:val="ListBullet"/>
      </w:pPr>
      <w:r/>
      <w:r>
        <w:rPr>
          <w:b/>
        </w:rPr>
        <w:t>Premiere Bank (Collecting Bank):</w:t>
      </w:r>
      <w:r>
        <w:t xml:space="preserve"> Breached its duty by clearing crossed checks marked "Payee's Account Only" and crediting them to a third-party account (GENSCOR) instead of the payee's (Manalo's) account.</w:t>
      </w:r>
    </w:p>
    <w:p>
      <w:pPr>
        <w:pStyle w:val="ListBullet"/>
      </w:pPr>
      <w:r/>
      <w:r>
        <w:rPr>
          <w:b/>
        </w:rPr>
        <w:t>Remedy for Banks:</w:t>
      </w:r>
      <w:r>
        <w:t xml:space="preserve"> While the banks must pay Manalo, the Court allowed them to seek reimbursement from Saturnino under the principle of </w:t>
      </w:r>
      <w:r>
        <w:rPr>
          <w:b/>
        </w:rPr>
        <w:t>unjust enrichment</w:t>
      </w:r>
      <w:r>
        <w:t>.</w:t>
      </w:r>
    </w:p>
    <w:p>
      <w:pPr>
        <w:pStyle w:val="ListBullet"/>
      </w:pPr>
      <w:r/>
      <w:r>
        <w:rPr>
          <w:b/>
        </w:rPr>
        <w:t>What was the disposition?</w:t>
      </w:r>
      <w:r/>
    </w:p>
    <w:p>
      <w:r>
        <w:t>The SC modified the CA's ruling by apportioning the liability to reflect comparative negligence:</w:t>
      </w:r>
    </w:p>
    <w:p>
      <w:pPr>
        <w:pStyle w:val="ListBullet"/>
      </w:pPr>
      <w:r>
        <w:t xml:space="preserve">PCI Bank and Premiere Bank were held </w:t>
      </w:r>
      <w:r>
        <w:rPr>
          <w:b/>
        </w:rPr>
        <w:t>solidarily liable for 50% each</w:t>
      </w:r>
      <w:r>
        <w:t xml:space="preserve"> of the proceeds of the misappropriated PCI manager's check.</w:t>
      </w:r>
    </w:p>
    <w:p>
      <w:pPr>
        <w:pStyle w:val="ListBullet"/>
      </w:pPr>
      <w:r>
        <w:t xml:space="preserve">Asian Bank and Premiere Bank were held </w:t>
      </w:r>
      <w:r>
        <w:rPr>
          <w:b/>
        </w:rPr>
        <w:t>solidarily liable for 50% each</w:t>
      </w:r>
      <w:r>
        <w:t xml:space="preserve"> of the proceeds of the misappropriated Asian Bank manager's checks.</w:t>
      </w:r>
    </w:p>
    <w:p>
      <w:pPr>
        <w:pStyle w:val="ListBullet"/>
      </w:pPr>
      <w:r>
        <w:t>Asian Bank was held solely liable for funds withdrawn from the savings account that never reached Premiere Bank.</w:t>
      </w:r>
    </w:p>
    <w:p>
      <w:pPr>
        <w:pStyle w:val="ListBullet"/>
      </w:pPr>
      <w:r>
        <w:t>Premiere Bank was held solely liable for the direct deposit of Check No. 315678 into GENSCOR's account.</w:t>
      </w:r>
    </w:p>
    <w:p>
      <w:pPr>
        <w:pStyle w:val="Heading4"/>
      </w:pPr>
      <w:r>
        <w:t>6. Key Doctrine / Civil Code Hook</w:t>
      </w:r>
    </w:p>
    <w:p>
      <w:pPr>
        <w:pStyle w:val="ListBullet"/>
      </w:pPr>
      <w:r/>
      <w:r>
        <w:rPr>
          <w:b/>
        </w:rPr>
        <w:t>State the applicable rules on loan obligations, interest, and bank remedies:</w:t>
      </w:r>
      <w:r/>
    </w:p>
    <w:p>
      <w:r>
        <w:t xml:space="preserve">The core rule applied is that a bank deposit creates a </w:t>
      </w:r>
      <w:r>
        <w:rPr>
          <w:b/>
        </w:rPr>
        <w:t>debtor-creditor relationship</w:t>
      </w:r>
      <w:r>
        <w:t xml:space="preserve"> where the bank must exercise the highest degree of diligence. Payment made by the debtor (bank) to the wrong party (Saturnino/GENSCOR) does not extinguish the obligation to the true creditor (Manalo), even if the bank acted in good faith or was deceived.</w:t>
      </w:r>
    </w:p>
    <w:p>
      <w:r>
        <w:t>Regarding remedies, a party who pays by mistake or is defrauded may recover the funds from the actual fraudster to prevent unjust enrichment.</w:t>
      </w:r>
    </w:p>
    <w:p>
      <w:pPr>
        <w:pStyle w:val="ListBullet"/>
      </w:pPr>
      <w:r/>
      <w:r>
        <w:rPr>
          <w:b/>
        </w:rPr>
        <w:t>Which Civil Code articles were applied?</w:t>
      </w:r>
      <w:r/>
    </w:p>
    <w:p>
      <w:pPr>
        <w:pStyle w:val="ListBullet"/>
      </w:pPr>
      <w:r/>
      <w:r>
        <w:rPr>
          <w:b/>
        </w:rPr>
        <w:t>Article 1980:</w:t>
      </w:r>
      <w:r>
        <w:t xml:space="preserve"> Fixed, savings, and current deposits of money in banks shall be governed by the provisions concerning simple loan.</w:t>
      </w:r>
    </w:p>
    <w:p>
      <w:pPr>
        <w:pStyle w:val="ListBullet"/>
      </w:pPr>
      <w:r/>
      <w:r>
        <w:rPr>
          <w:b/>
        </w:rPr>
        <w:t>Article 1953:</w:t>
      </w:r>
      <w:r>
        <w:t xml:space="preserve"> A person who receives a loan of money (*mutuum*) acquires ownership thereof and is bound to pay the creditor an equal amount.</w:t>
      </w:r>
    </w:p>
    <w:p>
      <w:pPr>
        <w:pStyle w:val="ListBullet"/>
      </w:pPr>
      <w:r/>
      <w:r>
        <w:rPr>
          <w:b/>
        </w:rPr>
        <w:t>Article 1240:</w:t>
      </w:r>
      <w:r>
        <w:t xml:space="preserve"> (Implicitly applied) Payment shall be made to the person in whose favor the obligation has been constituted, or his successor in interest, or any person authorized to receive it. Payment to the wrong party does not extinguish the debt.</w:t>
      </w:r>
    </w:p>
    <w:p>
      <w:pPr>
        <w:pStyle w:val="ListBullet"/>
      </w:pPr>
      <w:r/>
      <w:r>
        <w:rPr>
          <w:b/>
        </w:rPr>
        <w:t>Article 1878 / Agency Rules:</w:t>
      </w:r>
      <w:r>
        <w:t xml:space="preserve"> A special power of attorney must be strictly construed. The power to deposit does not include the power to withdraw.</w:t>
      </w:r>
    </w:p>
    <w:p>
      <w:pPr>
        <w:pStyle w:val="ListBullet"/>
      </w:pPr>
      <w:r/>
      <w:r>
        <w:rPr>
          <w:b/>
        </w:rPr>
        <w:t>Article 1374:</w:t>
      </w:r>
      <w:r>
        <w:t xml:space="preserve"> Various stipulations of a contract (the SPA) shall be interpreted together.</w:t>
      </w:r>
    </w:p>
    <w:p>
      <w:pPr>
        <w:pStyle w:val="ListBullet"/>
      </w:pPr>
      <w:r/>
      <w:r>
        <w:rPr>
          <w:b/>
        </w:rPr>
        <w:t>Article 22:</w:t>
      </w:r>
      <w:r>
        <w:t xml:space="preserve"> Every person who through an act of performance by another, or any other means, acquires or comes into possession of something at the expense of the latter without just or legal ground, shall return the same (Unjust Enrichment).</w:t>
      </w:r>
    </w:p>
    <w:p>
      <w:pPr>
        <w:pStyle w:val="Heading4"/>
      </w:pPr>
      <w:r>
        <w:t>7. Memory Anchor</w:t>
      </w:r>
    </w:p>
    <w:p>
      <w:pPr>
        <w:pStyle w:val="ListBullet"/>
      </w:pPr>
      <w:r/>
      <w:r>
        <w:rPr>
          <w:b/>
        </w:rPr>
        <w:t>A 1–2 sentence story hook or mnemonic for bar/exam recall:</w:t>
      </w:r>
      <w:r/>
    </w:p>
    <w:p>
      <w:r>
        <w:rPr>
          <w:i/>
        </w:rPr>
        <w:t>In Premiere v. Manalo, the niece deposited the checks but withdrew the cash; because a bank deposit is a mutuum (Art. 1980), the banks paid the wrong person and remained liable to the aunt, but could chase the niece for unjust enrichment.</w:t>
      </w:r>
    </w:p>
    <w:p>
      <w:r>
        <w:rPr>
          <w:b/>
        </w:rPr>
        <w:t>Mnemonic:</w:t>
      </w:r>
      <w:r>
        <w:rPr>
          <w:b/>
        </w:rPr>
        <w:t>D-C-B-A</w:t>
      </w:r>
      <w:r>
        <w:t xml:space="preserve"> (Deposit Creates Borrowing Agreement — Banks are debtors, and unauthorized withdrawals equal breach of mutuum).</w:t>
      </w:r>
    </w:p>
    <w:p>
      <w:pPr>
        <w:spacing w:before="120" w:after="120"/>
        <w:pBdr>
          <w:bottom w:val="single" w:sz="4" w:space="1" w:color="CCCCCC"/>
        </w:pBdr>
      </w:pPr>
    </w:p>
    <w:p>
      <w:pPr>
        <w:pStyle w:val="Heading3"/>
      </w:pPr>
      <w:r>
        <w:t>Expanded Academic and Theoretical Analysis</w:t>
      </w:r>
    </w:p>
    <w:p>
      <w:r>
        <w:t xml:space="preserve">To fully appreciate the Supreme Court's jurisprudence in </w:t>
      </w:r>
      <w:r>
        <w:rPr>
          <w:i/>
        </w:rPr>
        <w:t>Premiere Development Bank v. Manalo</w:t>
      </w:r>
      <w:r>
        <w:t>, one must delve deeper into the theoretical underpinnings of the Philippine Civil Code, particularly the intersection of the law on obligations and contracts, the law on agency, and commercial banking regulations. The following sections provide an exhaustive academic exploration of these themes.</w:t>
      </w:r>
    </w:p>
    <w:p>
      <w:pPr>
        <w:pStyle w:val="Heading4"/>
      </w:pPr>
      <w:r>
        <w:t>I. The Juridical Nature of Bank Deposits: Articles 1980 and 1953</w:t>
      </w:r>
    </w:p>
    <w:p>
      <w:r>
        <w:t>The user's original query presumed a traditional loan arrangement where a borrower receives funds from a bank and subsequently defaults. This is a common misconception regarding the nature of banking transactions. In Philippine civil law, the flow of money in a deposit account is legally identical to a loan, but the roles are reversed.</w:t>
      </w:r>
    </w:p>
    <w:p>
      <w:r>
        <w:t xml:space="preserve">Article 1980 of the Civil Code is unequivocal: "Fixed, savings, and current deposits of money in banks and similar institutions shall be governed by the provisions concerning simple loan". This provision explicitly links bank deposits to Article 1953, which defines a simple loan or </w:t>
      </w:r>
      <w:r>
        <w:rPr>
          <w:i/>
        </w:rPr>
        <w:t>mutuum</w:t>
      </w:r>
      <w:r>
        <w:t>: "A person who receives a loan of money or any other fungible thing acquires the ownership thereof, and is bound to pay to the creditor an equal amount of the same kind and quality".</w:t>
      </w:r>
    </w:p>
    <w:p>
      <w:r>
        <w:t xml:space="preserve">In the context of </w:t>
      </w:r>
      <w:r>
        <w:rPr>
          <w:i/>
        </w:rPr>
        <w:t>Premiere Development Bank v. Manalo</w:t>
      </w:r>
      <w:r>
        <w:t>, when Primitiva Manalo deposited her checks into PCI Bank and Asian Bank, she ceased to be the owner of those specific funds. The banks acquired ownership of the money. Consequently, a debtor-creditor relationship was forged. Manalo became the creditor, holding a right to demand the return of an equivalent amount, while the banks became the debtors, bearing the absolute obligation to return the funds upon demand.</w:t>
      </w:r>
    </w:p>
    <w:p>
      <w:r>
        <w:t>This legal reality fundamentally alters the analysis of breach and default. A bank cannot argue that the depositor "defaulted" on a deposit. Instead, the breach occurs when the bank fails to honor its obligation to pay the rightful creditor. As the Supreme Court noted, payment made by a debtor to the wrong party does not extinguish the obligation. Even if the bank was tricked by a third party (in this case, Saturnino), the bank's obligation to Manalo persists until she is fully paid.</w:t>
      </w:r>
    </w:p>
    <w:p>
      <w:pPr>
        <w:pStyle w:val="Heading4"/>
      </w:pPr>
      <w:r>
        <w:t>II. The Fiduciary Duty of Banks and the Standard of Diligence</w:t>
      </w:r>
    </w:p>
    <w:p>
      <w:r>
        <w:t xml:space="preserve">While a bank deposit is governed by the rules of </w:t>
      </w:r>
      <w:r>
        <w:rPr>
          <w:i/>
        </w:rPr>
        <w:t>mutuum</w:t>
      </w:r>
      <w:r>
        <w:t>, the relationship is not merely an ordinary civil obligation. The Supreme Court has consistently held, and reiterated in this case, that the banking business is deeply imbued with public interest. Consequently, the fiduciary nature of banking requires banks to observe extraordinary diligence—a standard far higher than the diligence of a good father of a family required in standard civil obligations under Article 1163.</w:t>
      </w:r>
    </w:p>
    <w:p>
      <w:r>
        <w:t>The Court articulated this doctrine clearly: "The fiduciary nature of banking requires high standards of integrity and performance. Consequently, banks are mandated to treat the accounts of their depositors with meticulous care and utmost fidelity". This high standard of care is deemed implicitly written into every deposit agreement.</w:t>
      </w:r>
    </w:p>
    <w:p>
      <w:r>
        <w:t xml:space="preserve">In </w:t>
      </w:r>
      <w:r>
        <w:rPr>
          <w:i/>
        </w:rPr>
        <w:t>Manalo</w:t>
      </w:r>
      <w:r>
        <w:t>, the drawee banks (PCI and Asian Bank) failed this standard. They allowed Saturnino, a mere agent with limited authority, to pre-terminate significant financial placements and withdraw hefty sums without taking the elementary precaution of verifying these actions directly with the principal, Manalo. The failure to make a simple phone call or verification inquiry constituted gross negligence in light of their fiduciary duties.</w:t>
      </w:r>
    </w:p>
    <w:p>
      <w:pPr>
        <w:pStyle w:val="Heading4"/>
      </w:pPr>
      <w:r>
        <w:t>III. The Law on Agency and Strict Construction of Special Powers of Attorney (SPA)</w:t>
      </w:r>
    </w:p>
    <w:p>
      <w:r>
        <w:t>A central defense raised by the banks was that Saturnino was clothed with actual or apparent authority to transact on Manalo's behalf due to the Special Power of Attorney (SPA) she held. The resolution of this defense required the Supreme Court to interpret the SPA under the Civil Code provisions on Agency (Title X, Book IV) and the interpretation of contracts (Article 1374).</w:t>
      </w:r>
    </w:p>
    <w:p>
      <w:r>
        <w:t>Under Philippine law, an agency is a contract whereby a person binds himself to render some service or to do something in representation or on behalf of another, with the consent or authority of the latter (Article 1868). However, acts of strict dominion require a Special Power of Attorney (Article 1878).</w:t>
      </w:r>
    </w:p>
    <w:p>
      <w:r>
        <w:t>The SPA granted to Saturnino authorized her to collect rentals and deposit funds into authorized banks. The banks argued this implied the authority to withdraw. The Supreme Court decisively rejected this. Applying the rule of strict construction, the Court held that a power of attorney must be strictly pursued; powers are confined to those expressly stated. The act of withdrawing funds is an act of special dominion that requires explicit, specific authority. Because the SPA only granted the power to deposit, any withdrawal executed by Saturnino was unauthorized and void as against Manalo.</w:t>
      </w:r>
    </w:p>
    <w:p>
      <w:pPr>
        <w:pStyle w:val="Heading4"/>
      </w:pPr>
      <w:r>
        <w:t>IV. The Doctrine of Crossed Checks and Collecting Bank Liability</w:t>
      </w:r>
    </w:p>
    <w:p>
      <w:r>
        <w:t>A vital component of this case involves the liability of Premiere Development Bank, which acted as the collecting bank. A collecting bank is any bank handling an item for collection except the payor bank. In this scenario, Saturnino obtained manager's checks from PCI and Asian Bank that were payable to Manalo and specifically "crossed."</w:t>
      </w:r>
    </w:p>
    <w:p>
      <w:r>
        <w:t>A crossed check is one with two parallel lines drawn diagonally across its face. Under Philippine commercial jurisprudence, crossing a check signifies several things:</w:t>
      </w:r>
    </w:p>
    <w:p>
      <w:r>
        <w:t>1. The check may not be encashed but only deposited in a bank.</w:t>
      </w:r>
    </w:p>
    <w:p>
      <w:r>
        <w:t>2. The check may be negotiated only once—to one who has an account with a bank.</w:t>
      </w:r>
    </w:p>
    <w:p>
      <w:r>
        <w:t>3. The act of crossing serves as a warning to the holder that the check has been issued for a definite purpose, requiring the holder to inquire if they received the check pursuant to that purpose.</w:t>
      </w:r>
    </w:p>
    <w:p>
      <w:r>
        <w:t>In this case, the manager's checks were not only crossed but specifically marked "Payee's Account Only". This is a restrictive instruction directing the collecting bank to deposit the funds strictly into the account of the named payee (Manalo).</w:t>
      </w:r>
    </w:p>
    <w:p>
      <w:r>
        <w:t>Despite this clear mandate, Premiere Bank accepted these crossed checks and credited them to the account of GENSCOR—a completely different corporate entity. The Supreme Court ruled that Premiere Bank's actions were tantamount to an unauthorized endorsement. As the last endorser and collecting bank, Premiere Bank held itself out to the public as an expert in scrutinizing checks for genuineness and regularity. By heedlessly clearing crossed checks into the wrong account, Premiere Bank actively participated in the perpetuation of the fraud, making it liable for the face value of the checks.</w:t>
      </w:r>
    </w:p>
    <w:p>
      <w:pPr>
        <w:pStyle w:val="Heading4"/>
      </w:pPr>
      <w:r>
        <w:t>V. Apportionment of Liability and Joint Tortfeasors</w:t>
      </w:r>
    </w:p>
    <w:p>
      <w:r>
        <w:t xml:space="preserve">One of the most legally intricate aspects of the </w:t>
      </w:r>
      <w:r>
        <w:rPr>
          <w:i/>
        </w:rPr>
        <w:t>Manalo</w:t>
      </w:r>
      <w:r>
        <w:t xml:space="preserve"> decision is the Court's application of comparative negligence and the apportionment of solidary liability. When a breach of contract is accompanied by negligence that causes damage, the principles of quasi-delict (tort) may be applied analogously to determine the extent of liability.</w:t>
      </w:r>
    </w:p>
    <w:p>
      <w:r>
        <w:t>Here, the loss of Manalo's funds was the result of a chain of negligent acts:</w:t>
      </w:r>
    </w:p>
    <w:p>
      <w:r>
        <w:t>1. The drawee banks (PCI and Asian) negligently released manager's checks to an unauthorized agent.</w:t>
      </w:r>
    </w:p>
    <w:p>
      <w:r>
        <w:t>2. The collecting bank (Premiere) negligently accepted and cleared those restrictively crossed checks into a third party's account.</w:t>
      </w:r>
    </w:p>
    <w:p>
      <w:r>
        <w:t>Because both sets of banks contributed indispensably to the consummation of the fraud, the Supreme Court utilized an equitable apportionment. Finding that neither the drawee banks nor the collecting bank could completely absolve themselves, the Court imposed a 50%-50% proportionate sharing of liability between them for the checks that passed through both institutions. They were held solidarily liable to Manalo, meaning Manalo could demand the full 50% from either bank in the respective pairs, ensuring her swift recovery while leaving the banks to settle the exact financial burden among themselves.</w:t>
      </w:r>
    </w:p>
    <w:p>
      <w:pPr>
        <w:pStyle w:val="Heading4"/>
      </w:pPr>
      <w:r>
        <w:t>VI. The Remedy of Unjust Enrichment (Article 22)</w:t>
      </w:r>
    </w:p>
    <w:p>
      <w:r>
        <w:t>While the banks were ordered to bear the brunt of reimbursing Manalo, the Supreme Court did not leave them without recourse. The Court invoked the equitable principle of unjust enrichment, enshrined in Article 22 of the Civil Code: "Every person who through an act of performance by another, or any other means, acquires or comes into possession of something at the expense of the latter without just or legal ground, shall return the same".</w:t>
      </w:r>
    </w:p>
    <w:p>
      <w:r>
        <w:t>The Court recognized that Veronidia Saturnino was the ultimate author of the fraudulent scheme. It was Saturnino who misappropriated the funds and channeled them into GENSCOR. Therefore, to prevent Saturnino from benefiting from her illicit acts at the expense of the negligent but defrauded banks, the Court expressly stated that PCI Bank, Asian Bank, and Premiere Bank could recover the amounts they paid to Manalo from Saturnino (or her heirs).</w:t>
      </w:r>
    </w:p>
    <w:p>
      <w:r>
        <w:t>This ruling elegantly balances the strict protection of innocent depositors with the equitable right of negligent institutions to seek restitution from the actual malicious actors, thereby upholding the holistic integrity of the Civil Code's provisions on obligations and contracts.</w:t>
      </w:r>
    </w:p>
    <w:p>
      <w:r>
        <w:br w:type="page"/>
      </w:r>
    </w:p>
    <w:p>
      <w:pPr>
        <w:pStyle w:val="Heading1"/>
      </w:pPr>
      <w:r>
        <w:t>Module 4A — Contracts in General</w:t>
      </w:r>
    </w:p>
    <w:p>
      <w:pPr>
        <w:pStyle w:val="Heading2"/>
      </w:pPr>
      <w:r>
        <w:t>Case 29: Asentista v. Jupp &amp; Company, Inc. (2018) | G.R. No. 229404</w:t>
      </w:r>
    </w:p>
    <w:p>
      <w:pPr>
        <w:pStyle w:val="Heading2"/>
      </w:pPr>
      <w:r>
        <w:t>Comprehensive Legal Analysis: Contractual Obligations, Unjust Enrichment, and Employment Relations in *Asentista v. Jupp &amp; Company*</w:t>
      </w:r>
    </w:p>
    <w:p>
      <w:r>
        <w:t xml:space="preserve">The intersection of civil contract law and labor relations presents complex jurisdictional and substantive challenges, particularly concerning the bounds of employment agreements, the nature of supplementary remuneration, and the application of quasi-contractual principles. This report exhaustively analyzes the Supreme Court's ruling in </w:t>
      </w:r>
      <w:r>
        <w:rPr>
          <w:i/>
        </w:rPr>
        <w:t>Asentista v. Jupp &amp; Company, Inc.</w:t>
      </w:r>
      <w:r>
        <w:t>, focusing on its implications for contractual obligations, breach, and available remedies under the Civil Code of the Philippines.</w:t>
      </w:r>
    </w:p>
    <w:p>
      <w:r>
        <w:rPr>
          <w:b/>
        </w:rPr>
        <w:t>Key Points:</w:t>
      </w:r>
    </w:p>
    <w:p>
      <w:pPr>
        <w:pStyle w:val="ListBullet"/>
      </w:pPr>
      <w:r>
        <w:t xml:space="preserve">  </w:t>
      </w:r>
      <w:r>
        <w:rPr>
          <w:b/>
        </w:rPr>
        <w:t>The Burden of Proof:</w:t>
      </w:r>
      <w:r>
        <w:t xml:space="preserve"> Research suggests that in monetary claims arising from employment contracts, once an employee specifies their claims, the evidentiary burden shifts to the employer to prove that payment has been made.</w:t>
      </w:r>
    </w:p>
    <w:p>
      <w:pPr>
        <w:pStyle w:val="ListBullet"/>
      </w:pPr>
      <w:r>
        <w:t xml:space="preserve">  </w:t>
      </w:r>
      <w:r>
        <w:rPr>
          <w:b/>
        </w:rPr>
        <w:t>Implied Contracts and Commissions:</w:t>
      </w:r>
      <w:r>
        <w:t xml:space="preserve"> The evidence leans toward recognizing that performance-based commissions constitute a fundamental part of an employee's wage, even if the primary written employment agreement is silent on the matter, provided that ancillary evidence (such as corporate communications) establishes the mutual agreement.</w:t>
      </w:r>
    </w:p>
    <w:p>
      <w:pPr>
        <w:pStyle w:val="ListBullet"/>
      </w:pPr>
      <w:r>
        <w:t xml:space="preserve">  </w:t>
      </w:r>
      <w:r>
        <w:rPr>
          <w:b/>
        </w:rPr>
        <w:t>Unjust Enrichment in Corporate Assets:</w:t>
      </w:r>
      <w:r>
        <w:t xml:space="preserve"> It seems highly likely that an employer cannot unilaterally reclassify an employee's use of a company-issued vehicle—originally provided to enhance business productivity—as a personal rental arrangement to justify salary deductions.</w:t>
      </w:r>
    </w:p>
    <w:p>
      <w:pPr>
        <w:pStyle w:val="ListBullet"/>
      </w:pPr>
      <w:r>
        <w:t xml:space="preserve">  </w:t>
      </w:r>
      <w:r>
        <w:rPr>
          <w:b/>
        </w:rPr>
        <w:t>Civil Code Application:</w:t>
      </w:r>
      <w:r>
        <w:t xml:space="preserve"> The resolution of this labor dispute is heavily anchored in Civil Code principles, specifically </w:t>
      </w:r>
      <w:r>
        <w:rPr>
          <w:b/>
        </w:rPr>
        <w:t>Article 22</w:t>
      </w:r>
      <w:r>
        <w:t xml:space="preserve"> on unjust enrichment, </w:t>
      </w:r>
      <w:r>
        <w:rPr>
          <w:b/>
        </w:rPr>
        <w:t>Article 1169</w:t>
      </w:r>
      <w:r>
        <w:t xml:space="preserve"> on default, and foundational rules on the mutuality of contracts.</w:t>
      </w:r>
    </w:p>
    <w:p>
      <w:r>
        <w:t xml:space="preserve">This document is structured to provide an in-depth dissection of the </w:t>
      </w:r>
      <w:r>
        <w:rPr>
          <w:i/>
        </w:rPr>
        <w:t>Asentista</w:t>
      </w:r>
      <w:r>
        <w:t xml:space="preserve"> case followed by a specialized academic module on Natural Obligations and Estoppel.</w:t>
      </w:r>
    </w:p>
    <w:p>
      <w:r>
        <w:rPr>
          <w:b/>
        </w:rPr>
      </w:r>
    </w:p>
    <w:p>
      <w:pPr>
        <w:pStyle w:val="Heading3"/>
      </w:pPr>
      <w:r>
        <w:t>Asentista v. Jupp &amp; Company, Inc. (2018) | G.R. No. 229404</w:t>
      </w:r>
    </w:p>
    <w:p>
      <w:pPr>
        <w:pStyle w:val="Heading4"/>
      </w:pPr>
      <w:r>
        <w:t>1. The Parties</w:t>
      </w:r>
    </w:p>
    <w:p>
      <w:pPr>
        <w:pStyle w:val="ListBullet"/>
      </w:pPr>
      <w:r/>
      <w:r>
        <w:rPr>
          <w:b/>
        </w:rPr>
        <w:t>Petitioner (Asentista):</w:t>
      </w:r>
      <w:r>
        <w:t xml:space="preserve"> Marilyn B. Asentista is the petitioner. She began her tenure at the respondent company as a sales secretary on April 16, 2007. Over the course of her employment, she was regularized as a sales assistant on March 14, 2008, and was ultimately promoted in July 2010 to the position of sales agent for the Northern Mindanao area. Her primary obligation was to meet specified monthly sales quotas to drive the company's regional revenue.</w:t>
      </w:r>
    </w:p>
    <w:p>
      <w:pPr>
        <w:pStyle w:val="ListBullet"/>
      </w:pPr>
      <w:r/>
      <w:r>
        <w:rPr>
          <w:b/>
        </w:rPr>
        <w:t>Respondent (Jupp &amp; Company):</w:t>
      </w:r>
      <w:r>
        <w:t xml:space="preserve"> JUPP &amp; Company, Inc. is the respondent corporate entity, represented alongside its President, Joseph V. Ascutia. JUPP engaged Asentista to facilitate and expand its sales operations in the Northern Mindanao territory.</w:t>
      </w:r>
    </w:p>
    <w:p>
      <w:pPr>
        <w:pStyle w:val="ListBullet"/>
      </w:pPr>
      <w:r/>
      <w:r>
        <w:rPr>
          <w:b/>
        </w:rPr>
        <w:t>Their relationship:</w:t>
      </w:r>
      <w:r>
        <w:t xml:space="preserve"> The relationship was primarily one of </w:t>
      </w:r>
      <w:r>
        <w:rPr>
          <w:b/>
        </w:rPr>
        <w:t>employer-employee</w:t>
      </w:r>
      <w:r>
        <w:t xml:space="preserve">, governed by an employment contract. However, in the context of the Civil Code (Arts. 1305–1422), this relationship exhibits strong elements of a </w:t>
      </w:r>
      <w:r>
        <w:rPr>
          <w:b/>
        </w:rPr>
        <w:t>service contract</w:t>
      </w:r>
      <w:r>
        <w:t xml:space="preserve"> and an </w:t>
      </w:r>
      <w:r>
        <w:rPr>
          <w:b/>
        </w:rPr>
        <w:t>agency arrangement</w:t>
      </w:r>
      <w:r>
        <w:t>. As a sales agent, Asentista acted as an extension of JUPP, tasked with executing sales transactions on behalf of the principal in exchange for a performance-based commission.</w:t>
      </w:r>
    </w:p>
    <w:p>
      <w:pPr>
        <w:pStyle w:val="Heading4"/>
      </w:pPr>
      <w:r>
        <w:t>2. Background &amp; Facts</w:t>
      </w:r>
    </w:p>
    <w:p>
      <w:pPr>
        <w:pStyle w:val="ListBullet"/>
      </w:pPr>
      <w:r/>
      <w:r>
        <w:rPr>
          <w:b/>
        </w:rPr>
        <w:t>What did the parties agree to?</w:t>
      </w:r>
      <w:r/>
    </w:p>
    <w:p>
      <w:r>
        <w:t xml:space="preserve">Upon her promotion to sales agent in July 2010, the parties entered into an arrangement where Asentista would receive a standard salary plus a </w:t>
      </w:r>
      <w:r>
        <w:rPr>
          <w:b/>
        </w:rPr>
        <w:t>two-percent (2%) sales commission</w:t>
      </w:r>
      <w:r>
        <w:t xml:space="preserve"> for every attained monthly quota. In 2011, recognizing her strong sales performance in the Cagayan De Oro area, JUPP (through its Administrative and Finance Officer, Malou Ramiro) issued a new Toyota Avanza to Asentista. There was no express written agreement or "car plan" executed regarding the financial terms of this vehicle; ownership remained firmly with JUPP.</w:t>
      </w:r>
    </w:p>
    <w:p>
      <w:pPr>
        <w:pStyle w:val="ListBullet"/>
      </w:pPr>
      <w:r/>
      <w:r>
        <w:rPr>
          <w:b/>
        </w:rPr>
        <w:t>What did each side perform or fail to perform?</w:t>
      </w:r>
      <w:r/>
    </w:p>
    <w:p>
      <w:r>
        <w:t>Asentista successfully performed her contractual obligation by meeting her monthly sales targets. Conversely, JUPP failed to perform its reciprocal obligation: paying the earned 2% sales commissions despite Asentista's repeated requests.</w:t>
      </w:r>
    </w:p>
    <w:p>
      <w:pPr>
        <w:pStyle w:val="ListBullet"/>
      </w:pPr>
      <w:r/>
      <w:r>
        <w:rPr>
          <w:b/>
        </w:rPr>
        <w:t>What was the breach and who caused it?</w:t>
      </w:r>
      <w:r/>
    </w:p>
    <w:p>
      <w:r>
        <w:t>The breach was exclusively caused by the respondent, JUPP. The breach was twofold:</w:t>
      </w:r>
    </w:p>
    <w:p>
      <w:r>
        <w:t xml:space="preserve">1.  </w:t>
      </w:r>
      <w:r>
        <w:rPr>
          <w:b/>
        </w:rPr>
        <w:t>Non-payment of commissions:</w:t>
      </w:r>
      <w:r>
        <w:t xml:space="preserve"> JUPP withheld earned commissions.</w:t>
      </w:r>
    </w:p>
    <w:p>
      <w:r>
        <w:t xml:space="preserve">2.  </w:t>
      </w:r>
      <w:r>
        <w:rPr>
          <w:b/>
        </w:rPr>
        <w:t>Unauthorized deductions:</w:t>
      </w:r>
      <w:r>
        <w:t xml:space="preserve"> JUPP unilaterally deducted \(\text{P}113,000.00\) as a "car plan participation payment" and \(\text{P}68,721.36\) as a "one-year rental payment" for the Toyota Avanza from Asentista’s unpaid sales commissions.</w:t>
      </w:r>
    </w:p>
    <w:p>
      <w:pPr>
        <w:pStyle w:val="ListBullet"/>
      </w:pPr>
      <w:r/>
      <w:r>
        <w:rPr>
          <w:b/>
        </w:rPr>
        <w:t>Timeline of key events:</w:t>
      </w:r>
      <w:r/>
    </w:p>
    <w:p>
      <w:pPr>
        <w:pStyle w:val="ListBullet"/>
      </w:pPr>
      <w:r>
        <w:t>*April 16, 2007:* Asentista hired as a sales secretary.</w:t>
      </w:r>
    </w:p>
    <w:p>
      <w:pPr>
        <w:pStyle w:val="ListBullet"/>
      </w:pPr>
      <w:r>
        <w:t>*March 14, 2008:* Regularized as a sales assistant.</w:t>
      </w:r>
    </w:p>
    <w:p>
      <w:pPr>
        <w:pStyle w:val="ListBullet"/>
      </w:pPr>
      <w:r>
        <w:t>*July 2010:* Promoted to sales agent, entitling her to a 2% commission.</w:t>
      </w:r>
    </w:p>
    <w:p>
      <w:pPr>
        <w:pStyle w:val="ListBullet"/>
      </w:pPr>
      <w:r>
        <w:t>*2011:* Issued a Toyota Avanza as a reward for sales performance, ownership retained by JUPP.</w:t>
      </w:r>
    </w:p>
    <w:p>
      <w:pPr>
        <w:pStyle w:val="ListBullet"/>
      </w:pPr>
      <w:r>
        <w:t>*February 4, 2013:* Asentista tendered her resignation.</w:t>
      </w:r>
    </w:p>
    <w:p>
      <w:pPr>
        <w:pStyle w:val="ListBullet"/>
      </w:pPr>
      <w:r>
        <w:t>*February 28, 2013:* Resignation became effective; she returned the vehicle.</w:t>
      </w:r>
    </w:p>
    <w:p>
      <w:pPr>
        <w:pStyle w:val="ListBullet"/>
      </w:pPr>
      <w:r>
        <w:t>*Post-Resignation:* Asentista filed a complaint with the Labor Arbiter (LA) for unpaid commissions totaling \(\text{P}210,077.95\).</w:t>
      </w:r>
    </w:p>
    <w:p>
      <w:pPr>
        <w:pStyle w:val="ListBullet"/>
      </w:pPr>
      <w:r>
        <w:t>*November 28, 2013:* LA dismissed the complaint, citing the employment agreement's silence on commissions and car plan refunds.</w:t>
      </w:r>
    </w:p>
    <w:p>
      <w:pPr>
        <w:pStyle w:val="ListBullet"/>
      </w:pPr>
      <w:r>
        <w:t>*November 28, 2014:* National Labor Relations Commission (NLRC) reversed the LA, ordering payment based on electronic messages proving the commission agreement.</w:t>
      </w:r>
    </w:p>
    <w:p>
      <w:pPr>
        <w:pStyle w:val="ListBullet"/>
      </w:pPr>
      <w:r>
        <w:t>*August 31, 2016:* Court of Appeals (CA) reversed the NLRC, reinstating the LA's dismissal.</w:t>
      </w:r>
    </w:p>
    <w:p>
      <w:pPr>
        <w:pStyle w:val="ListBullet"/>
      </w:pPr>
      <w:r>
        <w:t>*January 24, 2018:* Supreme Court granted Asentista's petition, reversing the CA and reinstating the NLRC's award.</w:t>
      </w:r>
    </w:p>
    <w:p>
      <w:pPr>
        <w:pStyle w:val="Heading4"/>
      </w:pPr>
      <w:r>
        <w:t>3. The Contract or Obligation</w:t>
      </w:r>
    </w:p>
    <w:p>
      <w:pPr>
        <w:pStyle w:val="ListBullet"/>
      </w:pPr>
      <w:r/>
      <w:r>
        <w:rPr>
          <w:b/>
        </w:rPr>
        <w:t>What was the original obligation?</w:t>
      </w:r>
      <w:r/>
    </w:p>
    <w:p>
      <w:r>
        <w:t>Under the framework of contract law (</w:t>
      </w:r>
      <w:r>
        <w:rPr>
          <w:b/>
        </w:rPr>
        <w:t>Article 1305</w:t>
      </w:r>
      <w:r>
        <w:t>), a contract is a meeting of minds between two persons whereby one binds himself to give something or to render some service to the other. The original obligation here was reciprocal: Asentista was obligated to render specialized sales services and hit quotas, while JUPP was obligated to remunerate her through a base salary and a 2% performance commission. Furthermore, the issuance of the vehicle created a bailment for the mutual benefit of both parties, primarily to facilitate the employer's business operations.</w:t>
      </w:r>
    </w:p>
    <w:p>
      <w:pPr>
        <w:pStyle w:val="ListBullet"/>
      </w:pPr>
      <w:r/>
      <w:r>
        <w:rPr>
          <w:b/>
        </w:rPr>
        <w:t>How was it breached?</w:t>
      </w:r>
      <w:r/>
    </w:p>
    <w:p>
      <w:r>
        <w:t xml:space="preserve">JUPP breached the contract by failing to deliver the agreed-upon remuneration. Furthermore, JUPP violated the principle of </w:t>
      </w:r>
      <w:r>
        <w:rPr>
          <w:b/>
        </w:rPr>
        <w:t>mutuality of contracts</w:t>
      </w:r>
      <w:r>
        <w:t xml:space="preserve"> (</w:t>
      </w:r>
      <w:r>
        <w:rPr>
          <w:b/>
        </w:rPr>
        <w:t>Article 1308</w:t>
      </w:r>
      <w:r>
        <w:t>), which mandates that the contract must bind both contracting parties and its validity or compliance cannot be left to the will of one of them. By unilaterally deciding that the previously issued company vehicle was subject to a "car plan participation" and "rental fees," and subsequently deducting \(\text{P}113,000.00\) and \(\text{P}68,721.36\) from Asentista's earned wages without her consent, JUPP committed a severe breach of contract and engaged in unjust enrichment.</w:t>
      </w:r>
    </w:p>
    <w:p>
      <w:pPr>
        <w:pStyle w:val="Heading4"/>
      </w:pPr>
      <w:r>
        <w:t>4. Legal Issues Raised</w:t>
      </w:r>
    </w:p>
    <w:p>
      <w:pPr>
        <w:pStyle w:val="ListBullet"/>
      </w:pPr>
      <w:r/>
      <w:r>
        <w:rPr>
          <w:b/>
        </w:rPr>
        <w:t>What were the core legal questions?</w:t>
      </w:r>
      <w:r/>
    </w:p>
    <w:p>
      <w:r>
        <w:t xml:space="preserve">1.  </w:t>
      </w:r>
      <w:r>
        <w:rPr>
          <w:i/>
        </w:rPr>
        <w:t>Contractual Silence vs. Actual Practice:</w:t>
      </w:r>
      <w:r>
        <w:t xml:space="preserve"> Does the absence of an express provision regarding sales commissions in the formal employment contract negate an employee's entitlement to them, even if electronic correspondence and actual practice suggest otherwise?.</w:t>
      </w:r>
    </w:p>
    <w:p>
      <w:r>
        <w:t xml:space="preserve">2.  </w:t>
      </w:r>
      <w:r>
        <w:rPr>
          <w:i/>
        </w:rPr>
        <w:t>Burden of Proof:</w:t>
      </w:r>
      <w:r>
        <w:t xml:space="preserve"> In civil and labor disputes involving monetary claims, does the burden of proof lie with the employee to prove non-payment, or with the employer to prove payment?.</w:t>
      </w:r>
    </w:p>
    <w:p>
      <w:r>
        <w:t xml:space="preserve">3.  </w:t>
      </w:r>
      <w:r>
        <w:rPr>
          <w:i/>
        </w:rPr>
        <w:t>Unjust Enrichment:</w:t>
      </w:r>
      <w:r>
        <w:t xml:space="preserve"> Can an employer validly retain installment payments or unilaterally deduct "rental fees" for a company vehicle from an employee's salary in the absence of a specific car plan agreement?.</w:t>
      </w:r>
    </w:p>
    <w:p>
      <w:pPr>
        <w:pStyle w:val="ListBullet"/>
      </w:pPr>
      <w:r/>
      <w:r>
        <w:rPr>
          <w:b/>
        </w:rPr>
        <w:t>What remedies were sought?</w:t>
      </w:r>
      <w:r/>
    </w:p>
    <w:p>
      <w:r>
        <w:t xml:space="preserve">Asentista sought </w:t>
      </w:r>
      <w:r>
        <w:rPr>
          <w:b/>
        </w:rPr>
        <w:t>specific performance</w:t>
      </w:r>
      <w:r>
        <w:t xml:space="preserve"> and </w:t>
      </w:r>
      <w:r>
        <w:rPr>
          <w:b/>
        </w:rPr>
        <w:t>damages</w:t>
      </w:r>
      <w:r>
        <w:t>—specifically, the payment of her unlawfully withheld sales commissions amounting to \(\text{P}210,077.95\), the refund of the unauthorized deductions, plus a ten percent (10%) monetary award for attorney's fees and the application of legal interest.</w:t>
      </w:r>
    </w:p>
    <w:p>
      <w:pPr>
        <w:pStyle w:val="Heading4"/>
      </w:pPr>
      <w:r>
        <w:t>5. Supreme Court Ruling</w:t>
      </w:r>
    </w:p>
    <w:p>
      <w:pPr>
        <w:pStyle w:val="ListBullet"/>
      </w:pPr>
      <w:r/>
      <w:r>
        <w:rPr>
          <w:b/>
        </w:rPr>
        <w:t>What did the SC decide?</w:t>
      </w:r>
      <w:r/>
    </w:p>
    <w:p>
      <w:r>
        <w:t>The Supreme Court ruled decisively in favor of Asentista. The Court held that the Court of Appeals erred in dismissing the claim merely because the formal employment agreement was silent on the sales commission. The SC noted that Ascutia's electronic messages sufficiently established the agreement. Crucially, the SC reaffirmed the doctrine that the burden of proving payment of monetary claims rests on the employer, not the employee. Because JUPP failed to present competent proof that it had paid the commissions, Asentista's claim was upheld. Furthermore, the Court ruled that JUPP's unilateral deduction of car plan participation and amortization payments constituted unjust enrichment, as the vehicle was used to further the performance of her functions as a sales agent.</w:t>
      </w:r>
    </w:p>
    <w:p>
      <w:pPr>
        <w:pStyle w:val="ListBullet"/>
      </w:pPr>
      <w:r/>
      <w:r>
        <w:rPr>
          <w:b/>
        </w:rPr>
        <w:t>What was the disposition?</w:t>
      </w:r>
      <w:r/>
    </w:p>
    <w:p>
      <w:r>
        <w:t xml:space="preserve">The Supreme Court </w:t>
      </w:r>
      <w:r>
        <w:rPr>
          <w:b/>
        </w:rPr>
        <w:t>GRANTED</w:t>
      </w:r>
      <w:r>
        <w:t xml:space="preserve"> the petition, REVERSED and SET ASIDE the CA Decision, and REINSTATED the NLRC Resolution. JUPP and Joseph V. Ascutia were ordered to jointly and solidarily pay Asentista her unpaid sales commissions in the amount of \(\text{P}210,077.95\), plus 10% as attorney's fees, subject to legal interest of 6% per annum from the finality of the decision until full payment.</w:t>
      </w:r>
    </w:p>
    <w:p>
      <w:pPr>
        <w:pStyle w:val="Heading4"/>
      </w:pPr>
      <w:r>
        <w:t>6. Key Doctrine / Civil Code Hook</w:t>
      </w:r>
    </w:p>
    <w:p>
      <w:pPr>
        <w:pStyle w:val="ListBullet"/>
      </w:pPr>
      <w:r/>
      <w:r>
        <w:rPr>
          <w:b/>
        </w:rPr>
        <w:t>State the applicable doctrinal rule:</w:t>
      </w:r>
      <w:r/>
    </w:p>
    <w:p>
      <w:r>
        <w:rPr>
          <w:i/>
        </w:rPr>
        <w:t>Burden of Proof in Monetary Claims:</w:t>
      </w:r>
      <w:r>
        <w:t xml:space="preserve"> "One who pleads payment has the burden of proving it." Once a claimant sets out with particularity the benefits they are entitled to, the burden rests on the defendant/employer to prove that payment has been made.</w:t>
      </w:r>
    </w:p>
    <w:p>
      <w:r>
        <w:rPr>
          <w:i/>
        </w:rPr>
        <w:t>Unjust Enrichment in Car Plans:</w:t>
      </w:r>
      <w:r>
        <w:t xml:space="preserve"> In the absence of specific terms governing a car plan agreement, an employer may not retain installment payments or deduct "rent" for the use of a service vehicle upon the employee's resignation. Any personal benefit obtained by the employee is merely incidental to the primary business purpose of the vehicle.</w:t>
      </w:r>
    </w:p>
    <w:p>
      <w:pPr>
        <w:pStyle w:val="ListBullet"/>
      </w:pPr>
      <w:r/>
      <w:r>
        <w:rPr>
          <w:b/>
        </w:rPr>
        <w:t>Which Civil Code articles were applied?</w:t>
      </w:r>
      <w:r/>
    </w:p>
    <w:p>
      <w:pPr>
        <w:pStyle w:val="ListBullet"/>
      </w:pPr>
      <w:r/>
      <w:r>
        <w:rPr>
          <w:b/>
        </w:rPr>
        <w:t>Article 22:</w:t>
      </w:r>
      <w:r>
        <w:t xml:space="preserve"> "Every person who through an act of performance by another, or any other means, acquires or comes into possession of something at the expense of the latter without just or legal ground, shall return the same to him." This was the primary hook to strike down the unauthorized deductions as quasi-contractual unjust enrichment.</w:t>
      </w:r>
    </w:p>
    <w:p>
      <w:pPr>
        <w:pStyle w:val="ListBullet"/>
      </w:pPr>
      <w:r/>
      <w:r>
        <w:rPr>
          <w:b/>
        </w:rPr>
        <w:t>Article 1169:</w:t>
      </w:r>
      <w:r>
        <w:t xml:space="preserve"> Pertaining to when an obligor incurs in delay (default), triggering the running of legal interest from the time of judicial or extrajudicial demand.</w:t>
      </w:r>
    </w:p>
    <w:p>
      <w:pPr>
        <w:pStyle w:val="ListBullet"/>
      </w:pPr>
      <w:r/>
      <w:r>
        <w:rPr>
          <w:b/>
        </w:rPr>
        <w:t>Title XVIII (Damages):</w:t>
      </w:r>
      <w:r>
        <w:t xml:space="preserve"> Applied to determine the measure of recoverable damages and the justification for the award of attorney's fees.</w:t>
      </w:r>
    </w:p>
    <w:p>
      <w:pPr>
        <w:pStyle w:val="Heading4"/>
      </w:pPr>
      <w:r>
        <w:t>7. Memory Anchor</w:t>
      </w:r>
    </w:p>
    <w:p>
      <w:pPr>
        <w:pStyle w:val="ListBullet"/>
      </w:pPr>
      <w:r/>
      <w:r>
        <w:rPr>
          <w:b/>
        </w:rPr>
        <w:t>Mnemonic/Story Hook:</w:t>
      </w:r>
      <w:r>
        <w:t xml:space="preserve"> *JUPP tried to charge Asentista "rent" to drive a company car while she was busy making them money—the Supreme Court said you can't deduct without an agreement, because the burden of proving payment is on the boss, and charging an employee to do their job is Unjust Enrichment.*</w:t>
      </w:r>
    </w:p>
    <w:p>
      <w:pPr>
        <w:spacing w:before="120" w:after="120"/>
        <w:pBdr>
          <w:bottom w:val="single" w:sz="4" w:space="1" w:color="CCCCCC"/>
        </w:pBdr>
      </w:pPr>
    </w:p>
    <w:p>
      <w:pPr>
        <w:pStyle w:val="Heading2"/>
      </w:pPr>
      <w:r>
        <w:t>MODULE 2E — Natural Obligations &amp; Estoppel (Arts. 1423–1424, 1431)</w:t>
      </w:r>
    </w:p>
    <w:p>
      <w:r>
        <w:t xml:space="preserve">This module transitions from the highly formalized realm of civil and labor contracts—as seen in </w:t>
      </w:r>
      <w:r>
        <w:rPr>
          <w:i/>
        </w:rPr>
        <w:t>Asentista v. Jupp</w:t>
      </w:r>
      <w:r>
        <w:t xml:space="preserve">—into the equitable doctrines of the Civil Code of the Philippines. While </w:t>
      </w:r>
      <w:r>
        <w:rPr>
          <w:i/>
        </w:rPr>
        <w:t>Asentista</w:t>
      </w:r>
      <w:r>
        <w:t xml:space="preserve"> dealt primarily with </w:t>
      </w:r>
      <w:r>
        <w:rPr>
          <w:b/>
        </w:rPr>
        <w:t>civil obligations</w:t>
      </w:r>
      <w:r>
        <w:t xml:space="preserve"> (obligations that give a right of action to compel their performance), the Civil Code also recognizes obligations based strictly on equity and natural law, as well as the preclusion of asserting rights through the doctrine of estoppel.</w:t>
      </w:r>
    </w:p>
    <w:p>
      <w:pPr>
        <w:pStyle w:val="Heading3"/>
      </w:pPr>
      <w:r>
        <w:t>I. Natural Obligations (Title III, Articles 1423–1430)</w:t>
      </w:r>
    </w:p>
    <w:p>
      <w:r>
        <w:t>The Philippine Civil Code classifies obligations into two primary categories based on their enforceability: civil obligations and natural obligations.</w:t>
      </w:r>
    </w:p>
    <w:p>
      <w:pPr>
        <w:pStyle w:val="Heading4"/>
      </w:pPr>
      <w:r>
        <w:t>A. Concept and Definition (Article 1423)</w:t>
      </w:r>
    </w:p>
    <w:p>
      <w:r>
        <w:rPr>
          <w:b/>
        </w:rPr>
        <w:t>Article 1423</w:t>
      </w:r>
      <w:r>
        <w:t xml:space="preserve"> provides the foundational definition:</w:t>
      </w:r>
    </w:p>
    <w:p>
      <w:pPr>
        <w:ind w:left="567"/>
      </w:pPr>
      <w:r>
        <w:rPr>
          <w:i/>
          <w:color w:val="555555"/>
        </w:rPr>
        <w:t>*"Obligations are civil or natural. Civil obligations give a right of action to compel their performance. Natural obligations, not being based on positive law but on equity and natural law, do not grant a right of action to enforce their performance, but after voluntary fulfillment by the obligor, they authorize the retention of what has been delivered or rendered by reason thereof."*</w:t>
      </w:r>
    </w:p>
    <w:p>
      <w:r>
        <w:t xml:space="preserve">A </w:t>
      </w:r>
      <w:r>
        <w:rPr>
          <w:b/>
        </w:rPr>
        <w:t>natural obligation</w:t>
      </w:r>
      <w:r>
        <w:t xml:space="preserve"> occupies a middle ground between a strictly moral obligation and a strictly civil obligation.</w:t>
      </w:r>
    </w:p>
    <w:p>
      <w:r>
        <w:t xml:space="preserve">1.  </w:t>
      </w:r>
      <w:r>
        <w:rPr>
          <w:b/>
        </w:rPr>
        <w:t>Moral Obligation:</w:t>
      </w:r>
      <w:r>
        <w:t xml:space="preserve"> Arises entirely from ethical duties or the dictates of conscience (e.g., the duty to give to charity). It has no legal consequence whatsoever.</w:t>
      </w:r>
    </w:p>
    <w:p>
      <w:r>
        <w:t xml:space="preserve">2.  </w:t>
      </w:r>
      <w:r>
        <w:rPr>
          <w:b/>
        </w:rPr>
        <w:t>Civil Obligation:</w:t>
      </w:r>
      <w:r>
        <w:t xml:space="preserve"> Arises from law, contracts, quasi-contracts, delicts, or quasi-delicts (Article 1157). It is backed by the coercive power of the State. If JUPP refuses to pay Asentista, she can sue to compel payment.</w:t>
      </w:r>
    </w:p>
    <w:p>
      <w:r>
        <w:t xml:space="preserve">3.  </w:t>
      </w:r>
      <w:r>
        <w:rPr>
          <w:b/>
        </w:rPr>
        <w:t>Natural Obligation:</w:t>
      </w:r>
      <w:r>
        <w:t xml:space="preserve"> An obligation that was originally civil but has lost its legal enforceability (usually due to prescription or technical legal defect), or an obligation that is binding in the forum of conscience but the law refuses to enforce directly. However, if the debtor </w:t>
      </w:r>
      <w:r>
        <w:rPr>
          <w:i/>
        </w:rPr>
        <w:t>voluntarily</w:t>
      </w:r>
      <w:r>
        <w:t xml:space="preserve"> performs the obligation, the law steps in to say that the creditor has the right to keep what was paid. The debtor cannot later sue to recover the payment under the guise of </w:t>
      </w:r>
      <w:r>
        <w:rPr>
          <w:i/>
        </w:rPr>
        <w:t>solutio indebiti</w:t>
      </w:r>
      <w:r>
        <w:t xml:space="preserve"> (payment by mistake).</w:t>
      </w:r>
    </w:p>
    <w:p>
      <w:r>
        <w:rPr>
          <w:b/>
        </w:rPr>
        <w:t>Requisites of a Natural Obligation:</w:t>
      </w:r>
    </w:p>
    <w:p>
      <w:r>
        <w:t>1.  There must be a juridical tie between two persons.</w:t>
      </w:r>
    </w:p>
    <w:p>
      <w:r>
        <w:t>2.  The tie must not be enforceable by court action (no right of action).</w:t>
      </w:r>
    </w:p>
    <w:p>
      <w:r>
        <w:t>3.  There must be voluntary fulfillment by the obligor (the debtor).</w:t>
      </w:r>
    </w:p>
    <w:p>
      <w:r>
        <w:t>4.  The fulfillment must be of an obligation based on equity and natural law.</w:t>
      </w:r>
    </w:p>
    <w:p>
      <w:pPr>
        <w:pStyle w:val="Heading4"/>
      </w:pPr>
      <w:r>
        <w:t>B. Voluntary Fulfillment of a Prescribed Action (Article 1424)</w:t>
      </w:r>
    </w:p>
    <w:p>
      <w:r>
        <w:rPr>
          <w:b/>
        </w:rPr>
        <w:t>Article 1424</w:t>
      </w:r>
      <w:r>
        <w:t xml:space="preserve"> illustrates the most common form of a natural obligation:</w:t>
      </w:r>
    </w:p>
    <w:p>
      <w:pPr>
        <w:ind w:left="567"/>
      </w:pPr>
      <w:r>
        <w:rPr>
          <w:i/>
          <w:color w:val="555555"/>
        </w:rPr>
        <w:t>*"When a right to sue upon a civil obligation has lapsed by extinctive prescription, the obligor who voluntarily performs the contract cannot recover what he has delivered or the value of the service he has rendered."*</w:t>
      </w:r>
    </w:p>
    <w:p>
      <w:r>
        <w:rPr>
          <w:b/>
        </w:rPr>
        <w:t>Application:</w:t>
      </w:r>
    </w:p>
    <w:p>
      <w:r>
        <w:t>Extinctive prescription refers to the loss of rights and actions through the passage of time. For instance, written contracts generally prescribe in ten (10) years (Article 1144).</w:t>
      </w:r>
    </w:p>
    <w:p>
      <w:pPr>
        <w:pStyle w:val="ListBullet"/>
      </w:pPr>
      <w:r>
        <w:t xml:space="preserve">  *Hypothetical scenario based on the case study:* Suppose Asentista waited 15 years to file her claim against JUPP for the \(\text{P}210,077.95\) in unpaid commissions. By the time she files, JUPP can successfully move to dismiss the case because the action has prescribed. The civil obligation has been extinguished.</w:t>
      </w:r>
    </w:p>
    <w:p>
      <w:pPr>
        <w:pStyle w:val="ListBullet"/>
      </w:pPr>
      <w:r>
        <w:t xml:space="preserve">  However, if Joseph V. Ascutia, feeling a moral duty to his former employee, *voluntarily* pays Asentista the \(\text{P}210,077.95\) after the 15-year mark, he transforms the prescribed civil obligation into a fulfilled natural obligation.</w:t>
      </w:r>
    </w:p>
    <w:p>
      <w:pPr>
        <w:pStyle w:val="ListBullet"/>
      </w:pPr>
      <w:r>
        <w:t xml:space="preserve">  If JUPP's board of directors later realizes the debt was prescribed and sues Asentista to recover the money, claiming it was paid by mistake, their suit will fail. Under Article 1424, the voluntary performance of a prescribed debt authorizes the creditor to retain what was paid.</w:t>
      </w:r>
    </w:p>
    <w:p>
      <w:r>
        <w:rPr>
          <w:b/>
        </w:rPr>
        <w:t>The Concept of "Voluntary Performance":</w:t>
      </w:r>
    </w:p>
    <w:p>
      <w:r>
        <w:t>For Article 1424 to apply, the payment must be voluntary. This means the obligor must have known that the debt was already prescribed, or at the very least, made the payment without being coerced by an active lawsuit that they could have otherwise defeated with the defense of prescription. If the payment was made through coercion, fraud, or a fundamental mistake of fact (believing the debt was not yet due), it may not constitute a valid fulfillment of a natural obligation, and the rules of quasi-contract (</w:t>
      </w:r>
      <w:r>
        <w:rPr>
          <w:i/>
        </w:rPr>
        <w:t>solutio indebiti</w:t>
      </w:r>
      <w:r>
        <w:t>) might allow for recovery.</w:t>
      </w:r>
    </w:p>
    <w:p>
      <w:pPr>
        <w:pStyle w:val="Heading4"/>
      </w:pPr>
      <w:r>
        <w:t>C. Other Examples of Natural Obligations (Arts. 1425–1430)</w:t>
      </w:r>
    </w:p>
    <w:p>
      <w:r>
        <w:t>While not explicitly requested in the prompt, understanding the broader context of Title III requires briefly noting the other scenarios the Code outlines:</w:t>
      </w:r>
    </w:p>
    <w:p>
      <w:pPr>
        <w:pStyle w:val="ListBullet"/>
      </w:pPr>
      <w:r>
        <w:t xml:space="preserve">  </w:t>
      </w:r>
      <w:r>
        <w:rPr>
          <w:b/>
        </w:rPr>
        <w:t>Article 1425:</w:t>
      </w:r>
      <w:r>
        <w:t xml:space="preserve"> Payment by a third person of a prescribed debt without the knowledge or against the will of the debtor. If the debtor later reimburses the third person voluntarily, the debtor cannot recover the reimbursement.</w:t>
      </w:r>
    </w:p>
    <w:p>
      <w:pPr>
        <w:pStyle w:val="ListBullet"/>
      </w:pPr>
      <w:r>
        <w:t xml:space="preserve">  </w:t>
      </w:r>
      <w:r>
        <w:rPr>
          <w:b/>
        </w:rPr>
        <w:t>Article 1428:</w:t>
      </w:r>
      <w:r>
        <w:t xml:space="preserve"> When the defendant wins a lawsuit against the plaintiff, but the defendant feels morally bound to still pay the plaintiff. Once paid voluntarily, the defendant cannot recover it.</w:t>
      </w:r>
    </w:p>
    <w:p>
      <w:pPr>
        <w:pStyle w:val="ListBullet"/>
      </w:pPr>
      <w:r>
        <w:t xml:space="preserve">  </w:t>
      </w:r>
      <w:r>
        <w:rPr>
          <w:b/>
        </w:rPr>
        <w:t>Article 1430:</w:t>
      </w:r>
      <w:r>
        <w:t xml:space="preserve"> When a will is declared void due to defective form, but the intestate heirs voluntarily pay a legacy stated in the void will.</w:t>
      </w:r>
    </w:p>
    <w:p>
      <w:pPr>
        <w:pStyle w:val="Heading3"/>
      </w:pPr>
      <w:r>
        <w:t>II. Estoppel (Title IV, Articles 1431–1439)</w:t>
      </w:r>
    </w:p>
    <w:p>
      <w:r>
        <w:t xml:space="preserve">While natural obligations deal with the retention of voluntary performance, </w:t>
      </w:r>
      <w:r>
        <w:rPr>
          <w:b/>
        </w:rPr>
        <w:t>estoppel</w:t>
      </w:r>
      <w:r>
        <w:t xml:space="preserve"> is an equitable doctrine designed to prevent a party from contradicting their own previous actions or representations to the prejudice of another who relied upon them.</w:t>
      </w:r>
    </w:p>
    <w:p>
      <w:pPr>
        <w:pStyle w:val="Heading4"/>
      </w:pPr>
      <w:r>
        <w:t>A. Concept and Definition (Article 1431)</w:t>
      </w:r>
    </w:p>
    <w:p>
      <w:r>
        <w:rPr>
          <w:b/>
        </w:rPr>
        <w:t>Article 1431</w:t>
      </w:r>
      <w:r>
        <w:t xml:space="preserve"> provides the statutory basis for estoppel in the Philippines:</w:t>
      </w:r>
    </w:p>
    <w:p>
      <w:pPr>
        <w:ind w:left="567"/>
      </w:pPr>
      <w:r>
        <w:rPr>
          <w:i/>
          <w:color w:val="555555"/>
        </w:rPr>
        <w:t>*"Through estoppel an admission or representation is rendered conclusive upon the person making it, and cannot be denied or disproved as against the person relying thereon."*</w:t>
      </w:r>
    </w:p>
    <w:p>
      <w:r>
        <w:t>Estoppel is an equitable defense. It prevents a person from speaking against their own act, representation, or commitment. Its fundamental purpose is to promote honesty, fair dealing, and to protect those who have reasonably relied upon the assertions of another.</w:t>
      </w:r>
    </w:p>
    <w:p>
      <w:r>
        <w:rPr>
          <w:b/>
        </w:rPr>
        <w:t>Intersecting Estoppel with *Asentista v. Jupp*:</w:t>
      </w:r>
    </w:p>
    <w:p>
      <w:r>
        <w:t xml:space="preserve">Although the Supreme Court primarily relied on Article 22 (Unjust Enrichment), principles closely aligned with estoppel were at play in the evidentiary phase of </w:t>
      </w:r>
      <w:r>
        <w:rPr>
          <w:i/>
        </w:rPr>
        <w:t>Asentista</w:t>
      </w:r>
      <w:r>
        <w:t>:</w:t>
      </w:r>
    </w:p>
    <w:p>
      <w:r>
        <w:t xml:space="preserve">1.  </w:t>
      </w:r>
      <w:r>
        <w:rPr>
          <w:b/>
        </w:rPr>
        <w:t>Estoppel by Record/Admission:</w:t>
      </w:r>
      <w:r>
        <w:t xml:space="preserve"> In the proceedings, the respondents (JUPP) submitted position papers wherein they essentially admitted that they deducted \(\text{P}113,000.00\) and \(\text{P}68,721.36\) for the car plan. Asentista argued that JUPP could no longer refute her entitlement to the base commission because JUPP's own accounting acknowledged that they had taken deductions </w:t>
      </w:r>
      <w:r>
        <w:rPr>
          <w:i/>
        </w:rPr>
        <w:t>from</w:t>
      </w:r>
      <w:r>
        <w:t xml:space="preserve"> that very commission. You cannot deduct from a fund you claim does not exist. Through their own admissions, JUPP was estopped from claiming that Asentista was entirely unentitled to supplementary remuneration.</w:t>
      </w:r>
    </w:p>
    <w:p>
      <w:pPr>
        <w:pStyle w:val="Heading4"/>
      </w:pPr>
      <w:r>
        <w:t>B. Kinds of Estoppel</w:t>
      </w:r>
    </w:p>
    <w:p>
      <w:r>
        <w:t>The Civil Code and prevailing jurisprudence generally classify estoppel into several categories:</w:t>
      </w:r>
    </w:p>
    <w:p>
      <w:r>
        <w:t xml:space="preserve">1.  </w:t>
      </w:r>
      <w:r>
        <w:rPr>
          <w:b/>
        </w:rPr>
        <w:t>Estoppel in Pais (Equitable Estoppel):</w:t>
      </w:r>
    </w:p>
    <w:p>
      <w:r>
        <w:t>This arises when a person, by his acts, representations, or admissions, or by his silence when he ought to speak out, intentionally or through culpable negligence, induces another to believe certain facts to exist and such other rightfully relies and acts on such belief, so that he will be prejudiced if the former is permitted to deny the existence of such facts.</w:t>
      </w:r>
    </w:p>
    <w:p>
      <w:pPr>
        <w:pStyle w:val="ListBullet"/>
      </w:pPr>
      <w:r>
        <w:t xml:space="preserve">  *Elements regarding the party estopped:* (a) Conduct amounting to false representation or concealment of material facts; (b) Intent or expectation that this conduct will be acted upon; (c) Knowledge, actual or constructive, of the real facts.</w:t>
      </w:r>
    </w:p>
    <w:p>
      <w:pPr>
        <w:pStyle w:val="ListBullet"/>
      </w:pPr>
      <w:r>
        <w:t xml:space="preserve">  *Elements regarding the party claiming estoppel:* (a) Lack of knowledge of the truth; (b) Reliance in good faith upon the conduct or statements; (c) Action or inaction based thereon of such a character as to change the position or status of the party claiming the estoppel, to his injury.</w:t>
      </w:r>
    </w:p>
    <w:p>
      <w:r>
        <w:t xml:space="preserve">2.  </w:t>
      </w:r>
      <w:r>
        <w:rPr>
          <w:b/>
        </w:rPr>
        <w:t>Estoppel by Deed:</w:t>
      </w:r>
    </w:p>
    <w:p>
      <w:r>
        <w:t>A party to a deed and his privies are precluded from denying any material fact stated in the deed as against the other party and his privies. For example, if a person sells a property they do not yet own via a deed of sale, and later acquires title to it, the title passes by operation of law to the buyer (Article 1434). The seller is estopped from claiming they didn't have the right to sell it at the time.</w:t>
      </w:r>
    </w:p>
    <w:p>
      <w:r>
        <w:t xml:space="preserve">3.  </w:t>
      </w:r>
      <w:r>
        <w:rPr>
          <w:b/>
        </w:rPr>
        <w:t>Estoppel by Laches:</w:t>
      </w:r>
    </w:p>
    <w:p>
      <w:r>
        <w:t>Laches is the failure or neglect, for an unreasonable and unexplained length of time, to do that which, by exercising due diligence, could or should have been done earlier. It is negligence or omission to assert a right within a reasonable time, warranting a presumption that the party entitled to assert it either has abandoned it or declined to assert it.</w:t>
      </w:r>
    </w:p>
    <w:p>
      <w:pPr>
        <w:pStyle w:val="ListBullet"/>
      </w:pPr>
      <w:r>
        <w:t xml:space="preserve">  *Distinction from Prescription:* Prescription is a matter of time set by statute (e.g., 10 years to sue on a contract). Laches is a matter of equity; it is not strictly bound by a specific number of years but by the inequity of permitting a claim to be enforced after the claimant's unreasonable delay has prejudiced the defendant.</w:t>
      </w:r>
    </w:p>
    <w:p>
      <w:pPr>
        <w:pStyle w:val="Heading4"/>
      </w:pPr>
      <w:r>
        <w:t>C. The Substantive Nature of Estoppel (Article 1432)</w:t>
      </w:r>
    </w:p>
    <w:p>
      <w:r>
        <w:rPr>
          <w:b/>
        </w:rPr>
        <w:t>Article 1432</w:t>
      </w:r>
      <w:r>
        <w:t xml:space="preserve"> provides: </w:t>
      </w:r>
      <w:r>
        <w:rPr>
          <w:i/>
        </w:rPr>
        <w:t>"The principles of estoppel are hereby adopted insofar as they are not in conflict with the provisions of this Code, the Code of Commerce, the Rules of Court and special laws."</w:t>
      </w:r>
    </w:p>
    <w:p>
      <w:r>
        <w:t xml:space="preserve">This article confirms that estoppel is a supplementary doctrine. It cannot be used to validate an act that is inherently prohibited by law or contrary to public policy. For instance, in labor law, an employee who signs a "quitclaim" or waiver of rights upon resignation is generally </w:t>
      </w:r>
      <w:r>
        <w:rPr>
          <w:b/>
        </w:rPr>
        <w:t>not estopped</w:t>
      </w:r>
      <w:r>
        <w:t xml:space="preserve"> from later suing for illegal dismissal or unpaid wages if the waiver was signed under duress or is contrary to labor standards. The State's interest in protecting labor supersedes the rigid application of estoppel in such unequal bargaining scenarios.</w:t>
      </w:r>
    </w:p>
    <w:p>
      <w:pPr>
        <w:pStyle w:val="Heading4"/>
      </w:pPr>
      <w:r>
        <w:t>Concluding Synthesis of Module 2E</w:t>
      </w:r>
    </w:p>
    <w:p>
      <w:r>
        <w:t>The doctrines of Natural Obligations and Estoppel function as the Civil Code's safety valves. When the rigid application of contract law (Arts. 1305-1422) or procedural prescriptions threaten to create a fundamentally unjust outcome, equity steps in. Natural obligations ensure that moral fulfillments are legally protected from recovery, validating the dictates of conscience. Estoppel ensures that parties must litigate and negotiate in good faith, binding them to their representations and preventing the weaponization of legal technicalities against those who have detrimentally relied upon them. Both concepts underscore the overarching principle of Article 19 of the Civil Code: that every person must, in the exercise of his rights and in the performance of his duties, act with justice, give everyone his due, and observe honesty and good faith.</w:t>
      </w:r>
    </w:p>
    <w:p>
      <w:pPr>
        <w:spacing w:before="120" w:after="120"/>
        <w:pBdr>
          <w:bottom w:val="single" w:sz="4" w:space="1" w:color="CCCCCC"/>
        </w:pBdr>
      </w:pPr>
    </w:p>
    <w:p>
      <w:pPr>
        <w:pStyle w:val="Heading2"/>
      </w:pPr>
      <w:r>
        <w:t>Case 30: Jandoc-Gatdula v. Dimalanta (2006) | G.R. No. 139503</w:t>
      </w:r>
    </w:p>
    <w:p>
      <w:pPr>
        <w:pStyle w:val="Heading2"/>
      </w:pPr>
      <w:r>
        <w:t>Comprehensive Analysis of Jandoc-Gatdula v. Dimalanta and the Equitable Framework of Natural Obligations</w:t>
      </w:r>
    </w:p>
    <w:p>
      <w:r>
        <w:rPr>
          <w:i/>
        </w:rPr>
        <w:t>Key Points:</w:t>
      </w:r>
    </w:p>
    <w:p>
      <w:pPr>
        <w:pStyle w:val="ListBullet"/>
      </w:pPr>
      <w:r>
        <w:t xml:space="preserve">  Research suggests that *Jandoc-Gatdula v. Dimalanta* (G.R. No. 139503) primarily applies the equitable doctrines of laches and estoppel to bar the recovery of real property, even when the initial contract of sale lacked mandatory executive approval and was technically void under statutory law.</w:t>
      </w:r>
    </w:p>
    <w:p>
      <w:pPr>
        <w:pStyle w:val="ListBullet"/>
      </w:pPr>
      <w:r>
        <w:t xml:space="preserve">  While the text of the Supreme Court decision does not explicitly invoke the statutory provisions of "natural obligations" (Civil Code, Arts. 1423–1424), it seems highly likely that legal scholars and bar reviewers study this case within that context because both legal concepts rely heavily on equity and natural justice to prevent the recovery of voluntarily delivered property after a prolonged period.</w:t>
      </w:r>
    </w:p>
    <w:p>
      <w:pPr>
        <w:pStyle w:val="ListBullet"/>
      </w:pPr>
      <w:r>
        <w:t xml:space="preserve">  The evidence leans toward the conclusion that a long, unexplained delay in asserting rights—in this instance, over 25 years—can render a legal claim stale, allowing equitable principles to override strict statutory defects in contracts.</w:t>
      </w:r>
    </w:p>
    <w:p>
      <w:r>
        <w:t xml:space="preserve">This report provides an exhaustive, academic examination of the Supreme Court of the Philippines' decision in </w:t>
      </w:r>
      <w:r>
        <w:rPr>
          <w:i/>
        </w:rPr>
        <w:t>Jandoc-Gatdula v. Dimalanta</w:t>
      </w:r>
      <w:r>
        <w:t xml:space="preserve"> (2006). The analysis synthesizes the factual background, procedural history, and supreme legal doctrines established by the Court. Furthermore, it directly answers the analytical query regarding the relationship between this ruling and the Philippine Civil Code's framework on Natural Obligations, providing an in-depth exploration of how equity, laches, and natural law intersect to remedy the rigidities of positive civil law.</w:t>
      </w:r>
    </w:p>
    <w:p>
      <w:pPr>
        <w:spacing w:before="120" w:after="120"/>
        <w:pBdr>
          <w:bottom w:val="single" w:sz="4" w:space="1" w:color="CCCCCC"/>
        </w:pBdr>
      </w:pPr>
    </w:p>
    <w:p>
      <w:pPr>
        <w:pStyle w:val="Heading3"/>
      </w:pPr>
      <w:r>
        <w:t>Jandoc-Gatdula v. Dimalanta (2006) | G.R. No. 139503</w:t>
      </w:r>
    </w:p>
    <w:p>
      <w:pPr>
        <w:pStyle w:val="Heading4"/>
      </w:pPr>
      <w:r>
        <w:t>1. The Parties</w:t>
      </w:r>
    </w:p>
    <w:p>
      <w:pPr>
        <w:pStyle w:val="ListBullet"/>
      </w:pPr>
      <w:r/>
      <w:r>
        <w:rPr>
          <w:b/>
        </w:rPr>
        <w:t>Petitioner (Jandoc-Gatdula):</w:t>
      </w:r>
      <w:r>
        <w:t xml:space="preserve"> Catalina Jandoc-Gatdula is the successor-in-interest (heir) of the late Manuela Jandoc. Manuela Jandoc, a member of the B'laan cultural community, was the original owner and seller of the unregistered land. Manuela voluntarily sold, delivered possession, and accepted payment for the property, and subsequently promised to formally convey the title to the buyer.</w:t>
      </w:r>
    </w:p>
    <w:p>
      <w:pPr>
        <w:pStyle w:val="ListBullet"/>
      </w:pPr>
      <w:r/>
      <w:r>
        <w:rPr>
          <w:b/>
        </w:rPr>
        <w:t>Respondent (Dimalanta):</w:t>
      </w:r>
      <w:r>
        <w:t xml:space="preserve"> Julio Dimalanta is the successor-in-interest of the late Vicenta Aguilar Vda. de Natividad (the buyer). Vicenta purchased the land, paid the consideration, took actual possession, and built improvements (a dwelling and a movie house) on the property.</w:t>
      </w:r>
    </w:p>
    <w:p>
      <w:pPr>
        <w:pStyle w:val="ListBullet"/>
      </w:pPr>
      <w:r/>
      <w:r>
        <w:rPr>
          <w:b/>
        </w:rPr>
        <w:t>Their relationship:</w:t>
      </w:r>
      <w:r>
        <w:t xml:space="preserve"> The underlying legal relationship was that of a Vendor and Vendee in a contract of sale of real property, which later devolved into a dispute between their respective heirs (successors-in-interest) over ownership and possession.</w:t>
      </w:r>
    </w:p>
    <w:p>
      <w:pPr>
        <w:pStyle w:val="Heading4"/>
      </w:pPr>
      <w:r>
        <w:t>2. Background &amp; Facts</w:t>
      </w:r>
    </w:p>
    <w:p>
      <w:pPr>
        <w:pStyle w:val="ListBullet"/>
      </w:pPr>
      <w:r/>
      <w:r>
        <w:rPr>
          <w:b/>
        </w:rPr>
        <w:t>What was the original obligation:</w:t>
      </w:r>
      <w:r>
        <w:t xml:space="preserve"> The original obligation arose from a Contract of Sale executed on December 6, 1948, where Manuela Jandoc sold 1,680 square meters of unregistered land in Dadiangas (now General Santos City) to Vicenta Natividad for a nominal consideration of P1.00 per square meter.</w:t>
      </w:r>
    </w:p>
    <w:p>
      <w:pPr>
        <w:pStyle w:val="ListBullet"/>
      </w:pPr>
      <w:r/>
      <w:r>
        <w:rPr>
          <w:b/>
        </w:rPr>
        <w:t>Why it became unenforceable/void:</w:t>
      </w:r>
      <w:r>
        <w:t xml:space="preserve"> The sale was legally void from the beginning because Manuela was an alleged member of a cultural minority (B'laan). Under Sections 145 and 146 of the Administrative Code of Mindanao and Sulu, contracts involving the sale of land by non-Christians or cultural minorities required executive approval (from the Commission on National Integration or the provincial governor) to be valid. This approval was never obtained.</w:t>
      </w:r>
    </w:p>
    <w:p>
      <w:pPr>
        <w:pStyle w:val="ListBullet"/>
      </w:pPr>
      <w:r/>
      <w:r>
        <w:rPr>
          <w:b/>
        </w:rPr>
        <w:t>Voluntary performance:</w:t>
      </w:r>
      <w:r>
        <w:t xml:space="preserve"> Despite the legal defect, Manuela voluntarily performed her end of the bargain by accepting the purchase price and delivering physical possession of the land to Vicenta. Vicenta openly possessed the land and built a dwelling and a movie house. Furthermore, in 1958, when Manuela applied to register her entire 2-hectare property, she actively dissuaded Vicenta from opposing the registration by executing affidavits promising to formally convey the 1,680 sqm portion once the title was issued.</w:t>
      </w:r>
    </w:p>
    <w:p>
      <w:pPr>
        <w:pStyle w:val="ListBullet"/>
      </w:pPr>
      <w:r/>
      <w:r>
        <w:rPr>
          <w:b/>
        </w:rPr>
        <w:t>Recovery attempt:</w:t>
      </w:r>
      <w:r>
        <w:t xml:space="preserve"> After securing the Original Certificate of Title (OCT No. 0-2677) in 1972, Manuela refused to honor her promise. After decades of litigation, Manuela's heir (Catalina) filed an action in 1987 to recover possession and ownership of the land, using the technicality that the 1948 sale was void.</w:t>
      </w:r>
    </w:p>
    <w:p>
      <w:pPr>
        <w:pStyle w:val="ListBullet"/>
      </w:pPr>
      <w:r/>
      <w:r>
        <w:rPr>
          <w:b/>
        </w:rPr>
        <w:t>Timeline of key events:</w:t>
      </w:r>
      <w:r/>
    </w:p>
    <w:p>
      <w:pPr>
        <w:pStyle w:val="ListBullet"/>
      </w:pPr>
      <w:r/>
      <w:r>
        <w:rPr>
          <w:b/>
        </w:rPr>
        <w:t>Dec 6, 1948:</w:t>
      </w:r>
      <w:r>
        <w:t xml:space="preserve"> Manuela sells the land to Vicenta.</w:t>
      </w:r>
    </w:p>
    <w:p>
      <w:pPr>
        <w:pStyle w:val="ListBullet"/>
      </w:pPr>
      <w:r/>
      <w:r>
        <w:rPr>
          <w:b/>
        </w:rPr>
        <w:t>Sep 10, 1958:</w:t>
      </w:r>
      <w:r>
        <w:t xml:space="preserve"> Manuela applies for land registration, inducing Vicenta not to oppose it.</w:t>
      </w:r>
    </w:p>
    <w:p>
      <w:pPr>
        <w:pStyle w:val="ListBullet"/>
      </w:pPr>
      <w:r/>
      <w:r>
        <w:rPr>
          <w:b/>
        </w:rPr>
        <w:t>1969:</w:t>
      </w:r>
      <w:r>
        <w:t xml:space="preserve"> Manuela executes affidavits acknowledging her promise to convey the land.</w:t>
      </w:r>
    </w:p>
    <w:p>
      <w:pPr>
        <w:pStyle w:val="ListBullet"/>
      </w:pPr>
      <w:r/>
      <w:r>
        <w:rPr>
          <w:b/>
        </w:rPr>
        <w:t>Mar 23, 1972:</w:t>
      </w:r>
      <w:r>
        <w:t xml:space="preserve"> OCT No. 0-2677 is issued to Manuela.</w:t>
      </w:r>
    </w:p>
    <w:p>
      <w:pPr>
        <w:pStyle w:val="ListBullet"/>
      </w:pPr>
      <w:r/>
      <w:r>
        <w:rPr>
          <w:b/>
        </w:rPr>
        <w:t>Feb 27, 1973:</w:t>
      </w:r>
      <w:r>
        <w:t xml:space="preserve"> Vicenta files Civil Case No. 1365 for specific performance.</w:t>
      </w:r>
    </w:p>
    <w:p>
      <w:pPr>
        <w:pStyle w:val="ListBullet"/>
      </w:pPr>
      <w:r/>
      <w:r>
        <w:rPr>
          <w:b/>
        </w:rPr>
        <w:t>1974-1981:</w:t>
      </w:r>
      <w:r>
        <w:t xml:space="preserve"> Courts debate the validity of the sale, culminating in a CA ruling (CA-G.R. No. 56268-R) declaring the 1948 sale void due to lack of executive approval.</w:t>
      </w:r>
    </w:p>
    <w:p>
      <w:pPr>
        <w:pStyle w:val="ListBullet"/>
      </w:pPr>
      <w:r/>
      <w:r>
        <w:rPr>
          <w:b/>
        </w:rPr>
        <w:t>Oct 28, 1987:</w:t>
      </w:r>
      <w:r>
        <w:t xml:space="preserve"> Catalina (Manuela's heir) files the present action to recover the property.</w:t>
      </w:r>
    </w:p>
    <w:p>
      <w:pPr>
        <w:pStyle w:val="ListBullet"/>
      </w:pPr>
      <w:r/>
      <w:r>
        <w:rPr>
          <w:b/>
        </w:rPr>
        <w:t>Jul 25, 2006:</w:t>
      </w:r>
      <w:r>
        <w:t xml:space="preserve"> The Supreme Court issues its decision barring Catalina's recovery.</w:t>
      </w:r>
    </w:p>
    <w:p>
      <w:pPr>
        <w:pStyle w:val="Heading4"/>
      </w:pPr>
      <w:r>
        <w:t>3. The Contract or Obligation</w:t>
      </w:r>
    </w:p>
    <w:p>
      <w:pPr>
        <w:pStyle w:val="ListBullet"/>
      </w:pPr>
      <w:r/>
      <w:r>
        <w:rPr>
          <w:b/>
        </w:rPr>
        <w:t>Type of obligation:</w:t>
      </w:r>
      <w:r>
        <w:t xml:space="preserve"> Originally, this was intended to be a *civil obligation* (a contract of sale). However, due to the lack of statutory executive approval, it was legally a void contract. Because of the voluntary performance and the passage of time, the retention of the property became shielded by equity, functioning analogously to a *natural obligation*.</w:t>
      </w:r>
    </w:p>
    <w:p>
      <w:pPr>
        <w:pStyle w:val="ListBullet"/>
      </w:pPr>
      <w:r/>
      <w:r>
        <w:rPr>
          <w:b/>
        </w:rPr>
        <w:t>Why it was classified as a natural obligation (in legal study):</w:t>
      </w:r>
      <w:r>
        <w:t xml:space="preserve"> While the Court technically applied the doctrines of *laches* and *estoppel*, the case is categorized under natural obligations in legal studies because the core principle is identical: an obligation that cannot be enforced in a court of positive law (due to being void or prescribed), but once voluntarily performed and relied upon, equity prevents the performing party from recovering what was delivered.</w:t>
      </w:r>
    </w:p>
    <w:p>
      <w:pPr>
        <w:pStyle w:val="ListBullet"/>
      </w:pPr>
      <w:r/>
      <w:r>
        <w:rPr>
          <w:b/>
        </w:rPr>
        <w:t>Was the voluntary performance valid and effective?</w:t>
      </w:r>
      <w:r>
        <w:t xml:space="preserve"> Yes. The Supreme Court held that Manuela's voluntary delivery of the land, her acceptance of payment, and her 25-year silence induced Vicenta to spend time and resources on the property. In equity, this performance was deemed effective to bar the seller from taking the land back.</w:t>
      </w:r>
    </w:p>
    <w:p>
      <w:pPr>
        <w:pStyle w:val="Heading4"/>
      </w:pPr>
      <w:r>
        <w:t>4. Legal Issues Raised</w:t>
      </w:r>
    </w:p>
    <w:p>
      <w:pPr>
        <w:pStyle w:val="ListBullet"/>
      </w:pPr>
      <w:r/>
      <w:r>
        <w:rPr>
          <w:b/>
        </w:rPr>
        <w:t>Is this a natural obligation?</w:t>
      </w:r>
      <w:r>
        <w:t xml:space="preserve"> In strict jurisprudential terms, it is a void contract barred by laches; however, conceptually and academically, it demonstrates the equitable mechanics of a natural obligation where voluntary performance overrides strict legal defects.</w:t>
      </w:r>
    </w:p>
    <w:p>
      <w:pPr>
        <w:pStyle w:val="ListBullet"/>
      </w:pPr>
      <w:r/>
      <w:r>
        <w:rPr>
          <w:b/>
        </w:rPr>
        <w:t>Can the party who voluntarily performed recover what they paid/delivered?</w:t>
      </w:r>
      <w:r>
        <w:t xml:space="preserve"> No. The central legal question was whether the petitioner's right to recover the property was rendered stale by laches. The Court answered in the affirmative.</w:t>
      </w:r>
    </w:p>
    <w:p>
      <w:pPr>
        <w:pStyle w:val="ListBullet"/>
      </w:pPr>
      <w:r/>
      <w:r>
        <w:rPr>
          <w:b/>
        </w:rPr>
        <w:t>Is the performance binding and irrecoverable?</w:t>
      </w:r>
      <w:r>
        <w:t xml:space="preserve"> Yes. The Court ruled that the long delay and the voluntary acts of the seller made the turnover of the property binding in equity, rendering it irrecoverable.</w:t>
      </w:r>
    </w:p>
    <w:p>
      <w:pPr>
        <w:pStyle w:val="Heading4"/>
      </w:pPr>
      <w:r>
        <w:t>5. Supreme Court Ruling</w:t>
      </w:r>
    </w:p>
    <w:p>
      <w:pPr>
        <w:pStyle w:val="ListBullet"/>
      </w:pPr>
      <w:r/>
      <w:r>
        <w:rPr>
          <w:b/>
        </w:rPr>
        <w:t>Classification of the obligation:</w:t>
      </w:r>
      <w:r>
        <w:t xml:space="preserve"> The Supreme Court classified the petitioner's claim to recover the property as a "stale demand" barred by laches and estoppel. The Court emphasized that while the law protects cultural minorities, it cannot be used blindly to perpetrate unfairness and injustice.</w:t>
      </w:r>
    </w:p>
    <w:p>
      <w:pPr>
        <w:pStyle w:val="ListBullet"/>
      </w:pPr>
      <w:r/>
      <w:r>
        <w:rPr>
          <w:b/>
        </w:rPr>
        <w:t>Can the performing party recover?</w:t>
      </w:r>
      <w:r>
        <w:t xml:space="preserve"> No. The petitioner (successor of the seller) was not allowed to recover the property, despite the original contract being technically void.</w:t>
      </w:r>
    </w:p>
    <w:p>
      <w:pPr>
        <w:pStyle w:val="ListBullet"/>
      </w:pPr>
      <w:r/>
      <w:r>
        <w:rPr>
          <w:b/>
        </w:rPr>
        <w:t>Disposition:</w:t>
      </w:r>
      <w:r>
        <w:t xml:space="preserve"> The Supreme Court DENIED the petition and AFFIRMED the rulings of the Court of Appeals and the Regional Trial Court, effectively upholding Dimalanta's (the buyer's successor) ownership and possession of the disputed property.</w:t>
      </w:r>
    </w:p>
    <w:p>
      <w:pPr>
        <w:pStyle w:val="Heading4"/>
      </w:pPr>
      <w:r>
        <w:t>6. Key Doctrine / Civil Code Hook</w:t>
      </w:r>
    </w:p>
    <w:p>
      <w:pPr>
        <w:pStyle w:val="ListBullet"/>
      </w:pPr>
      <w:r/>
      <w:r>
        <w:rPr>
          <w:b/>
        </w:rPr>
        <w:t>Definition and effect of natural obligations:</w:t>
      </w:r>
      <w:r>
        <w:t xml:space="preserve"> Under Article 1423 of the Civil Code, natural obligations are not based on positive law but on equity and natural law. They do not grant a right of action to enforce their performance. However, if they are voluntarily performed by the debtor, the debtor cannot recover what has been delivered or rendered.</w:t>
      </w:r>
    </w:p>
    <w:p>
      <w:pPr>
        <w:pStyle w:val="ListBullet"/>
      </w:pPr>
      <w:r/>
      <w:r>
        <w:rPr>
          <w:b/>
        </w:rPr>
        <w:t>Distinction:</w:t>
      </w:r>
      <w:r/>
    </w:p>
    <w:p>
      <w:pPr>
        <w:pStyle w:val="ListBullet"/>
      </w:pPr>
      <w:r>
        <w:t>*Civil Obligations:* Based on positive law; legally enforceable by court action.</w:t>
      </w:r>
    </w:p>
    <w:p>
      <w:pPr>
        <w:pStyle w:val="ListBullet"/>
      </w:pPr>
      <w:r>
        <w:t>*Natural Obligations:* Based on equity; not court-enforceable, but voluntary performance prevents recovery.</w:t>
      </w:r>
    </w:p>
    <w:p>
      <w:pPr>
        <w:pStyle w:val="ListBullet"/>
      </w:pPr>
      <w:r>
        <w:t>*Moral Obligations:* Based solely on conscience or cultural duty; entirely unenforceable and produce no legal effects even if performed (unless they rise to the level of a natural obligation).</w:t>
      </w:r>
    </w:p>
    <w:p>
      <w:pPr>
        <w:pStyle w:val="ListBullet"/>
      </w:pPr>
      <w:r/>
      <w:r>
        <w:rPr>
          <w:b/>
        </w:rPr>
        <w:t>State the rule:</w:t>
      </w:r>
      <w:r>
        <w:t xml:space="preserve"> Voluntary performance of a natural obligation, or the prolonged acquiescence to a void but fulfilled contract, cannot be recovered because equity and natural justice protect the existing state of affairs.</w:t>
      </w:r>
    </w:p>
    <w:p>
      <w:pPr>
        <w:pStyle w:val="ListBullet"/>
      </w:pPr>
      <w:r/>
      <w:r>
        <w:rPr>
          <w:b/>
        </w:rPr>
        <w:t>Civil Code articles applied:</w:t>
      </w:r>
      <w:r>
        <w:t xml:space="preserve"> While Arts. 1423 and 1424 form the academic backdrop, the Court applied the equitable principles of </w:t>
      </w:r>
      <w:r>
        <w:rPr>
          <w:b/>
        </w:rPr>
        <w:t>Laches</w:t>
      </w:r>
      <w:r>
        <w:t xml:space="preserve"> and </w:t>
      </w:r>
      <w:r>
        <w:rPr>
          <w:b/>
        </w:rPr>
        <w:t>Estoppel</w:t>
      </w:r>
      <w:r>
        <w:t xml:space="preserve"> (recognized under Civil Code Art. 1432) to achieve the same equitable end.</w:t>
      </w:r>
    </w:p>
    <w:p>
      <w:pPr>
        <w:pStyle w:val="Heading4"/>
      </w:pPr>
      <w:r>
        <w:t>7. Memory Anchor</w:t>
      </w:r>
    </w:p>
    <w:p>
      <w:pPr>
        <w:pStyle w:val="ListBullet"/>
      </w:pPr>
      <w:r/>
      <w:r>
        <w:rPr>
          <w:b/>
        </w:rPr>
        <w:t>Story Hook:</w:t>
      </w:r>
      <w:r>
        <w:t xml:space="preserve"> Manuela, a B'laan seller, sold her land for a peso and waited 25 years to yell "Void contract!" because the government didn't approve it. But the Supreme Court said, "Equity says it's too late!"—just like a natural obligation, once you voluntarily perform and let time pass, you can never take it back.</w:t>
      </w:r>
    </w:p>
    <w:p>
      <w:pPr>
        <w:spacing w:before="120" w:after="120"/>
        <w:pBdr>
          <w:bottom w:val="single" w:sz="4" w:space="1" w:color="CCCCCC"/>
        </w:pBdr>
      </w:pPr>
    </w:p>
    <w:p>
      <w:pPr>
        <w:pStyle w:val="Heading2"/>
      </w:pPr>
      <w:r>
        <w:t>Part I: The Jurisprudential Foundations of Equity and Obligations</w:t>
      </w:r>
    </w:p>
    <w:p>
      <w:r>
        <w:t xml:space="preserve">To fully comprehend the Supreme Court's ruling in </w:t>
      </w:r>
      <w:r>
        <w:rPr>
          <w:i/>
        </w:rPr>
        <w:t>Jandoc-Gatdula v. Dimalanta</w:t>
      </w:r>
      <w:r>
        <w:t>, it is imperative to establish the theoretical and statutory foundations of obligations in the Philippines. The Philippine Civil Code, heavily influenced by both the Spanish Civil Code of 1889 and American common law concepts of equity, creates a tiered system of obligations.</w:t>
      </w:r>
    </w:p>
    <w:p>
      <w:pPr>
        <w:pStyle w:val="Heading3"/>
      </w:pPr>
      <w:r>
        <w:t>The Tripartite Classification of Obligations</w:t>
      </w:r>
    </w:p>
    <w:p>
      <w:r>
        <w:t>Philippine civil law classifies duties and obligations into three distinct categories based on their enforceability and legal effects:</w:t>
      </w:r>
    </w:p>
    <w:p>
      <w:r>
        <w:t xml:space="preserve">1.  </w:t>
      </w:r>
      <w:r>
        <w:rPr>
          <w:b/>
        </w:rPr>
        <w:t>Civil Obligations:</w:t>
      </w:r>
      <w:r>
        <w:t xml:space="preserve"> Defined under Article 1156 of the Civil Code, a civil obligation is a juridical necessity to give, to do, or not to do. These obligations are grounded in positive law. They furnish the creditor or obligee with a right of action in a court of justice to compel performance or exact damages for breach.</w:t>
      </w:r>
    </w:p>
    <w:p>
      <w:r>
        <w:t xml:space="preserve">2.  </w:t>
      </w:r>
      <w:r>
        <w:rPr>
          <w:b/>
        </w:rPr>
        <w:t>Natural Obligations:</w:t>
      </w:r>
      <w:r>
        <w:t xml:space="preserve"> Situated in the "twilit land" between positive law and natural law, natural obligations (Article 1423) do not grant a right of action to enforce performance. They are founded on equity and natural justice. Their defining characteristic is that if the obligor voluntarily fulfills the obligation, the law recognizes the performance as valid, and the obligor is legally barred from demanding the return of what was delivered or paid.</w:t>
      </w:r>
    </w:p>
    <w:p>
      <w:r>
        <w:t xml:space="preserve">3.  </w:t>
      </w:r>
      <w:r>
        <w:rPr>
          <w:b/>
        </w:rPr>
        <w:t>Moral (Philosophical) Obligations:</w:t>
      </w:r>
      <w:r>
        <w:t xml:space="preserve"> These are duties dictated by conscience, religion, or societal norms. They hold no weight in positive law. As illustrated in the classic case of </w:t>
      </w:r>
      <w:r>
        <w:rPr>
          <w:i/>
        </w:rPr>
        <w:t>Ansay v. NDC</w:t>
      </w:r>
      <w:r>
        <w:t xml:space="preserve"> (G.R. No. 13667), the granting of a Christmas bonus is a moral obligation; an employer cannot be sued for failing to give it, and it does not rise to the level of a natural obligation.</w:t>
      </w:r>
    </w:p>
    <w:p>
      <w:pPr>
        <w:pStyle w:val="Heading3"/>
      </w:pPr>
      <w:r>
        <w:t>The Essence of Natural Obligations (Articles 1423-1430)</w:t>
      </w:r>
    </w:p>
    <w:p>
      <w:r>
        <w:t>The concept of the natural obligation traces its roots to Roman Law (</w:t>
      </w:r>
      <w:r>
        <w:rPr>
          <w:i/>
        </w:rPr>
        <w:t>obligatio naturalis</w:t>
      </w:r>
      <w:r>
        <w:t xml:space="preserve">), where certain contracts entered into by slaves or persons under </w:t>
      </w:r>
      <w:r>
        <w:rPr>
          <w:i/>
        </w:rPr>
        <w:t>patria potestas</w:t>
      </w:r>
      <w:r>
        <w:t xml:space="preserve"> were not civilly actionable but were recognized to the extent that voluntary payment could not be reclaimed (</w:t>
      </w:r>
      <w:r>
        <w:rPr>
          <w:i/>
        </w:rPr>
        <w:t>soluti retentio</w:t>
      </w:r>
      <w:r>
        <w:t>).</w:t>
      </w:r>
    </w:p>
    <w:p>
      <w:r>
        <w:t>In the Philippine Civil Code, Article 1423 expressly states:</w:t>
      </w:r>
    </w:p>
    <w:p>
      <w:pPr>
        <w:ind w:left="567"/>
      </w:pPr>
      <w:r>
        <w:rPr>
          <w:i/>
          <w:color w:val="555555"/>
        </w:rPr>
        <w:t>"Obligations are civil or natural. Civil obligations give a right of action to compel their performance. Natural obligations, not being based on positive law but on equity and natural law, do not grant a right of action to enforce their performance, but after voluntary fulfillment by the obligor, they authorize the retention of what has been delivered or rendered by reason thereof."</w:t>
      </w:r>
    </w:p>
    <w:p>
      <w:r>
        <w:t>Article 1424 provides a classic example:</w:t>
      </w:r>
    </w:p>
    <w:p>
      <w:pPr>
        <w:ind w:left="567"/>
      </w:pPr>
      <w:r>
        <w:rPr>
          <w:i/>
          <w:color w:val="555555"/>
        </w:rPr>
        <w:t>"When a right to sue upon a civil obligation has lapsed by extinctive prescription, the obligor who voluntarily performs the contract cannot recover what he has delivered or the value of the service he has rendered."</w:t>
      </w:r>
    </w:p>
    <w:p>
      <w:pPr>
        <w:pStyle w:val="Heading3"/>
      </w:pPr>
      <w:r>
        <w:t>Connecting Natural Obligations to Laches and Estoppel</w:t>
      </w:r>
    </w:p>
    <w:p>
      <w:r>
        <w:t xml:space="preserve">It is vital to address a common pedagogical reality in Philippine legal education. While the text of the </w:t>
      </w:r>
      <w:r>
        <w:rPr>
          <w:i/>
        </w:rPr>
        <w:t>Jandoc-Gatdula</w:t>
      </w:r>
      <w:r>
        <w:t xml:space="preserve"> decision resolves the conflict purely on the doctrines of laches and estoppel, the case is frequently anthologized and studied in the context of natural obligations. Why?</w:t>
      </w:r>
    </w:p>
    <w:p>
      <w:r>
        <w:t xml:space="preserve">Because the underlying jurisprudential DNA is identical. Both natural obligations and laches are mechanisms of </w:t>
      </w:r>
      <w:r>
        <w:rPr>
          <w:b/>
        </w:rPr>
        <w:t>equity</w:t>
      </w:r>
      <w:r>
        <w:t xml:space="preserve">. Equity serves as the corrective mechanism for the rigidities of positive law. In a natural obligation, a debt that is legally dead (due to prescription) is kept alive by equity if voluntarily paid. In </w:t>
      </w:r>
      <w:r>
        <w:rPr>
          <w:i/>
        </w:rPr>
        <w:t>Jandoc-Gatdula</w:t>
      </w:r>
      <w:r>
        <w:t xml:space="preserve">, a contract that was legally dead from the start (void for lack of executive approval) is kept alive by equity (laches) because the seller voluntarily performed it and allowed 25 years to pass. In both scenarios, the law says: </w:t>
      </w:r>
      <w:r>
        <w:rPr>
          <w:i/>
        </w:rPr>
        <w:t>Strict positive law gives you no right, but equity prevents you from undoing what you have voluntarily done.</w:t>
      </w:r>
    </w:p>
    <w:p>
      <w:pPr>
        <w:spacing w:before="120" w:after="120"/>
        <w:pBdr>
          <w:bottom w:val="single" w:sz="4" w:space="1" w:color="CCCCCC"/>
        </w:pBdr>
      </w:pPr>
    </w:p>
    <w:p>
      <w:pPr>
        <w:pStyle w:val="Heading2"/>
      </w:pPr>
      <w:r>
        <w:t>Part II: The Factual Matrix of Jandoc-Gatdula v. Dimalanta</w:t>
      </w:r>
    </w:p>
    <w:p>
      <w:r>
        <w:t xml:space="preserve">The narrative of </w:t>
      </w:r>
      <w:r>
        <w:rPr>
          <w:i/>
        </w:rPr>
        <w:t>Jandoc-Gatdula</w:t>
      </w:r>
      <w:r>
        <w:t xml:space="preserve"> spans over half a century, beginning in the post-war era of the Philippines, and highlights the complexities of land ownership involving cultural minorities.</w:t>
      </w:r>
    </w:p>
    <w:p>
      <w:pPr>
        <w:pStyle w:val="Heading3"/>
      </w:pPr>
      <w:r>
        <w:t>The 1948 Contract of Sale</w:t>
      </w:r>
    </w:p>
    <w:p>
      <w:r>
        <w:t>On December 6, 1948, the municipality of Buayan, Cotabato (now the highly urbanized General Santos City) was a sparsely populated, rustic backwater. Manuela Jandoc, the registered owner of a large tract of unregistered land and an alleged member of the B'laan cultural minority, entered into a contract of sale with Vicenta Aguilar Vda. de Natividad.</w:t>
      </w:r>
    </w:p>
    <w:p>
      <w:r>
        <w:t>The agreement involved the sale of a 1,680-square-meter portion of Manuela's land for the nominal price of P1.00 per square meter. The instrument of sale was drafted in Tagalog and notarized by Justice of the Peace Gavino Yapdiongco.</w:t>
      </w:r>
    </w:p>
    <w:p>
      <w:r>
        <w:t>Vicenta Natividad paid the consideration, and Manuela voluntarily surrendered possession of the property. Confident in her ownership, Vicenta not only established her dwelling on the property but also constructed and operated a movie house. For a decade, the transaction remained unquestioned.</w:t>
      </w:r>
    </w:p>
    <w:p>
      <w:pPr>
        <w:pStyle w:val="Heading3"/>
      </w:pPr>
      <w:r>
        <w:t>The 1958 Land Registration and the Promise to Convey</w:t>
      </w:r>
    </w:p>
    <w:p>
      <w:r>
        <w:t>On September 10, 1958, Manuela Jandoc filed an application for the registration of three parcels of land totaling two hectares under Land Registration Case No. N-78. Crucially, this application encompassed the 1,680-square-meter portion she had already sold to Vicenta Natividad in 1948.</w:t>
      </w:r>
    </w:p>
    <w:p>
      <w:r>
        <w:t>To prevent Vicenta from filing an opposition to the land registration proceedings—which would have delayed the issuance of the decree—Manuela approached Vicenta. Manuela actively dissuaded Vicenta from pursuing any opposition, explicitly promising that she would formally convey the title to the 1,680-square-meter portion to Vicenta as soon as the Original Certificate of Title (OCT) was issued.</w:t>
      </w:r>
    </w:p>
    <w:p>
      <w:r>
        <w:t>Relying in good faith on this promise, Vicenta refrained from opposing the registration. To further solidify this commitment, Manuela executed sworn affidavits in March and August of 1969, acknowledging her obligation to convey the land to Vicenta. Consequently, on March 23, 1972, OCT No. 0-2677 was issued in the name of Manuela Jandoc, covering the entire two-hectare property free of any formal encumbrance regarding Vicenta's portion.</w:t>
      </w:r>
    </w:p>
    <w:p>
      <w:pPr>
        <w:spacing w:before="120" w:after="120"/>
        <w:pBdr>
          <w:bottom w:val="single" w:sz="4" w:space="1" w:color="CCCCCC"/>
        </w:pBdr>
      </w:pPr>
    </w:p>
    <w:p>
      <w:pPr>
        <w:pStyle w:val="Heading2"/>
      </w:pPr>
      <w:r>
        <w:t>Part III: The Decades of Litigation</w:t>
      </w:r>
    </w:p>
    <w:p>
      <w:r>
        <w:t>Once the title was secured, Manuela reneged on her promise. Despite repeated demands from Vicenta to honor the conveyance, Manuela refused, forcing Vicenta to seek judicial intervention.</w:t>
      </w:r>
    </w:p>
    <w:p>
      <w:pPr>
        <w:pStyle w:val="Heading3"/>
      </w:pPr>
      <w:r>
        <w:t>The First Lawsuit: Civil Case No. 1365 (Specific Performance)</w:t>
      </w:r>
    </w:p>
    <w:p>
      <w:r>
        <w:t>On February 27, 1973, Vicenta Natividad filed Civil Case No. 1365 for specific performance and reconveyance before the Court of First Instance (CFI) of South Cotabato.</w:t>
      </w:r>
    </w:p>
    <w:p>
      <w:r>
        <w:t xml:space="preserve">It was in this proceeding that Manuela mounted her primary legal defense: the </w:t>
      </w:r>
      <w:r>
        <w:rPr>
          <w:b/>
        </w:rPr>
        <w:t>nullity of the 1948 contract of sale</w:t>
      </w:r>
      <w:r>
        <w:t>. Manuela argued that because she was a member of the B'laan cultural community, the sale of her land required executive approval under the Administrative Code of Mindanao and Sulu.</w:t>
      </w:r>
    </w:p>
    <w:p>
      <w:pPr>
        <w:pStyle w:val="Heading4"/>
      </w:pPr>
      <w:r>
        <w:t>The Administrative Code of Mindanao and Sulu (Sections 145 &amp; 146)</w:t>
      </w:r>
    </w:p>
    <w:p>
      <w:r>
        <w:t>To understand Manuela's defense, one must look at the historical legislation protecting cultural minorities in the Philippines. Sections 145 and 146 of the Administrative Code of Mindanao and Sulu mandated that any contract or conveyance of real property by a "non-Christian" or member of a national cultural minority must be approved by the provincial governor or the Commission on National Integration to be valid.</w:t>
      </w:r>
    </w:p>
    <w:p>
      <w:r>
        <w:t xml:space="preserve">The legislative intent behind this requirement was paternalistic: to protect illiterate or marginalized ethnic minorities from being defrauded or exploited by more educated individuals in land transactions. Because the 1948 sale between Manuela and Vicenta never received this executive approval, Manuela argued the contract was void </w:t>
      </w:r>
      <w:r>
        <w:rPr>
          <w:i/>
        </w:rPr>
        <w:t>ab initio</w:t>
      </w:r>
      <w:r>
        <w:t xml:space="preserve"> (from the beginning).</w:t>
      </w:r>
    </w:p>
    <w:p>
      <w:pPr>
        <w:pStyle w:val="Heading4"/>
      </w:pPr>
      <w:r>
        <w:t>The Court Rulings in the First Lawsuit</w:t>
      </w:r>
    </w:p>
    <w:p>
      <w:r>
        <w:t xml:space="preserve">1.  </w:t>
      </w:r>
      <w:r>
        <w:rPr>
          <w:b/>
        </w:rPr>
        <w:t>CFI Ruling (1974):</w:t>
      </w:r>
      <w:r>
        <w:t xml:space="preserve"> The trial court ruled in favor of Vicenta, ordering Manuela to execute a registrable deed of conveyance.</w:t>
      </w:r>
    </w:p>
    <w:p>
      <w:r>
        <w:t xml:space="preserve">2.  </w:t>
      </w:r>
      <w:r>
        <w:rPr>
          <w:b/>
        </w:rPr>
        <w:t>Court of Appeals Ruling (CA-G.R. No. 56268-R):</w:t>
      </w:r>
      <w:r>
        <w:t xml:space="preserve"> Manuela appealed. The appellate court reversed the CFI's decision. The CA agreed with Manuela's defense, confirming her status as a member of the B'laan community and declaring the 1948 Contract of Sale strictly </w:t>
      </w:r>
      <w:r>
        <w:rPr>
          <w:b/>
        </w:rPr>
        <w:t>void</w:t>
      </w:r>
      <w:r>
        <w:t xml:space="preserve"> for lack of executive approval. The complaint of Vicenta was dismissed.</w:t>
      </w:r>
    </w:p>
    <w:p>
      <w:r>
        <w:t xml:space="preserve">3.  </w:t>
      </w:r>
      <w:r>
        <w:rPr>
          <w:b/>
        </w:rPr>
        <w:t>Supreme Court:</w:t>
      </w:r>
      <w:r>
        <w:t xml:space="preserve"> Vicenta appealed to the Supreme Court, but her appeal was denied, rendering the CA decision (that the sale was void) final and executory.</w:t>
      </w:r>
    </w:p>
    <w:p>
      <w:r>
        <w:t>During this appellate process, both original parties passed away. Vicenta died on October 5, 1977, and was substituted by Julio Dimalanta. Manuela died on July 28, 1980, and was substituted by Catalina Jandoc-Gatdula.</w:t>
      </w:r>
    </w:p>
    <w:p>
      <w:pPr>
        <w:pStyle w:val="Heading3"/>
      </w:pPr>
      <w:r>
        <w:t>The Second Lawsuit: The Present Case (G.R. No. 139503)</w:t>
      </w:r>
    </w:p>
    <w:p>
      <w:r>
        <w:t>Armed with the final decision declaring the 1948 sale void, Catalina Jandoc-Gatdula (Manuela's heir) filed an Omnibus Motion for a Writ of Execution to evict Julio Dimalanta. The trial court denied this motion, stating that a mere dismissal of Vicenta's complaint did not automatically grant Manuela the right to possess the land; Catalina had to file a separate action for recovery.</w:t>
      </w:r>
    </w:p>
    <w:p>
      <w:r>
        <w:t>Thus, on October 28, 1987, Catalina instituted a formal action for the recovery of possession and ownership of the real property against Julio Dimalanta.</w:t>
      </w:r>
    </w:p>
    <w:p>
      <w:pPr>
        <w:pStyle w:val="Heading4"/>
      </w:pPr>
      <w:r>
        <w:t>The Defense of Laches</w:t>
      </w:r>
    </w:p>
    <w:p>
      <w:r>
        <w:t xml:space="preserve">Julio Dimalanta's defense rested entirely on equity. Even if the contract was technically void as declared by the appellate court, Dimalanta argued that Catalina was barred by </w:t>
      </w:r>
      <w:r>
        <w:rPr>
          <w:b/>
        </w:rPr>
        <w:t>laches</w:t>
      </w:r>
      <w:r>
        <w:t xml:space="preserve"> from recovering the property. Vicenta and her heirs had been in open, continuous, and peaceful possession of the land since 1948—a period of nearly 40 years by the time the 1987 suit was filed.</w:t>
      </w:r>
    </w:p>
    <w:p>
      <w:pPr>
        <w:pStyle w:val="Heading4"/>
      </w:pPr>
      <w:r>
        <w:t>Lower Court Rulings in the Present Case</w:t>
      </w:r>
    </w:p>
    <w:p>
      <w:r>
        <w:t xml:space="preserve">1.  </w:t>
      </w:r>
      <w:r>
        <w:rPr>
          <w:b/>
        </w:rPr>
        <w:t>Regional Trial Court (RTC):</w:t>
      </w:r>
      <w:r>
        <w:t xml:space="preserve"> The RTC dismissed Catalina's complaint and upheld Dimalanta's counterclaim. The trial court declared Dimalanta the absolute owner of the disputed property in equity and directed Catalina to convey the title. The RTC noted that Manuela acted in bad faith by hiding behind her cultural minority status to circumvent her obligations.</w:t>
      </w:r>
    </w:p>
    <w:p>
      <w:r>
        <w:t xml:space="preserve">2.  </w:t>
      </w:r>
      <w:r>
        <w:rPr>
          <w:b/>
        </w:rPr>
        <w:t>Court of Appeals (CA-G.R. CV No. 47405):</w:t>
      </w:r>
      <w:r>
        <w:t xml:space="preserve"> The CA affirmed the RTC's decision on November 25, 1998. The appellate court firmly declared that whether under the doctrine of estoppel or laches, Manuela (and her heir) could not be allowed to circumvent a long-overdue obligation by the simple expedient of claiming membership in a cultural community.</w:t>
      </w:r>
    </w:p>
    <w:p>
      <w:r>
        <w:t>Catalina appealed to the Supreme Court, raising the lone issue of whether her rights over the property were rendered stale by laches.</w:t>
      </w:r>
    </w:p>
    <w:p>
      <w:pPr>
        <w:spacing w:before="120" w:after="120"/>
        <w:pBdr>
          <w:bottom w:val="single" w:sz="4" w:space="1" w:color="CCCCCC"/>
        </w:pBdr>
      </w:pPr>
    </w:p>
    <w:p>
      <w:pPr>
        <w:pStyle w:val="Heading2"/>
      </w:pPr>
      <w:r>
        <w:t>Part IV: The Supreme Court's Doctrinal Pronouncements</w:t>
      </w:r>
    </w:p>
    <w:p>
      <w:r>
        <w:t>In a decision penned by then-Chief Justice Artemio Panganiban, the Supreme Court First Division definitively resolved the conflict on July 25, 2006, ruling in favor of the respondent, Julio Dimalanta.</w:t>
      </w:r>
    </w:p>
    <w:p>
      <w:pPr>
        <w:pStyle w:val="Heading3"/>
      </w:pPr>
      <w:r>
        <w:t>The Application of Laches</w:t>
      </w:r>
    </w:p>
    <w:p>
      <w:r>
        <w:t xml:space="preserve">The Supreme Court affirmed that </w:t>
      </w:r>
      <w:r>
        <w:rPr>
          <w:b/>
        </w:rPr>
        <w:t>laches</w:t>
      </w:r>
      <w:r>
        <w:t xml:space="preserve"> barred the recovery of the real property. Laches is defined as the failure or neglect, for an unreasonable and unexplained length of time, to do that which, by exercising due diligence, could or should have been done earlier.</w:t>
      </w:r>
    </w:p>
    <w:p>
      <w:r>
        <w:t>The Court articulated a powerful equitable doctrine that resonates deeply with the rationale behind natural obligations:</w:t>
      </w:r>
    </w:p>
    <w:p>
      <w:pPr>
        <w:ind w:left="567"/>
      </w:pPr>
      <w:r>
        <w:rPr>
          <w:i/>
          <w:color w:val="555555"/>
        </w:rPr>
        <w:t>"Courts can not look with favor at parties who, by their silence, delay and inaction, knowingly induce another to spend time, effort and expense in cultivating the land, paying taxes and making improvements thereon for 30 long years, only to spring from ambush and claim title when the possessor's efforts and the rise of land values offer an opportunity to make easy profit at his expense."</w:t>
      </w:r>
    </w:p>
    <w:p>
      <w:r>
        <w:t>The Court emphasized the timeline: Manuela sold the land in 1948, allowed Vicenta to build a house and a movie theater, induced Vicenta to drop her legal opposition in 1958 with promises to convey the title, executed affidavits affirming this promise in 1969, and only raised the defense of a void contract in 1973 when Vicenta sued her. This calculated silence and delay for 25 years (from 1948 to 1973) constituted classic laches.</w:t>
      </w:r>
    </w:p>
    <w:p>
      <w:pPr>
        <w:pStyle w:val="Heading3"/>
      </w:pPr>
      <w:r>
        <w:t>Reconciling Void Contracts with Equity</w:t>
      </w:r>
    </w:p>
    <w:p>
      <w:r>
        <w:t>A fundamental principle of civil law is that a void contract produces no legal effect, and an action to declare the inexistence of a void contract does not prescribe. How, then, did the Court allow Dimalanta to retain the property based on a void sale?</w:t>
      </w:r>
    </w:p>
    <w:p>
      <w:r>
        <w:t>The Court relied on a long line of jurisprudence establishing that while a person may not acquire title to registered property through continuous adverse possession (prescription), the registered owner may nevertheless lose their right to recover possession of the property by reason of laches.</w:t>
      </w:r>
    </w:p>
    <w:p>
      <w:r>
        <w:t>Specifically addressing the Administrative Code of Mindanao and Sulu, the Court ruled:</w:t>
      </w:r>
    </w:p>
    <w:p>
      <w:pPr>
        <w:ind w:left="567"/>
      </w:pPr>
      <w:r>
        <w:rPr>
          <w:i/>
          <w:color w:val="555555"/>
        </w:rPr>
        <w:t>"While the purpose of the law in requiring executive approval of contracts entered into by cultural minorities is indeed to protect them, this Court cannot blindly apply that law without considering how the parties exercised their rights and obligations. The strict letter of the law can never be at the expense of fairness, equity and justice."</w:t>
      </w:r>
    </w:p>
    <w:p>
      <w:r>
        <w:t xml:space="preserve">The Court cited similar cases, such as </w:t>
      </w:r>
      <w:r>
        <w:rPr>
          <w:i/>
        </w:rPr>
        <w:t>Heirs of Dicman v. Cariño</w:t>
      </w:r>
      <w:r>
        <w:t>, where a deed of conveyance by an ethnic minority lacking executive approval was upheld because the right to recover had been barred through the operation of laches.</w:t>
      </w:r>
    </w:p>
    <w:p>
      <w:pPr>
        <w:spacing w:before="120" w:after="120"/>
        <w:pBdr>
          <w:bottom w:val="single" w:sz="4" w:space="1" w:color="CCCCCC"/>
        </w:pBdr>
      </w:pPr>
    </w:p>
    <w:p>
      <w:pPr>
        <w:pStyle w:val="Heading2"/>
      </w:pPr>
      <w:r>
        <w:t>Part V: Academic Synthesis: Jandoc-Gatdula as a "Natural Obligation" Paradigm</w:t>
      </w:r>
    </w:p>
    <w:p>
      <w:r>
        <w:t>To fulfill the specific inquiry regarding the Civil Code context of natural obligations (Arts. 1423–1424), it is critical to perform a theoretical synthesis. Why is a case decided explicitly on laches and estoppel categorized under natural obligations in civil law studies?</w:t>
      </w:r>
    </w:p>
    <w:p>
      <w:pPr>
        <w:pStyle w:val="Heading3"/>
      </w:pPr>
      <w:r>
        <w:t>The Interplay of Article 1423, Article 1432, and Laches</w:t>
      </w:r>
    </w:p>
    <w:p>
      <w:r>
        <w:t>As previously established, a natural obligation exists where positive law provides no remedy, but equity demands that a voluntary performance be respected and retained.</w:t>
      </w:r>
    </w:p>
    <w:p>
      <w:r>
        <w:t>Article 1432 of the Civil Code states:</w:t>
      </w:r>
    </w:p>
    <w:p>
      <w:pPr>
        <w:ind w:left="567"/>
      </w:pPr>
      <w:r>
        <w:rPr>
          <w:i/>
          <w:color w:val="555555"/>
        </w:rPr>
        <w:t>"The principles of estoppel are hereby adopted insofar as they are not in conflict with the provisions of this Code, the Code of Commerce, the Rules of Court and special laws."</w:t>
      </w:r>
    </w:p>
    <w:p>
      <w:r>
        <w:t xml:space="preserve">In </w:t>
      </w:r>
      <w:r>
        <w:rPr>
          <w:i/>
        </w:rPr>
        <w:t>Jandoc-Gatdula</w:t>
      </w:r>
      <w:r>
        <w:t xml:space="preserve">, positive law (the Administrative Code) provided that the sale was void. Under strict civil law, Manuela had the right to recover the land because a void contract cannot transfer ownership. However, Manuela </w:t>
      </w:r>
      <w:r>
        <w:rPr>
          <w:i/>
        </w:rPr>
        <w:t>voluntarily performed</w:t>
      </w:r>
      <w:r>
        <w:t xml:space="preserve"> the void contract by accepting the money and delivering the land. She allowed 25 years to pass while Vicenta relied on this performance.</w:t>
      </w:r>
    </w:p>
    <w:p>
      <w:r>
        <w:t>If we apply the exact wording of the effects of a natural obligation (Article 1423): "...after voluntary fulfillment by the obligor, they authorize the retention of what has been delivered or rendered by reason thereof".</w:t>
      </w:r>
    </w:p>
    <w:p>
      <w:r>
        <w:t xml:space="preserve">This is exactly what the Supreme Court authorized in </w:t>
      </w:r>
      <w:r>
        <w:rPr>
          <w:i/>
        </w:rPr>
        <w:t>Jandoc-Gatdula</w:t>
      </w:r>
      <w:r>
        <w:t xml:space="preserve">. The Court authorized Julio Dimalanta to </w:t>
      </w:r>
      <w:r>
        <w:rPr>
          <w:b/>
        </w:rPr>
        <w:t>retain</w:t>
      </w:r>
      <w:r>
        <w:t xml:space="preserve"> what had been delivered to his predecessor. The mechanism the Court used was </w:t>
      </w:r>
      <w:r>
        <w:rPr>
          <w:i/>
        </w:rPr>
        <w:t>laches</w:t>
      </w:r>
      <w:r>
        <w:t xml:space="preserve">, but the jurisprudential heart of the ruling is the essence of a </w:t>
      </w:r>
      <w:r>
        <w:rPr>
          <w:i/>
        </w:rPr>
        <w:t>natural obligation</w:t>
      </w:r>
      <w:r>
        <w:t>: equity shielding a voluntary performance from being undone by a strict, merciless application of positive law.</w:t>
      </w:r>
    </w:p>
    <w:p>
      <w:pPr>
        <w:pStyle w:val="Heading3"/>
      </w:pPr>
      <w:r>
        <w:t>Table: Comparing the Doctrines</w:t>
      </w:r>
    </w:p>
    <w:p>
      <w:r>
        <w:t xml:space="preserve">| Legal Concept | Source of Rule | Enforceability in Court | Effect of Voluntary Performance | Application in </w:t>
      </w:r>
      <w:r>
        <w:rPr>
          <w:i/>
        </w:rPr>
        <w:t>Jandoc-Gatdula</w:t>
      </w:r>
      <w:r>
        <w:t xml:space="preserve"> |</w:t>
      </w:r>
    </w:p>
    <w:p>
      <w:r>
        <w:t>| :--- | :--- | :--- | :--- | :--- |</w:t>
      </w:r>
    </w:p>
    <w:p>
      <w:r>
        <w:t xml:space="preserve">| </w:t>
      </w:r>
      <w:r>
        <w:rPr>
          <w:b/>
        </w:rPr>
        <w:t>Civil Obligation</w:t>
      </w:r>
      <w:r>
        <w:t xml:space="preserve"> | Positive Law (Art. 1156) | Fully enforceable | Extinguishes the obligation | The 1948 sale failed as a civil obligation due to statutory nullity. |</w:t>
      </w:r>
    </w:p>
    <w:p>
      <w:r>
        <w:t xml:space="preserve">| </w:t>
      </w:r>
      <w:r>
        <w:rPr>
          <w:b/>
        </w:rPr>
        <w:t>Natural Obligation</w:t>
      </w:r>
      <w:r>
        <w:t xml:space="preserve"> | Equity / Natural Law (Art. 1423) | Not enforceable | Precludes recovery of what was delivered | Academically analogous: Voluntary delivery of the land precluded its recovery. |</w:t>
      </w:r>
    </w:p>
    <w:p>
      <w:r>
        <w:t xml:space="preserve">| </w:t>
      </w:r>
      <w:r>
        <w:rPr>
          <w:b/>
        </w:rPr>
        <w:t>Laches / Estoppel</w:t>
      </w:r>
      <w:r>
        <w:t xml:space="preserve"> | Equity (Art. 1432) | Operates as a defense (bar) | Prolonged inaction/reliance precludes asserting legal rights | The direct doctrine applied by the SC to bar the seller from reclaiming the land. |</w:t>
      </w:r>
    </w:p>
    <w:p>
      <w:pPr>
        <w:pStyle w:val="Heading3"/>
      </w:pPr>
      <w:r>
        <w:t>The Policy Balance: Protection vs. Unjust Enrichment</w:t>
      </w:r>
    </w:p>
    <w:p>
      <w:r>
        <w:t xml:space="preserve">The </w:t>
      </w:r>
      <w:r>
        <w:rPr>
          <w:i/>
        </w:rPr>
        <w:t>Jandoc-Gatdula</w:t>
      </w:r>
      <w:r>
        <w:t xml:space="preserve"> ruling perfectly illustrates the tension between two competing legal policies. On one hand, the State has a profound interest in protecting cultural minorities from systemic exploitation. Laws requiring executive approval for land sales were enacted precisely because minorities were often defrauded of their ancestral lands.</w:t>
      </w:r>
    </w:p>
    <w:p>
      <w:r>
        <w:t>On the other hand, the legal system abhors unjust enrichment and protects the stability of property rights. Allowing Manuela to invoke her cultural minority status to invalidate a sale 25 years after she willingly accepted the purchase price, allowed the buyer to build a movie theater, and actively promised to convey the title, would turn a protective shield into a sword for fraud.</w:t>
      </w:r>
    </w:p>
    <w:p>
      <w:r>
        <w:t>As the Court poignantly declared, "The strict letter of the law can never be at the expense of fairness, equity and justice".</w:t>
      </w:r>
    </w:p>
    <w:p>
      <w:pPr>
        <w:spacing w:before="120" w:after="120"/>
        <w:pBdr>
          <w:bottom w:val="single" w:sz="4" w:space="1" w:color="CCCCCC"/>
        </w:pBdr>
      </w:pPr>
    </w:p>
    <w:p>
      <w:pPr>
        <w:pStyle w:val="Heading2"/>
      </w:pPr>
      <w:r>
        <w:t>Part VI: Conclusion</w:t>
      </w:r>
    </w:p>
    <w:p>
      <w:r>
        <w:rPr>
          <w:i/>
        </w:rPr>
        <w:t>Jandoc-Gatdula v. Dimalanta</w:t>
      </w:r>
      <w:r>
        <w:t>, G.R. No. 139503, stands as a monumental pillar in Philippine jurisprudence regarding the intersection of property law, void contracts, and equity. The Supreme Court decisively ruled that the equitable doctrine of laches can bar the recovery of real property even if the underlying transfer was executed by a cultural minority without the mandatory executive approval.</w:t>
      </w:r>
    </w:p>
    <w:p>
      <w:r>
        <w:t xml:space="preserve">For the student and practitioner of civil law, the case serves as a masterclass in the principles underlying </w:t>
      </w:r>
      <w:r>
        <w:rPr>
          <w:b/>
        </w:rPr>
        <w:t>natural obligations</w:t>
      </w:r>
      <w:r>
        <w:t xml:space="preserve"> (Articles 1423–1424). While positive civil law dictates that void contracts produce no effect and that actions to declare their nullity do not prescribe, the deeper principles of natural law and equity intervene when strict adherence to the statute would result in gross injustice.</w:t>
      </w:r>
    </w:p>
    <w:p>
      <w:r>
        <w:t>When a party voluntarily fulfills a legally defective obligation, accepts the benefits, and slumbers on their rights for decades while inducing another to rely on that fulfillment, the courts will close their doors to claims of recovery. The property, once voluntarily delivered, cannot be taken back. In the twilight between rigid statutes and human fairness, equity holds the line.</w:t>
      </w:r>
    </w:p>
    <w:p>
      <w:pPr>
        <w:pStyle w:val="Heading2"/>
      </w:pPr>
      <w:r>
        <w:t>Case 31: Philippine Stock Exchange, Inc. v. Litonjua (2016) | G.R. No. 204014</w:t>
      </w:r>
    </w:p>
    <w:p>
      <w:pPr>
        <w:pStyle w:val="Heading2"/>
      </w:pPr>
      <w:r>
        <w:t>Comprehensive Legal Analysis: Philippine Stock Exchange, Inc. v. Litonjua (2016)</w:t>
      </w:r>
    </w:p>
    <w:p>
      <w:r>
        <w:rPr>
          <w:b/>
        </w:rPr>
        <w:t>Key Points &amp; Executive Summary</w:t>
      </w:r>
    </w:p>
    <w:p>
      <w:pPr>
        <w:pStyle w:val="ListBullet"/>
      </w:pPr>
      <w:r>
        <w:t xml:space="preserve">  </w:t>
      </w:r>
      <w:r>
        <w:rPr>
          <w:b/>
        </w:rPr>
        <w:t>Case Overview:</w:t>
      </w:r>
      <w:r>
        <w:t xml:space="preserve"> In *Philippine Stock Exchange, Inc. v. Litonjua*, the Supreme Court of the Philippines addressed the retention of funds by a quasi-public entity following a failed tripartite-like transaction. The Court ultimately directed the Philippine Stock Exchange (PSE) to refund ₱19,000,000.00 to the Litonjua Group.</w:t>
      </w:r>
    </w:p>
    <w:p>
      <w:pPr>
        <w:pStyle w:val="ListBullet"/>
      </w:pPr>
      <w:r>
        <w:t xml:space="preserve">  </w:t>
      </w:r>
      <w:r>
        <w:rPr>
          <w:b/>
        </w:rPr>
        <w:t>Legal Foundations:</w:t>
      </w:r>
      <w:r>
        <w:t xml:space="preserve"> The decision leans heavily on the doctrines of unjust enrichment and estoppel, demonstrating how equity operates within Philippine civil law to correct imbalances where strict contractual privity is absent.</w:t>
      </w:r>
    </w:p>
    <w:p>
      <w:pPr>
        <w:pStyle w:val="ListBullet"/>
      </w:pPr>
      <w:r>
        <w:t xml:space="preserve">  </w:t>
      </w:r>
      <w:r>
        <w:rPr>
          <w:b/>
        </w:rPr>
        <w:t>Estoppel and Equity:</w:t>
      </w:r>
      <w:r>
        <w:t xml:space="preserve"> Research suggests that while the petitioner attempted to shield itself by claiming a lack of formal corporate consent to the underlying contract, its conduct—specifically the acceptance of payment under conditional terms—triggered equitable estoppel.</w:t>
      </w:r>
    </w:p>
    <w:p>
      <w:pPr>
        <w:pStyle w:val="ListBullet"/>
      </w:pPr>
      <w:r>
        <w:t xml:space="preserve">  </w:t>
      </w:r>
      <w:r>
        <w:rPr>
          <w:b/>
        </w:rPr>
        <w:t>Nature of the Obligation:</w:t>
      </w:r>
      <w:r>
        <w:t xml:space="preserve"> The evidence firmly leans toward classifying the resulting duty to refund as a civil obligation arising from a quasi-contract, rather than a mere natural obligation. Though the Court invoked "natural justice," the enforceability of the refund distinguishes it from the non-enforceable parameters of Articles 1423 and 1424 of the Civil Code.</w:t>
      </w:r>
    </w:p>
    <w:p>
      <w:pPr>
        <w:pStyle w:val="Heading2"/>
      </w:pPr>
      <w:r>
        <w:t>Introduction to the Legal Controversy</w:t>
      </w:r>
    </w:p>
    <w:p>
      <w:r>
        <w:t xml:space="preserve">The intersection of corporate transactions, quasi-contracts, and equitable defenses frequently produces complex litigation in Philippine jurisprudence. The case of </w:t>
      </w:r>
      <w:r>
        <w:rPr>
          <w:i/>
        </w:rPr>
        <w:t>Philippine Stock Exchange, Inc. v. Antonio K. Litonjua and Aurelio K. Litonjua, Jr.</w:t>
      </w:r>
      <w:r>
        <w:t>, G.R. No. 204014, promulgated on December 5, 2016, serves as a masterclass in the application of the principles of unjust enrichment and estoppel within a commercial setting. At its core, the dispute questions whether an institution can retain funds paid by a third party for the settlement of a debtor's obligations when the very condition for that payment—the transfer of a valuable trading seat—was never fulfilled by the receiving institution.</w:t>
      </w:r>
    </w:p>
    <w:p>
      <w:r>
        <w:t>This report provides an exhaustive academic analysis of the case, strictly adhering to the mandated analytical structure. It explores the factual backdrop, the precise nature of the obligations involved, the legal theories posited by the contending parties, and the Supreme Court’s definitive resolution. Furthermore, it embeds this specific ruling within the broader context of the Civil Code of the Philippines, particularly examining its relationship to the doctrines of estoppel (Article 1431), third-party payments (Article 1236), and the thematic (if not direct) distinctions from natural obligations (Articles 1423–1424).</w:t>
      </w:r>
    </w:p>
    <w:p>
      <w:pPr>
        <w:spacing w:before="120" w:after="120"/>
        <w:pBdr>
          <w:bottom w:val="single" w:sz="4" w:space="1" w:color="CCCCCC"/>
        </w:pBdr>
      </w:pPr>
    </w:p>
    <w:p>
      <w:pPr>
        <w:pStyle w:val="Heading3"/>
      </w:pPr>
      <w:r>
        <w:t>Philippine Stock Exchange, Inc. v. Litonjua (2016) | G.R. No. 204014</w:t>
      </w:r>
    </w:p>
    <w:p>
      <w:pPr>
        <w:pStyle w:val="Heading4"/>
      </w:pPr>
      <w:r>
        <w:t>1. The Parties</w:t>
      </w:r>
    </w:p>
    <w:p>
      <w:r>
        <w:t>To fully comprehend the dynamics of the controversy, it is essential to first delineate the entities involved and their respective roles, interests, and representations in the transaction.</w:t>
      </w:r>
    </w:p>
    <w:p>
      <w:pPr>
        <w:pStyle w:val="ListBullet"/>
      </w:pPr>
      <w:r>
        <w:t xml:space="preserve">  </w:t>
      </w:r>
      <w:r>
        <w:rPr>
          <w:b/>
        </w:rPr>
        <w:t>Petitioner (PSE - Philippine Stock Exchange, Inc.):</w:t>
      </w:r>
      <w:r/>
    </w:p>
    <w:p>
      <w:r>
        <w:t>The Philippine Stock Exchange (PSE) is the national stock exchange of the Philippines, a corporate entity endowed with the regulatory authority over the trading of securities and the management of broker-dealers' membership seats. In this case, PSE acted as the creditor of Trendline Securities, Inc., a suspended member-broker. PSE's primary representation, communicated through its Vice-President for Compliance and Surveillance Department, Atty. Ruben L. Almadro, was its willingness to accept a specific sum (₱19,000,000.00) as the "full and final settlement" of Trendline's outstanding obligations. The fulfillment of this settlement was structurally understood as the prerequisite for lifting the suspension on Trendline's membership seat, thereby allowing the seat's transfer.</w:t>
      </w:r>
    </w:p>
    <w:p>
      <w:pPr>
        <w:pStyle w:val="ListBullet"/>
      </w:pPr>
      <w:r>
        <w:t xml:space="preserve">  </w:t>
      </w:r>
      <w:r>
        <w:rPr>
          <w:b/>
        </w:rPr>
        <w:t>Respondent (The Litonjua Group):</w:t>
      </w:r>
      <w:r/>
    </w:p>
    <w:p>
      <w:r>
        <w:t>The respondents are Antonio K. Litonjua and Aurelio K. Litonjua, Jr., collectively referred to as the Litonjua Group. They are private investors who sought to acquire an 85% majority equity stake in a PSE membership seat to engage in stock trading. Their claim against PSE was for the collection of a sum of money with damages, specifically demanding the reimbursement of the ₱19,000,000.00 they paid directly to PSE, citing that the consideration for their payment—the lifting of the seat's suspension and its subsequent transfer—had entirely failed.</w:t>
      </w:r>
    </w:p>
    <w:p>
      <w:pPr>
        <w:pStyle w:val="ListBullet"/>
      </w:pPr>
      <w:r>
        <w:t xml:space="preserve">  </w:t>
      </w:r>
      <w:r>
        <w:rPr>
          <w:b/>
        </w:rPr>
        <w:t>Their Relationship and the Non-Party Broker:</w:t>
      </w:r>
      <w:r/>
    </w:p>
    <w:p>
      <w:r>
        <w:t xml:space="preserve">The relationship among the parties was tripartite in nature, although strictly defined by separate interactions rather than a single unified contract. The Litonjua Group had a contractual letter-agreement with </w:t>
      </w:r>
      <w:r>
        <w:rPr>
          <w:b/>
        </w:rPr>
        <w:t>Trendline Securities, Inc.</w:t>
      </w:r>
      <w:r>
        <w:t xml:space="preserve"> (represented by its President, Priscilla D. Zapanta) for the acquisition of the trading seat. PSE was not a formal signatory or party to this specific letter-agreement between Litonjua and Trendline, a fact validated by the absence of a PSE board resolution authorizing such participation. However, a transactional nexus was formed when the Litonjua Group delivered checks directly to PSE to discharge Trendline's debts, and PSE accepted these checks with specific annotations acknowledging them as advance payment for the full settlement of Trendline's liabilities.</w:t>
      </w:r>
    </w:p>
    <w:p>
      <w:pPr>
        <w:pStyle w:val="Heading4"/>
      </w:pPr>
      <w:r>
        <w:t>2. Background &amp; Facts</w:t>
      </w:r>
    </w:p>
    <w:p>
      <w:r>
        <w:t>The factual matrix of the case highlights a sequence of conditional agreements, financial transfers, and subsequent corporate inaction that ultimately led to the legal impasse.</w:t>
      </w:r>
    </w:p>
    <w:p>
      <w:pPr>
        <w:pStyle w:val="ListBullet"/>
      </w:pPr>
      <w:r>
        <w:t xml:space="preserve">  </w:t>
      </w:r>
      <w:r>
        <w:rPr>
          <w:b/>
        </w:rPr>
        <w:t>Representations and the Basis for Reliance:</w:t>
      </w:r>
      <w:r/>
    </w:p>
    <w:p>
      <w:r>
        <w:t>The foundational reliance of the Litonjua Group was built upon a sequence of documented communications. On April 20, 1999, the Litonjua Group formalized a letter-agreement with Trendline Securities to acquire 85% of its PSE membership seat for a total aggregate price of ₱23,000,000.00. To facilitate this, the Litonjua Group committed to paying a portion of this purchase price (initially estimated at ₱18,547,643.81) directly to PSE to clear Trendline's debts. Crucially, on April 29, 1999, PSE's representative, Atty. Almadro, sent a formal communication to Trendline advising that PSE had resolved to accept a rounded figure of ₱19,000,000.00 as the "full and final settlement" of Trendline's obligations. This declaration gave Litonjua the concrete basis to rely on the premise that paying this exact amount would unencumber the trading seat.</w:t>
      </w:r>
    </w:p>
    <w:p>
      <w:pPr>
        <w:pStyle w:val="ListBullet"/>
      </w:pPr>
      <w:r>
        <w:t xml:space="preserve">  </w:t>
      </w:r>
      <w:r>
        <w:rPr>
          <w:b/>
        </w:rPr>
        <w:t>The Transaction and the Loss:</w:t>
      </w:r>
      <w:r/>
    </w:p>
    <w:p>
      <w:r>
        <w:t>Acting in good faith and relying on PSE's representation, the Litonjua Group delivered three checks totaling ₱19,000,000.00 to PSE on May 12, 1999. PSE received these checks and annotated them as "advance payment for full settlement of Trendline's outstanding obligation". However, despite receiving the funds, PSE failed to lift the suspension imposed on Trendline's seat. The injury and loss to Litonjua materialized because they had parted with ₱19,000,000.00, yet the specific performance they sought—the transfer of an active, unencumbered membership seat—was rendered impossible by PSE's continued suspension of the seat.</w:t>
      </w:r>
    </w:p>
    <w:p>
      <w:pPr>
        <w:pStyle w:val="ListBullet"/>
      </w:pPr>
      <w:r>
        <w:t xml:space="preserve">  </w:t>
      </w:r>
      <w:r>
        <w:rPr>
          <w:b/>
        </w:rPr>
        <w:t>PSE's Repudiation and Denial of Conduct:</w:t>
      </w:r>
      <w:r/>
    </w:p>
    <w:p>
      <w:r>
        <w:t>When the Litonjua Group realized the seat would not be transferred, they sent a demand letter on July 30, 2006, requesting a full reimbursement of their funds. PSE vehemently repudiated liability and refused to refund the amount. PSE attempted to deny any legal obligation to Litonjua by asserting a strict privity of contract defense: it argued that it was a "non-party" to the Litonjua-Trendline agreement, that it received the money legally as payment for Trendline's valid debt, and that Litonjua's proper recourse was to sue Trendline, not the PSE.</w:t>
      </w:r>
    </w:p>
    <w:p>
      <w:pPr>
        <w:pStyle w:val="ListBullet"/>
      </w:pPr>
      <w:r>
        <w:t xml:space="preserve">  </w:t>
      </w:r>
      <w:r>
        <w:rPr>
          <w:b/>
        </w:rPr>
        <w:t>Timeline of Key Events:</w:t>
      </w:r>
      <w:r/>
    </w:p>
    <w:p>
      <w:pPr>
        <w:pStyle w:val="ListBullet"/>
      </w:pPr>
      <w:r>
        <w:t xml:space="preserve">  </w:t>
      </w:r>
      <w:r>
        <w:rPr>
          <w:b/>
        </w:rPr>
        <w:t>April 20, 1999:</w:t>
      </w:r>
      <w:r>
        <w:t xml:space="preserve"> Litonjua and Trendline execute the letter-agreement for the 85% seat acquisition.</w:t>
      </w:r>
    </w:p>
    <w:p>
      <w:pPr>
        <w:pStyle w:val="ListBullet"/>
      </w:pPr>
      <w:r>
        <w:t xml:space="preserve">  </w:t>
      </w:r>
      <w:r>
        <w:rPr>
          <w:b/>
        </w:rPr>
        <w:t>April 21, 1999:</w:t>
      </w:r>
      <w:r>
        <w:t xml:space="preserve"> Litonjua confirms the undertaking to pay PSE directly to settle Trendline's claims and lift the suspension.</w:t>
      </w:r>
    </w:p>
    <w:p>
      <w:pPr>
        <w:pStyle w:val="ListBullet"/>
      </w:pPr>
      <w:r>
        <w:t xml:space="preserve">  </w:t>
      </w:r>
      <w:r>
        <w:rPr>
          <w:b/>
        </w:rPr>
        <w:t>April 29, 1999:</w:t>
      </w:r>
      <w:r>
        <w:t xml:space="preserve"> PSE issues a letter agreeing to accept ₱19,000,000.00 as full and final settlement of Trendline's obligations.</w:t>
      </w:r>
    </w:p>
    <w:p>
      <w:pPr>
        <w:pStyle w:val="ListBullet"/>
      </w:pPr>
      <w:r>
        <w:t xml:space="preserve">  </w:t>
      </w:r>
      <w:r>
        <w:rPr>
          <w:b/>
        </w:rPr>
        <w:t>May 12, 1999:</w:t>
      </w:r>
      <w:r>
        <w:t xml:space="preserve"> Litonjua delivers ₱19M via three checks to PSE; PSE accepts and annotates the receipt.</w:t>
      </w:r>
    </w:p>
    <w:p>
      <w:pPr>
        <w:pStyle w:val="ListBullet"/>
      </w:pPr>
      <w:r>
        <w:t xml:space="preserve">  </w:t>
      </w:r>
      <w:r>
        <w:rPr>
          <w:b/>
        </w:rPr>
        <w:t>1999 - 2006:</w:t>
      </w:r>
      <w:r>
        <w:t xml:space="preserve"> PSE fails to lift the suspension, claiming Trendline has further penalty obligations.</w:t>
      </w:r>
    </w:p>
    <w:p>
      <w:pPr>
        <w:pStyle w:val="ListBullet"/>
      </w:pPr>
      <w:r>
        <w:t xml:space="preserve">  </w:t>
      </w:r>
      <w:r>
        <w:rPr>
          <w:b/>
        </w:rPr>
        <w:t>July 30, 2006:</w:t>
      </w:r>
      <w:r>
        <w:t xml:space="preserve"> Litonjua officially demands a refund of the ₱19M due to the impossibility of the seat transfer.</w:t>
      </w:r>
    </w:p>
    <w:p>
      <w:pPr>
        <w:pStyle w:val="ListBullet"/>
      </w:pPr>
      <w:r>
        <w:t xml:space="preserve">  </w:t>
      </w:r>
      <w:r>
        <w:rPr>
          <w:b/>
        </w:rPr>
        <w:t>October 10, 2006:</w:t>
      </w:r>
      <w:r>
        <w:t xml:space="preserve"> Litonjua files a Complaint for Collection of Sum of Money with Damages against PSE before the RTC of Pasig City.</w:t>
      </w:r>
    </w:p>
    <w:p>
      <w:pPr>
        <w:pStyle w:val="ListBullet"/>
      </w:pPr>
      <w:r>
        <w:t xml:space="preserve">  </w:t>
      </w:r>
      <w:r>
        <w:rPr>
          <w:b/>
        </w:rPr>
        <w:t>May 23, 2012:</w:t>
      </w:r>
      <w:r>
        <w:t xml:space="preserve"> Court of Appeals (CA) affirms the RTC's ruling in favor of Litonjua.</w:t>
      </w:r>
    </w:p>
    <w:p>
      <w:pPr>
        <w:pStyle w:val="ListBullet"/>
      </w:pPr>
      <w:r>
        <w:t xml:space="preserve">  </w:t>
      </w:r>
      <w:r>
        <w:rPr>
          <w:b/>
        </w:rPr>
        <w:t>December 5, 2016:</w:t>
      </w:r>
      <w:r>
        <w:t xml:space="preserve"> The Supreme Court issues its final Decision, denying PSE's petition.</w:t>
      </w:r>
    </w:p>
    <w:p>
      <w:pPr>
        <w:pStyle w:val="Heading4"/>
      </w:pPr>
      <w:r>
        <w:t>3. The Contract or Obligation</w:t>
      </w:r>
    </w:p>
    <w:p>
      <w:r>
        <w:t>To accurately categorize the legal mechanisms at play, one must dissect the nature of the obligation binding PSE to the Litonjua Group, particularly distinguishing between contractual, quasi-contractual, civil, and natural obligations.</w:t>
      </w:r>
    </w:p>
    <w:p>
      <w:pPr>
        <w:pStyle w:val="ListBullet"/>
      </w:pPr>
      <w:r>
        <w:t xml:space="preserve">  </w:t>
      </w:r>
      <w:r>
        <w:rPr>
          <w:b/>
        </w:rPr>
        <w:t>Nature of the Obligation (Civil vs. Natural):</w:t>
      </w:r>
      <w:r/>
    </w:p>
    <w:p>
      <w:r>
        <w:t xml:space="preserve">The obligation generated in this case is unequivocally a </w:t>
      </w:r>
      <w:r>
        <w:rPr>
          <w:b/>
        </w:rPr>
        <w:t>civil obligation</w:t>
      </w:r>
      <w:r>
        <w:t xml:space="preserve"> arising from a quasi-contract (specifically, unjust enrichment and constructive trust), rather than a natural or moral obligation.</w:t>
      </w:r>
    </w:p>
    <w:p>
      <w:pPr>
        <w:pStyle w:val="ListBullet"/>
      </w:pPr>
      <w:r>
        <w:t xml:space="preserve">  *Natural obligations*, as defined under Article 1423 of the Civil Code, do not grant a right of action to enforce their performance; however, if a debtor voluntarily fulfills them, the creditor is authorized to retain what has been delivered. They are based purely on equity and moral justice.</w:t>
      </w:r>
    </w:p>
    <w:p>
      <w:pPr>
        <w:pStyle w:val="ListBullet"/>
      </w:pPr>
      <w:r>
        <w:t xml:space="preserve">  *Civil obligations* give a right of action to compel their performance. In this scenario, Litonjua successfully utilized the judicial system to *compel* PSE to return the funds. While the court noted that the principles invoked (estoppel and unjust enrichment) have their "roots in equity" and are responses to the "demands of moral right and natural justice", the obligation to return the money is a legally enforceable civil duty under Article 22 of the Civil Code. Litonjua did not pay the money as a voluntary fulfillment of a prescribed or moral debt; they paid it conditionally for a commercial asset. Because the condition failed, the law imposed a quasi-contractual civil obligation upon PSE to restitute the funds.</w:t>
      </w:r>
    </w:p>
    <w:p>
      <w:pPr>
        <w:pStyle w:val="ListBullet"/>
      </w:pPr>
      <w:r>
        <w:t xml:space="preserve">  </w:t>
      </w:r>
      <w:r>
        <w:rPr>
          <w:b/>
        </w:rPr>
        <w:t>Proper Invocation of Estoppel:</w:t>
      </w:r>
      <w:r/>
    </w:p>
    <w:p>
      <w:r>
        <w:t>Estoppel was highly relevant and appropriately invoked against PSE. The prior representation and conduct triggering estoppel comprised PSE's active participation in the transaction: specifically, the April 29, 1999 letter agreeing to accept ₱19M as full settlement, and the subsequent acceptance and annotation of Litonjua's checks. Having represented that the ₱19M would act as a full settlement—the direct consequence of which was supposed to be the lifting of the suspension—PSE was barred from retroactively claiming that Trendline still had unresolved "penalty obligations" preventing the transfer.</w:t>
      </w:r>
    </w:p>
    <w:p>
      <w:pPr>
        <w:pStyle w:val="ListBullet"/>
      </w:pPr>
      <w:r>
        <w:t xml:space="preserve">  </w:t>
      </w:r>
      <w:r>
        <w:rPr>
          <w:b/>
        </w:rPr>
        <w:t>Detrimental Reliance by Litonjua:</w:t>
      </w:r>
      <w:r/>
    </w:p>
    <w:p>
      <w:r>
        <w:t>Litonjua heavily relied on PSE's representations to their profound detriment. Because PSE declared the debt could be settled for ₱19M, Litonjua altered their economic position by liquidating funds and physically turning over three checks to PSE. The Litonjua Group was intentionally led to comport themselves as the payor, fully expecting the reciprocal action of seat reactivation. They suffered a ₱19,000,000.00 detriment entirely due to their reliance on PSE's communications.</w:t>
      </w:r>
    </w:p>
    <w:p>
      <w:pPr>
        <w:pStyle w:val="Heading4"/>
      </w:pPr>
      <w:r>
        <w:t>4. Legal Issues Raised</w:t>
      </w:r>
    </w:p>
    <w:p>
      <w:r>
        <w:t>When the dispute ascended to the Supreme Court, several highly technical issues pertaining to the Civil Code and corporate liability were submitted for resolution.</w:t>
      </w:r>
    </w:p>
    <w:p>
      <w:r>
        <w:t xml:space="preserve">1.  </w:t>
      </w:r>
      <w:r>
        <w:rPr>
          <w:b/>
        </w:rPr>
        <w:t>Is PSE estopped from denying its prior representation and obligations regarding the payment?</w:t>
      </w:r>
    </w:p>
    <w:p>
      <w:r>
        <w:t>PSE argued that it never gave corporate consent to the Litonjua-Trendline agreement, pointing to the absence of a board resolution. Therefore, it claimed it could not be bound by any stipulations regarding the transfer of the seat. The issue was whether PSE's conduct (accepting the payment under defined conditions) bypassed the need for formal contractual privity via the doctrine of estoppel.</w:t>
      </w:r>
    </w:p>
    <w:p>
      <w:r>
        <w:t xml:space="preserve">2.  </w:t>
      </w:r>
      <w:r>
        <w:rPr>
          <w:b/>
        </w:rPr>
        <w:t>Does Article 1236 of the Civil Code shield PSE from liability?</w:t>
      </w:r>
    </w:p>
    <w:p>
      <w:r>
        <w:t>PSE mounted a defense based on the rules of third-party payment under Article 1236. PSE argued that when a third person (Litonjua) pays the debt of another (Trendline), the third person's legal recourse is to demand reimbursement from the debtor (Trendline), not to demand a refund from the creditor (PSE) who rightfully received the payment for an existing debt. The issue was whether Litonjua was a mere disinterested third-party payor, or a party with a vested interest in the fulfillment of the obligation.</w:t>
      </w:r>
    </w:p>
    <w:p>
      <w:r>
        <w:t xml:space="preserve">3.  </w:t>
      </w:r>
      <w:r>
        <w:rPr>
          <w:b/>
        </w:rPr>
        <w:t>Is the obligation to return the money rooted in Solutio Indebiti, Constructive Trust, or Unjust Enrichment?</w:t>
      </w:r>
    </w:p>
    <w:p>
      <w:r>
        <w:t xml:space="preserve">The lower courts varied slightly on the exact quasi-contractual remedy. The RTC grounded its decision in </w:t>
      </w:r>
      <w:r>
        <w:rPr>
          <w:i/>
        </w:rPr>
        <w:t>solutio indebiti</w:t>
      </w:r>
      <w:r>
        <w:t xml:space="preserve"> (Article 2154), asserting PSE had no right to receive the money. The Court of Appeals utilized the principle of constructive trust. The Supreme Court had to pinpoint the precise civil obligation dictating the return of the funds.</w:t>
      </w:r>
    </w:p>
    <w:p>
      <w:r>
        <w:t xml:space="preserve">4.  </w:t>
      </w:r>
      <w:r>
        <w:rPr>
          <w:b/>
        </w:rPr>
        <w:t>What remedies and damages are available?</w:t>
      </w:r>
    </w:p>
    <w:p>
      <w:r>
        <w:t>Beyond the principal amount, the issue of whether PSE's refusal to refund the money was wanton and oppressive, thereby justifying the award of exemplary damages and attorney's fees, was heavily contested.</w:t>
      </w:r>
    </w:p>
    <w:p>
      <w:pPr>
        <w:pStyle w:val="Heading4"/>
      </w:pPr>
      <w:r>
        <w:t>5. Supreme Court Ruling</w:t>
      </w:r>
    </w:p>
    <w:p>
      <w:r>
        <w:t>The Supreme Court, in a decision penned by Justice Perez, denied the petition of the Philippine Stock Exchange and affirmed the ruling of the Court of Appeals (with modifications on the interest rate), issuing a decisive ruling on the intersection of estoppel, unjust enrichment, and third-party payments.</w:t>
      </w:r>
    </w:p>
    <w:p>
      <w:pPr>
        <w:pStyle w:val="ListBullet"/>
      </w:pPr>
      <w:r>
        <w:t xml:space="preserve">  </w:t>
      </w:r>
      <w:r>
        <w:rPr>
          <w:b/>
        </w:rPr>
        <w:t>Holding on Estoppel and Corporate Consent:</w:t>
      </w:r>
      <w:r/>
    </w:p>
    <w:p>
      <w:r>
        <w:t xml:space="preserve">The Supreme Court agreed with PSE to a very limited extent: legally, under Article 1305 of the Civil Code, PSE was not a formal party to the letter-agreement because it lacked a board resolution providing corporate consent. However, the Court forcefully held that </w:t>
      </w:r>
      <w:r>
        <w:rPr>
          <w:b/>
        </w:rPr>
        <w:t>PSE is estopped</w:t>
      </w:r>
      <w:r>
        <w:t xml:space="preserve"> from using this non-party status to retain the money. The Court observed that PSE became an "active participant" in the transactions. By accepting Litonjua's checks with the annotation that it was advance payment for the full settlement of Trendline's debts, PSE was estopped from claiming later that Trendline had additional penalties preventing the seat transfer. The Court laid down a strict equitable binary: "PSE cannot assert to be a non-party to the letter-agreement and at the same time claim a right to receive the money for the satisfaction of the obligation of Trendline. PSE must not be allowed to contradict itself".</w:t>
      </w:r>
    </w:p>
    <w:p>
      <w:pPr>
        <w:pStyle w:val="ListBullet"/>
      </w:pPr>
      <w:r>
        <w:t xml:space="preserve">  </w:t>
      </w:r>
      <w:r>
        <w:rPr>
          <w:b/>
        </w:rPr>
        <w:t>Holding on Article 1236 (Third-Party Payment):</w:t>
      </w:r>
      <w:r/>
    </w:p>
    <w:p>
      <w:r>
        <w:t xml:space="preserve">The Court systematically dismantled PSE's defense under Article 1236. While the law states that whoever pays for another may demand reimbursement from the debtor, the Court clarified that Litonjua was </w:t>
      </w:r>
      <w:r>
        <w:rPr>
          <w:b/>
        </w:rPr>
        <w:t>not a disinterested party</w:t>
      </w:r>
      <w:r>
        <w:t xml:space="preserve">. From the very inception of the meetings, there was a clear understanding that Litonjua was paying the debt </w:t>
      </w:r>
      <w:r>
        <w:rPr>
          <w:i/>
        </w:rPr>
        <w:t>for the specific consideration</w:t>
      </w:r>
      <w:r>
        <w:t xml:space="preserve"> of acquiring the 85% seat ownership and lifting the suspension. Because Litonjua had a direct, vested interest in the fulfillment of the obligation, and because PSE failed to deliver the corresponding benefit (lifting the suspension), PSE could not hide behind Article 1236 to keep the funds.</w:t>
      </w:r>
    </w:p>
    <w:p>
      <w:pPr>
        <w:pStyle w:val="ListBullet"/>
      </w:pPr>
      <w:r>
        <w:t xml:space="preserve">  </w:t>
      </w:r>
      <w:r>
        <w:rPr>
          <w:b/>
        </w:rPr>
        <w:t>Holding on the Nature of the Obligation (Unjust Enrichment):</w:t>
      </w:r>
      <w:r/>
    </w:p>
    <w:p>
      <w:r>
        <w:t xml:space="preserve">The Supreme Court affirmed that the obligation to return the money was a civil obligation anchored firmly in the principle of </w:t>
      </w:r>
      <w:r>
        <w:rPr>
          <w:b/>
        </w:rPr>
        <w:t>unjust enrichment</w:t>
      </w:r>
      <w:r>
        <w:t xml:space="preserve"> under Article 22 of the Civil Code. The Court reiterated the two conditions for unjust enrichment: (1) that a person is benefited without a valid basis or justification, and (2) that such benefit is derived at the expense of another. Since PSE explicitly disavowed being a party to the contract (thereby removing the legal basis or justification for keeping the money), and since it did not lift the trading suspension, retaining the ₱19M derived a massive benefit at the severe expense of Litonjua. Thus, the law converts the holder of the money into a trustee with a legal civil obligation to restitute the funds to the rightful owner.</w:t>
      </w:r>
    </w:p>
    <w:p>
      <w:pPr>
        <w:pStyle w:val="ListBullet"/>
      </w:pPr>
      <w:r>
        <w:t xml:space="preserve">  </w:t>
      </w:r>
      <w:r>
        <w:rPr>
          <w:b/>
        </w:rPr>
        <w:t>Disposition and Remedies:</w:t>
      </w:r>
      <w:r/>
    </w:p>
    <w:p>
      <w:r>
        <w:t xml:space="preserve">The Supreme Court ordered PSE to refund the ₱19,000,000.00 to the Litonjua Group. Because PSE's continued refusal to return the money (despite knowing it could not transfer the seat) was deemed wanton, oppressive, and malevolent, the Court upheld the RTC's award of </w:t>
      </w:r>
      <w:r>
        <w:rPr>
          <w:b/>
        </w:rPr>
        <w:t>exemplary damages</w:t>
      </w:r>
      <w:r>
        <w:t xml:space="preserve"> and attorney's fees. The Court only modified the legal interest rate imposed on the principal amount to align with prevailing central bank circulars.</w:t>
      </w:r>
    </w:p>
    <w:p>
      <w:pPr>
        <w:pStyle w:val="Heading4"/>
      </w:pPr>
      <w:r>
        <w:t>6. Key Doctrine / Civil Code Hook</w:t>
      </w:r>
    </w:p>
    <w:p>
      <w:r>
        <w:t>The ruling serves as a vital pedagogical tool for understanding the equitable mechanisms of the Philippine Civil Code, specifically bridging the concepts of estoppel, unjust enrichment, and quasi-contracts.</w:t>
      </w:r>
    </w:p>
    <w:p>
      <w:pPr>
        <w:pStyle w:val="ListBullet"/>
      </w:pPr>
      <w:r>
        <w:t xml:space="preserve">  </w:t>
      </w:r>
      <w:r>
        <w:rPr>
          <w:b/>
        </w:rPr>
        <w:t>Elements of Estoppel (Art. 1431 context):</w:t>
      </w:r>
      <w:r/>
    </w:p>
    <w:p>
      <w:r>
        <w:t>Although the text of the decision does not explicitly quote the number "Article 1431", it perfectly encapsulates its doctrine. Article 1431 of the Civil Code states that through estoppel, an admission or representation is rendered conclusive upon the person making it, and cannot be denied or disproved as against the person relying thereon. The Supreme Court in this case explicitly outlined the indispensable requisites of estoppel:</w:t>
      </w:r>
    </w:p>
    <w:p>
      <w:r>
        <w:t xml:space="preserve">1.  </w:t>
      </w:r>
      <w:r>
        <w:rPr>
          <w:b/>
        </w:rPr>
        <w:t>Declaration, act, or omission</w:t>
      </w:r>
      <w:r>
        <w:t xml:space="preserve"> by the party sought to be bound (PSE's letter of settlement and acceptance of the checks).</w:t>
      </w:r>
    </w:p>
    <w:p>
      <w:r>
        <w:t xml:space="preserve">2.  The party claiming the benefit of the principle (Litonjua) must have </w:t>
      </w:r>
      <w:r>
        <w:rPr>
          <w:b/>
        </w:rPr>
        <w:t>altered their position</w:t>
      </w:r>
      <w:r>
        <w:t xml:space="preserve"> (parting with ₱19M).</w:t>
      </w:r>
    </w:p>
    <w:p>
      <w:r>
        <w:t xml:space="preserve">3.  The alteration must be because they were </w:t>
      </w:r>
      <w:r>
        <w:rPr>
          <w:b/>
        </w:rPr>
        <w:t>intentionally and deliberately led to comport themselves</w:t>
      </w:r>
      <w:r>
        <w:t xml:space="preserve"> by what was declared or done by the first party.</w:t>
      </w:r>
    </w:p>
    <w:p>
      <w:r>
        <w:t>The Court ruled that the doctrine of estoppel springs from equitable principles, fair dealing, and public policy, aimed at forbidding one to "speak against its own act, representations, or commitments to the injury of one to whom they were directed".</w:t>
      </w:r>
    </w:p>
    <w:p>
      <w:pPr>
        <w:pStyle w:val="ListBullet"/>
      </w:pPr>
      <w:r>
        <w:t xml:space="preserve">  </w:t>
      </w:r>
      <w:r>
        <w:rPr>
          <w:b/>
        </w:rPr>
        <w:t>Relation to Natural Obligations Doctrine (Arts. 1423–1424):</w:t>
      </w:r>
      <w:r/>
    </w:p>
    <w:p>
      <w:r>
        <w:t xml:space="preserve">As previously noted, the specific terms "natural obligation" or "Article 1423" are physically absent from the text of the decision. However, studying this case in the context of natural obligations is highly relevant due to the shared philosophical bedrock of </w:t>
      </w:r>
      <w:r>
        <w:rPr>
          <w:b/>
        </w:rPr>
        <w:t>"equity and natural justice."</w:t>
      </w:r>
    </w:p>
    <w:p>
      <w:r>
        <w:t xml:space="preserve">Article 1423 states that natural obligations are based not on positive law but on "equity and natural law." In </w:t>
      </w:r>
      <w:r>
        <w:rPr>
          <w:i/>
        </w:rPr>
        <w:t>PSE v. Litonjua</w:t>
      </w:r>
      <w:r>
        <w:t xml:space="preserve">, the Court explicitly stated: </w:t>
      </w:r>
      <w:r>
        <w:rPr>
          <w:i/>
        </w:rPr>
        <w:t>"Estoppel has its roots in equity. It is a response to the demands of moral right and natural justice"</w:t>
      </w:r>
      <w:r>
        <w:t xml:space="preserve">. Therefore, while the remedy granted in this case is a </w:t>
      </w:r>
      <w:r>
        <w:rPr>
          <w:i/>
        </w:rPr>
        <w:t>civil</w:t>
      </w:r>
      <w:r>
        <w:t xml:space="preserve"> one (unjust enrichment under Art. 22), the </w:t>
      </w:r>
      <w:r>
        <w:rPr>
          <w:i/>
        </w:rPr>
        <w:t>reasoning</w:t>
      </w:r>
      <w:r>
        <w:t xml:space="preserve"> used to bypass the strict lack of contractual privity (estoppel) originates from the exact same jurisprudential wellspring as natural obligations: the fundamental unfairness of allowing a party to profit unconscionably based on technicalities. If PSE had voluntarily returned the money out of a sense of moral duty despite the lack of a formal contract, it would mirror the fulfillment of a natural obligation; because they refused, the court used equitable estoppel and unjust enrichment to forge a binding civil obligation.</w:t>
      </w:r>
    </w:p>
    <w:p>
      <w:pPr>
        <w:pStyle w:val="ListBullet"/>
      </w:pPr>
      <w:r>
        <w:t xml:space="preserve">  </w:t>
      </w:r>
      <w:r>
        <w:rPr>
          <w:b/>
        </w:rPr>
        <w:t>Civil Code Articles Applied:</w:t>
      </w:r>
      <w:r/>
    </w:p>
    <w:p>
      <w:pPr>
        <w:pStyle w:val="ListBullet"/>
      </w:pPr>
      <w:r>
        <w:t xml:space="preserve">  </w:t>
      </w:r>
      <w:r>
        <w:rPr>
          <w:b/>
        </w:rPr>
        <w:t>Article 22:</w:t>
      </w:r>
      <w:r>
        <w:t xml:space="preserve"> Unjust Enrichment (Every person who acquires possession of something at the expense of another without just or legal ground must return it).</w:t>
      </w:r>
    </w:p>
    <w:p>
      <w:pPr>
        <w:pStyle w:val="ListBullet"/>
      </w:pPr>
      <w:r>
        <w:t xml:space="preserve">  </w:t>
      </w:r>
      <w:r>
        <w:rPr>
          <w:b/>
        </w:rPr>
        <w:t>Article 1236:</w:t>
      </w:r>
      <w:r>
        <w:t xml:space="preserve"> Third-Party Payment (Analyzed and rejected as a defense for PSE, because Litonjua was an interested party, not a disinterested payor).</w:t>
      </w:r>
    </w:p>
    <w:p>
      <w:pPr>
        <w:pStyle w:val="ListBullet"/>
      </w:pPr>
      <w:r>
        <w:t xml:space="preserve">  </w:t>
      </w:r>
      <w:r>
        <w:rPr>
          <w:b/>
        </w:rPr>
        <w:t>Article 1305:</w:t>
      </w:r>
      <w:r>
        <w:t xml:space="preserve"> Definition of a Contract (Used to acknowledge PSE was technically not a contractual party due to lack of board consent).</w:t>
      </w:r>
    </w:p>
    <w:p>
      <w:pPr>
        <w:pStyle w:val="ListBullet"/>
      </w:pPr>
      <w:r>
        <w:t xml:space="preserve">  </w:t>
      </w:r>
      <w:r>
        <w:rPr>
          <w:b/>
        </w:rPr>
        <w:t>Article 2154:</w:t>
      </w:r>
      <w:r>
        <w:t xml:space="preserve"> *Solutio Indebiti* (Payment by mistake; utilized by the RTC as the initial basis for the refund).</w:t>
      </w:r>
    </w:p>
    <w:p>
      <w:pPr>
        <w:pStyle w:val="ListBullet"/>
      </w:pPr>
      <w:r>
        <w:t xml:space="preserve">  </w:t>
      </w:r>
      <w:r>
        <w:rPr>
          <w:b/>
        </w:rPr>
        <w:t>Article 2232:</w:t>
      </w:r>
      <w:r>
        <w:t xml:space="preserve"> Exemplary Damages (Awarded due to PSE's oppressive conduct in refusing the refund).</w:t>
      </w:r>
    </w:p>
    <w:p>
      <w:pPr>
        <w:pStyle w:val="Heading4"/>
      </w:pPr>
      <w:r>
        <w:t>7. Memory Anchor</w:t>
      </w:r>
    </w:p>
    <w:p>
      <w:r>
        <w:t>For rapid recall during bar examinations or academic recitations, memorize this core conceptual hook:</w:t>
      </w:r>
    </w:p>
    <w:p>
      <w:r>
        <w:rPr>
          <w:b/>
        </w:rPr>
        <w:t>"You cannot eat the cake and deny you attended the party."</w:t>
      </w:r>
    </w:p>
    <w:p>
      <w:r>
        <w:t xml:space="preserve">In </w:t>
      </w:r>
      <w:r>
        <w:rPr>
          <w:i/>
        </w:rPr>
        <w:t>PSE v. Litonjua</w:t>
      </w:r>
      <w:r>
        <w:t xml:space="preserve">, the PSE tried to keep the ₱19M payment (eating the cake) while claiming it wasn't a party to the Litonjua agreement (denying the party). The Supreme Court used </w:t>
      </w:r>
      <w:r>
        <w:rPr>
          <w:b/>
        </w:rPr>
        <w:t>Estoppel</w:t>
      </w:r>
      <w:r>
        <w:t xml:space="preserve"> and </w:t>
      </w:r>
      <w:r>
        <w:rPr>
          <w:b/>
        </w:rPr>
        <w:t>Unjust Enrichment (Art. 22)</w:t>
      </w:r>
      <w:r>
        <w:t xml:space="preserve"> to force the refund, ruling that if you accept an interested third party's payment to lift a suspension, you must either lift the suspension or return the money—equity and natural justice forbid you from contradicting your own acts to enrich yourself at another's expense.</w:t>
      </w:r>
    </w:p>
    <w:p>
      <w:pPr>
        <w:spacing w:before="120" w:after="120"/>
        <w:pBdr>
          <w:bottom w:val="single" w:sz="4" w:space="1" w:color="CCCCCC"/>
        </w:pBdr>
      </w:pPr>
    </w:p>
    <w:p>
      <w:r>
        <w:rPr>
          <w:i/>
        </w:rPr>
        <w:t>End of Report</w:t>
      </w:r>
    </w:p>
    <w:p>
      <w:r>
        <w:br w:type="page"/>
      </w:r>
    </w:p>
    <w:p>
      <w:pPr>
        <w:pStyle w:val="Heading1"/>
      </w:pPr>
      <w:r>
        <w:t>Module 4B — Defective Contracts</w:t>
      </w:r>
    </w:p>
    <w:p>
      <w:pPr>
        <w:pStyle w:val="Heading2"/>
      </w:pPr>
      <w:r>
        <w:t>Case 32: Philippine Realty and Holdings Corp. v. Ley Construction and Development Corp. (2011) | SC e-Library</w:t>
      </w:r>
    </w:p>
    <w:p>
      <w:pPr>
        <w:pStyle w:val="Heading2"/>
      </w:pPr>
      <w:r>
        <w:t>Comprehensive Case Analysis: Estoppel in Construction and Corporate Contracts</w:t>
      </w:r>
    </w:p>
    <w:p>
      <w:r>
        <w:rPr>
          <w:b/>
        </w:rPr>
        <w:t>Key Points:</w:t>
      </w:r>
    </w:p>
    <w:p>
      <w:pPr>
        <w:pStyle w:val="ListBullet"/>
      </w:pPr>
      <w:r>
        <w:t xml:space="preserve">  </w:t>
      </w:r>
      <w:r>
        <w:rPr>
          <w:b/>
        </w:rPr>
        <w:t>Case Significance</w:t>
      </w:r>
      <w:r>
        <w:t>: The case of *Philippine Realty and Holdings Corp. v. Ley Construction and Development Corp.* is a landmark ruling in Philippine civil and commercial law, fundamentally shaping the application of equitable estoppel and apparent authority within complex construction disputes.</w:t>
      </w:r>
    </w:p>
    <w:p>
      <w:pPr>
        <w:pStyle w:val="ListBullet"/>
      </w:pPr>
      <w:r>
        <w:t xml:space="preserve">  </w:t>
      </w:r>
      <w:r>
        <w:rPr>
          <w:b/>
        </w:rPr>
        <w:t>Estoppel Application</w:t>
      </w:r>
      <w:r>
        <w:t>: It appears clear that a corporation cannot silently accept the benefits of a contractor's continuous financial infusions and later deny the validity of the agreement by citing a lack of formal board approval.</w:t>
      </w:r>
    </w:p>
    <w:p>
      <w:pPr>
        <w:pStyle w:val="ListBullet"/>
      </w:pPr>
      <w:r>
        <w:t xml:space="preserve">  </w:t>
      </w:r>
      <w:r>
        <w:rPr>
          <w:b/>
        </w:rPr>
        <w:t>Promissory Estoppel</w:t>
      </w:r>
      <w:r>
        <w:t>: The evidence strongly leans toward the principle that verbal assurances made by high-ranking corporate officers (such as waiving delay penalties) can bind the corporation if the other party relies on these assurances to their detriment.</w:t>
      </w:r>
    </w:p>
    <w:p>
      <w:pPr>
        <w:pStyle w:val="ListBullet"/>
      </w:pPr>
      <w:r>
        <w:t xml:space="preserve">  </w:t>
      </w:r>
      <w:r>
        <w:rPr>
          <w:b/>
        </w:rPr>
        <w:t>Force Majeure</w:t>
      </w:r>
      <w:r>
        <w:t>: Research suggests that severe external factors, such as extreme typhoons and national material shortages, validly constitute fortuitous events under Article 1174 of the Civil Code, thereby excusing construction delays.</w:t>
      </w:r>
    </w:p>
    <w:p>
      <w:r>
        <w:t>The intersection of strict contractual stipulations and the equitable principles of the Civil Code often creates complex legal battlegrounds, particularly in the construction industry. While written contracts traditionally serve as the absolute law between parties, equitable doctrines such as estoppel are designed to prevent rigid adherence to text when doing so would result in profound injustice. This report provides an exhaustive academic analysis of the consolidated Supreme Court cases (G.R. Nos. 165548 and 167879) involving Philippine Realty and Holdings Corporation and Ley Construction and Development Corporation. By examining the factual timeline, the nuances of corporate agency, and the statutory framework of the Philippine Civil Code, this analysis elucidates how representations, reliance, and detrimental outcomes trigger the protective mechanisms of Article 1431.</w:t>
      </w:r>
    </w:p>
    <w:p>
      <w:r>
        <w:rPr>
          <w:b/>
        </w:rPr>
      </w:r>
    </w:p>
    <w:p>
      <w:pPr>
        <w:pStyle w:val="Heading3"/>
      </w:pPr>
      <w:r>
        <w:t>Philippine Realty and Holdings Corp. v. Ley Construction and Development Corp. (2011) | [G.R. Nos. 165548 and 167879]</w:t>
      </w:r>
    </w:p>
    <w:p>
      <w:pPr>
        <w:pStyle w:val="Heading4"/>
      </w:pPr>
      <w:r>
        <w:t>1. The Parties</w:t>
      </w:r>
    </w:p>
    <w:p>
      <w:pPr>
        <w:pStyle w:val="ListBullet"/>
      </w:pPr>
      <w:r/>
      <w:r>
        <w:rPr>
          <w:b/>
        </w:rPr>
        <w:t>Petitioner (Philippine Realty):</w:t>
      </w:r>
      <w:r>
        <w:t xml:space="preserve"> Philippine Realty and Holdings Corporation (PRHC) is a prominent real estate property developer and the project owner in this dispute. Their primary role was the financing, ownership, and overall conceptualization of major high-rise commercial and residential developments in the Ortigas central business district. Within the context of the corporate structure acting in this case, PRHC was represented by its project construction manager, Engineer Dennis Abcede, and its general manager and vice-president for operations, Joselito Santos.</w:t>
      </w:r>
    </w:p>
    <w:p>
      <w:pPr>
        <w:pStyle w:val="ListBullet"/>
      </w:pPr>
      <w:r/>
      <w:r>
        <w:rPr>
          <w:b/>
        </w:rPr>
        <w:t>Respondent (Ley Construction):</w:t>
      </w:r>
      <w:r>
        <w:t xml:space="preserve"> Ley Construction and Development Corporation (LCDC) is a large-scale general construction company. They were engaged by PRHC to serve as the general contractor, tasked with the physical construction, labor management, and material procurement for several high-value buildings.</w:t>
      </w:r>
    </w:p>
    <w:p>
      <w:pPr>
        <w:pStyle w:val="ListBullet"/>
      </w:pPr>
      <w:r/>
      <w:r>
        <w:rPr>
          <w:b/>
        </w:rPr>
        <w:t>Their relationship:</w:t>
      </w:r>
      <w:r>
        <w:t xml:space="preserve"> The relationship was fundamentally that of a project owner and an independent general contractor, governed by a series of heavy, fixed-price construction contracts. The Supreme Court explicitly noted that this was an owner-independent contractor relationship, not a principal-agent relationship, meaning LCDC bore independent responsibility for its execution of the work and the management of its subcontractors.</w:t>
      </w:r>
    </w:p>
    <w:p>
      <w:pPr>
        <w:pStyle w:val="Heading4"/>
      </w:pPr>
      <w:r>
        <w:t>2. Background &amp; Facts</w:t>
      </w:r>
    </w:p>
    <w:p>
      <w:pPr>
        <w:pStyle w:val="ListBullet"/>
      </w:pPr>
      <w:r/>
      <w:r>
        <w:rPr>
          <w:b/>
        </w:rPr>
        <w:t>What did Philippine Realty engage Ley Construction to build?</w:t>
      </w:r>
      <w:r/>
    </w:p>
    <w:p>
      <w:r>
        <w:t>Between April 1988 and October 1989, PRHC engaged LCDC to construct four major projects:</w:t>
      </w:r>
    </w:p>
    <w:p>
      <w:r>
        <w:t>1.  Alexandra Cluster C (Two seven-storey buildings with a basement, valued at \( \text{P}68,000,000 \)).</w:t>
      </w:r>
    </w:p>
    <w:p>
      <w:r>
        <w:t>2.  Alexandra Cluster B (Eleven-storey twin towers with a common basement, valued at \( \text{P}140,500,000 \)).</w:t>
      </w:r>
    </w:p>
    <w:p>
      <w:r>
        <w:t>3.  Alexandra Cluster E (Eleven-storey twin towers with a common basement, valued at \( \text{P}140,500,000 \)).</w:t>
      </w:r>
    </w:p>
    <w:p>
      <w:r>
        <w:t>4.  Tektite Towers Phase I (Also known as the Tektite Building, the focal point of the escalation dispute).</w:t>
      </w:r>
    </w:p>
    <w:p>
      <w:pPr>
        <w:pStyle w:val="ListBullet"/>
      </w:pPr>
      <w:r/>
      <w:r>
        <w:rPr>
          <w:b/>
        </w:rPr>
        <w:t>What did Philippine Realty do or represent during the project?</w:t>
      </w:r>
      <w:r/>
    </w:p>
    <w:p>
      <w:r>
        <w:t>During the construction of the Tektite Building, the Philippines experienced a severe, unexpected hike in the prices of cement and other essential construction materials. LCDC approached PRHC's construction manager, Dennis Abcede, explaining that finishing the project under the original fixed price was impossible. Abcede, acting as PRHC's representative, proposed an escalation agreement: if LCDC would advance its own funds to continue construction, PRHC would grant a \(\text{P}36,000,000\) contract price escalation. This was formalized in a letter-agreement dated August 9, 1991, signed by Abcede and LCDC, though the formal "Approved" line meant for PRHC's board of directors remained blank. Furthermore, Abcede and Santos verbally assured LCDC that it would not be penalized for construction delays caused by the cement shortage and typhoons, provided LCDC worked diligently to finish the project.</w:t>
      </w:r>
    </w:p>
    <w:p>
      <w:pPr>
        <w:pStyle w:val="ListBullet"/>
      </w:pPr>
      <w:r/>
      <w:r>
        <w:rPr>
          <w:b/>
        </w:rPr>
        <w:t>Did Philippine Realty accept performance, make payments, or make representations?</w:t>
      </w:r>
      <w:r/>
    </w:p>
    <w:p>
      <w:r>
        <w:t>Yes. LCDC diligently informed PRHC every month of the partial amounts it was infusing into the project. PRHC silently accepted this continued performance. PRHC allowed LCDC to infuse over \(\text{P}38,000,000\) of its own funds into the construction, enjoying the benefit of the continuous building progress without once notifying LCDC that the PRHC board of directors had allegedly rejected the escalation proposal.</w:t>
      </w:r>
    </w:p>
    <w:p>
      <w:pPr>
        <w:pStyle w:val="ListBullet"/>
      </w:pPr>
      <w:r/>
      <w:r>
        <w:rPr>
          <w:b/>
        </w:rPr>
        <w:t>Later, what defense did Philippine Realty try to raise?</w:t>
      </w:r>
      <w:r/>
    </w:p>
    <w:p>
      <w:r>
        <w:t>When the Tektite Building was 96.43% complete, LCDC formally requested the release of the \(\text{P}36,000,000\) escalation payment. PRHC suddenly denied liability. PRHC raised the defense that the original contract explicitly prohibited price escalation and that the corporate board of directors had never approved the August 9, 1991 letter-agreement, pointing to the blank signature line. Additionally, PRHC attempted to claim \(\text{P}39,000,000\) in liquidated damages for 111 days of construction delay, disregarding the previous verbal waivers.</w:t>
      </w:r>
    </w:p>
    <w:p>
      <w:pPr>
        <w:pStyle w:val="ListBullet"/>
      </w:pPr>
      <w:r/>
      <w:r>
        <w:rPr>
          <w:b/>
        </w:rPr>
        <w:t>Was Ley Construction prejudiced by relying on Philippine Realty's prior conduct?</w:t>
      </w:r>
      <w:r/>
    </w:p>
    <w:p>
      <w:r>
        <w:t>LCDC was severely prejudiced. Relying on the signed letter from the construction manager and the verbal assurances of the general manager, LCDC altered its financial position by advancing over \(\text{P}38,000,000\) of its own capital to purchase materials and pay laborers. Had PRHC promptly informed LCDC of the board's disapproval, LCDC could have suspended work, renegotiated, or pursued other legal remedies earlier instead of bleeding capital for PRHC's benefit.</w:t>
      </w:r>
    </w:p>
    <w:p>
      <w:pPr>
        <w:pStyle w:val="ListBullet"/>
      </w:pPr>
      <w:r/>
      <w:r>
        <w:rPr>
          <w:b/>
        </w:rPr>
        <w:t>Timeline of key events:</w:t>
      </w:r>
      <w:r/>
    </w:p>
    <w:p>
      <w:pPr>
        <w:pStyle w:val="ListBullet"/>
      </w:pPr>
      <w:r>
        <w:t xml:space="preserve">  *April 1988 – October 1989*: Execution of the four fixed-price construction contracts.</w:t>
      </w:r>
    </w:p>
    <w:p>
      <w:pPr>
        <w:pStyle w:val="ListBullet"/>
      </w:pPr>
      <w:r>
        <w:t xml:space="preserve">  *1990 – 1991*: Sudden spikes in material costs (cement shortage) and severe typhoons hit the Philippines.</w:t>
      </w:r>
    </w:p>
    <w:p>
      <w:pPr>
        <w:pStyle w:val="ListBullet"/>
      </w:pPr>
      <w:r>
        <w:t xml:space="preserve">  *August 9, 1991*: Abcede sends the letter-agreement proposing the \(\text{P}36\) million escalation if LCDC advances the funds.</w:t>
      </w:r>
    </w:p>
    <w:p>
      <w:pPr>
        <w:pStyle w:val="ListBullet"/>
      </w:pPr>
      <w:r>
        <w:t xml:space="preserve">  *Late 1991 – 1992*: LCDC infuses funds and continues building; PRHC remains silent about board disapproval.</w:t>
      </w:r>
    </w:p>
    <w:p>
      <w:pPr>
        <w:pStyle w:val="ListBullet"/>
      </w:pPr>
      <w:r>
        <w:t xml:space="preserve">  *Project at 96.43%*: LCDC demands payment; PRHC officially denies the escalation and demands liquidated damages.</w:t>
      </w:r>
    </w:p>
    <w:p>
      <w:pPr>
        <w:pStyle w:val="ListBullet"/>
      </w:pPr>
      <w:r>
        <w:t xml:space="preserve">  *1996*: LCDC files a complaint before the Regional Trial Court (RTC) for the sum of money.</w:t>
      </w:r>
    </w:p>
    <w:p>
      <w:pPr>
        <w:pStyle w:val="ListBullet"/>
      </w:pPr>
      <w:r>
        <w:t xml:space="preserve">  *June 13, 2011*: The Supreme Court issues its final ruling in favor of LCDC.</w:t>
      </w:r>
    </w:p>
    <w:p>
      <w:pPr>
        <w:pStyle w:val="Heading4"/>
      </w:pPr>
      <w:r>
        <w:t>3. The Contract or Obligation</w:t>
      </w:r>
    </w:p>
    <w:p>
      <w:pPr>
        <w:pStyle w:val="ListBullet"/>
      </w:pPr>
      <w:r/>
      <w:r>
        <w:rPr>
          <w:b/>
        </w:rPr>
        <w:t>What was the original construction contract?</w:t>
      </w:r>
      <w:r/>
    </w:p>
    <w:p>
      <w:r>
        <w:t>The original agreements were strictly fixed-price contracts. They explicitly contained an "Article IV" provision that prohibited any escalation of the contract price for materials, allowing adjustments only for specific labor wage increases or expressly approved additional works. The contracts also included an "Article VII" which stipulated a formal procedure for time extensions (requiring written requests within 10 days) and imposed strict liquidated damages for unauthorized delays.</w:t>
      </w:r>
    </w:p>
    <w:p>
      <w:pPr>
        <w:pStyle w:val="ListBullet"/>
      </w:pPr>
      <w:r/>
      <w:r>
        <w:rPr>
          <w:b/>
        </w:rPr>
        <w:t>What representations or conduct by Philippine Realty created the estoppel?</w:t>
      </w:r>
      <w:r/>
    </w:p>
    <w:p>
      <w:r>
        <w:t>Two specific sets of representations created the estoppel. First, the August 9, 1991 letter authored by PRHC's project construction manager, Dennis Abcede, outlining the \(\text{P}36\) million escalation, coupled with PRHC's subsequent silent acceptance of LCDC's monthly financial infusions. Second, the verbal assurances made by Abcede and Joselito Santos (VP for Operations) promising LCDC that PRHC would waive the liquidated damages and not penalize them for delays caused by the material shortages, so long as LCDC kept working.</w:t>
      </w:r>
    </w:p>
    <w:p>
      <w:pPr>
        <w:pStyle w:val="ListBullet"/>
      </w:pPr>
      <w:r/>
      <w:r>
        <w:rPr>
          <w:b/>
        </w:rPr>
        <w:t>How did Ley Construction rely on those representations?</w:t>
      </w:r>
      <w:r/>
    </w:p>
    <w:p>
      <w:r>
        <w:t>LCDC relied on these representations by completely altering its economic posture. Believing the escalation was approved (or at least validly authorized by apparent agents), LCDC did not halt construction. Instead, it advanced \(\text{P}38,248,463.92\) of its own money to buy expensive materials. Believing the delay penalties were waived, LCDC did not aggressively pursue the formal 10-day written extension procedures required by Article VII of the original contract, trusting the gentlemen's agreement with the PRHC executives.</w:t>
      </w:r>
    </w:p>
    <w:p>
      <w:pPr>
        <w:pStyle w:val="Heading4"/>
      </w:pPr>
      <w:r>
        <w:t>4. Legal Issues Raised</w:t>
      </w:r>
    </w:p>
    <w:p>
      <w:pPr>
        <w:pStyle w:val="ListBullet"/>
      </w:pPr>
      <w:r/>
      <w:r>
        <w:rPr>
          <w:b/>
        </w:rPr>
        <w:t>Is Philippine Realty estopped from raising a defense it could have raised earlier?</w:t>
      </w:r>
      <w:r/>
    </w:p>
    <w:p>
      <w:r>
        <w:t>Yes. The central legal issue was whether PRHC could raise the defense of a lack of formal board approval and the original contract's non-escalation clause after it had already accepted the benefits of LCDC's performance.</w:t>
      </w:r>
    </w:p>
    <w:p>
      <w:pPr>
        <w:pStyle w:val="ListBullet"/>
      </w:pPr>
      <w:r/>
      <w:r>
        <w:rPr>
          <w:b/>
        </w:rPr>
        <w:t>What is the basis of estoppel — in pais, by deed, or by record?</w:t>
      </w:r>
      <w:r/>
    </w:p>
    <w:p>
      <w:r>
        <w:t xml:space="preserve">The basis of estoppel in this case is primarily </w:t>
      </w:r>
      <w:r>
        <w:rPr>
          <w:b/>
        </w:rPr>
        <w:t>estoppel in pais</w:t>
      </w:r>
      <w:r>
        <w:t xml:space="preserve"> (also known as equitable estoppel) and its sub-doctrine, </w:t>
      </w:r>
      <w:r>
        <w:rPr>
          <w:b/>
        </w:rPr>
        <w:t>promissory estoppel</w:t>
      </w:r>
      <w:r>
        <w:t>.</w:t>
      </w:r>
    </w:p>
    <w:p>
      <w:pPr>
        <w:pStyle w:val="ListBullet"/>
      </w:pPr>
      <w:r>
        <w:t xml:space="preserve">  *Estoppel in pais* arises when one, by his acts, representations, or admissions, or by his silence when he ought to speak out, intentionally or through culpable negligence, induces another to believe certain facts to exist and such other rightfully relies and acts on such belief, so that he will be prejudiced if the former is permitted to deny the existence of such facts. PRHC's silence regarding the board's disapproval constituted estoppel in pais.</w:t>
      </w:r>
    </w:p>
    <w:p>
      <w:pPr>
        <w:pStyle w:val="ListBullet"/>
      </w:pPr>
      <w:r>
        <w:t xml:space="preserve">  *Promissory estoppel* prevents a party from going back on a promise if another party relied on that promise to their detriment. This was specifically applied to the verbal waiver of the liquidated damages.</w:t>
      </w:r>
    </w:p>
    <w:p>
      <w:pPr>
        <w:pStyle w:val="ListBullet"/>
      </w:pPr>
      <w:r/>
      <w:r>
        <w:rPr>
          <w:b/>
        </w:rPr>
        <w:t>What is the legal effect of the estoppel?</w:t>
      </w:r>
      <w:r/>
    </w:p>
    <w:p>
      <w:r>
        <w:t>The legal effect is that the representation becomes absolutely conclusive upon the party making it. PRHC was legally barred from submitting evidence or arguing that the board did not approve the escalation, and they were barred from enforcing the liquidated damages clause of the original contract. The defective or unapproved agreement is treated as fully binding and enforceable.</w:t>
      </w:r>
    </w:p>
    <w:p>
      <w:pPr>
        <w:pStyle w:val="Heading4"/>
      </w:pPr>
      <w:r>
        <w:t>5. Supreme Court Ruling</w:t>
      </w:r>
    </w:p>
    <w:p>
      <w:pPr>
        <w:pStyle w:val="ListBullet"/>
      </w:pPr>
      <w:r/>
      <w:r>
        <w:rPr>
          <w:b/>
        </w:rPr>
        <w:t>What did the SC hold on estoppel?</w:t>
      </w:r>
      <w:r/>
    </w:p>
    <w:p>
      <w:r>
        <w:t>The Supreme Court held that estoppel is an equitable principle rooted in natural justice, designed to prevent persons from going back on their own acts and representations to the prejudice of others who relied upon them. The Court ruled that PRHC was estopped from denying the \(\text{P}36\) million escalation agreement because it waited for LCDC to finish infusing the money before claiming the board never approved it. Furthermore, under the doctrine of apparent authority, PRHC had clothed Abcede and Santos with the power to negotiate, and their promises to waive liquidated damages bound the corporation via promissory estoppel.</w:t>
      </w:r>
    </w:p>
    <w:p>
      <w:pPr>
        <w:pStyle w:val="ListBullet"/>
      </w:pPr>
      <w:r/>
      <w:r>
        <w:rPr>
          <w:b/>
        </w:rPr>
        <w:t>Was Philippine Realty's defense rejected?</w:t>
      </w:r>
      <w:r/>
    </w:p>
    <w:p>
      <w:r>
        <w:t xml:space="preserve">Yes, PRHC's defenses were thoroughly rejected. The Court dismissed the argument that the blank signature line invalidated the contract, noting that practice, acquiescence, and silence effectively ratified the agreement. The Court also dismissed the claim for liquidated damages, ruling that the delays were caused by </w:t>
      </w:r>
      <w:r>
        <w:rPr>
          <w:i/>
        </w:rPr>
        <w:t>force majeure</w:t>
      </w:r>
      <w:r>
        <w:t xml:space="preserve"> (fortuitous events under Article 1174, such as cement shortages and typhoons) and were covered by the estoppel-backed waivers.</w:t>
      </w:r>
    </w:p>
    <w:p>
      <w:pPr>
        <w:pStyle w:val="ListBullet"/>
      </w:pPr>
      <w:r/>
      <w:r>
        <w:rPr>
          <w:b/>
        </w:rPr>
        <w:t>What was the disposition?</w:t>
      </w:r>
      <w:r/>
    </w:p>
    <w:p>
      <w:r>
        <w:t>The Supreme Court reinstated the core findings of the RTC, reversing the mechanical application of the contract by the Court of Appeals. PRHC was ordered to pay LCDC for the unpaid balances and the escalation agreement.</w:t>
      </w:r>
    </w:p>
    <w:p>
      <w:r>
        <w:t>The financial disposition required an offsetting of liabilities:</w:t>
      </w:r>
    </w:p>
    <w:p>
      <w:r>
        <w:t>\[ \text{Net Liability} = \text{Unpaid Balances} - \text{Overpayments/Corrective Works} \]</w:t>
      </w:r>
    </w:p>
    <w:p>
      <w:r>
        <w:t xml:space="preserve">PRHC was found liable for approximately \(\text{P}64\) million to LCDC. However, LCDC was ordered to pay PRHC \(\text{P}6.65\) million (which included \(\text{P}2,006,000\) for defective waterproofing corrective works under Article XIV of the contract, as LCDC remained liable for subcontractor errors). Offsetting these amounts, the Supreme Court ordered PRHC to pay LCDC a net amount of </w:t>
      </w:r>
      <w:r>
        <w:rPr>
          <w:b/>
        </w:rPr>
        <w:t>\(\text{P}57.38\) million</w:t>
      </w:r>
      <w:r>
        <w:t>, with legal interest from the date of the filing of the complaint. (Note: LCDC's excess infusion of \(\text{P}2,248,463.92\) above the agreed \(\text{P}36\) million was deemed voluntary and not covered by the estoppel, thus PRHC was not liable for that specific excess).</w:t>
      </w:r>
    </w:p>
    <w:p>
      <w:pPr>
        <w:pStyle w:val="Heading4"/>
      </w:pPr>
      <w:r>
        <w:t>6. Key Doctrine / Civil Code Hook</w:t>
      </w:r>
    </w:p>
    <w:p>
      <w:pPr>
        <w:pStyle w:val="ListBullet"/>
      </w:pPr>
      <w:r/>
      <w:r>
        <w:rPr>
          <w:b/>
        </w:rPr>
        <w:t>State the elements and effect of estoppel under Art. 1431:</w:t>
      </w:r>
      <w:r/>
    </w:p>
    <w:p>
      <w:r>
        <w:t>```text</w:t>
      </w:r>
    </w:p>
    <w:p>
      <w:r>
        <w:t>Article 1431. Through estoppel an admission or representation is rendered conclusive upon the person making it, and cannot be denied or disproved as against the person relying thereon.</w:t>
      </w:r>
    </w:p>
    <w:p>
      <w:r>
        <w:t>```</w:t>
      </w:r>
    </w:p>
    <w:p>
      <w:r>
        <w:t>The elements of estoppel applied here are:</w:t>
      </w:r>
    </w:p>
    <w:p>
      <w:r>
        <w:t>1) The actor (PRHC) communicates something in a misleading way or remains silent when duty-bound to speak;</w:t>
      </w:r>
    </w:p>
    <w:p>
      <w:r>
        <w:t>2) The other party (LCDC) reasonably and justifiably relies upon that communication or silence;</w:t>
      </w:r>
    </w:p>
    <w:p>
      <w:r>
        <w:t>3) The other party (LCDC) would be materially harmed if the actor is later permitted to assert an inconsistent claim; and</w:t>
      </w:r>
    </w:p>
    <w:p>
      <w:r>
        <w:t>4) The actor knows or expects that the other party will act upon the information given.</w:t>
      </w:r>
    </w:p>
    <w:p>
      <w:r>
        <w:t>The effect is substantive: the actor is precluded from proving truth that contradicts their prior representation.</w:t>
      </w:r>
    </w:p>
    <w:p>
      <w:pPr>
        <w:pStyle w:val="ListBullet"/>
      </w:pPr>
      <w:r/>
      <w:r>
        <w:rPr>
          <w:b/>
        </w:rPr>
        <w:t>State the rule: a party cannot go back on representations on which another has relied to their detriment.</w:t>
      </w:r>
      <w:r/>
    </w:p>
    <w:p>
      <w:r>
        <w:t>The doctrine of promissory estoppel prevents a party from going back on a promise, even if there is no formal contract, if another party relied on that promise to their detriment. It is a response to the demands of moral right and natural justice.</w:t>
      </w:r>
    </w:p>
    <w:p>
      <w:pPr>
        <w:pStyle w:val="ListBullet"/>
      </w:pPr>
      <w:r/>
      <w:r>
        <w:rPr>
          <w:b/>
        </w:rPr>
        <w:t>Which Civil Code articles were applied?</w:t>
      </w:r>
      <w:r/>
    </w:p>
    <w:p>
      <w:pPr>
        <w:pStyle w:val="ListBullet"/>
      </w:pPr>
      <w:r>
        <w:t xml:space="preserve">  </w:t>
      </w:r>
      <w:r>
        <w:rPr>
          <w:b/>
        </w:rPr>
        <w:t>Article 1431</w:t>
      </w:r>
      <w:r>
        <w:t>: Estoppel (rendered PRHC's representations conclusive).</w:t>
      </w:r>
    </w:p>
    <w:p>
      <w:pPr>
        <w:pStyle w:val="ListBullet"/>
      </w:pPr>
      <w:r>
        <w:t xml:space="preserve">  </w:t>
      </w:r>
      <w:r>
        <w:rPr>
          <w:b/>
        </w:rPr>
        <w:t>Article 1174</w:t>
      </w:r>
      <w:r>
        <w:t>: Force Majeure / Fortuitous Events (excused LCDC from delays caused by extreme typhoons and national cement shortages, independent of the debtor's will).</w:t>
      </w:r>
    </w:p>
    <w:p>
      <w:pPr>
        <w:pStyle w:val="ListBullet"/>
      </w:pPr>
      <w:r>
        <w:t xml:space="preserve">  </w:t>
      </w:r>
      <w:r>
        <w:rPr>
          <w:b/>
        </w:rPr>
        <w:t>Article 1292</w:t>
      </w:r>
      <w:r>
        <w:t>: Novation (the P36M escalation agreement validly extinguished and replaced the strict non-escalation clause of the old contract).</w:t>
      </w:r>
    </w:p>
    <w:p>
      <w:pPr>
        <w:pStyle w:val="Heading4"/>
      </w:pPr>
      <w:r>
        <w:t>7. Memory Anchor</w:t>
      </w:r>
    </w:p>
    <w:p>
      <w:pPr>
        <w:pStyle w:val="ListBullet"/>
      </w:pPr>
      <w:r/>
      <w:r>
        <w:rPr>
          <w:b/>
        </w:rPr>
        <w:t>A 1–2 sentence story hook or mnemonic for bar/exam recall:</w:t>
      </w:r>
      <w:r/>
    </w:p>
    <w:p>
      <w:r>
        <w:rPr>
          <w:i/>
        </w:rPr>
        <w:t>PRHC silently watched Ley Construction bleed \(\text{P}36\) million into the Tektite Building, then tried to use a "blank signature line" as a shield.</w:t>
      </w:r>
      <w:r>
        <w:rPr>
          <w:b/>
        </w:rPr>
        <w:t>Rule:</w:t>
      </w:r>
      <w:r>
        <w:t xml:space="preserve"> You cannot reap the fruits of a contractor's detriment in silence, then suddenly scream "No Board Approval!"—Article 1431 will estop you in your tracks.</w:t>
      </w:r>
    </w:p>
    <w:p>
      <w:pPr>
        <w:pStyle w:val="Heading2"/>
      </w:pPr>
      <w:r>
        <w:t>Case 33: F.A.T. Kee Computer Systems, Inc. v. Online Networks International, Inc. (2011) | G.R. No. 171238</w:t>
      </w:r>
    </w:p>
    <w:p>
      <w:pPr>
        <w:pStyle w:val="Heading2"/>
      </w:pPr>
      <w:r>
        <w:t>Comprehensive Case Analysis: F.A.T. Kee Computer Systems, Inc. v. Online Networks International, Inc.</w:t>
      </w:r>
    </w:p>
    <w:p>
      <w:r>
        <w:t xml:space="preserve">Research suggests that the intersection of technology hardware contracts and foreign currency denomination often leads to complex disputes over exchange rates and payment fulfillment. In Philippine civil law, such disputes are typically resolved through the strict application of contract law, mitigated by equitable doctrines when fairness demands it. The case of </w:t>
      </w:r>
      <w:r>
        <w:rPr>
          <w:i/>
        </w:rPr>
        <w:t>F.A.T. Kee Computer Systems, Inc. v. Online Networks International, Inc.</w:t>
      </w:r>
      <w:r>
        <w:t xml:space="preserve"> provides a critical examination of how the doctrine of estoppel (Article 1431 of the Civil Code) functions as a mechanism of "natural justice" to prevent a party from repudiating their own representations or silence to the prejudice of another. While the obligation in question was strictly a civil one arising from a commercial contract of sale, the case is frequently analyzed in the context of natural obligations and equitable principles because it demarcates the boundary between legally enforceable debts and the equitable forfeiture of claims through one's careless indifference or implied acquiescence.</w:t>
      </w:r>
    </w:p>
    <w:p>
      <w:r>
        <w:t>It seems likely that students and practitioners studying this case under the rubric of "natural obligations" must carefully distinguish between an obligation that is inherently unenforceable by court action (a true natural obligation under Article 1423) and a civilly enforceable obligation that is merely constrained or modified by the equitable principle of estoppel, which is rooted in natural justice. The evidence leans toward the conclusion that the Supreme Court utilized estoppel not to alter the civil nature of the debt, but to permanently fix the contested exchange rate based on the parties' conduct.</w:t>
      </w:r>
    </w:p>
    <w:p>
      <w:r>
        <w:rPr>
          <w:b/>
        </w:rPr>
      </w:r>
    </w:p>
    <w:p>
      <w:pPr>
        <w:pStyle w:val="Heading3"/>
      </w:pPr>
      <w:r>
        <w:t>F.A.T. Kee Computer Systems, Inc. v. Online Networks International, Inc. (2011) | G.R. No. 171238</w:t>
      </w:r>
    </w:p>
    <w:p>
      <w:pPr>
        <w:pStyle w:val="Heading4"/>
      </w:pPr>
      <w:r>
        <w:t>1. The Parties</w:t>
      </w:r>
    </w:p>
    <w:p>
      <w:pPr>
        <w:pStyle w:val="ListBullet"/>
      </w:pPr>
      <w:r>
        <w:t xml:space="preserve">  </w:t>
      </w:r>
      <w:r>
        <w:rPr>
          <w:b/>
        </w:rPr>
        <w:t>Petitioner (F.A.T. Kee Computer Systems, Inc. / FAT KEE):</w:t>
      </w:r>
      <w:r/>
    </w:p>
    <w:p>
      <w:r>
        <w:t>F.A.T. Kee Computer Systems, Inc. is a domestic corporation operating within the Philippines. Its primary business engagement involves the commercial sale of computer equipment, specifically hardware systems, and the provision of technical maintenance services for the IT units it sells to its clientele.</w:t>
      </w:r>
    </w:p>
    <w:p>
      <w:pPr>
        <w:pStyle w:val="ListBullet"/>
      </w:pPr>
      <w:r>
        <w:t xml:space="preserve">  </w:t>
      </w:r>
      <w:r>
        <w:rPr>
          <w:b/>
        </w:rPr>
        <w:t>Respondent (Online Networks International, Inc. / ONLINE):</w:t>
      </w:r>
      <w:r/>
    </w:p>
    <w:p>
      <w:r>
        <w:t>Online Networks International, Inc. is similarly a domestic Philippine corporation. Its principal business operations revolve around the wholesale and retail distribution of computer units, hardware parts, and software systems.</w:t>
      </w:r>
    </w:p>
    <w:p>
      <w:pPr>
        <w:pStyle w:val="ListBullet"/>
      </w:pPr>
      <w:r>
        <w:t xml:space="preserve">  </w:t>
      </w:r>
      <w:r>
        <w:rPr>
          <w:b/>
        </w:rPr>
        <w:t>Their relationship:</w:t>
      </w:r>
      <w:r/>
    </w:p>
    <w:p>
      <w:r>
        <w:t>The parties engaged in a vendor-purchaser commercial relationship within the IT hardware sector. Specifically, FAT KEE acted as the buyer and ONLINE acted as the supplier/vendor. The arrangement was a straightforward B2B (business-to-business) contract of sale for IT hardware (computer printers), governed by purchase orders and standard corporate invoice receipts, rather than a continuous long-term IT service or maintenance contract.</w:t>
      </w:r>
    </w:p>
    <w:p>
      <w:pPr>
        <w:pStyle w:val="Heading4"/>
      </w:pPr>
      <w:r>
        <w:t>2. Background &amp; Facts</w:t>
      </w:r>
    </w:p>
    <w:p>
      <w:r>
        <w:rPr>
          <w:b/>
        </w:rPr>
        <w:t>The Agreement and the Transaction</w:t>
      </w:r>
    </w:p>
    <w:p>
      <w:r>
        <w:t xml:space="preserve">Sometime in October and November 1997, FAT KEE submitted purchase orders for Hewlett Packard computers and printers to ONLINE. These purchase orders were explicitly quoted and denominated in US dollars. ONLINE subsequently supplied and sold the computer printers to FAT KEE for a total purchase price of </w:t>
      </w:r>
      <w:r>
        <w:rPr>
          <w:b/>
        </w:rPr>
        <w:t>US$136,149.43</w:t>
      </w:r>
      <w:r>
        <w:t>. The delivery and corresponding financial obligations were documented and evidenced by four specific Invoice Nos.: 4680, 4838, 5090, and 5096.</w:t>
      </w:r>
    </w:p>
    <w:p>
      <w:r>
        <w:t>To protect the vendor against default, the invoice receipts contained strict penal stipulations:</w:t>
      </w:r>
    </w:p>
    <w:p>
      <w:pPr>
        <w:pStyle w:val="ListBullet"/>
      </w:pPr>
      <w:r>
        <w:t xml:space="preserve">  An interest rate of </w:t>
      </w:r>
      <w:r>
        <w:rPr>
          <w:b/>
        </w:rPr>
        <w:t>28% per annum</w:t>
      </w:r>
      <w:r>
        <w:t xml:space="preserve"> to be charged on all overdue accounts.</w:t>
      </w:r>
    </w:p>
    <w:p>
      <w:pPr>
        <w:pStyle w:val="ListBullet"/>
      </w:pPr>
      <w:r>
        <w:t xml:space="preserve">  An additional penalty sum equal to </w:t>
      </w:r>
      <w:r>
        <w:rPr>
          <w:b/>
        </w:rPr>
        <w:t>25% of the total amount</w:t>
      </w:r>
      <w:r>
        <w:t xml:space="preserve"> to be charged for attorney’s fees, plus the cost of collection, in the event that a lawsuit was filed.</w:t>
      </w:r>
    </w:p>
    <w:p>
      <w:r>
        <w:rPr>
          <w:b/>
        </w:rPr>
        <w:t>The Conflict: Exchange Rate Volatility and Disputed Balances</w:t>
      </w:r>
    </w:p>
    <w:p>
      <w:r>
        <w:t>The core conflict arose not from system failure or non-delivery of the IT hardware, but from a financial dispute regarding the applicable foreign exchange rate. When the obligations matured in December 1997, FAT KEE sought to pay its US dollar-denominated debt using Philippine Pesos. The parties clashed over the conversion rate to be applied to the remaining balance:</w:t>
      </w:r>
    </w:p>
    <w:p>
      <w:pPr>
        <w:pStyle w:val="ListBullet"/>
      </w:pPr>
      <w:r>
        <w:t xml:space="preserve">  </w:t>
      </w:r>
      <w:r>
        <w:rPr>
          <w:b/>
        </w:rPr>
        <w:t>ONLINE's position:</w:t>
      </w:r>
      <w:r>
        <w:t xml:space="preserve"> ONLINE alleged that FAT KEE's President, Frederick Huang, Jr., offered to pay the obligation in Philippine pesos at a conversion rate of </w:t>
      </w:r>
      <w:r>
        <w:rPr>
          <w:b/>
        </w:rPr>
        <w:t>₱40:US$1</w:t>
      </w:r>
      <w:r>
        <w:t>, leaving a substantial unpaid balance of ₱756,095.05 after partial payments were deducted.</w:t>
      </w:r>
    </w:p>
    <w:p>
      <w:pPr>
        <w:pStyle w:val="ListBullet"/>
      </w:pPr>
      <w:r>
        <w:t xml:space="preserve">  </w:t>
      </w:r>
      <w:r>
        <w:rPr>
          <w:b/>
        </w:rPr>
        <w:t>FAT KEE's position:</w:t>
      </w:r>
      <w:r>
        <w:t xml:space="preserve"> FAT KEE vehemently denied agreeing to the ₱40:US$1 rate or any foreign-currency binding conversion that favored ONLINE. Instead, FAT KEE claimed that its total obligation was only ₱5,067,925.34. FAT KEE based this calculation on a Statement of Account (SOA) prepared by ONLINE’s collection clerk, Edwin Morales, and sent to FAT KEE on December 9, 1997, which effectively utilized an exchange rate of </w:t>
      </w:r>
      <w:r>
        <w:rPr>
          <w:b/>
        </w:rPr>
        <w:t>₱34:US$1</w:t>
      </w:r>
      <w:r>
        <w:t>. FAT KEE claimed to have fully paid this amount and argued that ONLINE was estopped from demanding a higher rate because of this SOA.</w:t>
      </w:r>
    </w:p>
    <w:p>
      <w:r>
        <w:rPr>
          <w:b/>
        </w:rPr>
        <w:t>Timeline of Key Events</w:t>
      </w:r>
    </w:p>
    <w:p>
      <w:r>
        <w:t>The chronology of the parties' actions heavily dictated the Supreme Court's application of equitable doctrines:</w:t>
      </w:r>
    </w:p>
    <w:p>
      <w:r>
        <w:t>| Date | Event | Significance |</w:t>
      </w:r>
    </w:p>
    <w:p>
      <w:r>
        <w:t>| :--- | :--- | :--- |</w:t>
      </w:r>
    </w:p>
    <w:p>
      <w:r>
        <w:t xml:space="preserve">| </w:t>
      </w:r>
      <w:r>
        <w:rPr>
          <w:b/>
        </w:rPr>
        <w:t>Oct – Nov 1997</w:t>
      </w:r>
      <w:r>
        <w:t xml:space="preserve"> | FAT KEE submits purchase orders; ONLINE delivers computer printers for US$136,149.43. | Creation of the civil obligation via a perfected and consummated contract of sale. |</w:t>
      </w:r>
    </w:p>
    <w:p>
      <w:r>
        <w:t xml:space="preserve">| </w:t>
      </w:r>
      <w:r>
        <w:rPr>
          <w:b/>
        </w:rPr>
        <w:t>Dec 9, 1997</w:t>
      </w:r>
      <w:r>
        <w:t xml:space="preserve"> | ONLINE's clerk issues a Statement of Account (SOA) to FAT KEE. | The SOA reflects a computation utilizing a </w:t>
      </w:r>
      <w:r>
        <w:rPr>
          <w:b/>
        </w:rPr>
        <w:t>₱34:US$1</w:t>
      </w:r>
      <w:r>
        <w:t xml:space="preserve"> exchange rate. FAT KEE later uses this to invoke estoppel. |</w:t>
      </w:r>
    </w:p>
    <w:p>
      <w:r>
        <w:t xml:space="preserve">| </w:t>
      </w:r>
      <w:r>
        <w:rPr>
          <w:b/>
        </w:rPr>
        <w:t>Jan 15, 1998</w:t>
      </w:r>
      <w:r>
        <w:t xml:space="preserve"> | Meeting between ONLINE officials, FAT KEE's President (Huang), and legal counsel. | Parties attempt but fail to reach a consensus on the payment scheme and the applicable exchange rate. This meeting negates FAT KEE's claim of being misled by the Dec 9 SOA. |</w:t>
      </w:r>
    </w:p>
    <w:p>
      <w:r>
        <w:t xml:space="preserve">| </w:t>
      </w:r>
      <w:r>
        <w:rPr>
          <w:b/>
        </w:rPr>
        <w:t>Mar 2, 1998</w:t>
      </w:r>
      <w:r>
        <w:t xml:space="preserve"> | FAT KEE formally offers to pay the balance at a rate of </w:t>
      </w:r>
      <w:r>
        <w:rPr>
          <w:b/>
        </w:rPr>
        <w:t>₱37:US$1</w:t>
      </w:r>
      <w:r>
        <w:t>. | FAT KEE proposes a counter-offer. ONLINE remains silent and does not formally reject this offer. |</w:t>
      </w:r>
    </w:p>
    <w:p>
      <w:r>
        <w:t xml:space="preserve">| </w:t>
      </w:r>
      <w:r>
        <w:rPr>
          <w:b/>
        </w:rPr>
        <w:t>Mar 17 – May 1998</w:t>
      </w:r>
      <w:r>
        <w:t xml:space="preserve"> | FAT KEE begins making continuous installment payments to ONLINE. | ONLINE accepts a total of ₱2,502,033.06 in payments without protest, bringing total payments to ₱4,758,574.18. This acceptance post-offer triggers estoppel against ONLINE. |</w:t>
      </w:r>
    </w:p>
    <w:p>
      <w:r>
        <w:t xml:space="preserve">| </w:t>
      </w:r>
      <w:r>
        <w:rPr>
          <w:b/>
        </w:rPr>
        <w:t>Jan 25, 1999</w:t>
      </w:r>
      <w:r>
        <w:t xml:space="preserve"> | ONLINE files a Complaint for Sum of Money (Civil Case No. 99-167) against FAT KEE in the Makati RTC. | ONLINE sues for the alleged remaining balance based on their claimed ₱40:US$1 rate, plus 28% interest and 25% attorney's fees. |</w:t>
      </w:r>
    </w:p>
    <w:p>
      <w:r>
        <w:t xml:space="preserve">| </w:t>
      </w:r>
      <w:r>
        <w:rPr>
          <w:b/>
        </w:rPr>
        <w:t>Nov 7, 2000</w:t>
      </w:r>
      <w:r>
        <w:t xml:space="preserve"> | Makati RTC dismisses ONLINE's complaint. | The RTC sides with FAT KEE, ruling ONLINE is estopped by the ₱34:US$1 SOA and awards FAT KEE ₱100,000 in attorney's fees. |</w:t>
      </w:r>
    </w:p>
    <w:p>
      <w:r>
        <w:t xml:space="preserve">| </w:t>
      </w:r>
      <w:r>
        <w:rPr>
          <w:b/>
        </w:rPr>
        <w:t>Sep 26, 2005</w:t>
      </w:r>
      <w:r>
        <w:t xml:space="preserve"> | Court of Appeals (CA) reverses the RTC decision. | The CA finds that the ₱37:US$1 rate should apply due to ONLINE's implied acquiescence to FAT KEE's March 1998 offer. |</w:t>
      </w:r>
    </w:p>
    <w:p>
      <w:r>
        <w:rPr>
          <w:b/>
        </w:rPr>
        <w:t>Invocation of Estoppel</w:t>
      </w:r>
    </w:p>
    <w:p>
      <w:r>
        <w:t xml:space="preserve">Estoppel was invoked as a primary weapon by </w:t>
      </w:r>
      <w:r>
        <w:rPr>
          <w:i/>
        </w:rPr>
        <w:t>both</w:t>
      </w:r>
      <w:r>
        <w:t xml:space="preserve"> parties, albeit at different stages and on different grounds:</w:t>
      </w:r>
    </w:p>
    <w:p>
      <w:r>
        <w:t xml:space="preserve">1.  </w:t>
      </w:r>
      <w:r>
        <w:rPr>
          <w:b/>
        </w:rPr>
        <w:t>By FAT KEE (As a Defense):</w:t>
      </w:r>
      <w:r>
        <w:t xml:space="preserve"> FAT KEE invoked estoppel against ONLINE based on the December 9, 1997 SOA, arguing that ONLINE could not demand a higher rate because it had represented the debt at the ₱34:US$1 rate, and FAT KEE had allegedly relied upon and paid according to this representation.</w:t>
      </w:r>
    </w:p>
    <w:p>
      <w:r>
        <w:t xml:space="preserve">2.  </w:t>
      </w:r>
      <w:r>
        <w:rPr>
          <w:b/>
        </w:rPr>
        <w:t>Against ONLINE (As a Basis for Fixing Liability):</w:t>
      </w:r>
      <w:r>
        <w:t xml:space="preserve"> The Court of Appeals, and later the Supreme Court, applied estoppel against ONLINE based on its silence following FAT KEE's March 2, 1998 offer of a ₱37:US$1 rate and its subsequent acceptance of payments without objection.</w:t>
      </w:r>
    </w:p>
    <w:p>
      <w:pPr>
        <w:pStyle w:val="Heading4"/>
      </w:pPr>
      <w:r>
        <w:t>3. The Contract or Obligation</w:t>
      </w:r>
    </w:p>
    <w:p>
      <w:r>
        <w:rPr>
          <w:b/>
        </w:rPr>
        <w:t>Nature of the Original Obligation</w:t>
      </w:r>
    </w:p>
    <w:p>
      <w:r>
        <w:t xml:space="preserve">The original obligation was a </w:t>
      </w:r>
      <w:r>
        <w:rPr>
          <w:b/>
        </w:rPr>
        <w:t>strictly civil obligation</w:t>
      </w:r>
      <w:r>
        <w:t xml:space="preserve"> arising from a contract of sale (Article 1157, Civil Code of the Philippines). ONLINE had the obligation to deliver determinate things (computer printers), and FAT KEE had the reciprocal obligation to pay the purchase price (US$136,149.43). Because it was a civil obligation, it gave ONLINE a positive right of action to compel fulfillment or exact damages through the courts in the event of a breach.</w:t>
      </w:r>
    </w:p>
    <w:p>
      <w:r>
        <w:rPr>
          <w:b/>
        </w:rPr>
        <w:t>Characterization: Civil vs. Natural/Moral</w:t>
      </w:r>
    </w:p>
    <w:p>
      <w:r>
        <w:t xml:space="preserve">To specifically address the Civil Code context of your query: this case does </w:t>
      </w:r>
      <w:r>
        <w:rPr>
          <w:i/>
        </w:rPr>
        <w:t>not</w:t>
      </w:r>
      <w:r>
        <w:t xml:space="preserve"> involve a natural obligation under Articles 1423 and 1424 of the Civil Code.</w:t>
      </w:r>
    </w:p>
    <w:p>
      <w:pPr>
        <w:pStyle w:val="ListBullet"/>
      </w:pPr>
      <w:r>
        <w:t xml:space="preserve">  </w:t>
      </w:r>
      <w:r>
        <w:rPr>
          <w:b/>
        </w:rPr>
        <w:t>Civil Obligations:</w:t>
      </w:r>
      <w:r>
        <w:t xml:space="preserve"> Give a right of action to compel their performance. The debt for the IT hardware in this case was fully legally demandable.</w:t>
      </w:r>
    </w:p>
    <w:p>
      <w:pPr>
        <w:pStyle w:val="ListBullet"/>
      </w:pPr>
      <w:r>
        <w:t xml:space="preserve">  </w:t>
      </w:r>
      <w:r>
        <w:rPr>
          <w:b/>
        </w:rPr>
        <w:t>Natural Obligations:</w:t>
      </w:r>
      <w:r>
        <w:t xml:space="preserve"> Originate from equity and natural law. They do not grant a right of action to enforce their performance, but after voluntary fulfillment by the obligor, they authorize the retention of what has been delivered or rendered (Art. 1423). Examples include debts extinguished by prescription or debts discharged in bankruptcy.</w:t>
      </w:r>
    </w:p>
    <w:p>
      <w:r>
        <w:t xml:space="preserve">The confusion in academic and bar review materials often stems from the Supreme Court's pronouncement in this case regarding the </w:t>
      </w:r>
      <w:r>
        <w:rPr>
          <w:i/>
        </w:rPr>
        <w:t>doctrine of estoppel</w:t>
      </w:r>
      <w:r>
        <w:t xml:space="preserve">. The Court, citing </w:t>
      </w:r>
      <w:r>
        <w:rPr>
          <w:i/>
        </w:rPr>
        <w:t>British American Tobacco v. Camacho</w:t>
      </w:r>
      <w:r>
        <w:t xml:space="preserve">, explicitly stated: </w:t>
      </w:r>
      <w:r>
        <w:rPr>
          <w:i/>
        </w:rPr>
        <w:t xml:space="preserve">"Estoppel, an equitable principle rooted in </w:t>
      </w:r>
      <w:r>
        <w:rPr>
          <w:i/>
        </w:rPr>
        <w:t>natural justice</w:t>
      </w:r>
      <w:r>
        <w:rPr>
          <w:i/>
        </w:rPr>
        <w:t>, prevents persons from going back on their own acts and representations, to the prejudice of others who have relied on them"</w:t>
      </w:r>
      <w:r>
        <w:t>.</w:t>
      </w:r>
    </w:p>
    <w:p>
      <w:r>
        <w:t xml:space="preserve">Therefore, while the underlying obligation to pay for the printers was purely </w:t>
      </w:r>
      <w:r>
        <w:rPr>
          <w:b/>
        </w:rPr>
        <w:t>civil</w:t>
      </w:r>
      <w:r>
        <w:t xml:space="preserve">, the mechanism used to determine the exact </w:t>
      </w:r>
      <w:r>
        <w:rPr>
          <w:i/>
        </w:rPr>
        <w:t>quantum</w:t>
      </w:r>
      <w:r>
        <w:t xml:space="preserve"> of that civil liability (the exchange rate) was governed by </w:t>
      </w:r>
      <w:r>
        <w:rPr>
          <w:b/>
        </w:rPr>
        <w:t>estoppel</w:t>
      </w:r>
      <w:r>
        <w:t xml:space="preserve">, an equitable principle rooted in </w:t>
      </w:r>
      <w:r>
        <w:rPr>
          <w:b/>
        </w:rPr>
        <w:t>natural justice</w:t>
      </w:r>
      <w:r>
        <w:t>. Estoppel was used in this context not to create or enforce a natural obligation, but to equitably modify how a civil obligation was calculated, preventing a party from unjustly enriching themselves by changing their stance after the fact.</w:t>
      </w:r>
    </w:p>
    <w:p>
      <w:r>
        <w:rPr>
          <w:b/>
        </w:rPr>
        <w:t>Role of Estoppel</w:t>
      </w:r>
    </w:p>
    <w:p>
      <w:r>
        <w:t>Estoppel was raised both as a defense (by FAT KEE to cap their liability at ₱34:US$1) and eventually utilized by the Court as a basis for determining the final extent of the civil liability (binding ONLINE to the ₱37:US$1 rate).</w:t>
      </w:r>
    </w:p>
    <w:p>
      <w:pPr>
        <w:pStyle w:val="Heading4"/>
      </w:pPr>
      <w:r>
        <w:t>4. Legal Issues Raised</w:t>
      </w:r>
    </w:p>
    <w:p>
      <w:r>
        <w:t>The case presented both procedural and substantive issues to the Supreme Court:</w:t>
      </w:r>
    </w:p>
    <w:p>
      <w:r>
        <w:t xml:space="preserve">1.  </w:t>
      </w:r>
      <w:r>
        <w:rPr>
          <w:b/>
        </w:rPr>
        <w:t>Was the petition procedurally defective?</w:t>
      </w:r>
      <w:r>
        <w:t xml:space="preserve"> ONLINE argued that FAT KEE's petition should be dismissed outright for failing to attach the Transcript of Stenographic Notes (TSN) of the RTC proceedings, allegedly violating Section 4, Rule 45 of the Rules of Court.</w:t>
      </w:r>
    </w:p>
    <w:p>
      <w:r>
        <w:t xml:space="preserve">2.  </w:t>
      </w:r>
      <w:r>
        <w:rPr>
          <w:b/>
        </w:rPr>
        <w:t>Was the obligation civilly enforceable at a specific exchange rate?</w:t>
      </w:r>
      <w:r>
        <w:t xml:space="preserve"> The core substantive issue was determining the exact conversion rate agreed upon or legally binding upon the parties when FAT KEE opted to pay its US dollar obligation in Philippine Pesos.</w:t>
      </w:r>
    </w:p>
    <w:p>
      <w:r>
        <w:t xml:space="preserve">3.  </w:t>
      </w:r>
      <w:r>
        <w:rPr>
          <w:b/>
        </w:rPr>
        <w:t>Was estoppel properly invoked by FAT KEE based on the December 9, 1997 SOA (₱34:US$1)?</w:t>
      </w:r>
      <w:r>
        <w:t xml:space="preserve"> Did the issuance of this document permanently bind ONLINE, despite its claim of error?.</w:t>
      </w:r>
    </w:p>
    <w:p>
      <w:r>
        <w:t xml:space="preserve">4.  </w:t>
      </w:r>
      <w:r>
        <w:rPr>
          <w:b/>
        </w:rPr>
        <w:t>Was estoppel properly applied against ONLINE regarding the March 2, 1998 offer (₱37:US$1)?</w:t>
      </w:r>
      <w:r>
        <w:t xml:space="preserve"> Did ONLINE's silence and subsequent acceptance of payments constitute implied acquiescence?.</w:t>
      </w:r>
    </w:p>
    <w:p>
      <w:r>
        <w:t xml:space="preserve">5.  </w:t>
      </w:r>
      <w:r>
        <w:rPr>
          <w:b/>
        </w:rPr>
        <w:t>What remedies were available?</w:t>
      </w:r>
      <w:r>
        <w:t xml:space="preserve"> Depending on the exchange rate established, what was the remaining balance, and were the stipulated penalties (28% interest and attorney's fees) legally demandable?.</w:t>
      </w:r>
    </w:p>
    <w:p>
      <w:pPr>
        <w:pStyle w:val="Heading4"/>
      </w:pPr>
      <w:r>
        <w:t>5. Supreme Court Ruling</w:t>
      </w:r>
    </w:p>
    <w:p>
      <w:r>
        <w:t>The Supreme Court, through its First Division (decision penned by Justice Leonardo-De Castro), affirmed the Court of Appeals' decision with a minor mathematical modification.</w:t>
      </w:r>
    </w:p>
    <w:p>
      <w:r>
        <w:rPr>
          <w:b/>
        </w:rPr>
        <w:t>On the Nature of the Obligation and Estoppel:</w:t>
      </w:r>
    </w:p>
    <w:p>
      <w:r>
        <w:t xml:space="preserve">1.  </w:t>
      </w:r>
      <w:r>
        <w:rPr>
          <w:b/>
        </w:rPr>
        <w:t>Procedural Issue:</w:t>
      </w:r>
      <w:r>
        <w:t xml:space="preserve"> The Court ruled that the failure to attach the TSN was not a fatal defect warranting outright dismissal. The records were subsequently elevated to the Supreme Court, curing the omission and allowing the Court to resolve the conflicting factual findings of the RTC and the CA.</w:t>
      </w:r>
    </w:p>
    <w:p>
      <w:r>
        <w:t xml:space="preserve">2.  </w:t>
      </w:r>
      <w:r>
        <w:rPr>
          <w:b/>
        </w:rPr>
        <w:t>Rejection of FAT KEE's Estoppel Claim (The ₱34:US$1 Rate):</w:t>
      </w:r>
      <w:r>
        <w:t xml:space="preserve"> The Supreme Court firmly rejected FAT KEE's argument that ONLINE was estopped by the December 9, 1997 SOA. The Court held that estoppel requires the party invoking it to have relied on the representation reasonably and without negligence. Any misconception FAT KEE had regarding the ₱34 rate was decisively rectified during the January 15, 1998 meeting where both parties actively disputed the rate. Furthermore, FAT KEE's own act of making counter-offers (such as the ₱37 offer in March) proved it did not genuinely rely on or consider the December SOA as final and binding. The Court emphasized that a party who conducts themselves with "careless indifference" or lacks "reasonable care and circumspection" cannot invoke estoppel.</w:t>
      </w:r>
    </w:p>
    <w:p>
      <w:r>
        <w:t xml:space="preserve">3.  </w:t>
      </w:r>
      <w:r>
        <w:rPr>
          <w:b/>
        </w:rPr>
        <w:t>Application of Estoppel Against ONLINE (The ₱37:US$1 Rate):</w:t>
      </w:r>
      <w:r>
        <w:t xml:space="preserve"> Conversely, the Supreme Court upheld the CA's finding that </w:t>
      </w:r>
      <w:r>
        <w:rPr>
          <w:b/>
        </w:rPr>
        <w:t>estoppel by implied acquiescence</w:t>
      </w:r>
      <w:r>
        <w:t xml:space="preserve"> applied against ONLINE regarding FAT KEE's March 2, 1998 offer of ₱37:US$1. When FAT KEE offered this rate, ONLINE remained silent, did not reject the offer, and subsequently accepted millions of pesos in installment payments starting March 17, 1998. By its conduct (silence coupled with acceptance of benefits), ONLINE was equitably estopped from later demanding a higher rate of ₱40 or ₱41.50.</w:t>
      </w:r>
    </w:p>
    <w:p>
      <w:r>
        <w:rPr>
          <w:b/>
        </w:rPr>
        <w:t>Disposition:</w:t>
      </w:r>
    </w:p>
    <w:p>
      <w:r>
        <w:t xml:space="preserve">The Supreme Court calculated the total obligation using the ₱37:US$1 rate, which amounted to ₱5,037,528.91. Subtracting the ₱4,758,574.18 that FAT KEE had already paid, the Court ordered F.A.T. Kee Computer Systems, Inc. to pay the remaining balance of </w:t>
      </w:r>
      <w:r>
        <w:rPr>
          <w:b/>
        </w:rPr>
        <w:t>₱278,954.73</w:t>
      </w:r>
      <w:r>
        <w:t xml:space="preserve"> to Online Networks International, Inc. Furthermore, the Court enforced the civil contract's penal clauses, ordering FAT KEE to pay </w:t>
      </w:r>
      <w:r>
        <w:rPr>
          <w:b/>
        </w:rPr>
        <w:t>28% per annum interest</w:t>
      </w:r>
      <w:r>
        <w:t xml:space="preserve"> on the balance from July 1998 until fully paid, plus </w:t>
      </w:r>
      <w:r>
        <w:rPr>
          <w:b/>
        </w:rPr>
        <w:t>10% of the total award as attorney's fees</w:t>
      </w:r>
      <w:r>
        <w:t xml:space="preserve"> (reduced equitably from the stipulated 25%).</w:t>
      </w:r>
    </w:p>
    <w:p>
      <w:pPr>
        <w:pStyle w:val="Heading4"/>
      </w:pPr>
      <w:r>
        <w:t>6. Key Doctrine / Civil Code Hook</w:t>
      </w:r>
    </w:p>
    <w:p>
      <w:r>
        <w:rPr>
          <w:b/>
        </w:rPr>
        <w:t>Applicable Rules on Estoppel (Article 1431)</w:t>
      </w:r>
    </w:p>
    <w:p>
      <w:r>
        <w:t xml:space="preserve">The central Civil Code hook for this case is </w:t>
      </w:r>
      <w:r>
        <w:rPr>
          <w:b/>
        </w:rPr>
        <w:t>Article 1431</w:t>
      </w:r>
      <w:r>
        <w:t>, which codifies the equitable doctrine of estoppel.</w:t>
      </w:r>
    </w:p>
    <w:p>
      <w:pPr>
        <w:pStyle w:val="ListBullet"/>
      </w:pPr>
      <w:r>
        <w:t xml:space="preserve">  </w:t>
      </w:r>
      <w:r>
        <w:rPr>
          <w:b/>
        </w:rPr>
        <w:t>Article 1431:</w:t>
      </w:r>
      <w:r>
        <w:t xml:space="preserve"> *"Through estoppel, an admission or representation is rendered conclusive upon the person making it, and cannot be denied or disproved as against the person relying thereon."*.</w:t>
      </w:r>
    </w:p>
    <w:p>
      <w:r>
        <w:t xml:space="preserve">The Supreme Court outlined the strict elements required for estoppel to apply, noting that it is an </w:t>
      </w:r>
      <w:r>
        <w:rPr>
          <w:i/>
        </w:rPr>
        <w:t>"equitable principle rooted in natural justice"</w:t>
      </w:r>
      <w:r>
        <w:t xml:space="preserve"> that prevents a person from going back on their own acts to the prejudice of others.</w:t>
      </w:r>
    </w:p>
    <w:p>
      <w:r>
        <w:t xml:space="preserve">1.  </w:t>
      </w:r>
      <w:r>
        <w:rPr>
          <w:b/>
        </w:rPr>
        <w:t>Conduct:</w:t>
      </w:r>
      <w:r>
        <w:t xml:space="preserve"> The actor communicates something misleading by words, conduct, or silence.</w:t>
      </w:r>
    </w:p>
    <w:p>
      <w:r>
        <w:t xml:space="preserve">2.  </w:t>
      </w:r>
      <w:r>
        <w:rPr>
          <w:b/>
        </w:rPr>
        <w:t>Reliance:</w:t>
      </w:r>
      <w:r>
        <w:t xml:space="preserve"> The other party reasonably and justifiably relies upon that communication.</w:t>
      </w:r>
    </w:p>
    <w:p>
      <w:r>
        <w:t xml:space="preserve">3.  </w:t>
      </w:r>
      <w:r>
        <w:rPr>
          <w:b/>
        </w:rPr>
        <w:t>Harm:</w:t>
      </w:r>
      <w:r>
        <w:t xml:space="preserve"> The relying party would be materially harmed if the actor is allowed to assert an inconsistent claim.</w:t>
      </w:r>
    </w:p>
    <w:p>
      <w:r>
        <w:t xml:space="preserve">4.  </w:t>
      </w:r>
      <w:r>
        <w:rPr>
          <w:b/>
        </w:rPr>
        <w:t>Knowledge/Foreseeability:</w:t>
      </w:r>
      <w:r>
        <w:t xml:space="preserve"> The actor knows or expects the other party will act upon the information.</w:t>
      </w:r>
    </w:p>
    <w:p>
      <w:r>
        <w:t xml:space="preserve">The Court established a critical limitation on Article 1431: </w:t>
      </w:r>
      <w:r>
        <w:rPr>
          <w:b/>
        </w:rPr>
        <w:t>The requirement of reasonable diligence.</w:t>
      </w:r>
      <w:r>
        <w:t xml:space="preserve"> Estoppel cannot be invoked by a party who was misled through their own lack of reasonable care, or who ignores highly suspicious circumstances or direct means of information. Because FAT KEE knew the ₱34 rate was disputed by January 1998, their reliance on the December 1997 SOA was negligent and unjustified.</w:t>
      </w:r>
    </w:p>
    <w:p>
      <w:r>
        <w:rPr>
          <w:b/>
        </w:rPr>
        <w:t>Applicable Rules on Natural Obligations (Articles 1423–1424)</w:t>
      </w:r>
    </w:p>
    <w:p>
      <w:r>
        <w:t>While explicitly referenced in jurisprudence as being "rooted in natural justice," estoppel under Art. 1431 operates differently than a Natural Obligation under Title III of the Civil Code.</w:t>
      </w:r>
    </w:p>
    <w:p>
      <w:pPr>
        <w:pStyle w:val="ListBullet"/>
      </w:pPr>
      <w:r>
        <w:t xml:space="preserve">  </w:t>
      </w:r>
      <w:r>
        <w:rPr>
          <w:b/>
        </w:rPr>
        <w:t>Article 1423:</w:t>
      </w:r>
      <w:r>
        <w:t xml:space="preserve"> *"Obligations are civil or natural. Civil obligations give a right of action to compel their performance. Natural obligations, not being based on positive law but on equity and natural law, do not grant a right of action to enforce their performance, but after voluntary fulfillment by the obligor, they authorize the retention of what has been delivered or rendered."*.</w:t>
      </w:r>
    </w:p>
    <w:p>
      <w:r>
        <w:t xml:space="preserve">In </w:t>
      </w:r>
      <w:r>
        <w:rPr>
          <w:i/>
        </w:rPr>
        <w:t>F.A.T. Kee</w:t>
      </w:r>
      <w:r>
        <w:t>, the Court did not declare the debt a natural obligation. The obligation remained entirely civil. Instead, the Court used the "natural justice" inherent in estoppel to dictate the terms under which the civil obligation was fulfilled.</w:t>
      </w:r>
    </w:p>
    <w:p>
      <w:pPr>
        <w:pStyle w:val="Heading4"/>
      </w:pPr>
      <w:r>
        <w:t>7. Memory Anchor</w:t>
      </w:r>
    </w:p>
    <w:p>
      <w:r>
        <w:rPr>
          <w:b/>
        </w:rPr>
        <w:t>"The ₱34 Mistake vs. The ₱37 Silence."</w:t>
      </w:r>
    </w:p>
    <w:p>
      <w:r>
        <w:t xml:space="preserve">FAT KEE tried to use a mistaken ₱34 Statement of Account to claim estoppel, but failed because they actively negotiated afterward (lack of reliance); however, ONLINE was ultimately trapped by estoppel because they stayed completely silent when offered ₱37 and happily cashed the checks. </w:t>
      </w:r>
      <w:r>
        <w:rPr>
          <w:i/>
        </w:rPr>
        <w:t>Estoppel rewards reliance, but punishes careless indifference.</w:t>
      </w:r>
    </w:p>
    <w:p>
      <w:pPr>
        <w:pStyle w:val="Heading2"/>
      </w:pPr>
      <w:r>
        <w:t>Case 34: Pureza v. Court of Appeals (1998) | SC e-Library</w:t>
      </w:r>
    </w:p>
    <w:p>
      <w:pPr>
        <w:pStyle w:val="Heading2"/>
      </w:pPr>
      <w:r>
        <w:t>Pureza v. Court of Appeals (1998): A Comprehensive Legal Analysis of Estoppel, Banking Liability, and Contractual Representations</w:t>
      </w:r>
    </w:p>
    <w:p>
      <w:pPr>
        <w:pStyle w:val="Heading3"/>
      </w:pPr>
      <w:r>
        <w:t>Leading Paragraph</w:t>
      </w:r>
    </w:p>
    <w:p>
      <w:pPr>
        <w:pStyle w:val="ListBullet"/>
      </w:pPr>
      <w:r>
        <w:t xml:space="preserve">  </w:t>
      </w:r>
      <w:r>
        <w:rPr>
          <w:b/>
        </w:rPr>
        <w:t>Key Point 1:</w:t>
      </w:r>
      <w:r>
        <w:t xml:space="preserve"> In *Pureza v. Court of Appeals* (1998), the Supreme Court of the Philippines definitively ruled that a borrower who voluntarily signs a Certificate of House Completion and an Order of Payment cannot subsequently hold the lending bank liable for releasing loan proceeds to a contractor, even if the construction is later found to be incomplete or defective.</w:t>
      </w:r>
    </w:p>
    <w:p>
      <w:pPr>
        <w:pStyle w:val="ListBullet"/>
      </w:pPr>
      <w:r>
        <w:t xml:space="preserve">  </w:t>
      </w:r>
      <w:r>
        <w:rPr>
          <w:b/>
        </w:rPr>
        <w:t>Key Point 2:</w:t>
      </w:r>
      <w:r>
        <w:t xml:space="preserve"> The ruling is firmly rooted in the civil law doctrine of </w:t>
      </w:r>
      <w:r>
        <w:rPr>
          <w:b/>
        </w:rPr>
        <w:t>estoppel</w:t>
      </w:r>
      <w:r>
        <w:t xml:space="preserve"> under Article 1431 of the Civil Code and the conclusive presumption established in Rule 131, Section 3(a) of the Rules of Court.</w:t>
      </w:r>
    </w:p>
    <w:p>
      <w:pPr>
        <w:pStyle w:val="ListBullet"/>
      </w:pPr>
      <w:r>
        <w:t xml:space="preserve">  </w:t>
      </w:r>
      <w:r>
        <w:rPr>
          <w:b/>
        </w:rPr>
        <w:t>Key Point 3:</w:t>
      </w:r>
      <w:r>
        <w:t xml:space="preserve"> Although frequently grouped in legal syllabi alongside "Natural Obligations" (Articles 1423–1424), the *Pureza* decision relies entirely on estoppel concerning a fully enforceable civil obligation. It appears likely that academic curricula pair these concepts because both natural obligations and estoppel fundamentally prevent a party from legally repudiating the consequences of their own voluntary, affirmative acts.</w:t>
      </w:r>
    </w:p>
    <w:p>
      <w:pPr>
        <w:pStyle w:val="ListBullet"/>
      </w:pPr>
      <w:r>
        <w:t xml:space="preserve">  </w:t>
      </w:r>
      <w:r>
        <w:rPr>
          <w:b/>
        </w:rPr>
        <w:t>Key Point 4:</w:t>
      </w:r>
      <w:r>
        <w:t xml:space="preserve"> The case also establishes an important boundary on the liability of financial institutions, affirming that a bank's reliance on the express written instructions and certifications of its client constitutes a fulfillment of its obligations, shielding it from solidary liability for a contractor's potential breach of specific performance.</w:t>
      </w:r>
    </w:p>
    <w:p>
      <w:r>
        <w:t xml:space="preserve">This report provides an exhaustive academic treatise on the Supreme Court decision in </w:t>
      </w:r>
      <w:r>
        <w:rPr>
          <w:i/>
        </w:rPr>
        <w:t>Ruperto Pureza v. Court of Appeals, Asia Trust Development Bank, and Spouses Bonifacio and Crisanta Alejandro</w:t>
      </w:r>
      <w:r>
        <w:t xml:space="preserve"> (G.R. No. 122053, May 15, 1998). It is designed to directly address the structured requirements of legal review materials while expanding upon the jurisprudential context of civil obligations, estoppel, and the evidentiary rules governing conclusive presumptions.</w:t>
      </w:r>
    </w:p>
    <w:p>
      <w:pPr>
        <w:spacing w:before="120" w:after="120"/>
        <w:pBdr>
          <w:bottom w:val="single" w:sz="4" w:space="1" w:color="CCCCCC"/>
        </w:pBdr>
      </w:pPr>
    </w:p>
    <w:p>
      <w:pPr>
        <w:pStyle w:val="Heading2"/>
      </w:pPr>
      <w:r>
        <w:t>Part I: Structured Case Digest and Analysis</w:t>
      </w:r>
    </w:p>
    <w:p>
      <w:r>
        <w:t>As requested for the compilation of bar review materials and case prompts, the following structured markdown strictly adheres to the requested parameters, confirming the G.R. number and isolating the specific Civil Code hooks.</w:t>
      </w:r>
    </w:p>
    <w:p>
      <w:pPr>
        <w:pStyle w:val="Heading3"/>
      </w:pPr>
      <w:r>
        <w:t>Pureza v. Court of Appeals (1998) | G.R. No. 122053</w:t>
      </w:r>
    </w:p>
    <w:p>
      <w:pPr>
        <w:pStyle w:val="Heading4"/>
      </w:pPr>
      <w:r>
        <w:t>1. The Parties</w:t>
      </w:r>
    </w:p>
    <w:p>
      <w:pPr>
        <w:pStyle w:val="ListBullet"/>
      </w:pPr>
      <w:r/>
      <w:r>
        <w:rPr>
          <w:b/>
        </w:rPr>
        <w:t>Petitioner (Pureza):</w:t>
      </w:r>
      <w:r>
        <w:t xml:space="preserve"> Ruperto Pureza, a homeowner who applied for a Pag-Ibig Housing Loan to finance the construction of his two-story residence. His claim was for specific performance and damages against the contractors for failing to finish the house, and against the bank for allegedly negligently releasing the loan proceeds.</w:t>
      </w:r>
    </w:p>
    <w:p>
      <w:pPr>
        <w:pStyle w:val="ListBullet"/>
      </w:pPr>
      <w:r/>
      <w:r>
        <w:rPr>
          <w:b/>
        </w:rPr>
        <w:t>Respondent:</w:t>
      </w:r>
      <w:r>
        <w:t xml:space="preserve"> (1) Asia Trust Development Bank (the lending institution that released the Pag-Ibig loan proceeds) and (2) Spouses Bonifacio and Crisanta Alejandro, doing business as Boncris Trading and Builders (the contractors hired to build the house). The Bank claimed it merely followed Pureza's written orders, while the contractors claimed Pureza authorized the release of funds and accepted the house.</w:t>
      </w:r>
    </w:p>
    <w:p>
      <w:pPr>
        <w:pStyle w:val="ListBullet"/>
      </w:pPr>
      <w:r/>
      <w:r>
        <w:rPr>
          <w:b/>
        </w:rPr>
        <w:t>Their relationship:</w:t>
      </w:r>
      <w:r>
        <w:t xml:space="preserve"> The relationships were strictly contractual and commercial. Between Pureza and the Spouses Alejandro, it was a contract for a piece of work (construction services). Between Pureza and Asia Trust Development Bank, it was a contract of loan (mutuum) and a fiduciary banking relationship.</w:t>
      </w:r>
    </w:p>
    <w:p>
      <w:pPr>
        <w:pStyle w:val="Heading4"/>
      </w:pPr>
      <w:r>
        <w:t>2. Background &amp; Facts</w:t>
      </w:r>
    </w:p>
    <w:p>
      <w:pPr>
        <w:pStyle w:val="ListBullet"/>
      </w:pPr>
      <w:r/>
      <w:r>
        <w:rPr>
          <w:b/>
        </w:rPr>
        <w:t>Original Obligation:</w:t>
      </w:r>
      <w:r>
        <w:t xml:space="preserve"> The original obligation was a valid, fully enforceable </w:t>
      </w:r>
      <w:r>
        <w:rPr>
          <w:b/>
        </w:rPr>
        <w:t>civil obligation</w:t>
      </w:r>
      <w:r>
        <w:t>. Pureza was civilly bound to repay his housing loan to the bank, and the contractors were civilly bound to construct the house according to the agreement.</w:t>
      </w:r>
    </w:p>
    <w:p>
      <w:pPr>
        <w:pStyle w:val="ListBullet"/>
      </w:pPr>
      <w:r/>
      <w:r>
        <w:rPr>
          <w:b/>
        </w:rPr>
        <w:t>Questioned Enforceability:</w:t>
      </w:r>
      <w:r>
        <w:t xml:space="preserve"> Pureza attempted to evade or delay the payment of his monthly loan amortizations to the bank by arguing that the bank was negligent. He sought a preliminary injunction to prevent the bank from collecting the loan or foreclosing his mortgage, claiming the bank released 90% of the funds when the house was only 70% finished.</w:t>
      </w:r>
    </w:p>
    <w:p>
      <w:pPr>
        <w:pStyle w:val="ListBullet"/>
      </w:pPr>
      <w:r/>
      <w:r>
        <w:rPr>
          <w:b/>
        </w:rPr>
        <w:t>Voluntary Performance/Representations:</w:t>
      </w:r>
      <w:r>
        <w:t xml:space="preserve"> Before the project was completed, the contractors asked Pureza to cancel certain finishing works to reduce costs. Pureza agreed and voluntarily signed an </w:t>
      </w:r>
      <w:r>
        <w:rPr>
          <w:b/>
        </w:rPr>
        <w:t>Order of Payment</w:t>
      </w:r>
      <w:r>
        <w:t xml:space="preserve"> and a </w:t>
      </w:r>
      <w:r>
        <w:rPr>
          <w:b/>
        </w:rPr>
        <w:t>Certificate of House Completion/Acceptance</w:t>
      </w:r>
      <w:r>
        <w:t>. This authorized the bank to release the loan proceeds in staggered amounts to the contractors.</w:t>
      </w:r>
    </w:p>
    <w:p>
      <w:pPr>
        <w:pStyle w:val="ListBullet"/>
      </w:pPr>
      <w:r/>
      <w:r>
        <w:rPr>
          <w:b/>
        </w:rPr>
        <w:t>Invocation of Estoppel:</w:t>
      </w:r>
      <w:r>
        <w:t xml:space="preserve"> Estoppel was invoked by the respondent Bank and upheld by the Court of Appeals and the Supreme Court. The Bank argued that because Pureza signed the completion certificate, he was estopped from claiming the bank released the funds negligently.</w:t>
      </w:r>
    </w:p>
    <w:p>
      <w:pPr>
        <w:pStyle w:val="ListBullet"/>
      </w:pPr>
      <w:r/>
      <w:r>
        <w:rPr>
          <w:b/>
        </w:rPr>
        <w:t>Timeline of Key Events:</w:t>
      </w:r>
      <w:r/>
    </w:p>
    <w:p>
      <w:pPr>
        <w:pStyle w:val="ListBullet"/>
      </w:pPr>
      <w:r>
        <w:t>*Pre-1984:* Pureza hires Spouses Alejandro and secures a P194,100 loan from Asia Trust.</w:t>
      </w:r>
    </w:p>
    <w:p>
      <w:pPr>
        <w:pStyle w:val="ListBullet"/>
      </w:pPr>
      <w:r>
        <w:t>*December 18, 1984:* Scheduled completion date. Prior to this, parties agree to reduce costs; Pureza signs the Order of Payment and Certificate of Completion/Acceptance.</w:t>
      </w:r>
    </w:p>
    <w:p>
      <w:pPr>
        <w:pStyle w:val="ListBullet"/>
      </w:pPr>
      <w:r>
        <w:t>*March 19, 1986:* Pureza files an action for Specific Performance and damages with the RTC.</w:t>
      </w:r>
    </w:p>
    <w:p>
      <w:pPr>
        <w:pStyle w:val="ListBullet"/>
      </w:pPr>
      <w:r>
        <w:t>*August 25, 1989:* An ocular inspection is conducted, showing the house to be incomplete/dilapidated.</w:t>
      </w:r>
    </w:p>
    <w:p>
      <w:pPr>
        <w:pStyle w:val="ListBullet"/>
      </w:pPr>
      <w:r>
        <w:t>*1998:* Supreme Court rules in favor of the Bank, applying the doctrine of estoppel.</w:t>
      </w:r>
    </w:p>
    <w:p>
      <w:pPr>
        <w:pStyle w:val="Heading4"/>
      </w:pPr>
      <w:r>
        <w:t>3. The Contract or Obligation</w:t>
      </w:r>
    </w:p>
    <w:p>
      <w:pPr>
        <w:pStyle w:val="ListBullet"/>
      </w:pPr>
      <w:r/>
      <w:r>
        <w:rPr>
          <w:b/>
        </w:rPr>
        <w:t>Type of Obligation:</w:t>
      </w:r>
      <w:r>
        <w:t xml:space="preserve"> The obligation of Pureza to pay the bank was a </w:t>
      </w:r>
      <w:r>
        <w:rPr>
          <w:b/>
        </w:rPr>
        <w:t>civil obligation</w:t>
      </w:r>
      <w:r>
        <w:t xml:space="preserve"> arising from a loan contract. It was neither a natural nor a moral obligation.</w:t>
      </w:r>
    </w:p>
    <w:p>
      <w:pPr>
        <w:pStyle w:val="ListBullet"/>
      </w:pPr>
      <w:r/>
      <w:r>
        <w:rPr>
          <w:b/>
        </w:rPr>
        <w:t>Civil vs. Natural/Moral:</w:t>
      </w:r>
      <w:r>
        <w:t xml:space="preserve"> Unlike a natural obligation (which cannot be enforced by court action but cannot be recovered if voluntarily fulfilled, Art. 1423), Pureza's loan was fully actionable in court. Pureza attempted to use the contractors' breach as an excuse to suspend his own civil obligation to the bank.</w:t>
      </w:r>
    </w:p>
    <w:p>
      <w:pPr>
        <w:pStyle w:val="ListBullet"/>
      </w:pPr>
      <w:r/>
      <w:r>
        <w:rPr>
          <w:b/>
        </w:rPr>
        <w:t>Voluntary Performance made?</w:t>
      </w:r>
      <w:r>
        <w:t xml:space="preserve"> Yes. Pureza voluntarily executed the Certificate of Completion and the Order of Payment. Because he made these representations, the effects (the release of the funds by the bank) were not recoverable from the bank as damages.</w:t>
      </w:r>
    </w:p>
    <w:p>
      <w:pPr>
        <w:pStyle w:val="Heading4"/>
      </w:pPr>
      <w:r>
        <w:t>4. Legal Issues Raised</w:t>
      </w:r>
    </w:p>
    <w:p>
      <w:pPr>
        <w:pStyle w:val="ListBullet"/>
      </w:pPr>
      <w:r/>
      <w:r>
        <w:rPr>
          <w:b/>
        </w:rPr>
        <w:t>Was the obligation natural or civil?</w:t>
      </w:r>
      <w:r>
        <w:t xml:space="preserve"> The primary obligation was civil. However, the legal defense centered on whether Pureza was bound by his voluntary representations.</w:t>
      </w:r>
    </w:p>
    <w:p>
      <w:pPr>
        <w:pStyle w:val="ListBullet"/>
      </w:pPr>
      <w:r/>
      <w:r>
        <w:rPr>
          <w:b/>
        </w:rPr>
        <w:t>Is there estoppel preventing denial of liability?</w:t>
      </w:r>
      <w:r>
        <w:t xml:space="preserve"> Yes. The core issue was whether Pureza was estopped from holding the bank liable for releasing funds after he had explicitly signed a document certifying that the house was completed and accepted.</w:t>
      </w:r>
    </w:p>
    <w:p>
      <w:pPr>
        <w:pStyle w:val="ListBullet"/>
      </w:pPr>
      <w:r/>
      <w:r>
        <w:rPr>
          <w:b/>
        </w:rPr>
        <w:t>Available Remedies:</w:t>
      </w:r>
      <w:r>
        <w:t xml:space="preserve"> Pureza sought specific performance, damages, and an injunction against foreclosure. The Supreme Court denied these remedies against the bank.</w:t>
      </w:r>
    </w:p>
    <w:p>
      <w:pPr>
        <w:pStyle w:val="Heading4"/>
      </w:pPr>
      <w:r>
        <w:t>5. Supreme Court Ruling</w:t>
      </w:r>
    </w:p>
    <w:p>
      <w:pPr>
        <w:pStyle w:val="ListBullet"/>
      </w:pPr>
      <w:r/>
      <w:r>
        <w:rPr>
          <w:b/>
        </w:rPr>
        <w:t>Classification of the Obligation:</w:t>
      </w:r>
      <w:r>
        <w:t xml:space="preserve"> The Court treated the scenario not under the rubric of natural obligations, but strictly under the law on civil obligations, contracts, and the rules of evidence (estoppel and conclusive presumptions).</w:t>
      </w:r>
    </w:p>
    <w:p>
      <w:pPr>
        <w:pStyle w:val="ListBullet"/>
      </w:pPr>
      <w:r/>
      <w:r>
        <w:rPr>
          <w:b/>
        </w:rPr>
        <w:t>Application of Estoppel:</w:t>
      </w:r>
      <w:r>
        <w:t xml:space="preserve"> The Supreme Court affirmed the Court of Appeals' ruling that estoppel squarely applied. Pureza intentionally and deliberately led the bank to believe the house was completed by signing the certificate. He could not, in a subsequent litigation, falsify this declaration to the prejudice of the bank, which acted in good faith based on his written instructions.</w:t>
      </w:r>
    </w:p>
    <w:p>
      <w:pPr>
        <w:pStyle w:val="ListBullet"/>
      </w:pPr>
      <w:r/>
      <w:r>
        <w:rPr>
          <w:b/>
        </w:rPr>
        <w:t>Disposition:</w:t>
      </w:r>
      <w:r>
        <w:t xml:space="preserve"> The Supreme Court </w:t>
      </w:r>
      <w:r>
        <w:rPr>
          <w:b/>
        </w:rPr>
        <w:t>DENIED</w:t>
      </w:r>
      <w:r>
        <w:t xml:space="preserve"> the petition for lack of merit and affirmed the Court of Appeals decision *in toto*, absolving the bank of any joint and solidary liability for damages or repairs.</w:t>
      </w:r>
    </w:p>
    <w:p>
      <w:pPr>
        <w:pStyle w:val="Heading4"/>
      </w:pPr>
      <w:r>
        <w:t>6. Key Doctrine / Civil Code Hook</w:t>
      </w:r>
    </w:p>
    <w:p>
      <w:pPr>
        <w:pStyle w:val="ListBullet"/>
      </w:pPr>
      <w:r/>
      <w:r>
        <w:rPr>
          <w:b/>
        </w:rPr>
        <w:t>Estoppel (Art. 1431, Civil Code):</w:t>
      </w:r>
      <w:r>
        <w:t xml:space="preserve"> "Through estoppel an admission or representation is rendered conclusive upon the person making it, and cannot be denied or disproved as against the person relying thereon." The SC applied this alongside </w:t>
      </w:r>
      <w:r>
        <w:rPr>
          <w:b/>
        </w:rPr>
        <w:t>Rule 131, Section 3(a) of the Rules of Court</w:t>
      </w:r>
      <w:r>
        <w:t>, holding that a party who voluntarily performs an affirmative act inducing reliance cannot later renege on that act to the prejudice of another.</w:t>
      </w:r>
    </w:p>
    <w:p>
      <w:pPr>
        <w:pStyle w:val="ListBullet"/>
      </w:pPr>
      <w:r/>
      <w:r>
        <w:rPr>
          <w:b/>
        </w:rPr>
        <w:t>Contextualizing Natural Obligations (Arts. 1423-1424):</w:t>
      </w:r>
      <w:r>
        <w:t xml:space="preserve"> While *Pureza* is heavily studied in the context of estoppel, it serves to distinguish estoppel from natural obligations. In natural obligations, voluntary payment of a prescribed debt cannot be recovered. In estoppel, a voluntary *representation* of facts cannot be later denied. Both doctrines share the underlying principle of equity—preventing a party from unjustly enriching themselves or escaping liability by contradicting their own voluntary acts.</w:t>
      </w:r>
    </w:p>
    <w:p>
      <w:pPr>
        <w:pStyle w:val="ListBullet"/>
      </w:pPr>
      <w:r/>
      <w:r>
        <w:rPr>
          <w:b/>
        </w:rPr>
        <w:t>Articles Applied:</w:t>
      </w:r>
      <w:r>
        <w:t xml:space="preserve"> Article 1431 (Civil Code); Rule 131, Sec. 3(a) (Rules of Court).</w:t>
      </w:r>
    </w:p>
    <w:p>
      <w:pPr>
        <w:pStyle w:val="Heading4"/>
      </w:pPr>
      <w:r>
        <w:t>7. Memory Anchor</w:t>
      </w:r>
    </w:p>
    <w:p>
      <w:pPr>
        <w:pStyle w:val="ListBullet"/>
      </w:pPr>
      <w:r/>
      <w:r>
        <w:rPr>
          <w:b/>
        </w:rPr>
        <w:t>Story Hook:</w:t>
      </w:r>
      <w:r>
        <w:t xml:space="preserve"> "A man’s home is his castle, but when the King voluntarily signs a fake 'Certificate of Completion' to cut costs, he is estopped from suing the Bank for handing the gold over to the builders."</w:t>
      </w:r>
    </w:p>
    <w:p>
      <w:pPr>
        <w:spacing w:before="120" w:after="120"/>
        <w:pBdr>
          <w:bottom w:val="single" w:sz="4" w:space="1" w:color="CCCCCC"/>
        </w:pBdr>
      </w:pPr>
    </w:p>
    <w:p>
      <w:pPr>
        <w:pStyle w:val="Heading2"/>
      </w:pPr>
      <w:r>
        <w:t>Part II: Extensive Academic Analysis of the Doctrines and Jurisprudence</w:t>
      </w:r>
    </w:p>
    <w:p>
      <w:r>
        <w:t xml:space="preserve">To fully appreciate the legal weight of </w:t>
      </w:r>
      <w:r>
        <w:rPr>
          <w:i/>
        </w:rPr>
        <w:t>Pureza v. Court of Appeals</w:t>
      </w:r>
      <w:r>
        <w:t>, it is necessary to examine the broader jurisprudential landscape surrounding the intersection of contract law, the doctrine of estoppel, and the oft-confused principles of natural obligations. This case serves as a foundational text in Philippine civil law for understanding how equity intervenes to prevent the repudiation of one's own acts.</w:t>
      </w:r>
    </w:p>
    <w:p>
      <w:pPr>
        <w:pStyle w:val="Heading3"/>
      </w:pPr>
      <w:r>
        <w:t>A. The Factual and Procedural Matrix</w:t>
      </w:r>
    </w:p>
    <w:p>
      <w:r>
        <w:t xml:space="preserve">The facts of </w:t>
      </w:r>
      <w:r>
        <w:rPr>
          <w:i/>
        </w:rPr>
        <w:t>Pureza</w:t>
      </w:r>
      <w:r>
        <w:t xml:space="preserve"> highlight a common triangular relationship in real estate development and construction: the Homeowner (Pureza), the Contractor (Spouses Alejandro), and the Financier (Asia Trust Development Bank).</w:t>
      </w:r>
    </w:p>
    <w:p>
      <w:r>
        <w:t>Ruperto Pureza, driven by the desire to build his "microcosmic kingdom," entered into a Construction Agreement with Boncris Trading and Builders. To finance this, he secured a Pag-Ibig Housing Loan through Asia Trust Development Bank. The mechanics of such housing loans generally dictate that loan proceeds are not given in a single lump sum to the borrower; rather, they are released to the contractor in tranches based on the percentage of project completion, a mechanism designed to protect the bank's collateral.</w:t>
      </w:r>
    </w:p>
    <w:p>
      <w:r>
        <w:t xml:space="preserve">The disruption in this standard arrangement occurred when the contractor and the homeowner colluded to alter the terms of construction to reduce costs. Pureza acceded to canceling certain finishing works. Crucially, as a condition of this compromise, Pureza executed two vital documents: an </w:t>
      </w:r>
      <w:r>
        <w:rPr>
          <w:b/>
        </w:rPr>
        <w:t>Order of Payment</w:t>
      </w:r>
      <w:r>
        <w:t xml:space="preserve"> and a </w:t>
      </w:r>
      <w:r>
        <w:rPr>
          <w:b/>
        </w:rPr>
        <w:t>Certificate of House Completion/Acceptance</w:t>
      </w:r>
      <w:r>
        <w:t>.</w:t>
      </w:r>
    </w:p>
    <w:p>
      <w:r>
        <w:t>When Pureza subsequently filed an action for Specific Performance and Damages with a prayer for a Writ of Preliminary Injunction to halt the bank from collecting amortizations, he was essentially attempting to weaponize the contractor's failure to complete the house against the bank's right to collect on the loan.</w:t>
      </w:r>
    </w:p>
    <w:p>
      <w:r>
        <w:t>The Regional Trial Court (RTC) of Makati initially found in favor of Pureza. The trial court placed heavy reliance on an ocular inspection conducted on August 25, 1989—four years after the supposed completion date. The RTC concluded that the bank was negligent for releasing 90% of the funds when the house was ostensibly only 70% complete, ordering the bank and the contractors to jointly and severally pay damages.</w:t>
      </w:r>
    </w:p>
    <w:p>
      <w:r>
        <w:t>The Court of Appeals (CA) and subsequently the Supreme Court (SC), however, reversed the RTC's findings regarding the bank. The appellate courts recognized a fundamental flaw in the trial court's logic: the reliance on an ocular inspection conducted years after the fact, over the explicit, written, and contemporaneous documentary evidence generated by the plaintiff himself.</w:t>
      </w:r>
    </w:p>
    <w:p>
      <w:pPr>
        <w:pStyle w:val="Heading3"/>
      </w:pPr>
      <w:r>
        <w:t>B. The Law of Estoppel (Article 1431)</w:t>
      </w:r>
    </w:p>
    <w:p>
      <w:r>
        <w:t xml:space="preserve">The </w:t>
      </w:r>
      <w:r>
        <w:rPr>
          <w:i/>
        </w:rPr>
        <w:t>ratio decidendi</w:t>
      </w:r>
      <w:r>
        <w:t xml:space="preserve"> of the Supreme Court's decision rests entirely on the doctrine of estoppel. Justice Romero, writing for the Court, emphasized that the bank merely fulfilled its undertakings under the loan agreement in strict accordance with Pureza's written instructions.</w:t>
      </w:r>
    </w:p>
    <w:p>
      <w:r>
        <w:t>Article 1431 of the Civil Code of the Philippines defines the doctrine succinctly:</w:t>
      </w:r>
    </w:p>
    <w:p>
      <w:pPr>
        <w:ind w:left="567"/>
      </w:pPr>
      <w:r>
        <w:rPr>
          <w:i/>
          <w:color w:val="555555"/>
        </w:rPr>
        <w:t>*"Through estoppel an admission or representation is rendered conclusive upon the person making it, and cannot be denied or disproved as against the person relying thereon."*.</w:t>
      </w:r>
    </w:p>
    <w:p>
      <w:r>
        <w:t>Furthermore, the Court cited the procedural manifestation of this substantive law, found in Rule 131, Section 3(a) of the Rules of Court regarding conclusive presumptions:</w:t>
      </w:r>
    </w:p>
    <w:p>
      <w:pPr>
        <w:ind w:left="567"/>
      </w:pPr>
      <w:r>
        <w:rPr>
          <w:i/>
          <w:color w:val="555555"/>
        </w:rPr>
        <w:t>*"Whenever a party has, by his own declaration, act or omission, intentionally and deliberately led another to believe a particular thing to be true, and to act upon such a belief he cannot, in any litigation arising out of such declaration, act or omission, be permitted to falsify it."*.</w:t>
      </w:r>
    </w:p>
    <w:p>
      <w:pPr>
        <w:pStyle w:val="Heading4"/>
      </w:pPr>
      <w:r>
        <w:t>The Elements of Estoppel in Pais (Equitable Estoppel)</w:t>
      </w:r>
    </w:p>
    <w:p>
      <w:r>
        <w:t>For estoppel to apply against a party making a representation, the following elements must generally be present:</w:t>
      </w:r>
    </w:p>
    <w:p>
      <w:r>
        <w:t xml:space="preserve">1.  </w:t>
      </w:r>
      <w:r>
        <w:rPr>
          <w:b/>
        </w:rPr>
        <w:t>Conduct amounting to false representation or concealment of material facts,</w:t>
      </w:r>
      <w:r>
        <w:t xml:space="preserve"> or at least calculated to convey the impression that the facts are otherwise than, and inconsistent with, those which the party subsequently attempts to assert.</w:t>
      </w:r>
    </w:p>
    <w:p>
      <w:r>
        <w:t xml:space="preserve">2.  </w:t>
      </w:r>
      <w:r>
        <w:rPr>
          <w:b/>
        </w:rPr>
        <w:t>Intent, or at least expectation,</w:t>
      </w:r>
      <w:r>
        <w:t xml:space="preserve"> that this conduct shall be acted upon by, or at least influence, the other party.</w:t>
      </w:r>
    </w:p>
    <w:p>
      <w:r>
        <w:t xml:space="preserve">3.  </w:t>
      </w:r>
      <w:r>
        <w:rPr>
          <w:b/>
        </w:rPr>
        <w:t>Knowledge, actual or constructive,</w:t>
      </w:r>
      <w:r>
        <w:t xml:space="preserve"> of the real facts.</w:t>
      </w:r>
    </w:p>
    <w:p>
      <w:r>
        <w:t>In the case of the party claiming estoppel (the Bank), the elements are:</w:t>
      </w:r>
    </w:p>
    <w:p>
      <w:r>
        <w:t xml:space="preserve">1.  </w:t>
      </w:r>
      <w:r>
        <w:rPr>
          <w:b/>
        </w:rPr>
        <w:t>Lack of knowledge</w:t>
      </w:r>
      <w:r>
        <w:t xml:space="preserve"> and of the means of knowledge of the truth as to the facts in question.</w:t>
      </w:r>
    </w:p>
    <w:p>
      <w:r>
        <w:t xml:space="preserve">2.  </w:t>
      </w:r>
      <w:r>
        <w:rPr>
          <w:b/>
        </w:rPr>
        <w:t>Reliance, in good faith,</w:t>
      </w:r>
      <w:r>
        <w:t xml:space="preserve"> upon the conduct or statements of the party to be estopped.</w:t>
      </w:r>
    </w:p>
    <w:p>
      <w:r>
        <w:t xml:space="preserve">3.  </w:t>
      </w:r>
      <w:r>
        <w:rPr>
          <w:b/>
        </w:rPr>
        <w:t>Action or inaction</w:t>
      </w:r>
      <w:r>
        <w:t xml:space="preserve"> based thereon of such a character as to change the position or status of the party claiming the estoppel, to his injury, detriment, or prejudice.</w:t>
      </w:r>
    </w:p>
    <w:p>
      <w:r>
        <w:t>Pureza explicitly admitted the genuineness and due execution of the Order of Payment and the Certificate of House Completion/Acceptance during the trial. By signing the Certificate of Completion, Pureza intentionally led Asia Trust Development Bank to believe that the conditions for the release of the final tranches of the loan had been met. The bank, lacking the obligation to second-guess the explicit written certifications of its own borrower regarding the acceptability of the contractor's work, relied on these documents in good faith. To allow Pureza to later claim that the house was incomplete would permit him to limit his liability (his obligation to pay amortizations) at his whim, subverting the principles of equity and natural justice.</w:t>
      </w:r>
    </w:p>
    <w:p>
      <w:pPr>
        <w:pStyle w:val="Heading3"/>
      </w:pPr>
      <w:r>
        <w:t>C. The Distinction Between Estoppel and Natural Obligations (Arts. 1423-1424)</w:t>
      </w:r>
    </w:p>
    <w:p>
      <w:r>
        <w:t xml:space="preserve">A critical component of academic and bar review study involves distinguishing and relating estoppel to the concept of </w:t>
      </w:r>
      <w:r>
        <w:rPr>
          <w:b/>
        </w:rPr>
        <w:t>Natural Obligations</w:t>
      </w:r>
      <w:r>
        <w:t xml:space="preserve">. As noted in the initial query, </w:t>
      </w:r>
      <w:r>
        <w:rPr>
          <w:i/>
        </w:rPr>
        <w:t>Pureza</w:t>
      </w:r>
      <w:r>
        <w:t xml:space="preserve"> is often studied within the context of Arts. 1423-1424 and 1431. It is imperative to clarify that while </w:t>
      </w:r>
      <w:r>
        <w:rPr>
          <w:i/>
        </w:rPr>
        <w:t>Pureza</w:t>
      </w:r>
      <w:r>
        <w:t xml:space="preserve"> is an authoritative text on Article 1431 (Estoppel), it </w:t>
      </w:r>
      <w:r>
        <w:rPr>
          <w:b/>
        </w:rPr>
        <w:t>does not feature a natural obligation</w:t>
      </w:r>
      <w:r>
        <w:t>.</w:t>
      </w:r>
    </w:p>
    <w:p>
      <w:pPr>
        <w:pStyle w:val="Heading4"/>
      </w:pPr>
      <w:r>
        <w:t>Defining the Obligations</w:t>
      </w:r>
    </w:p>
    <w:p>
      <w:r>
        <w:t>Under Philippine Civil Law, obligations are classified as follows:</w:t>
      </w:r>
    </w:p>
    <w:p>
      <w:pPr>
        <w:pStyle w:val="ListBullet"/>
      </w:pPr>
      <w:r>
        <w:t xml:space="preserve">  </w:t>
      </w:r>
      <w:r>
        <w:rPr>
          <w:b/>
        </w:rPr>
        <w:t>Civil Obligations (Art. 1156):</w:t>
      </w:r>
      <w:r>
        <w:t xml:space="preserve"> Obligations that give a right of action to compel their performance. Pureza’s loan agreement with the bank, and his contract with the builders, were civil obligations.</w:t>
      </w:r>
    </w:p>
    <w:p>
      <w:pPr>
        <w:pStyle w:val="ListBullet"/>
      </w:pPr>
      <w:r>
        <w:t xml:space="preserve">  </w:t>
      </w:r>
      <w:r>
        <w:rPr>
          <w:b/>
        </w:rPr>
        <w:t>Natural Obligations (Art. 1423):</w:t>
      </w:r>
      <w:r>
        <w:t xml:space="preserve"> Obligations that, not being based on positive law but on equity and natural law, do not grant a right of action to enforce their performance. However, after voluntary fulfillment by the obligor, they authorize the retention of what has been delivered or rendered by reason thereof.</w:t>
      </w:r>
    </w:p>
    <w:p>
      <w:pPr>
        <w:pStyle w:val="ListBullet"/>
      </w:pPr>
      <w:r>
        <w:t xml:space="preserve">  *Example (Art. 1424):* When a right to sue upon a civil obligation has lapsed by extinctive prescription, the obligor who voluntarily performs the contract cannot recover what he has delivered.</w:t>
      </w:r>
    </w:p>
    <w:p>
      <w:pPr>
        <w:pStyle w:val="ListBullet"/>
      </w:pPr>
      <w:r>
        <w:t xml:space="preserve">  </w:t>
      </w:r>
      <w:r>
        <w:rPr>
          <w:b/>
        </w:rPr>
        <w:t>Moral Obligations:</w:t>
      </w:r>
      <w:r>
        <w:t xml:space="preserve"> Duties of conscience completely outside the realm of legal enforcement or retention, unless they are elevated to the status of a natural or civil obligation by law or contract.</w:t>
      </w:r>
    </w:p>
    <w:p>
      <w:pPr>
        <w:pStyle w:val="Heading4"/>
      </w:pPr>
      <w:r>
        <w:t>The Academic Intersection</w:t>
      </w:r>
    </w:p>
    <w:p>
      <w:r>
        <w:t xml:space="preserve">Why, then, is </w:t>
      </w:r>
      <w:r>
        <w:rPr>
          <w:i/>
        </w:rPr>
        <w:t>Pureza</w:t>
      </w:r>
      <w:r>
        <w:t xml:space="preserve"> frequently studied alongside natural obligations? The connection lies in the underlying philosophical foundation of both concepts: </w:t>
      </w:r>
      <w:r>
        <w:rPr>
          <w:b/>
        </w:rPr>
        <w:t>Equity and the preclusion of unjust enrichment resulting from one's own voluntary acts.</w:t>
      </w:r>
    </w:p>
    <w:p>
      <w:r>
        <w:t xml:space="preserve">In a natural obligation scenario (e.g., paying a prescribed debt), the law prevents the payor from recovering the money because equity dictates that the creditor naturally deserved the payment, and the payor's </w:t>
      </w:r>
      <w:r>
        <w:rPr>
          <w:i/>
        </w:rPr>
        <w:t>voluntary act</w:t>
      </w:r>
      <w:r>
        <w:t xml:space="preserve"> of paying cures the procedural defect (prescription).</w:t>
      </w:r>
    </w:p>
    <w:p>
      <w:r>
        <w:t xml:space="preserve">In the </w:t>
      </w:r>
      <w:r>
        <w:rPr>
          <w:i/>
        </w:rPr>
        <w:t>Pureza</w:t>
      </w:r>
      <w:r>
        <w:t xml:space="preserve"> estoppel scenario, the borrower attempts to evade a fully enforceable </w:t>
      </w:r>
      <w:r>
        <w:rPr>
          <w:i/>
        </w:rPr>
        <w:t>civil obligation</w:t>
      </w:r>
      <w:r>
        <w:t xml:space="preserve"> (loan amortizations) by citing a defect in the underlying construction. The law uses estoppel to prevent this evasion because the borrower's </w:t>
      </w:r>
      <w:r>
        <w:rPr>
          <w:i/>
        </w:rPr>
        <w:t>voluntary act</w:t>
      </w:r>
      <w:r>
        <w:t xml:space="preserve"> (signing the completion certificate) induced the bank's action.</w:t>
      </w:r>
    </w:p>
    <w:p>
      <w:r>
        <w:t xml:space="preserve">In both doctrines, </w:t>
      </w:r>
      <w:r>
        <w:rPr>
          <w:b/>
        </w:rPr>
        <w:t>voluntary performance or representation acts as an absolute bar to a subsequent legal claim aiming to undo the effects of that very act.</w:t>
      </w:r>
      <w:r>
        <w:t xml:space="preserve"> The Supreme Court in </w:t>
      </w:r>
      <w:r>
        <w:rPr>
          <w:i/>
        </w:rPr>
        <w:t>Pureza</w:t>
      </w:r>
      <w:r>
        <w:t xml:space="preserve"> explicitly identified estoppel as a "principle of equity and natural justice", which is the exact same jurisprudential bedrock that supports Title III of the Civil Code on Natural Obligations (Art. 1423).</w:t>
      </w:r>
    </w:p>
    <w:p>
      <w:pPr>
        <w:pStyle w:val="Heading3"/>
      </w:pPr>
      <w:r>
        <w:t>D. Banking Negligence vs. Fiduciary Duty</w:t>
      </w:r>
    </w:p>
    <w:p>
      <w:r>
        <w:t xml:space="preserve">The </w:t>
      </w:r>
      <w:r>
        <w:rPr>
          <w:i/>
        </w:rPr>
        <w:t>Pureza</w:t>
      </w:r>
      <w:r>
        <w:t xml:space="preserve"> decision also contributes significantly to commercial law, specifically concerning the standard of diligence required of banks. While banks are generally mandated to treat their clients' accounts with the highest degree of care (often higher than the diligence of a good father of a family), this duty does not extend to an absolute paternalism that overrides the explicit, written directives of a competent client.</w:t>
      </w:r>
    </w:p>
    <w:p>
      <w:r>
        <w:t>Pureza attempted to shift the blame to Asia Trust Development Bank, claiming the bank "recklessly and negligently released the proceeds". The Supreme Court dismantled this argument, noting:</w:t>
      </w:r>
    </w:p>
    <w:p>
      <w:pPr>
        <w:ind w:left="567"/>
      </w:pPr>
      <w:r>
        <w:rPr>
          <w:i/>
          <w:color w:val="555555"/>
        </w:rPr>
        <w:t>*"The Bank did nothing but fulfill its undertakings under the loan agreement in accordance with petitioner's instructions. It cannot be charged for any damage caused upon the house of petitioner even if such damage may be attributable to the spouses."*</w:t>
      </w:r>
    </w:p>
    <w:p>
      <w:r>
        <w:t xml:space="preserve">The ocular inspection heavily relied upon by the trial court was dismissed by the Supreme Court as logically flawed. Conducted four years after the issuance of the Certificate of Completion, the inspection could not accurately reflect the state of the house at the time the bank released the funds. The Court recognized that "harmful environmental elements of heat, wind and rain, and the natural decomposition of man-made materials" would naturally lead to deterioration. Furthermore, any deviations from the original building plan were entirely attributable to the lack of funds and the compromise agreement entered into </w:t>
      </w:r>
      <w:r>
        <w:rPr>
          <w:i/>
        </w:rPr>
        <w:t>by the plaintiff himself</w:t>
      </w:r>
      <w:r>
        <w:t>.</w:t>
      </w:r>
    </w:p>
    <w:p>
      <w:r>
        <w:t>Therefore, a bank cannot be held solidarily liable for a contractor's breach of specific performance if the bank's release of funds was explicitly authorized by the property owner.</w:t>
      </w:r>
    </w:p>
    <w:p>
      <w:pPr>
        <w:pStyle w:val="Heading3"/>
      </w:pPr>
      <w:r>
        <w:t>E. The Legacy of Pureza v. Court of Appeals in Subsequent Jurisprudence</w:t>
      </w:r>
    </w:p>
    <w:p>
      <w:r>
        <w:t xml:space="preserve">The enduring legal relevance of </w:t>
      </w:r>
      <w:r>
        <w:rPr>
          <w:i/>
        </w:rPr>
        <w:t>Pureza</w:t>
      </w:r>
      <w:r>
        <w:t xml:space="preserve"> is evidenced by its frequent citation in subsequent Supreme Court decisions dealing with estoppel and inconsistent positions.</w:t>
      </w:r>
    </w:p>
    <w:p>
      <w:r>
        <w:t xml:space="preserve">For instance, in </w:t>
      </w:r>
      <w:r>
        <w:rPr>
          <w:i/>
        </w:rPr>
        <w:t>Hydro Resources Contractors Corp v. National Irrigation Administration</w:t>
      </w:r>
      <w:r>
        <w:t xml:space="preserve"> (G.R. No. 160215, 2004), the Supreme Court cited </w:t>
      </w:r>
      <w:r>
        <w:rPr>
          <w:i/>
        </w:rPr>
        <w:t>Pureza</w:t>
      </w:r>
      <w:r>
        <w:t xml:space="preserve"> to prevent a government agency from backtracking on its own representations. In that case, NIA was estopped from invoking a contractual stipulation providing for a fixed exchange rate because NIA had continuously violated that very provision in its prior dealings with the contractor. The Court, echoing </w:t>
      </w:r>
      <w:r>
        <w:rPr>
          <w:i/>
        </w:rPr>
        <w:t>Pureza</w:t>
      </w:r>
      <w:r>
        <w:t>, stated:</w:t>
      </w:r>
    </w:p>
    <w:p>
      <w:pPr>
        <w:ind w:left="567"/>
      </w:pPr>
      <w:r>
        <w:rPr>
          <w:i/>
          <w:color w:val="555555"/>
        </w:rPr>
        <w:t>*"Petitioner, having performed affirmative acts upon which the respondents based their subsequent actions, cannot thereafter refute his acts or renege on the effects of the same, to the prejudice of the latter. To allow him to do so would be tantamount to conferring upon him the liberty to limit his liability at his whim and caprice, which is against the very principles of equity and natural justice..."*.</w:t>
      </w:r>
    </w:p>
    <w:p>
      <w:r>
        <w:t xml:space="preserve">Similarly, in </w:t>
      </w:r>
      <w:r>
        <w:rPr>
          <w:i/>
        </w:rPr>
        <w:t>Ayala Corporation v. Ray Burton Development Corp.</w:t>
      </w:r>
      <w:r>
        <w:t xml:space="preserve"> (1998) and </w:t>
      </w:r>
      <w:r>
        <w:rPr>
          <w:i/>
        </w:rPr>
        <w:t>Traders Royal Bank v. Court of Appeals</w:t>
      </w:r>
      <w:r>
        <w:t xml:space="preserve"> (1999), the high court relied on the foundation laid out in cases like </w:t>
      </w:r>
      <w:r>
        <w:rPr>
          <w:i/>
        </w:rPr>
        <w:t>Pureza</w:t>
      </w:r>
      <w:r>
        <w:t xml:space="preserve"> to enforce Article 1431. A party may not go back on his own acts and representations to the prejudice of the other party who relied upon them in good faith.</w:t>
      </w:r>
    </w:p>
    <w:p>
      <w:pPr>
        <w:pStyle w:val="Heading3"/>
      </w:pPr>
      <w:r>
        <w:t>Conclusion</w:t>
      </w:r>
    </w:p>
    <w:p>
      <w:r>
        <w:rPr>
          <w:i/>
        </w:rPr>
        <w:t>Pureza v. Court of Appeals</w:t>
      </w:r>
      <w:r>
        <w:t xml:space="preserve"> stands as a definitive jurisprudential marker on the law of equitable estoppel in the Philippines. By strictly enforcing the conclusive presumption that a person cannot falsify their own intentional declarations, the Supreme Court protected the sanctity of written contracts and commercial transactions. While the case does not deal with the payment of prescribed debts or classical "natural obligations" as defined in Articles 1423 and 1424, it shares the exact same equitable DNA: the law will not allow a party to use the courts to escape the natural, logical, and prejudicial consequences of their own voluntary and affirmative acts.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8B0000"/>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Arial" w:hAnsi="Arial"/>
      <w:b/>
      <w:bCs/>
      <w:i/>
      <w:iCs/>
      <w:color w:val="3449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