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FAB5" w14:textId="5150F04C" w:rsidR="00D262E7" w:rsidRPr="007B200A" w:rsidRDefault="00D262E7" w:rsidP="003B39D9">
      <w:pPr>
        <w:pStyle w:val="Heading3"/>
        <w:tabs>
          <w:tab w:val="left" w:pos="1134"/>
        </w:tabs>
        <w:spacing w:before="120"/>
        <w:rPr>
          <w:rFonts w:ascii="Times New Roman" w:hAnsi="Times New Roman"/>
          <w:caps/>
          <w:sz w:val="24"/>
          <w:szCs w:val="24"/>
          <w:lang w:val="fr-FR"/>
        </w:rPr>
      </w:pPr>
      <w:bookmarkStart w:id="0" w:name="_Toc88877559"/>
      <w:r w:rsidRPr="007B200A">
        <w:rPr>
          <w:rFonts w:ascii="Times New Roman" w:hAnsi="Times New Roman"/>
          <w:caps/>
          <w:sz w:val="24"/>
          <w:szCs w:val="24"/>
          <w:lang w:val="fr-FR"/>
        </w:rPr>
        <w:t>AMP</w:t>
      </w:r>
      <w:r w:rsidR="00A70D35" w:rsidRPr="007B200A">
        <w:rPr>
          <w:rFonts w:ascii="Times New Roman" w:hAnsi="Times New Roman"/>
          <w:caps/>
          <w:sz w:val="24"/>
          <w:szCs w:val="24"/>
          <w:lang w:val="fr-FR"/>
        </w:rPr>
        <w:t xml:space="preserve"> </w:t>
      </w:r>
      <w:r w:rsidRPr="007B200A">
        <w:rPr>
          <w:rFonts w:ascii="Times New Roman" w:hAnsi="Times New Roman"/>
          <w:caps/>
          <w:sz w:val="24"/>
          <w:szCs w:val="24"/>
          <w:lang w:val="fr-FR"/>
        </w:rPr>
        <w:t xml:space="preserve">101 </w:t>
      </w:r>
      <w:r w:rsidR="00264074" w:rsidRPr="007B200A">
        <w:rPr>
          <w:rFonts w:ascii="Times New Roman" w:hAnsi="Times New Roman"/>
          <w:caps/>
          <w:sz w:val="24"/>
          <w:szCs w:val="24"/>
          <w:lang w:val="fr-FR"/>
        </w:rPr>
        <w:tab/>
      </w:r>
      <w:r w:rsidR="00D86FE4" w:rsidRPr="007B200A">
        <w:rPr>
          <w:rFonts w:ascii="Times New Roman" w:hAnsi="Times New Roman"/>
          <w:caps/>
          <w:sz w:val="24"/>
          <w:szCs w:val="24"/>
          <w:lang w:val="fr-FR"/>
        </w:rPr>
        <w:t>LOW</w:t>
      </w:r>
      <w:r w:rsidR="00C67642" w:rsidRPr="007B200A">
        <w:rPr>
          <w:rFonts w:ascii="Times New Roman" w:hAnsi="Times New Roman"/>
          <w:caps/>
          <w:sz w:val="24"/>
          <w:szCs w:val="24"/>
          <w:lang w:val="fr-FR"/>
        </w:rPr>
        <w:t xml:space="preserve"> </w:t>
      </w:r>
      <w:r w:rsidR="00D86FE4" w:rsidRPr="007B200A">
        <w:rPr>
          <w:rFonts w:ascii="Times New Roman" w:hAnsi="Times New Roman"/>
          <w:caps/>
          <w:sz w:val="24"/>
          <w:szCs w:val="24"/>
          <w:lang w:val="fr-FR"/>
        </w:rPr>
        <w:t xml:space="preserve">CYCLE </w:t>
      </w:r>
      <w:r w:rsidRPr="007B200A">
        <w:rPr>
          <w:rFonts w:ascii="Times New Roman" w:hAnsi="Times New Roman"/>
          <w:caps/>
          <w:sz w:val="24"/>
          <w:szCs w:val="24"/>
          <w:lang w:val="fr-FR"/>
        </w:rPr>
        <w:t xml:space="preserve">FATIGUE </w:t>
      </w:r>
      <w:bookmarkEnd w:id="0"/>
      <w:r w:rsidR="009221F6" w:rsidRPr="007B200A">
        <w:rPr>
          <w:rFonts w:ascii="Times New Roman" w:hAnsi="Times New Roman"/>
          <w:caps/>
          <w:sz w:val="24"/>
          <w:szCs w:val="24"/>
          <w:lang w:val="fr-FR"/>
        </w:rPr>
        <w:t xml:space="preserve">MONITORING </w:t>
      </w:r>
      <w:r w:rsidR="00CC019E" w:rsidRPr="007B200A">
        <w:rPr>
          <w:rFonts w:ascii="Times New Roman" w:hAnsi="Times New Roman"/>
          <w:caps/>
          <w:sz w:val="24"/>
          <w:szCs w:val="24"/>
          <w:lang w:val="fr-FR"/>
        </w:rPr>
        <w:t>(Version 20</w:t>
      </w:r>
      <w:r w:rsidR="00471359">
        <w:rPr>
          <w:rFonts w:ascii="Times New Roman" w:hAnsi="Times New Roman"/>
          <w:caps/>
          <w:sz w:val="24"/>
          <w:szCs w:val="24"/>
          <w:lang w:val="fr-FR"/>
        </w:rPr>
        <w:t>20</w:t>
      </w:r>
      <w:r w:rsidR="00CC019E" w:rsidRPr="007B200A">
        <w:rPr>
          <w:rFonts w:ascii="Times New Roman" w:hAnsi="Times New Roman"/>
          <w:caps/>
          <w:sz w:val="24"/>
          <w:szCs w:val="24"/>
          <w:lang w:val="fr-FR"/>
        </w:rPr>
        <w:t>)</w:t>
      </w:r>
    </w:p>
    <w:p w14:paraId="4B8554C9" w14:textId="77777777" w:rsidR="00D262E7" w:rsidRPr="007B200A" w:rsidRDefault="00D262E7" w:rsidP="003B39D9">
      <w:pPr>
        <w:pStyle w:val="Heading3"/>
        <w:spacing w:before="120"/>
        <w:rPr>
          <w:rFonts w:ascii="Times New Roman" w:hAnsi="Times New Roman"/>
          <w:sz w:val="24"/>
          <w:szCs w:val="24"/>
          <w:lang w:val="fr-FR"/>
        </w:rPr>
      </w:pPr>
      <w:r w:rsidRPr="007B200A">
        <w:rPr>
          <w:rFonts w:ascii="Times New Roman" w:hAnsi="Times New Roman"/>
          <w:sz w:val="24"/>
          <w:szCs w:val="24"/>
          <w:lang w:val="fr-FR"/>
        </w:rPr>
        <w:t>Programme Description</w:t>
      </w:r>
    </w:p>
    <w:p w14:paraId="55128C98"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This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manages low-cycle fatigue effects of thermal and pressure cyclic transients considered in the nuclear plant design basis or included in its licensing basis during the plant operating life</w:t>
      </w:r>
      <w:r w:rsidR="00894D3A">
        <w:rPr>
          <w:rFonts w:ascii="Times New Roman" w:hAnsi="Times New Roman"/>
          <w:sz w:val="24"/>
          <w:szCs w:val="24"/>
        </w:rPr>
        <w:t>. Also included are</w:t>
      </w:r>
      <w:r w:rsidRPr="00A019F7">
        <w:rPr>
          <w:rFonts w:ascii="Times New Roman" w:hAnsi="Times New Roman"/>
          <w:sz w:val="24"/>
          <w:szCs w:val="24"/>
        </w:rPr>
        <w:t xml:space="preserve"> transients (under control or investigation) due to the occurrence of fluid conditions having the potential for inducing cyclic thermal stresses like thermally stratified flow</w:t>
      </w:r>
      <w:r w:rsidR="008A0F26">
        <w:rPr>
          <w:rFonts w:ascii="Times New Roman" w:hAnsi="Times New Roman"/>
          <w:sz w:val="24"/>
          <w:szCs w:val="24"/>
        </w:rPr>
        <w:t xml:space="preserve"> occurring</w:t>
      </w:r>
      <w:r w:rsidR="001C34BD">
        <w:rPr>
          <w:rFonts w:ascii="Times New Roman" w:hAnsi="Times New Roman"/>
          <w:sz w:val="24"/>
          <w:szCs w:val="24"/>
        </w:rPr>
        <w:t xml:space="preserve"> </w:t>
      </w:r>
      <w:r w:rsidR="003B7630">
        <w:rPr>
          <w:rFonts w:ascii="Times New Roman" w:hAnsi="Times New Roman"/>
          <w:sz w:val="24"/>
          <w:szCs w:val="24"/>
        </w:rPr>
        <w:t xml:space="preserve">for example </w:t>
      </w:r>
      <w:r w:rsidR="001C34BD">
        <w:rPr>
          <w:rFonts w:ascii="Times New Roman" w:hAnsi="Times New Roman"/>
          <w:sz w:val="24"/>
          <w:szCs w:val="24"/>
        </w:rPr>
        <w:t>in</w:t>
      </w:r>
      <w:r w:rsidR="008A0F26">
        <w:rPr>
          <w:rFonts w:ascii="Times New Roman" w:hAnsi="Times New Roman"/>
          <w:sz w:val="24"/>
          <w:szCs w:val="24"/>
        </w:rPr>
        <w:t xml:space="preserve"> pressurizer surge lines</w:t>
      </w:r>
      <w:r w:rsidR="00247578" w:rsidRPr="00316288">
        <w:rPr>
          <w:rFonts w:ascii="Times New Roman" w:hAnsi="Times New Roman"/>
          <w:sz w:val="24"/>
          <w:szCs w:val="24"/>
        </w:rPr>
        <w:t xml:space="preserve"> [1</w:t>
      </w:r>
      <w:r w:rsidR="00B046B3">
        <w:rPr>
          <w:rFonts w:ascii="Times New Roman" w:hAnsi="Times New Roman"/>
          <w:sz w:val="24"/>
          <w:szCs w:val="24"/>
        </w:rPr>
        <w:t>,</w:t>
      </w:r>
      <w:r w:rsidR="00AC0F87">
        <w:rPr>
          <w:rFonts w:ascii="Times New Roman" w:hAnsi="Times New Roman"/>
          <w:sz w:val="24"/>
          <w:szCs w:val="24"/>
        </w:rPr>
        <w:t xml:space="preserve"> </w:t>
      </w:r>
      <w:r w:rsidR="00B046B3">
        <w:rPr>
          <w:rFonts w:ascii="Times New Roman" w:hAnsi="Times New Roman"/>
          <w:sz w:val="24"/>
          <w:szCs w:val="24"/>
        </w:rPr>
        <w:t>2</w:t>
      </w:r>
      <w:r w:rsidR="00247578" w:rsidRPr="00316288">
        <w:rPr>
          <w:rFonts w:ascii="Times New Roman" w:hAnsi="Times New Roman"/>
          <w:sz w:val="24"/>
          <w:szCs w:val="24"/>
        </w:rPr>
        <w:t>]</w:t>
      </w:r>
      <w:r w:rsidRPr="00316288">
        <w:rPr>
          <w:rFonts w:ascii="Times New Roman" w:hAnsi="Times New Roman"/>
          <w:sz w:val="24"/>
          <w:szCs w:val="24"/>
        </w:rPr>
        <w:t>.</w:t>
      </w:r>
      <w:r w:rsidRPr="00A019F7">
        <w:rPr>
          <w:rFonts w:ascii="Times New Roman" w:hAnsi="Times New Roman"/>
          <w:sz w:val="24"/>
          <w:szCs w:val="24"/>
        </w:rPr>
        <w:t xml:space="preserve"> It applies to components (including but not limited to mechanical equipment and piping) subject to cyclic loading as described above</w:t>
      </w:r>
      <w:r w:rsidR="0035235E">
        <w:rPr>
          <w:rFonts w:ascii="Times New Roman" w:hAnsi="Times New Roman"/>
          <w:sz w:val="24"/>
          <w:szCs w:val="24"/>
        </w:rPr>
        <w:t xml:space="preserve"> [</w:t>
      </w:r>
      <w:r w:rsidR="00B046B3">
        <w:rPr>
          <w:rFonts w:ascii="Times New Roman" w:hAnsi="Times New Roman"/>
          <w:sz w:val="24"/>
          <w:szCs w:val="24"/>
        </w:rPr>
        <w:t>3-9]</w:t>
      </w:r>
      <w:r w:rsidR="007E28DC">
        <w:rPr>
          <w:rFonts w:ascii="Times New Roman" w:hAnsi="Times New Roman"/>
          <w:sz w:val="24"/>
          <w:szCs w:val="24"/>
        </w:rPr>
        <w:t>.</w:t>
      </w:r>
    </w:p>
    <w:p w14:paraId="43A87A6F" w14:textId="77777777" w:rsidR="00AD64B5"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Fatigue cumulative usage factor (CUF) is a computed parameter suitable for evaluating fatigue damage in components subjected to fluctuating stresses. </w:t>
      </w:r>
      <w:r w:rsidR="00AD64B5" w:rsidRPr="00A019F7">
        <w:rPr>
          <w:rFonts w:ascii="Times New Roman" w:hAnsi="Times New Roman"/>
          <w:sz w:val="24"/>
          <w:szCs w:val="24"/>
        </w:rPr>
        <w:t xml:space="preserve">As a design limit for fatigue, a CUF of 1.0 is </w:t>
      </w:r>
      <w:r w:rsidR="002A1A93" w:rsidRPr="00A019F7">
        <w:rPr>
          <w:rFonts w:ascii="Times New Roman" w:hAnsi="Times New Roman"/>
          <w:sz w:val="24"/>
          <w:szCs w:val="24"/>
        </w:rPr>
        <w:t xml:space="preserve">generally </w:t>
      </w:r>
      <w:r w:rsidR="00AD64B5" w:rsidRPr="00A019F7">
        <w:rPr>
          <w:rFonts w:ascii="Times New Roman" w:hAnsi="Times New Roman"/>
          <w:sz w:val="24"/>
          <w:szCs w:val="24"/>
        </w:rPr>
        <w:t>taken</w:t>
      </w:r>
      <w:r w:rsidRPr="00A019F7">
        <w:rPr>
          <w:rFonts w:ascii="Times New Roman" w:hAnsi="Times New Roman"/>
          <w:sz w:val="24"/>
          <w:szCs w:val="24"/>
        </w:rPr>
        <w:t>. Different CUF limits may also be used for other purposes, such as to determine locations which do not need to be considered for high energy line break mitigation</w:t>
      </w:r>
      <w:r w:rsidR="005A6DAC">
        <w:rPr>
          <w:rFonts w:ascii="Times New Roman" w:hAnsi="Times New Roman"/>
          <w:sz w:val="24"/>
          <w:szCs w:val="24"/>
        </w:rPr>
        <w:t>.</w:t>
      </w:r>
    </w:p>
    <w:p w14:paraId="316DDEA6"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In order not to exceed the design limit on fatigue usage, this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monitors and tracks the number of critical thermal and pressure transients for the selected components. Critical transients are those that cause cyclic strain, which are significant contributors to the fatigue usage factor. In the case of monitoring anticipated transients (e.g. from plant design basis), 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also verifies that the severity of each monitored transient is bounded by the design transient definition for which it is classified.</w:t>
      </w:r>
      <w:r w:rsidR="000C3D95">
        <w:rPr>
          <w:rFonts w:ascii="Times New Roman" w:hAnsi="Times New Roman"/>
          <w:sz w:val="24"/>
          <w:szCs w:val="24"/>
        </w:rPr>
        <w:t xml:space="preserve"> In some countries, monitoring of the transients in the plant’s current licensing basis is a </w:t>
      </w:r>
      <w:r w:rsidR="003B7630">
        <w:rPr>
          <w:rFonts w:ascii="Times New Roman" w:hAnsi="Times New Roman"/>
          <w:sz w:val="24"/>
          <w:szCs w:val="24"/>
        </w:rPr>
        <w:t>requirement of national regulations (e.g.</w:t>
      </w:r>
      <w:r w:rsidR="00AC0F87">
        <w:rPr>
          <w:rFonts w:ascii="Times New Roman" w:hAnsi="Times New Roman"/>
          <w:sz w:val="24"/>
          <w:szCs w:val="24"/>
        </w:rPr>
        <w:t>,</w:t>
      </w:r>
      <w:r w:rsidR="003B7630">
        <w:rPr>
          <w:rFonts w:ascii="Times New Roman" w:hAnsi="Times New Roman"/>
          <w:sz w:val="24"/>
          <w:szCs w:val="24"/>
        </w:rPr>
        <w:t xml:space="preserve"> </w:t>
      </w:r>
      <w:r w:rsidR="00EF4DAC" w:rsidRPr="006A124B">
        <w:rPr>
          <w:rFonts w:ascii="Times New Roman" w:hAnsi="Times New Roman"/>
          <w:sz w:val="24"/>
          <w:szCs w:val="24"/>
        </w:rPr>
        <w:t>[</w:t>
      </w:r>
      <w:r w:rsidR="00B046B3">
        <w:rPr>
          <w:rFonts w:ascii="Times New Roman" w:hAnsi="Times New Roman"/>
          <w:sz w:val="24"/>
          <w:szCs w:val="24"/>
        </w:rPr>
        <w:t>10</w:t>
      </w:r>
      <w:r w:rsidR="003B7630" w:rsidRPr="00EF4DAC">
        <w:rPr>
          <w:rFonts w:ascii="Times New Roman" w:hAnsi="Times New Roman"/>
          <w:sz w:val="24"/>
          <w:szCs w:val="24"/>
        </w:rPr>
        <w:t>]</w:t>
      </w:r>
      <w:r w:rsidR="003B7630">
        <w:rPr>
          <w:rFonts w:ascii="Times New Roman" w:hAnsi="Times New Roman"/>
          <w:sz w:val="24"/>
          <w:szCs w:val="24"/>
        </w:rPr>
        <w:t xml:space="preserve">) </w:t>
      </w:r>
      <w:r w:rsidR="000E5C1C">
        <w:rPr>
          <w:rFonts w:ascii="Times New Roman" w:hAnsi="Times New Roman"/>
          <w:sz w:val="24"/>
          <w:szCs w:val="24"/>
        </w:rPr>
        <w:t>or national standards (e.g.</w:t>
      </w:r>
      <w:r w:rsidR="00AC0F87">
        <w:rPr>
          <w:rFonts w:ascii="Times New Roman" w:hAnsi="Times New Roman"/>
          <w:sz w:val="24"/>
          <w:szCs w:val="24"/>
        </w:rPr>
        <w:t>,</w:t>
      </w:r>
      <w:r w:rsidR="000E5C1C">
        <w:rPr>
          <w:rFonts w:ascii="Times New Roman" w:hAnsi="Times New Roman"/>
          <w:sz w:val="24"/>
          <w:szCs w:val="24"/>
        </w:rPr>
        <w:t xml:space="preserve"> [</w:t>
      </w:r>
      <w:r w:rsidR="00B046B3">
        <w:rPr>
          <w:rFonts w:ascii="Times New Roman" w:hAnsi="Times New Roman"/>
          <w:sz w:val="24"/>
          <w:szCs w:val="24"/>
        </w:rPr>
        <w:t>11</w:t>
      </w:r>
      <w:r w:rsidR="00AC0F87">
        <w:rPr>
          <w:rFonts w:ascii="Times New Roman" w:hAnsi="Times New Roman"/>
          <w:sz w:val="24"/>
          <w:szCs w:val="24"/>
        </w:rPr>
        <w:t xml:space="preserve">, </w:t>
      </w:r>
      <w:r w:rsidR="00B046B3">
        <w:rPr>
          <w:rFonts w:ascii="Times New Roman" w:hAnsi="Times New Roman"/>
          <w:sz w:val="24"/>
          <w:szCs w:val="24"/>
        </w:rPr>
        <w:t>12</w:t>
      </w:r>
      <w:r w:rsidR="000E5C1C">
        <w:rPr>
          <w:rFonts w:ascii="Times New Roman" w:hAnsi="Times New Roman"/>
          <w:sz w:val="24"/>
          <w:szCs w:val="24"/>
        </w:rPr>
        <w:t xml:space="preserve">]) </w:t>
      </w:r>
      <w:r w:rsidR="003B7630">
        <w:rPr>
          <w:rFonts w:ascii="Times New Roman" w:hAnsi="Times New Roman"/>
          <w:sz w:val="24"/>
          <w:szCs w:val="24"/>
        </w:rPr>
        <w:t xml:space="preserve">or plant technical specifications </w:t>
      </w:r>
      <w:r w:rsidR="000C3D95">
        <w:rPr>
          <w:rFonts w:ascii="Times New Roman" w:hAnsi="Times New Roman"/>
          <w:sz w:val="24"/>
          <w:szCs w:val="24"/>
        </w:rPr>
        <w:t>(e.g.</w:t>
      </w:r>
      <w:r w:rsidR="00AC0F87">
        <w:rPr>
          <w:rFonts w:ascii="Times New Roman" w:hAnsi="Times New Roman"/>
          <w:sz w:val="24"/>
          <w:szCs w:val="24"/>
        </w:rPr>
        <w:t>,</w:t>
      </w:r>
      <w:r w:rsidR="000C3D95">
        <w:rPr>
          <w:rFonts w:ascii="Times New Roman" w:hAnsi="Times New Roman"/>
          <w:sz w:val="24"/>
          <w:szCs w:val="24"/>
        </w:rPr>
        <w:t xml:space="preserve"> </w:t>
      </w:r>
      <w:r w:rsidR="00E20264">
        <w:rPr>
          <w:rFonts w:ascii="Times New Roman" w:hAnsi="Times New Roman"/>
          <w:sz w:val="24"/>
          <w:szCs w:val="24"/>
        </w:rPr>
        <w:t>[</w:t>
      </w:r>
      <w:r w:rsidR="000E5C1C">
        <w:rPr>
          <w:rFonts w:ascii="Times New Roman" w:hAnsi="Times New Roman"/>
          <w:sz w:val="24"/>
          <w:szCs w:val="24"/>
        </w:rPr>
        <w:t>1</w:t>
      </w:r>
      <w:r w:rsidR="00B046B3">
        <w:rPr>
          <w:rFonts w:ascii="Times New Roman" w:hAnsi="Times New Roman"/>
          <w:sz w:val="24"/>
          <w:szCs w:val="24"/>
        </w:rPr>
        <w:t>3</w:t>
      </w:r>
      <w:r w:rsidR="00EF4DAC">
        <w:rPr>
          <w:rFonts w:ascii="Times New Roman" w:hAnsi="Times New Roman"/>
          <w:sz w:val="24"/>
          <w:szCs w:val="24"/>
        </w:rPr>
        <w:t>]</w:t>
      </w:r>
      <w:r w:rsidR="000C3D95">
        <w:rPr>
          <w:rFonts w:ascii="Times New Roman" w:hAnsi="Times New Roman"/>
          <w:sz w:val="24"/>
          <w:szCs w:val="24"/>
        </w:rPr>
        <w:t>).</w:t>
      </w:r>
    </w:p>
    <w:p w14:paraId="5F03567A" w14:textId="25EA5A2E" w:rsidR="005E6D1B" w:rsidRPr="00471359" w:rsidRDefault="00D262E7" w:rsidP="003B39D9">
      <w:pPr>
        <w:pStyle w:val="Body"/>
        <w:tabs>
          <w:tab w:val="clear" w:pos="2520"/>
        </w:tabs>
        <w:ind w:left="0" w:firstLine="0"/>
        <w:jc w:val="both"/>
        <w:rPr>
          <w:rFonts w:ascii="Times New Roman" w:hAnsi="Times New Roman"/>
          <w:color w:val="FF0000"/>
          <w:sz w:val="24"/>
          <w:szCs w:val="24"/>
        </w:rPr>
      </w:pPr>
      <w:r w:rsidRPr="00471359">
        <w:rPr>
          <w:rFonts w:ascii="Times New Roman" w:hAnsi="Times New Roman"/>
          <w:color w:val="FF0000"/>
          <w:sz w:val="24"/>
          <w:szCs w:val="24"/>
        </w:rPr>
        <w:t xml:space="preserve">The fatigue evaluation process may identify threshold values for the CUF above which corrective actions (changes in operating procedures, </w:t>
      </w:r>
      <w:r w:rsidR="001D4C6F" w:rsidRPr="00471359">
        <w:rPr>
          <w:rFonts w:ascii="Times New Roman" w:hAnsi="Times New Roman"/>
          <w:color w:val="FF0000"/>
          <w:sz w:val="24"/>
          <w:szCs w:val="24"/>
        </w:rPr>
        <w:t xml:space="preserve">non-destructive examination, </w:t>
      </w:r>
      <w:r w:rsidRPr="00471359">
        <w:rPr>
          <w:rFonts w:ascii="Times New Roman" w:hAnsi="Times New Roman"/>
          <w:color w:val="FF0000"/>
          <w:sz w:val="24"/>
          <w:szCs w:val="24"/>
        </w:rPr>
        <w:t xml:space="preserve">component repair, replacement, or reanalysis, etc.) </w:t>
      </w:r>
      <w:r w:rsidR="001B59EC" w:rsidRPr="00471359">
        <w:rPr>
          <w:rFonts w:ascii="Times New Roman" w:hAnsi="Times New Roman" w:hint="eastAsia"/>
          <w:color w:val="FF0000"/>
          <w:sz w:val="24"/>
          <w:szCs w:val="24"/>
          <w:lang w:eastAsia="ja-JP"/>
        </w:rPr>
        <w:t>are</w:t>
      </w:r>
      <w:r w:rsidRPr="00471359">
        <w:rPr>
          <w:rFonts w:ascii="Times New Roman" w:hAnsi="Times New Roman"/>
          <w:color w:val="FF0000"/>
          <w:sz w:val="24"/>
          <w:szCs w:val="24"/>
        </w:rPr>
        <w:t xml:space="preserve"> considered prior to the CUF exceeding the design limit.</w:t>
      </w:r>
    </w:p>
    <w:p w14:paraId="1E196DCC" w14:textId="77777777" w:rsidR="005E6D1B" w:rsidRPr="00A019F7" w:rsidRDefault="005E6D1B" w:rsidP="003B39D9">
      <w:pPr>
        <w:pStyle w:val="Body"/>
        <w:tabs>
          <w:tab w:val="clear" w:pos="2520"/>
        </w:tabs>
        <w:ind w:left="0" w:firstLine="0"/>
        <w:jc w:val="both"/>
        <w:rPr>
          <w:rFonts w:ascii="Times New Roman" w:hAnsi="Times New Roman"/>
          <w:sz w:val="24"/>
          <w:szCs w:val="24"/>
        </w:rPr>
      </w:pPr>
      <w:r>
        <w:rPr>
          <w:rFonts w:ascii="Times New Roman" w:hAnsi="Times New Roman"/>
          <w:sz w:val="24"/>
          <w:szCs w:val="24"/>
        </w:rPr>
        <w:t>The evaluation of low cycle fatigue is addressed in TLAA</w:t>
      </w:r>
      <w:r w:rsidR="00A70D35">
        <w:rPr>
          <w:rFonts w:ascii="Times New Roman" w:hAnsi="Times New Roman"/>
          <w:sz w:val="24"/>
          <w:szCs w:val="24"/>
        </w:rPr>
        <w:t xml:space="preserve"> </w:t>
      </w:r>
      <w:r>
        <w:rPr>
          <w:rFonts w:ascii="Times New Roman" w:hAnsi="Times New Roman"/>
          <w:sz w:val="24"/>
          <w:szCs w:val="24"/>
        </w:rPr>
        <w:t>101.</w:t>
      </w:r>
    </w:p>
    <w:p w14:paraId="5095FF07"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The procedures for fatigue monitoring combine transient logging and fatigue usage monitoring. One approach for this monitoring could be where the plant events are recognized by a set of rules which correlates data (temperature, pressure, flow rate, valve status, electric signals, etc.) collected from plant process computers or from additional instrumentation. Several computer </w:t>
      </w:r>
      <w:proofErr w:type="spellStart"/>
      <w:r w:rsidRPr="00A019F7">
        <w:rPr>
          <w:rFonts w:ascii="Times New Roman" w:hAnsi="Times New Roman"/>
          <w:sz w:val="24"/>
          <w:szCs w:val="24"/>
        </w:rPr>
        <w:t>program</w:t>
      </w:r>
      <w:r w:rsidR="001B59EC">
        <w:rPr>
          <w:rFonts w:ascii="Times New Roman" w:hAnsi="Times New Roman" w:hint="eastAsia"/>
          <w:sz w:val="24"/>
          <w:szCs w:val="24"/>
          <w:lang w:eastAsia="ja-JP"/>
        </w:rPr>
        <w:t>me</w:t>
      </w:r>
      <w:r w:rsidRPr="00A019F7">
        <w:rPr>
          <w:rFonts w:ascii="Times New Roman" w:hAnsi="Times New Roman"/>
          <w:sz w:val="24"/>
          <w:szCs w:val="24"/>
        </w:rPr>
        <w:t>s</w:t>
      </w:r>
      <w:proofErr w:type="spellEnd"/>
      <w:r w:rsidRPr="00A019F7">
        <w:rPr>
          <w:rFonts w:ascii="Times New Roman" w:hAnsi="Times New Roman"/>
          <w:sz w:val="24"/>
          <w:szCs w:val="24"/>
        </w:rPr>
        <w:t xml:space="preserve"> for such transient logging and fatigue usage monitoring are available and can be combined to improve the efficiency of 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w:t>
      </w:r>
    </w:p>
    <w:p w14:paraId="25659A2B" w14:textId="77777777" w:rsidR="005E6D1B" w:rsidRPr="00A019F7" w:rsidRDefault="00D262E7" w:rsidP="003B39D9">
      <w:pPr>
        <w:pStyle w:val="Body"/>
        <w:tabs>
          <w:tab w:val="clear" w:pos="2520"/>
        </w:tabs>
        <w:ind w:left="0" w:firstLine="0"/>
        <w:jc w:val="both"/>
        <w:rPr>
          <w:rFonts w:ascii="Times New Roman" w:hAnsi="Times New Roman"/>
          <w:sz w:val="24"/>
          <w:szCs w:val="24"/>
          <w:u w:val="single"/>
        </w:rPr>
      </w:pPr>
      <w:r w:rsidRPr="00A019F7">
        <w:rPr>
          <w:rFonts w:ascii="Times New Roman" w:hAnsi="Times New Roman"/>
          <w:sz w:val="24"/>
          <w:szCs w:val="24"/>
        </w:rPr>
        <w:t xml:space="preserve">This ageing management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may address the effects of the reactor coolant environment on component fatigue life (to determine an environmentally-adjusted cumulative usage factor, or </w:t>
      </w:r>
      <w:proofErr w:type="spellStart"/>
      <w:r w:rsidRPr="00A019F7">
        <w:rPr>
          <w:rFonts w:ascii="Times New Roman" w:hAnsi="Times New Roman"/>
          <w:sz w:val="24"/>
          <w:szCs w:val="24"/>
        </w:rPr>
        <w:t>CUF</w:t>
      </w:r>
      <w:r w:rsidRPr="00A019F7">
        <w:rPr>
          <w:rFonts w:ascii="Times New Roman" w:hAnsi="Times New Roman"/>
          <w:sz w:val="24"/>
          <w:szCs w:val="24"/>
          <w:vertAlign w:val="subscript"/>
        </w:rPr>
        <w:t>en</w:t>
      </w:r>
      <w:proofErr w:type="spellEnd"/>
      <w:r w:rsidRPr="00A019F7">
        <w:rPr>
          <w:rFonts w:ascii="Times New Roman" w:hAnsi="Times New Roman"/>
          <w:sz w:val="24"/>
          <w:szCs w:val="24"/>
        </w:rPr>
        <w:t>) by assessing the impact of the reactor coolant environment on a set of sample critical components for its plant-specific configuration</w:t>
      </w:r>
      <w:r w:rsidR="002043A3">
        <w:rPr>
          <w:rFonts w:ascii="Times New Roman" w:hAnsi="Times New Roman"/>
          <w:sz w:val="24"/>
          <w:szCs w:val="24"/>
        </w:rPr>
        <w:t xml:space="preserve"> </w:t>
      </w:r>
      <w:r w:rsidR="002043A3" w:rsidRPr="006A124B">
        <w:rPr>
          <w:rFonts w:ascii="Times New Roman" w:hAnsi="Times New Roman"/>
          <w:sz w:val="24"/>
          <w:szCs w:val="24"/>
        </w:rPr>
        <w:t>[</w:t>
      </w:r>
      <w:r w:rsidR="00B046B3">
        <w:rPr>
          <w:rFonts w:ascii="Times New Roman" w:hAnsi="Times New Roman"/>
          <w:sz w:val="24"/>
          <w:szCs w:val="24"/>
        </w:rPr>
        <w:t>1</w:t>
      </w:r>
      <w:r w:rsidR="001D6367">
        <w:rPr>
          <w:rFonts w:ascii="Times New Roman" w:hAnsi="Times New Roman"/>
          <w:sz w:val="24"/>
          <w:szCs w:val="24"/>
        </w:rPr>
        <w:t>3</w:t>
      </w:r>
      <w:r w:rsidR="00B046B3">
        <w:rPr>
          <w:rFonts w:ascii="Times New Roman" w:hAnsi="Times New Roman"/>
          <w:sz w:val="24"/>
          <w:szCs w:val="24"/>
        </w:rPr>
        <w:t>-1</w:t>
      </w:r>
      <w:r w:rsidR="001D6367">
        <w:rPr>
          <w:rFonts w:ascii="Times New Roman" w:hAnsi="Times New Roman"/>
          <w:sz w:val="24"/>
          <w:szCs w:val="24"/>
        </w:rPr>
        <w:t>6</w:t>
      </w:r>
      <w:r w:rsidR="0068247F">
        <w:rPr>
          <w:rFonts w:ascii="Times New Roman" w:hAnsi="Times New Roman"/>
          <w:sz w:val="24"/>
          <w:szCs w:val="24"/>
        </w:rPr>
        <w:t>]</w:t>
      </w:r>
      <w:r w:rsidRPr="006A124B">
        <w:rPr>
          <w:rFonts w:ascii="Times New Roman" w:hAnsi="Times New Roman"/>
          <w:sz w:val="24"/>
          <w:szCs w:val="24"/>
        </w:rPr>
        <w:t>.</w:t>
      </w:r>
      <w:r w:rsidR="00FE7B17">
        <w:rPr>
          <w:rFonts w:ascii="Times New Roman" w:hAnsi="Times New Roman"/>
          <w:sz w:val="24"/>
          <w:szCs w:val="24"/>
        </w:rPr>
        <w:t xml:space="preserve"> An overview of approaches </w:t>
      </w:r>
      <w:r w:rsidR="0068247F">
        <w:rPr>
          <w:rFonts w:ascii="Times New Roman" w:hAnsi="Times New Roman"/>
          <w:sz w:val="24"/>
          <w:szCs w:val="24"/>
        </w:rPr>
        <w:t xml:space="preserve">used </w:t>
      </w:r>
      <w:r w:rsidR="00FE7B17">
        <w:rPr>
          <w:rFonts w:ascii="Times New Roman" w:hAnsi="Times New Roman"/>
          <w:sz w:val="24"/>
          <w:szCs w:val="24"/>
        </w:rPr>
        <w:t xml:space="preserve">by different countries (US, France, Finland, Japan and Germany) </w:t>
      </w:r>
      <w:r w:rsidR="00A21E1D">
        <w:rPr>
          <w:rFonts w:ascii="Times New Roman" w:hAnsi="Times New Roman"/>
          <w:sz w:val="24"/>
          <w:szCs w:val="24"/>
        </w:rPr>
        <w:t xml:space="preserve">to account for environmental effects on fatigue </w:t>
      </w:r>
      <w:r w:rsidR="00FE7B17">
        <w:rPr>
          <w:rFonts w:ascii="Times New Roman" w:hAnsi="Times New Roman"/>
          <w:sz w:val="24"/>
          <w:szCs w:val="24"/>
        </w:rPr>
        <w:t>is given in [</w:t>
      </w:r>
      <w:r w:rsidR="00CA7229">
        <w:rPr>
          <w:rFonts w:ascii="Times New Roman" w:hAnsi="Times New Roman"/>
          <w:sz w:val="24"/>
          <w:szCs w:val="24"/>
        </w:rPr>
        <w:t>1</w:t>
      </w:r>
      <w:r w:rsidR="001D6367">
        <w:rPr>
          <w:rFonts w:ascii="Times New Roman" w:hAnsi="Times New Roman"/>
          <w:sz w:val="24"/>
          <w:szCs w:val="24"/>
        </w:rPr>
        <w:t>7</w:t>
      </w:r>
      <w:r w:rsidR="00FE7B17">
        <w:rPr>
          <w:rFonts w:ascii="Times New Roman" w:hAnsi="Times New Roman"/>
          <w:sz w:val="24"/>
          <w:szCs w:val="24"/>
        </w:rPr>
        <w:t xml:space="preserve">]. </w:t>
      </w:r>
      <w:r w:rsidR="005E6D1B" w:rsidRPr="006A124B">
        <w:rPr>
          <w:rFonts w:ascii="Times New Roman" w:hAnsi="Times New Roman"/>
          <w:sz w:val="24"/>
          <w:szCs w:val="24"/>
        </w:rPr>
        <w:t xml:space="preserve">The evaluation of </w:t>
      </w:r>
      <w:r w:rsidR="00AD654B" w:rsidRPr="006A124B">
        <w:rPr>
          <w:rFonts w:ascii="Times New Roman" w:hAnsi="Times New Roman"/>
          <w:sz w:val="24"/>
          <w:szCs w:val="24"/>
        </w:rPr>
        <w:t xml:space="preserve">environmentally assisted fatigue </w:t>
      </w:r>
      <w:r w:rsidR="005E6D1B" w:rsidRPr="006A124B">
        <w:rPr>
          <w:rFonts w:ascii="Times New Roman" w:hAnsi="Times New Roman"/>
          <w:sz w:val="24"/>
          <w:szCs w:val="24"/>
        </w:rPr>
        <w:t>is addressed</w:t>
      </w:r>
      <w:r w:rsidR="00B84E7B" w:rsidRPr="006A124B">
        <w:rPr>
          <w:rFonts w:ascii="Times New Roman" w:hAnsi="Times New Roman"/>
          <w:sz w:val="24"/>
          <w:szCs w:val="24"/>
        </w:rPr>
        <w:t xml:space="preserve"> in TLAA</w:t>
      </w:r>
      <w:r w:rsidR="00A70D35">
        <w:rPr>
          <w:rFonts w:ascii="Times New Roman" w:hAnsi="Times New Roman"/>
          <w:sz w:val="24"/>
          <w:szCs w:val="24"/>
        </w:rPr>
        <w:t xml:space="preserve"> </w:t>
      </w:r>
      <w:r w:rsidR="00B84E7B" w:rsidRPr="006A124B">
        <w:rPr>
          <w:rFonts w:ascii="Times New Roman" w:hAnsi="Times New Roman"/>
          <w:sz w:val="24"/>
          <w:szCs w:val="24"/>
        </w:rPr>
        <w:t>106</w:t>
      </w:r>
      <w:r w:rsidR="005E6D1B" w:rsidRPr="006A124B">
        <w:rPr>
          <w:rFonts w:ascii="Times New Roman" w:hAnsi="Times New Roman"/>
          <w:sz w:val="24"/>
          <w:szCs w:val="24"/>
        </w:rPr>
        <w:t>.</w:t>
      </w:r>
    </w:p>
    <w:p w14:paraId="45D8294E"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Periodic reviews of 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may lead to the inclusion or suppression of transients or locations to be considered in fatigue evaluations. Justifications </w:t>
      </w:r>
      <w:r w:rsidR="001B59EC">
        <w:rPr>
          <w:rFonts w:ascii="Times New Roman" w:hAnsi="Times New Roman" w:hint="eastAsia"/>
          <w:sz w:val="24"/>
          <w:szCs w:val="24"/>
          <w:lang w:eastAsia="ja-JP"/>
        </w:rPr>
        <w:t>are</w:t>
      </w:r>
      <w:r w:rsidRPr="00A019F7">
        <w:rPr>
          <w:rFonts w:ascii="Times New Roman" w:hAnsi="Times New Roman"/>
          <w:sz w:val="24"/>
          <w:szCs w:val="24"/>
        </w:rPr>
        <w:t xml:space="preserve"> documented and readily available to applicable regulatory review.</w:t>
      </w:r>
    </w:p>
    <w:p w14:paraId="76518004" w14:textId="77777777" w:rsidR="003B39D9" w:rsidRDefault="003B39D9" w:rsidP="003B39D9">
      <w:pPr>
        <w:pStyle w:val="Heading3"/>
        <w:spacing w:before="120"/>
        <w:rPr>
          <w:rFonts w:ascii="Times New Roman" w:hAnsi="Times New Roman"/>
          <w:sz w:val="24"/>
          <w:szCs w:val="24"/>
        </w:rPr>
      </w:pPr>
      <w:bookmarkStart w:id="1" w:name="_Toc88877560"/>
    </w:p>
    <w:p w14:paraId="10B56C55" w14:textId="1E427364" w:rsidR="00D262E7" w:rsidRPr="00A019F7" w:rsidRDefault="00D262E7" w:rsidP="003B39D9">
      <w:pPr>
        <w:pStyle w:val="Heading3"/>
        <w:spacing w:before="120"/>
        <w:rPr>
          <w:rFonts w:ascii="Times New Roman" w:hAnsi="Times New Roman"/>
          <w:sz w:val="24"/>
          <w:szCs w:val="24"/>
        </w:rPr>
      </w:pPr>
      <w:r w:rsidRPr="00A019F7">
        <w:rPr>
          <w:rFonts w:ascii="Times New Roman" w:hAnsi="Times New Roman"/>
          <w:sz w:val="24"/>
          <w:szCs w:val="24"/>
        </w:rPr>
        <w:t>Evaluation and Technical Basis</w:t>
      </w:r>
      <w:bookmarkEnd w:id="1"/>
    </w:p>
    <w:p w14:paraId="1B09A7F0" w14:textId="77777777" w:rsidR="00D262E7" w:rsidRPr="00A019F7" w:rsidRDefault="00D262E7" w:rsidP="003B39D9">
      <w:pPr>
        <w:pStyle w:val="BodyNumbered"/>
        <w:numPr>
          <w:ilvl w:val="0"/>
          <w:numId w:val="7"/>
        </w:numPr>
        <w:tabs>
          <w:tab w:val="clear" w:pos="360"/>
          <w:tab w:val="num" w:pos="-2160"/>
          <w:tab w:val="left" w:pos="426"/>
        </w:tabs>
        <w:ind w:left="0" w:firstLine="0"/>
        <w:rPr>
          <w:rFonts w:ascii="Times New Roman" w:hAnsi="Times New Roman"/>
          <w:sz w:val="24"/>
          <w:szCs w:val="24"/>
        </w:rPr>
      </w:pPr>
      <w:r w:rsidRPr="00A019F7">
        <w:rPr>
          <w:rFonts w:ascii="Times New Roman" w:hAnsi="Times New Roman"/>
          <w:b/>
          <w:i/>
          <w:sz w:val="24"/>
          <w:szCs w:val="24"/>
        </w:rPr>
        <w:t xml:space="preserve">Scope of the ageing management </w:t>
      </w:r>
      <w:proofErr w:type="spellStart"/>
      <w:r w:rsidRPr="00A019F7">
        <w:rPr>
          <w:rFonts w:ascii="Times New Roman" w:hAnsi="Times New Roman"/>
          <w:b/>
          <w:i/>
          <w:sz w:val="24"/>
          <w:szCs w:val="24"/>
        </w:rPr>
        <w:t>programme</w:t>
      </w:r>
      <w:proofErr w:type="spellEnd"/>
      <w:r w:rsidR="00C65001" w:rsidRPr="00A019F7">
        <w:rPr>
          <w:rFonts w:ascii="Times New Roman" w:hAnsi="Times New Roman"/>
          <w:b/>
          <w:i/>
          <w:sz w:val="24"/>
          <w:szCs w:val="24"/>
        </w:rPr>
        <w:t xml:space="preserve"> based on understanding ageing</w:t>
      </w:r>
      <w:r w:rsidR="004D08D4">
        <w:rPr>
          <w:rFonts w:ascii="Times New Roman" w:hAnsi="Times New Roman"/>
          <w:b/>
          <w:i/>
          <w:sz w:val="24"/>
          <w:szCs w:val="24"/>
        </w:rPr>
        <w:t>:</w:t>
      </w:r>
    </w:p>
    <w:p w14:paraId="5C7C585C" w14:textId="77777777" w:rsidR="00D262E7" w:rsidRPr="00471359" w:rsidRDefault="00D262E7" w:rsidP="003B39D9">
      <w:pPr>
        <w:pStyle w:val="Body"/>
        <w:tabs>
          <w:tab w:val="clear" w:pos="2520"/>
        </w:tabs>
        <w:ind w:left="0" w:firstLine="0"/>
        <w:jc w:val="both"/>
        <w:rPr>
          <w:rFonts w:ascii="Times New Roman" w:hAnsi="Times New Roman"/>
          <w:color w:val="FF0000"/>
          <w:sz w:val="24"/>
          <w:szCs w:val="24"/>
        </w:rPr>
      </w:pPr>
      <w:r w:rsidRPr="00471359">
        <w:rPr>
          <w:rFonts w:ascii="Times New Roman" w:hAnsi="Times New Roman"/>
          <w:color w:val="FF0000"/>
          <w:sz w:val="24"/>
          <w:szCs w:val="24"/>
        </w:rPr>
        <w:lastRenderedPageBreak/>
        <w:t xml:space="preserve">The scope includes those components subject to the occurrence of fluid conditions having the potential for inducing cyclic thermal </w:t>
      </w:r>
      <w:r w:rsidR="006E3B2C" w:rsidRPr="00471359">
        <w:rPr>
          <w:rFonts w:ascii="Times New Roman" w:hAnsi="Times New Roman"/>
          <w:color w:val="FF0000"/>
          <w:sz w:val="24"/>
          <w:szCs w:val="24"/>
        </w:rPr>
        <w:t xml:space="preserve">and/or pressure </w:t>
      </w:r>
      <w:r w:rsidRPr="00471359">
        <w:rPr>
          <w:rFonts w:ascii="Times New Roman" w:hAnsi="Times New Roman"/>
          <w:color w:val="FF0000"/>
          <w:sz w:val="24"/>
          <w:szCs w:val="24"/>
        </w:rPr>
        <w:t>stresses.</w:t>
      </w:r>
    </w:p>
    <w:p w14:paraId="2956A7C7"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monitors and tracks those transients for the selected locations to ensure that the fatigue cumulative usage factor remains within the allowable limit, thus minimizing fatigue damage of metal components caused by cyclic stresses.</w:t>
      </w:r>
    </w:p>
    <w:p w14:paraId="7C6F3569"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may also evaluate, for a set of sample reactor coolant system locations, fatigue usage factors that consider the effects of the reactor coolant environment. Those sample locations are </w:t>
      </w:r>
      <w:proofErr w:type="gramStart"/>
      <w:r w:rsidRPr="00A019F7">
        <w:rPr>
          <w:rFonts w:ascii="Times New Roman" w:hAnsi="Times New Roman"/>
          <w:sz w:val="24"/>
          <w:szCs w:val="24"/>
        </w:rPr>
        <w:t>plant-specific</w:t>
      </w:r>
      <w:proofErr w:type="gramEnd"/>
      <w:r w:rsidRPr="00A019F7">
        <w:rPr>
          <w:rFonts w:ascii="Times New Roman" w:hAnsi="Times New Roman"/>
          <w:sz w:val="24"/>
          <w:szCs w:val="24"/>
        </w:rPr>
        <w:t>.</w:t>
      </w:r>
    </w:p>
    <w:p w14:paraId="5160FF38" w14:textId="77777777" w:rsidR="00D262E7" w:rsidRPr="00471359" w:rsidRDefault="00D262E7" w:rsidP="003B39D9">
      <w:pPr>
        <w:pStyle w:val="Body"/>
        <w:tabs>
          <w:tab w:val="clear" w:pos="2520"/>
        </w:tabs>
        <w:ind w:left="0" w:firstLine="0"/>
        <w:rPr>
          <w:rFonts w:ascii="Times New Roman" w:hAnsi="Times New Roman"/>
          <w:color w:val="FF0000"/>
          <w:sz w:val="24"/>
          <w:szCs w:val="24"/>
        </w:rPr>
      </w:pPr>
      <w:r w:rsidRPr="00471359">
        <w:rPr>
          <w:rFonts w:ascii="Times New Roman" w:hAnsi="Times New Roman"/>
          <w:color w:val="FF0000"/>
          <w:sz w:val="24"/>
          <w:szCs w:val="24"/>
        </w:rPr>
        <w:t>Monitoring anticipated cyclic transients encompasses the following activities</w:t>
      </w:r>
      <w:r w:rsidR="002043A3" w:rsidRPr="00471359">
        <w:rPr>
          <w:rFonts w:ascii="Times New Roman" w:hAnsi="Times New Roman"/>
          <w:color w:val="FF0000"/>
          <w:sz w:val="24"/>
          <w:szCs w:val="24"/>
        </w:rPr>
        <w:t xml:space="preserve"> [</w:t>
      </w:r>
      <w:r w:rsidR="00520871" w:rsidRPr="00471359">
        <w:rPr>
          <w:rFonts w:ascii="Times New Roman" w:hAnsi="Times New Roman"/>
          <w:color w:val="FF0000"/>
          <w:sz w:val="24"/>
          <w:szCs w:val="24"/>
        </w:rPr>
        <w:t>1</w:t>
      </w:r>
      <w:r w:rsidR="001D6367" w:rsidRPr="00471359">
        <w:rPr>
          <w:rFonts w:ascii="Times New Roman" w:hAnsi="Times New Roman"/>
          <w:color w:val="FF0000"/>
          <w:sz w:val="24"/>
          <w:szCs w:val="24"/>
        </w:rPr>
        <w:t>8</w:t>
      </w:r>
      <w:r w:rsidR="002043A3" w:rsidRPr="00471359">
        <w:rPr>
          <w:rFonts w:ascii="Times New Roman" w:hAnsi="Times New Roman"/>
          <w:color w:val="FF0000"/>
          <w:sz w:val="24"/>
          <w:szCs w:val="24"/>
        </w:rPr>
        <w:t>]</w:t>
      </w:r>
      <w:r w:rsidRPr="00471359">
        <w:rPr>
          <w:rFonts w:ascii="Times New Roman" w:hAnsi="Times New Roman"/>
          <w:color w:val="FF0000"/>
          <w:sz w:val="24"/>
          <w:szCs w:val="24"/>
        </w:rPr>
        <w:t>:</w:t>
      </w:r>
    </w:p>
    <w:p w14:paraId="112BEDC6" w14:textId="5CFF0ACE" w:rsidR="00D262E7" w:rsidRPr="00471359" w:rsidRDefault="00836153" w:rsidP="00836153">
      <w:pPr>
        <w:pStyle w:val="ListParagraph"/>
        <w:numPr>
          <w:ilvl w:val="0"/>
          <w:numId w:val="12"/>
        </w:numPr>
        <w:tabs>
          <w:tab w:val="clear" w:pos="1080"/>
        </w:tabs>
        <w:spacing w:after="0"/>
        <w:ind w:left="709" w:hanging="357"/>
        <w:contextualSpacing w:val="0"/>
        <w:jc w:val="both"/>
        <w:rPr>
          <w:rFonts w:ascii="Times New Roman" w:hAnsi="Times New Roman"/>
          <w:bCs/>
          <w:color w:val="FF0000"/>
          <w:sz w:val="24"/>
          <w:szCs w:val="24"/>
          <w:lang w:val="en-GB"/>
        </w:rPr>
      </w:pPr>
      <w:r w:rsidRPr="00471359">
        <w:rPr>
          <w:rFonts w:ascii="Times New Roman" w:hAnsi="Times New Roman"/>
          <w:bCs/>
          <w:color w:val="FF0000"/>
          <w:sz w:val="24"/>
          <w:szCs w:val="24"/>
          <w:lang w:val="en-GB"/>
        </w:rPr>
        <w:t>C</w:t>
      </w:r>
      <w:r w:rsidR="00D262E7" w:rsidRPr="00471359">
        <w:rPr>
          <w:rFonts w:ascii="Times New Roman" w:hAnsi="Times New Roman"/>
          <w:bCs/>
          <w:color w:val="FF0000"/>
          <w:sz w:val="24"/>
          <w:szCs w:val="24"/>
          <w:lang w:val="en-GB"/>
        </w:rPr>
        <w:t>haracterization of the plant fatigue licensing basis (transient descriptions, considering severity, and number of occurrences);</w:t>
      </w:r>
    </w:p>
    <w:p w14:paraId="5D4D8405" w14:textId="291F7D09" w:rsidR="00D262E7" w:rsidRPr="00471359" w:rsidRDefault="00836153" w:rsidP="00836153">
      <w:pPr>
        <w:pStyle w:val="ListParagraph"/>
        <w:numPr>
          <w:ilvl w:val="0"/>
          <w:numId w:val="12"/>
        </w:numPr>
        <w:tabs>
          <w:tab w:val="clear" w:pos="1080"/>
        </w:tabs>
        <w:spacing w:after="0"/>
        <w:ind w:left="709" w:hanging="357"/>
        <w:contextualSpacing w:val="0"/>
        <w:jc w:val="both"/>
        <w:rPr>
          <w:rFonts w:ascii="Times New Roman" w:hAnsi="Times New Roman"/>
          <w:bCs/>
          <w:color w:val="FF0000"/>
          <w:sz w:val="24"/>
          <w:szCs w:val="24"/>
          <w:lang w:val="en-GB"/>
        </w:rPr>
      </w:pPr>
      <w:r w:rsidRPr="00471359">
        <w:rPr>
          <w:rFonts w:ascii="Times New Roman" w:hAnsi="Times New Roman"/>
          <w:bCs/>
          <w:color w:val="FF0000"/>
          <w:sz w:val="24"/>
          <w:szCs w:val="24"/>
          <w:lang w:val="en-GB"/>
        </w:rPr>
        <w:t>D</w:t>
      </w:r>
      <w:r w:rsidR="00D262E7" w:rsidRPr="00471359">
        <w:rPr>
          <w:rFonts w:ascii="Times New Roman" w:hAnsi="Times New Roman"/>
          <w:bCs/>
          <w:color w:val="FF0000"/>
          <w:sz w:val="24"/>
          <w:szCs w:val="24"/>
          <w:lang w:val="en-GB"/>
        </w:rPr>
        <w:t>ata collection (temperature, pressure, flow rate, etc), at selected locations, to characterize actual operational transients in severity and number of occurrences</w:t>
      </w:r>
      <w:r w:rsidR="005D0404" w:rsidRPr="00471359">
        <w:rPr>
          <w:rFonts w:ascii="Times New Roman" w:hAnsi="Times New Roman"/>
          <w:bCs/>
          <w:color w:val="FF0000"/>
          <w:sz w:val="24"/>
          <w:szCs w:val="24"/>
          <w:lang w:val="en-GB"/>
        </w:rPr>
        <w:t>. In order to ensure adequate performance of the sensors and transmitt</w:t>
      </w:r>
      <w:r w:rsidR="00FC66C9" w:rsidRPr="00471359">
        <w:rPr>
          <w:rFonts w:ascii="Times New Roman" w:hAnsi="Times New Roman"/>
          <w:bCs/>
          <w:color w:val="FF0000"/>
          <w:sz w:val="24"/>
          <w:szCs w:val="24"/>
          <w:lang w:val="en-GB"/>
        </w:rPr>
        <w:t>e</w:t>
      </w:r>
      <w:r w:rsidR="005D0404" w:rsidRPr="00471359">
        <w:rPr>
          <w:rFonts w:ascii="Times New Roman" w:hAnsi="Times New Roman"/>
          <w:bCs/>
          <w:color w:val="FF0000"/>
          <w:sz w:val="24"/>
          <w:szCs w:val="24"/>
          <w:lang w:val="en-GB"/>
        </w:rPr>
        <w:t>rs used for data collection, AMP 217 may be considered</w:t>
      </w:r>
      <w:r w:rsidR="00F45AB1" w:rsidRPr="00471359">
        <w:rPr>
          <w:rFonts w:ascii="Times New Roman" w:hAnsi="Times New Roman"/>
          <w:bCs/>
          <w:color w:val="FF0000"/>
          <w:sz w:val="24"/>
          <w:szCs w:val="24"/>
          <w:lang w:val="en-GB"/>
        </w:rPr>
        <w:t>;</w:t>
      </w:r>
    </w:p>
    <w:p w14:paraId="01CE8B69" w14:textId="023D3E1C" w:rsidR="00D262E7" w:rsidRPr="00471359" w:rsidRDefault="00836153" w:rsidP="00836153">
      <w:pPr>
        <w:pStyle w:val="ListParagraph"/>
        <w:numPr>
          <w:ilvl w:val="0"/>
          <w:numId w:val="12"/>
        </w:numPr>
        <w:tabs>
          <w:tab w:val="clear" w:pos="1080"/>
        </w:tabs>
        <w:spacing w:after="0"/>
        <w:ind w:left="709" w:hanging="357"/>
        <w:contextualSpacing w:val="0"/>
        <w:jc w:val="both"/>
        <w:rPr>
          <w:rFonts w:ascii="Times New Roman" w:hAnsi="Times New Roman"/>
          <w:bCs/>
          <w:color w:val="FF0000"/>
          <w:sz w:val="24"/>
          <w:szCs w:val="24"/>
          <w:lang w:val="en-GB"/>
        </w:rPr>
      </w:pPr>
      <w:r w:rsidRPr="00471359">
        <w:rPr>
          <w:rFonts w:ascii="Times New Roman" w:hAnsi="Times New Roman"/>
          <w:bCs/>
          <w:color w:val="FF0000"/>
          <w:sz w:val="24"/>
          <w:szCs w:val="24"/>
          <w:lang w:val="en-GB"/>
        </w:rPr>
        <w:t>T</w:t>
      </w:r>
      <w:r w:rsidR="00D262E7" w:rsidRPr="00471359">
        <w:rPr>
          <w:rFonts w:ascii="Times New Roman" w:hAnsi="Times New Roman"/>
          <w:bCs/>
          <w:color w:val="FF0000"/>
          <w:sz w:val="24"/>
          <w:szCs w:val="24"/>
          <w:lang w:val="en-GB"/>
        </w:rPr>
        <w:t xml:space="preserve">o ensure that </w:t>
      </w:r>
      <w:r w:rsidR="00F45AB1" w:rsidRPr="00471359">
        <w:rPr>
          <w:rFonts w:ascii="Times New Roman" w:hAnsi="Times New Roman"/>
          <w:bCs/>
          <w:color w:val="FF0000"/>
          <w:sz w:val="24"/>
          <w:szCs w:val="24"/>
          <w:lang w:val="en-GB"/>
        </w:rPr>
        <w:t xml:space="preserve">either </w:t>
      </w:r>
      <w:r w:rsidR="00D262E7" w:rsidRPr="00471359">
        <w:rPr>
          <w:rFonts w:ascii="Times New Roman" w:hAnsi="Times New Roman"/>
          <w:bCs/>
          <w:color w:val="FF0000"/>
          <w:sz w:val="24"/>
          <w:szCs w:val="24"/>
          <w:lang w:val="en-GB"/>
        </w:rPr>
        <w:t>the total number of transient occurrences is less than the design number,</w:t>
      </w:r>
      <w:r w:rsidR="00F45AB1" w:rsidRPr="00471359">
        <w:rPr>
          <w:rFonts w:ascii="Times New Roman" w:hAnsi="Times New Roman"/>
          <w:bCs/>
          <w:color w:val="FF0000"/>
          <w:sz w:val="24"/>
          <w:szCs w:val="24"/>
          <w:lang w:val="en-GB"/>
        </w:rPr>
        <w:t xml:space="preserve"> or, when the design number of occurrences is exceeded for some transients, the CUF remains below 1;</w:t>
      </w:r>
    </w:p>
    <w:p w14:paraId="6BC6FB95" w14:textId="2ABB6CA8" w:rsidR="00D262E7" w:rsidRPr="00471359" w:rsidRDefault="00836153" w:rsidP="00836153">
      <w:pPr>
        <w:pStyle w:val="ListParagraph"/>
        <w:numPr>
          <w:ilvl w:val="0"/>
          <w:numId w:val="12"/>
        </w:numPr>
        <w:tabs>
          <w:tab w:val="clear" w:pos="1080"/>
        </w:tabs>
        <w:spacing w:after="0"/>
        <w:ind w:left="709" w:hanging="357"/>
        <w:contextualSpacing w:val="0"/>
        <w:jc w:val="both"/>
        <w:rPr>
          <w:rFonts w:ascii="Times New Roman" w:hAnsi="Times New Roman"/>
          <w:bCs/>
          <w:color w:val="FF0000"/>
          <w:sz w:val="24"/>
          <w:szCs w:val="24"/>
          <w:lang w:val="en-GB"/>
        </w:rPr>
      </w:pPr>
      <w:r w:rsidRPr="00471359">
        <w:rPr>
          <w:rFonts w:ascii="Times New Roman" w:hAnsi="Times New Roman"/>
          <w:bCs/>
          <w:color w:val="FF0000"/>
          <w:sz w:val="24"/>
          <w:szCs w:val="24"/>
          <w:lang w:val="en-GB"/>
        </w:rPr>
        <w:t>T</w:t>
      </w:r>
      <w:r w:rsidR="00D262E7" w:rsidRPr="00471359">
        <w:rPr>
          <w:rFonts w:ascii="Times New Roman" w:hAnsi="Times New Roman"/>
          <w:bCs/>
          <w:color w:val="FF0000"/>
          <w:sz w:val="24"/>
          <w:szCs w:val="24"/>
          <w:lang w:val="en-GB"/>
        </w:rPr>
        <w:t>o ensure that the actual transient loads are bounded by those for the licensing basis transients;</w:t>
      </w:r>
    </w:p>
    <w:p w14:paraId="4BAE6510" w14:textId="1A5644BE" w:rsidR="00D262E7" w:rsidRPr="00471359" w:rsidRDefault="00836153" w:rsidP="00836153">
      <w:pPr>
        <w:pStyle w:val="ListParagraph"/>
        <w:numPr>
          <w:ilvl w:val="0"/>
          <w:numId w:val="12"/>
        </w:numPr>
        <w:tabs>
          <w:tab w:val="clear" w:pos="1080"/>
        </w:tabs>
        <w:spacing w:after="0"/>
        <w:ind w:left="709" w:hanging="357"/>
        <w:contextualSpacing w:val="0"/>
        <w:jc w:val="both"/>
        <w:rPr>
          <w:rFonts w:ascii="Times New Roman" w:hAnsi="Times New Roman"/>
          <w:bCs/>
          <w:color w:val="FF0000"/>
          <w:sz w:val="24"/>
          <w:szCs w:val="24"/>
          <w:lang w:val="en-GB"/>
        </w:rPr>
      </w:pPr>
      <w:r w:rsidRPr="00471359">
        <w:rPr>
          <w:rFonts w:ascii="Times New Roman" w:hAnsi="Times New Roman"/>
          <w:bCs/>
          <w:color w:val="FF0000"/>
          <w:sz w:val="24"/>
          <w:szCs w:val="24"/>
          <w:lang w:val="en-GB"/>
        </w:rPr>
        <w:t>R</w:t>
      </w:r>
      <w:r w:rsidR="00D262E7" w:rsidRPr="00471359">
        <w:rPr>
          <w:rFonts w:ascii="Times New Roman" w:hAnsi="Times New Roman"/>
          <w:bCs/>
          <w:color w:val="FF0000"/>
          <w:sz w:val="24"/>
          <w:szCs w:val="24"/>
          <w:lang w:val="en-GB"/>
        </w:rPr>
        <w:t>econciliation and corrective actions for cases in which the licensing basis assumptions are exceeded by the actual operational transients.</w:t>
      </w:r>
    </w:p>
    <w:p w14:paraId="7C67F0CC"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Monitoring new unanticipated cyclic transients demands a case by case study to define the parameters to be monitored, the viable sensor types, the locations for the installation of sensors, the monitoring frequency, the possibility of metal fatigue, and the hardware and software to be used for data collection and fatigue assessments</w:t>
      </w:r>
      <w:r w:rsidR="002043A3">
        <w:rPr>
          <w:rFonts w:ascii="Times New Roman" w:hAnsi="Times New Roman"/>
          <w:sz w:val="24"/>
          <w:szCs w:val="24"/>
        </w:rPr>
        <w:t xml:space="preserve"> [</w:t>
      </w:r>
      <w:r w:rsidR="001D6367">
        <w:rPr>
          <w:rFonts w:ascii="Times New Roman" w:hAnsi="Times New Roman"/>
          <w:sz w:val="24"/>
          <w:szCs w:val="24"/>
        </w:rPr>
        <w:t>19</w:t>
      </w:r>
      <w:r w:rsidR="002043A3">
        <w:rPr>
          <w:rFonts w:ascii="Times New Roman" w:hAnsi="Times New Roman"/>
          <w:sz w:val="24"/>
          <w:szCs w:val="24"/>
        </w:rPr>
        <w:t>]</w:t>
      </w:r>
      <w:r w:rsidRPr="00A019F7">
        <w:rPr>
          <w:rFonts w:ascii="Times New Roman" w:hAnsi="Times New Roman"/>
          <w:sz w:val="24"/>
          <w:szCs w:val="24"/>
        </w:rPr>
        <w:t>.</w:t>
      </w:r>
    </w:p>
    <w:p w14:paraId="3A8DC815" w14:textId="77777777" w:rsidR="00D262E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During plant operation, 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scope can be reduced</w:t>
      </w:r>
      <w:r w:rsidR="000E37F5" w:rsidRPr="00A019F7">
        <w:rPr>
          <w:rFonts w:ascii="Times New Roman" w:hAnsi="Times New Roman"/>
          <w:sz w:val="24"/>
          <w:szCs w:val="24"/>
        </w:rPr>
        <w:t>,</w:t>
      </w:r>
      <w:r w:rsidRPr="00A019F7">
        <w:rPr>
          <w:rFonts w:ascii="Times New Roman" w:hAnsi="Times New Roman"/>
          <w:sz w:val="24"/>
          <w:szCs w:val="24"/>
        </w:rPr>
        <w:t xml:space="preserve"> if selected transients or locations under control are shown not to be relevant</w:t>
      </w:r>
      <w:r w:rsidR="000E37F5" w:rsidRPr="00A019F7">
        <w:rPr>
          <w:rFonts w:ascii="Times New Roman" w:hAnsi="Times New Roman"/>
          <w:sz w:val="24"/>
          <w:szCs w:val="24"/>
        </w:rPr>
        <w:t xml:space="preserve"> </w:t>
      </w:r>
      <w:r w:rsidRPr="00A019F7">
        <w:rPr>
          <w:rFonts w:ascii="Times New Roman" w:hAnsi="Times New Roman"/>
          <w:sz w:val="24"/>
          <w:szCs w:val="24"/>
        </w:rPr>
        <w:t>or enlarged to investigate new locations potentially subject to low-cycle fatigue; to respond to recommendations from operating experience; or to comply with additional regulatory requirements.</w:t>
      </w:r>
    </w:p>
    <w:p w14:paraId="6C419EC6" w14:textId="77777777" w:rsidR="00CC5E99" w:rsidRPr="00A019F7" w:rsidRDefault="00CC5E99" w:rsidP="003B39D9">
      <w:pPr>
        <w:pStyle w:val="Body"/>
        <w:tabs>
          <w:tab w:val="clear" w:pos="2520"/>
        </w:tabs>
        <w:ind w:left="0" w:firstLine="0"/>
        <w:jc w:val="both"/>
        <w:rPr>
          <w:rFonts w:ascii="Times New Roman" w:hAnsi="Times New Roman"/>
          <w:sz w:val="24"/>
          <w:szCs w:val="24"/>
        </w:rPr>
      </w:pPr>
    </w:p>
    <w:p w14:paraId="2C750745" w14:textId="77777777" w:rsidR="00D262E7" w:rsidRPr="00662B1D"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Preventive actions to minimize and control ageing degradation</w:t>
      </w:r>
      <w:r w:rsidR="004D08D4">
        <w:rPr>
          <w:rFonts w:ascii="Times New Roman" w:hAnsi="Times New Roman"/>
          <w:b/>
          <w:i/>
          <w:sz w:val="24"/>
          <w:szCs w:val="24"/>
        </w:rPr>
        <w:t>:</w:t>
      </w:r>
    </w:p>
    <w:p w14:paraId="20A4A6EE" w14:textId="77777777" w:rsidR="00D262E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prevents the current fatigue analyses from becoming invalid by assuring that the fatigue usage factor resulting from actual operational transients does not exceed the design limit, including anticipated and new unanticipated transients, and environmental effects where applicable. In the case of monitoring anticipated transients, this could be caused by the numbers of actual plant transients exceeding the numbers used in the existing fatigue analyses or by the actual transient severity exceeding the bounds of the design transient definitions. However, in either of these cases, 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remains effective if the analysis is revised to account for the increased number or severity of transients such that the value of the cumulative usage factor remains below the design limit. </w:t>
      </w:r>
    </w:p>
    <w:p w14:paraId="67A4A92A" w14:textId="77777777" w:rsidR="00CC5E99" w:rsidRPr="00A019F7" w:rsidRDefault="00CC5E99" w:rsidP="003B39D9">
      <w:pPr>
        <w:pStyle w:val="Body"/>
        <w:tabs>
          <w:tab w:val="clear" w:pos="2520"/>
        </w:tabs>
        <w:ind w:left="0" w:firstLine="0"/>
        <w:jc w:val="both"/>
        <w:rPr>
          <w:rFonts w:ascii="Times New Roman" w:hAnsi="Times New Roman"/>
          <w:sz w:val="24"/>
          <w:szCs w:val="24"/>
        </w:rPr>
      </w:pPr>
    </w:p>
    <w:p w14:paraId="32FA8CA5" w14:textId="77777777" w:rsidR="00D262E7" w:rsidRPr="00662B1D"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Detection of ageing effects</w:t>
      </w:r>
      <w:r w:rsidR="004D08D4">
        <w:rPr>
          <w:rFonts w:ascii="Times New Roman" w:hAnsi="Times New Roman"/>
          <w:b/>
          <w:i/>
          <w:sz w:val="24"/>
          <w:szCs w:val="24"/>
        </w:rPr>
        <w:t>:</w:t>
      </w:r>
    </w:p>
    <w:p w14:paraId="7F807FC8" w14:textId="67B41F4E" w:rsidR="00CC5E99" w:rsidRPr="00A019F7" w:rsidRDefault="002025BE" w:rsidP="003B39D9">
      <w:pPr>
        <w:pStyle w:val="Body"/>
        <w:tabs>
          <w:tab w:val="clear" w:pos="2520"/>
        </w:tabs>
        <w:ind w:left="0" w:firstLine="0"/>
        <w:jc w:val="both"/>
        <w:rPr>
          <w:rFonts w:ascii="Times New Roman" w:hAnsi="Times New Roman"/>
          <w:sz w:val="24"/>
          <w:szCs w:val="24"/>
        </w:rPr>
      </w:pPr>
      <w:r w:rsidRPr="00471359">
        <w:rPr>
          <w:rFonts w:ascii="Times New Roman" w:hAnsi="Times New Roman"/>
          <w:color w:val="FF0000"/>
          <w:sz w:val="24"/>
          <w:szCs w:val="24"/>
        </w:rPr>
        <w:lastRenderedPageBreak/>
        <w:t>In general, f</w:t>
      </w:r>
      <w:r w:rsidR="00D262E7" w:rsidRPr="00471359">
        <w:rPr>
          <w:rFonts w:ascii="Times New Roman" w:hAnsi="Times New Roman"/>
          <w:color w:val="FF0000"/>
          <w:sz w:val="24"/>
          <w:szCs w:val="24"/>
        </w:rPr>
        <w:t xml:space="preserve">atigue monitoring is a preventive </w:t>
      </w:r>
      <w:proofErr w:type="spellStart"/>
      <w:r w:rsidR="00D262E7" w:rsidRPr="00471359">
        <w:rPr>
          <w:rFonts w:ascii="Times New Roman" w:hAnsi="Times New Roman"/>
          <w:color w:val="FF0000"/>
          <w:sz w:val="24"/>
          <w:szCs w:val="24"/>
        </w:rPr>
        <w:t>programme</w:t>
      </w:r>
      <w:proofErr w:type="spellEnd"/>
      <w:r w:rsidR="00D262E7" w:rsidRPr="00471359">
        <w:rPr>
          <w:rFonts w:ascii="Times New Roman" w:hAnsi="Times New Roman"/>
          <w:color w:val="FF0000"/>
          <w:sz w:val="24"/>
          <w:szCs w:val="24"/>
        </w:rPr>
        <w:t xml:space="preserve"> and does not directly detect ageing effects. The </w:t>
      </w:r>
      <w:proofErr w:type="spellStart"/>
      <w:r w:rsidR="00D262E7" w:rsidRPr="00471359">
        <w:rPr>
          <w:rFonts w:ascii="Times New Roman" w:hAnsi="Times New Roman"/>
          <w:color w:val="FF0000"/>
          <w:sz w:val="24"/>
          <w:szCs w:val="24"/>
        </w:rPr>
        <w:t>programme</w:t>
      </w:r>
      <w:proofErr w:type="spellEnd"/>
      <w:r w:rsidR="00D262E7" w:rsidRPr="00471359">
        <w:rPr>
          <w:rFonts w:ascii="Times New Roman" w:hAnsi="Times New Roman"/>
          <w:color w:val="FF0000"/>
          <w:sz w:val="24"/>
          <w:szCs w:val="24"/>
        </w:rPr>
        <w:t xml:space="preserve"> provides for updates of the fatigue usage calculations on an as-needed basis if an allowable cycle limit is approached, or in a case where a transient definition has been changed, new unanticipated thermal </w:t>
      </w:r>
      <w:r w:rsidR="003B38EC" w:rsidRPr="00471359">
        <w:rPr>
          <w:rFonts w:ascii="Times New Roman" w:hAnsi="Times New Roman"/>
          <w:color w:val="FF0000"/>
          <w:sz w:val="24"/>
          <w:szCs w:val="24"/>
        </w:rPr>
        <w:t xml:space="preserve">or pressure </w:t>
      </w:r>
      <w:r w:rsidR="00D262E7" w:rsidRPr="00471359">
        <w:rPr>
          <w:rFonts w:ascii="Times New Roman" w:hAnsi="Times New Roman"/>
          <w:color w:val="FF0000"/>
          <w:sz w:val="24"/>
          <w:szCs w:val="24"/>
        </w:rPr>
        <w:t xml:space="preserve">events are discovered, or the geometry of components have been modified. </w:t>
      </w:r>
      <w:r w:rsidR="00793401" w:rsidRPr="00471359">
        <w:rPr>
          <w:rFonts w:ascii="Times New Roman" w:hAnsi="Times New Roman"/>
          <w:color w:val="FF0000"/>
          <w:sz w:val="24"/>
          <w:szCs w:val="24"/>
        </w:rPr>
        <w:t>I</w:t>
      </w:r>
      <w:r w:rsidR="001D4C6F" w:rsidRPr="00471359">
        <w:rPr>
          <w:rFonts w:ascii="Times New Roman" w:hAnsi="Times New Roman"/>
          <w:color w:val="FF0000"/>
          <w:sz w:val="24"/>
          <w:szCs w:val="24"/>
        </w:rPr>
        <w:t>n some countries, corrective actions are required for locations in which the CUF exceeds a threshold value below the design code limit.</w:t>
      </w:r>
    </w:p>
    <w:p w14:paraId="7FB31CFB" w14:textId="77777777" w:rsidR="00D262E7" w:rsidRPr="00662B1D"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Monitoring and trending of ageing effects</w:t>
      </w:r>
      <w:r w:rsidR="004D08D4">
        <w:rPr>
          <w:rFonts w:ascii="Times New Roman" w:hAnsi="Times New Roman"/>
          <w:b/>
          <w:i/>
          <w:sz w:val="24"/>
          <w:szCs w:val="24"/>
        </w:rPr>
        <w:t>:</w:t>
      </w:r>
    </w:p>
    <w:p w14:paraId="156BB6CE" w14:textId="0421F1AB" w:rsidR="00D262E7" w:rsidRPr="00471359" w:rsidRDefault="00DF666F" w:rsidP="003B39D9">
      <w:pPr>
        <w:pStyle w:val="Body"/>
        <w:tabs>
          <w:tab w:val="clear" w:pos="2520"/>
        </w:tabs>
        <w:ind w:left="0" w:firstLine="0"/>
        <w:jc w:val="both"/>
        <w:rPr>
          <w:rFonts w:ascii="Times New Roman" w:hAnsi="Times New Roman"/>
          <w:color w:val="FF0000"/>
          <w:sz w:val="24"/>
          <w:szCs w:val="24"/>
        </w:rPr>
      </w:pPr>
      <w:r w:rsidRPr="00471359">
        <w:rPr>
          <w:rFonts w:ascii="Times New Roman" w:hAnsi="Times New Roman"/>
          <w:color w:val="FF0000"/>
          <w:sz w:val="24"/>
          <w:szCs w:val="24"/>
        </w:rPr>
        <w:t>CUF of typical locations subject</w:t>
      </w:r>
      <w:r w:rsidR="00B91484" w:rsidRPr="00471359">
        <w:rPr>
          <w:rFonts w:ascii="Times New Roman" w:hAnsi="Times New Roman"/>
          <w:color w:val="FF0000"/>
          <w:sz w:val="24"/>
          <w:szCs w:val="24"/>
        </w:rPr>
        <w:t>ed</w:t>
      </w:r>
      <w:r w:rsidRPr="00471359">
        <w:rPr>
          <w:rFonts w:ascii="Times New Roman" w:hAnsi="Times New Roman"/>
          <w:color w:val="FF0000"/>
          <w:sz w:val="24"/>
          <w:szCs w:val="24"/>
        </w:rPr>
        <w:t xml:space="preserve"> to low-cycle fatigue is monitored. </w:t>
      </w:r>
      <w:r w:rsidR="00D262E7" w:rsidRPr="00471359">
        <w:rPr>
          <w:rFonts w:ascii="Times New Roman" w:hAnsi="Times New Roman"/>
          <w:color w:val="FF0000"/>
          <w:sz w:val="24"/>
          <w:szCs w:val="24"/>
        </w:rPr>
        <w:t xml:space="preserve">Trending is utilized to ensure that the fatigue usage factor remains below the design limit during </w:t>
      </w:r>
      <w:r w:rsidR="00B93B28" w:rsidRPr="00471359">
        <w:rPr>
          <w:rFonts w:ascii="Times New Roman" w:hAnsi="Times New Roman"/>
          <w:color w:val="FF0000"/>
          <w:sz w:val="24"/>
          <w:szCs w:val="24"/>
        </w:rPr>
        <w:t xml:space="preserve">all plant </w:t>
      </w:r>
      <w:r w:rsidR="00D262E7" w:rsidRPr="00471359">
        <w:rPr>
          <w:rFonts w:ascii="Times New Roman" w:hAnsi="Times New Roman"/>
          <w:color w:val="FF0000"/>
          <w:sz w:val="24"/>
          <w:szCs w:val="24"/>
        </w:rPr>
        <w:t>operating period</w:t>
      </w:r>
      <w:r w:rsidR="00B93B28" w:rsidRPr="00471359">
        <w:rPr>
          <w:rFonts w:ascii="Times New Roman" w:hAnsi="Times New Roman"/>
          <w:color w:val="FF0000"/>
          <w:sz w:val="24"/>
          <w:szCs w:val="24"/>
        </w:rPr>
        <w:t>s</w:t>
      </w:r>
      <w:r w:rsidR="00D262E7" w:rsidRPr="00471359">
        <w:rPr>
          <w:rFonts w:ascii="Times New Roman" w:hAnsi="Times New Roman"/>
          <w:color w:val="FF0000"/>
          <w:sz w:val="24"/>
          <w:szCs w:val="24"/>
        </w:rPr>
        <w:t>, thus minimizing fatigue damage of metal components caused by cyclic strains in the material. Projections of future transient occurrences, in combination with action limits on CUF values, can provide assurance that corrective actions will be made prior to the CUF exceeding the design limit.</w:t>
      </w:r>
    </w:p>
    <w:p w14:paraId="6050CCC8" w14:textId="77777777" w:rsidR="00CC5E99" w:rsidRPr="00A019F7" w:rsidRDefault="00CC5E99" w:rsidP="003B39D9">
      <w:pPr>
        <w:pStyle w:val="Body"/>
        <w:tabs>
          <w:tab w:val="clear" w:pos="2520"/>
        </w:tabs>
        <w:ind w:left="0" w:firstLine="0"/>
        <w:jc w:val="both"/>
        <w:rPr>
          <w:rFonts w:ascii="Times New Roman" w:hAnsi="Times New Roman"/>
          <w:sz w:val="24"/>
          <w:szCs w:val="24"/>
        </w:rPr>
      </w:pPr>
    </w:p>
    <w:p w14:paraId="16CD0D98" w14:textId="77777777" w:rsidR="00D262E7" w:rsidRPr="00A019F7"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Mitigating ageing effects</w:t>
      </w:r>
      <w:r w:rsidR="004D08D4">
        <w:rPr>
          <w:rFonts w:ascii="Times New Roman" w:hAnsi="Times New Roman"/>
          <w:b/>
          <w:i/>
          <w:sz w:val="24"/>
          <w:szCs w:val="24"/>
        </w:rPr>
        <w:t>:</w:t>
      </w:r>
    </w:p>
    <w:p w14:paraId="538F3A23" w14:textId="77777777"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Fatigue monitoring is a preventive ageing management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and no specific mitigating actions are provided. In some cases, mitigation of fatigue can occur through improved operational procedures or equipment replacement to reduce transient occurrences or severity, for example mitigation of thermal shock in steam generator feeding through replacement of feed</w:t>
      </w:r>
      <w:r w:rsidR="00C32497">
        <w:rPr>
          <w:rFonts w:ascii="Times New Roman" w:hAnsi="Times New Roman"/>
          <w:sz w:val="24"/>
          <w:szCs w:val="24"/>
        </w:rPr>
        <w:t xml:space="preserve"> </w:t>
      </w:r>
      <w:r w:rsidRPr="00A019F7">
        <w:rPr>
          <w:rFonts w:ascii="Times New Roman" w:hAnsi="Times New Roman"/>
          <w:sz w:val="24"/>
          <w:szCs w:val="24"/>
        </w:rPr>
        <w:t>water valves by better controlled ones.</w:t>
      </w:r>
    </w:p>
    <w:p w14:paraId="38B63A37" w14:textId="77777777" w:rsidR="00D262E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Mitigation of thermal stratification can be performed by hardware modifications (for instance the replacement of feed water valves for better feeding of the steam generators) or by modification in operational regimes (for example during startup and shutdown when thermal stratification may occur).</w:t>
      </w:r>
    </w:p>
    <w:p w14:paraId="41E4203B" w14:textId="77777777" w:rsidR="00CC5E99" w:rsidRPr="00A019F7" w:rsidRDefault="00CC5E99" w:rsidP="003B39D9">
      <w:pPr>
        <w:pStyle w:val="Body"/>
        <w:tabs>
          <w:tab w:val="clear" w:pos="2520"/>
        </w:tabs>
        <w:ind w:left="0" w:firstLine="0"/>
        <w:jc w:val="both"/>
        <w:rPr>
          <w:rFonts w:ascii="Times New Roman" w:hAnsi="Times New Roman"/>
          <w:sz w:val="24"/>
          <w:szCs w:val="24"/>
        </w:rPr>
      </w:pPr>
    </w:p>
    <w:p w14:paraId="67B53F83" w14:textId="77777777" w:rsidR="00D262E7" w:rsidRPr="00662B1D"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Acceptance criteria</w:t>
      </w:r>
      <w:r w:rsidR="004D08D4">
        <w:rPr>
          <w:rFonts w:ascii="Times New Roman" w:hAnsi="Times New Roman"/>
          <w:b/>
          <w:i/>
          <w:sz w:val="24"/>
          <w:szCs w:val="24"/>
        </w:rPr>
        <w:t>:</w:t>
      </w:r>
    </w:p>
    <w:p w14:paraId="2F527AC1" w14:textId="465F4EF5" w:rsidR="00D262E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The acceptance criterion is maintaining the fatigue cumulative usage factor below the design limit through </w:t>
      </w:r>
      <w:r w:rsidR="001A4B37">
        <w:rPr>
          <w:rFonts w:ascii="Times New Roman" w:hAnsi="Times New Roman"/>
          <w:sz w:val="24"/>
          <w:szCs w:val="24"/>
        </w:rPr>
        <w:t>all plant operating periods</w:t>
      </w:r>
      <w:r w:rsidRPr="00A019F7">
        <w:rPr>
          <w:rFonts w:ascii="Times New Roman" w:hAnsi="Times New Roman"/>
          <w:sz w:val="24"/>
          <w:szCs w:val="24"/>
        </w:rPr>
        <w:t xml:space="preserve">, with consideration, where applicable, of the reactor coolant environmental fatigue effects mentioned in the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description and scope of </w:t>
      </w:r>
      <w:proofErr w:type="spellStart"/>
      <w:r w:rsidRPr="00A019F7">
        <w:rPr>
          <w:rFonts w:ascii="Times New Roman" w:hAnsi="Times New Roman"/>
          <w:sz w:val="24"/>
          <w:szCs w:val="24"/>
        </w:rPr>
        <w:t>program</w:t>
      </w:r>
      <w:r w:rsidR="00C32497">
        <w:rPr>
          <w:rFonts w:ascii="Times New Roman" w:hAnsi="Times New Roman"/>
          <w:sz w:val="24"/>
          <w:szCs w:val="24"/>
        </w:rPr>
        <w:t>me</w:t>
      </w:r>
      <w:proofErr w:type="spellEnd"/>
      <w:r w:rsidRPr="00A019F7">
        <w:rPr>
          <w:rFonts w:ascii="Times New Roman" w:hAnsi="Times New Roman"/>
          <w:sz w:val="24"/>
          <w:szCs w:val="24"/>
        </w:rPr>
        <w:t>. Maintaining the CUF below the design limit is achieved by ensuring that cycle counts remain below design limits, operational transient loads are bounded by design transients, and the use of action limits to initiate corrective actions prior to exceeding the design limit.</w:t>
      </w:r>
      <w:r w:rsidR="00894D3A">
        <w:rPr>
          <w:rFonts w:ascii="Times New Roman" w:hAnsi="Times New Roman"/>
          <w:sz w:val="24"/>
          <w:szCs w:val="24"/>
        </w:rPr>
        <w:t xml:space="preserve"> For situations where the CUF </w:t>
      </w:r>
      <w:r w:rsidR="009E73D9">
        <w:rPr>
          <w:rFonts w:ascii="Times New Roman" w:hAnsi="Times New Roman"/>
          <w:sz w:val="24"/>
          <w:szCs w:val="24"/>
        </w:rPr>
        <w:t xml:space="preserve">may exceed 1.0, flaw tolerance evaluations such as Appendix L of the ASME Code </w:t>
      </w:r>
      <w:r w:rsidR="00B046B3">
        <w:rPr>
          <w:rFonts w:ascii="Times New Roman" w:hAnsi="Times New Roman"/>
          <w:sz w:val="24"/>
          <w:szCs w:val="24"/>
        </w:rPr>
        <w:t>[</w:t>
      </w:r>
      <w:r w:rsidR="00374C76">
        <w:rPr>
          <w:rFonts w:ascii="Times New Roman" w:hAnsi="Times New Roman"/>
          <w:sz w:val="24"/>
          <w:szCs w:val="24"/>
        </w:rPr>
        <w:t>21</w:t>
      </w:r>
      <w:r w:rsidR="009E73D9">
        <w:rPr>
          <w:rFonts w:ascii="Times New Roman" w:hAnsi="Times New Roman"/>
          <w:sz w:val="24"/>
          <w:szCs w:val="24"/>
        </w:rPr>
        <w:t>] may be used to assess continued acceptability.</w:t>
      </w:r>
    </w:p>
    <w:p w14:paraId="0A3C02C0" w14:textId="77777777" w:rsidR="00CC5E99" w:rsidRPr="00A019F7" w:rsidRDefault="00CC5E99" w:rsidP="003B39D9">
      <w:pPr>
        <w:pStyle w:val="Body"/>
        <w:tabs>
          <w:tab w:val="clear" w:pos="2520"/>
        </w:tabs>
        <w:ind w:left="0" w:firstLine="0"/>
        <w:jc w:val="both"/>
        <w:rPr>
          <w:rFonts w:ascii="Times New Roman" w:hAnsi="Times New Roman"/>
          <w:sz w:val="24"/>
          <w:szCs w:val="24"/>
        </w:rPr>
      </w:pPr>
    </w:p>
    <w:p w14:paraId="3B4241EA" w14:textId="77777777" w:rsidR="00D262E7" w:rsidRPr="00662B1D"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Corrective actions</w:t>
      </w:r>
      <w:r w:rsidR="004D08D4">
        <w:rPr>
          <w:rFonts w:ascii="Times New Roman" w:hAnsi="Times New Roman"/>
          <w:b/>
          <w:i/>
          <w:sz w:val="24"/>
          <w:szCs w:val="24"/>
        </w:rPr>
        <w:t>:</w:t>
      </w:r>
    </w:p>
    <w:p w14:paraId="77E77064" w14:textId="5164F83A" w:rsidR="00D262E7" w:rsidRPr="00471359" w:rsidRDefault="00D262E7" w:rsidP="003B39D9">
      <w:pPr>
        <w:pStyle w:val="Body"/>
        <w:tabs>
          <w:tab w:val="clear" w:pos="2520"/>
        </w:tabs>
        <w:ind w:left="0" w:firstLine="0"/>
        <w:jc w:val="both"/>
        <w:rPr>
          <w:rFonts w:ascii="Times New Roman" w:hAnsi="Times New Roman"/>
          <w:color w:val="FF0000"/>
          <w:sz w:val="24"/>
          <w:szCs w:val="24"/>
        </w:rPr>
      </w:pPr>
      <w:r w:rsidRPr="00471359">
        <w:rPr>
          <w:rFonts w:ascii="Times New Roman" w:hAnsi="Times New Roman"/>
          <w:color w:val="FF0000"/>
          <w:sz w:val="24"/>
          <w:szCs w:val="24"/>
        </w:rPr>
        <w:t xml:space="preserve">The </w:t>
      </w:r>
      <w:proofErr w:type="spellStart"/>
      <w:r w:rsidRPr="00471359">
        <w:rPr>
          <w:rFonts w:ascii="Times New Roman" w:hAnsi="Times New Roman"/>
          <w:color w:val="FF0000"/>
          <w:sz w:val="24"/>
          <w:szCs w:val="24"/>
        </w:rPr>
        <w:t>programme</w:t>
      </w:r>
      <w:proofErr w:type="spellEnd"/>
      <w:r w:rsidRPr="00471359">
        <w:rPr>
          <w:rFonts w:ascii="Times New Roman" w:hAnsi="Times New Roman"/>
          <w:color w:val="FF0000"/>
          <w:sz w:val="24"/>
          <w:szCs w:val="24"/>
        </w:rPr>
        <w:t xml:space="preserve"> provides for corrective actions to prevent the usage factor from exceeding the design code limit during </w:t>
      </w:r>
      <w:r w:rsidR="007565BE" w:rsidRPr="00471359">
        <w:rPr>
          <w:rFonts w:ascii="Times New Roman" w:hAnsi="Times New Roman"/>
          <w:color w:val="FF0000"/>
          <w:sz w:val="24"/>
          <w:szCs w:val="24"/>
        </w:rPr>
        <w:t>plant operating</w:t>
      </w:r>
      <w:r w:rsidRPr="00471359">
        <w:rPr>
          <w:rFonts w:ascii="Times New Roman" w:hAnsi="Times New Roman"/>
          <w:color w:val="FF0000"/>
          <w:sz w:val="24"/>
          <w:szCs w:val="24"/>
        </w:rPr>
        <w:t xml:space="preserve"> periods. Acceptable corrective actions may include repair or replacement of components, design modifications, revision of operating procedures</w:t>
      </w:r>
      <w:r w:rsidR="003B51AF" w:rsidRPr="00471359">
        <w:rPr>
          <w:rFonts w:ascii="Times New Roman" w:hAnsi="Times New Roman"/>
          <w:color w:val="FF0000"/>
          <w:sz w:val="24"/>
          <w:szCs w:val="24"/>
        </w:rPr>
        <w:t xml:space="preserve">, performance of </w:t>
      </w:r>
      <w:r w:rsidR="001D4C6F" w:rsidRPr="00471359">
        <w:rPr>
          <w:rFonts w:ascii="Times New Roman" w:hAnsi="Times New Roman"/>
          <w:color w:val="FF0000"/>
          <w:sz w:val="24"/>
          <w:szCs w:val="24"/>
        </w:rPr>
        <w:t>non-destructive examinations</w:t>
      </w:r>
      <w:r w:rsidR="003B51AF" w:rsidRPr="00471359">
        <w:rPr>
          <w:rFonts w:ascii="Times New Roman" w:hAnsi="Times New Roman"/>
          <w:color w:val="FF0000"/>
          <w:sz w:val="24"/>
          <w:szCs w:val="24"/>
        </w:rPr>
        <w:t xml:space="preserve"> supported by crack growth analysis</w:t>
      </w:r>
      <w:r w:rsidRPr="00471359">
        <w:rPr>
          <w:rFonts w:ascii="Times New Roman" w:hAnsi="Times New Roman"/>
          <w:color w:val="FF0000"/>
          <w:sz w:val="24"/>
          <w:szCs w:val="24"/>
        </w:rPr>
        <w:t xml:space="preserve">, and more rigorous analysis to demonstrate that the design code limit will not be exceeded during the </w:t>
      </w:r>
      <w:r w:rsidR="00D63522" w:rsidRPr="00471359">
        <w:rPr>
          <w:rFonts w:ascii="Times New Roman" w:hAnsi="Times New Roman"/>
          <w:color w:val="FF0000"/>
          <w:sz w:val="24"/>
          <w:szCs w:val="24"/>
        </w:rPr>
        <w:t>plant operating</w:t>
      </w:r>
      <w:r w:rsidRPr="00471359">
        <w:rPr>
          <w:rFonts w:ascii="Times New Roman" w:hAnsi="Times New Roman"/>
          <w:color w:val="FF0000"/>
          <w:sz w:val="24"/>
          <w:szCs w:val="24"/>
        </w:rPr>
        <w:t xml:space="preserve"> periods. </w:t>
      </w:r>
      <w:r w:rsidR="001D4C6F" w:rsidRPr="00471359">
        <w:rPr>
          <w:rFonts w:ascii="Times New Roman" w:hAnsi="Times New Roman"/>
          <w:color w:val="FF0000"/>
          <w:sz w:val="24"/>
          <w:szCs w:val="24"/>
        </w:rPr>
        <w:t xml:space="preserve">However, some guidelines, such as [20] for example, require non-destructive testing to confirm absence of cracking due to fatigue, for locations that have a CUF exceeding 0.8, i.e. prior to reaching the design code limit. </w:t>
      </w:r>
      <w:r w:rsidRPr="00471359">
        <w:rPr>
          <w:rFonts w:ascii="Times New Roman" w:hAnsi="Times New Roman"/>
          <w:color w:val="FF0000"/>
          <w:sz w:val="24"/>
          <w:szCs w:val="24"/>
        </w:rPr>
        <w:t xml:space="preserve">Scope expansion includes consideration of </w:t>
      </w:r>
      <w:r w:rsidRPr="00471359">
        <w:rPr>
          <w:rFonts w:ascii="Times New Roman" w:hAnsi="Times New Roman"/>
          <w:color w:val="FF0000"/>
          <w:sz w:val="24"/>
          <w:szCs w:val="24"/>
        </w:rPr>
        <w:lastRenderedPageBreak/>
        <w:t>additional transients or other locations, for example, with highest expected cumulative usage factors when considering environmental effects.</w:t>
      </w:r>
    </w:p>
    <w:p w14:paraId="04CFA9FD" w14:textId="77777777" w:rsidR="00CC5E99" w:rsidRPr="00A019F7" w:rsidRDefault="00CC5E99" w:rsidP="003B39D9">
      <w:pPr>
        <w:pStyle w:val="Body"/>
        <w:tabs>
          <w:tab w:val="clear" w:pos="2520"/>
        </w:tabs>
        <w:ind w:left="0" w:firstLine="0"/>
        <w:jc w:val="both"/>
        <w:rPr>
          <w:rFonts w:ascii="Times New Roman" w:hAnsi="Times New Roman"/>
          <w:sz w:val="24"/>
          <w:szCs w:val="24"/>
        </w:rPr>
      </w:pPr>
    </w:p>
    <w:p w14:paraId="2DB8F38D" w14:textId="77777777" w:rsidR="00D262E7" w:rsidRPr="00662B1D"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Operating experience feedback and feedback of research and development results</w:t>
      </w:r>
      <w:r w:rsidR="004D08D4">
        <w:rPr>
          <w:rFonts w:ascii="Times New Roman" w:hAnsi="Times New Roman"/>
          <w:b/>
          <w:i/>
          <w:sz w:val="24"/>
          <w:szCs w:val="24"/>
        </w:rPr>
        <w:t>:</w:t>
      </w:r>
    </w:p>
    <w:p w14:paraId="2B643B3F" w14:textId="77777777" w:rsidR="00BF1428" w:rsidRDefault="00BF1428" w:rsidP="003B39D9">
      <w:pPr>
        <w:pStyle w:val="Body"/>
        <w:tabs>
          <w:tab w:val="clear" w:pos="2520"/>
        </w:tabs>
        <w:ind w:left="0" w:firstLine="0"/>
        <w:jc w:val="both"/>
        <w:rPr>
          <w:rFonts w:ascii="Times New Roman" w:hAnsi="Times New Roman"/>
          <w:sz w:val="24"/>
          <w:szCs w:val="24"/>
        </w:rPr>
      </w:pPr>
      <w:r w:rsidRPr="00A70D35">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3F419D41" w14:textId="3343372D" w:rsidR="00D262E7" w:rsidRPr="00A019F7" w:rsidRDefault="008E76A9"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 xml:space="preserve">Fatigue monitoring is a preventive </w:t>
      </w:r>
      <w:proofErr w:type="spellStart"/>
      <w:r w:rsidRPr="00A019F7">
        <w:rPr>
          <w:rFonts w:ascii="Times New Roman" w:hAnsi="Times New Roman"/>
          <w:sz w:val="24"/>
          <w:szCs w:val="24"/>
        </w:rPr>
        <w:t>programme</w:t>
      </w:r>
      <w:proofErr w:type="spellEnd"/>
      <w:r w:rsidRPr="00A019F7">
        <w:rPr>
          <w:rFonts w:ascii="Times New Roman" w:hAnsi="Times New Roman"/>
          <w:sz w:val="24"/>
          <w:szCs w:val="24"/>
        </w:rPr>
        <w:t xml:space="preserve"> and does not directly detect ageing effects</w:t>
      </w:r>
      <w:r w:rsidR="00F4489D">
        <w:rPr>
          <w:rFonts w:ascii="Times New Roman" w:hAnsi="Times New Roman"/>
          <w:sz w:val="24"/>
          <w:szCs w:val="24"/>
        </w:rPr>
        <w:t xml:space="preserve">. </w:t>
      </w:r>
      <w:r w:rsidR="00D262E7" w:rsidRPr="00A019F7">
        <w:rPr>
          <w:rFonts w:ascii="Times New Roman" w:hAnsi="Times New Roman"/>
          <w:sz w:val="24"/>
          <w:szCs w:val="24"/>
        </w:rPr>
        <w:t xml:space="preserve">The </w:t>
      </w:r>
      <w:proofErr w:type="spellStart"/>
      <w:r w:rsidR="00D262E7" w:rsidRPr="00A019F7">
        <w:rPr>
          <w:rFonts w:ascii="Times New Roman" w:hAnsi="Times New Roman"/>
          <w:sz w:val="24"/>
          <w:szCs w:val="24"/>
        </w:rPr>
        <w:t>programme</w:t>
      </w:r>
      <w:proofErr w:type="spellEnd"/>
      <w:r w:rsidR="00D262E7" w:rsidRPr="00A019F7">
        <w:rPr>
          <w:rFonts w:ascii="Times New Roman" w:hAnsi="Times New Roman"/>
          <w:sz w:val="24"/>
          <w:szCs w:val="24"/>
        </w:rPr>
        <w:t xml:space="preserve"> reviews industry experience relevant to fatigue. Applicable operating experience relevant to low cycle fatigue is to be considered in selecting transients and locations for monitoring.</w:t>
      </w:r>
      <w:r w:rsidR="00F4489D" w:rsidRPr="00F4489D">
        <w:rPr>
          <w:rFonts w:ascii="Times New Roman" w:hAnsi="Times New Roman"/>
          <w:sz w:val="24"/>
          <w:szCs w:val="24"/>
        </w:rPr>
        <w:t xml:space="preserve"> </w:t>
      </w:r>
      <w:r w:rsidR="00F4489D">
        <w:rPr>
          <w:rFonts w:ascii="Times New Roman" w:hAnsi="Times New Roman"/>
          <w:sz w:val="24"/>
          <w:szCs w:val="24"/>
        </w:rPr>
        <w:t xml:space="preserve">Unanticipated loadings such as </w:t>
      </w:r>
      <w:r w:rsidR="00D63522">
        <w:rPr>
          <w:rFonts w:ascii="Times New Roman" w:hAnsi="Times New Roman"/>
          <w:sz w:val="24"/>
          <w:szCs w:val="24"/>
        </w:rPr>
        <w:t xml:space="preserve">thermal </w:t>
      </w:r>
      <w:r w:rsidR="00F4489D">
        <w:rPr>
          <w:rFonts w:ascii="Times New Roman" w:hAnsi="Times New Roman"/>
          <w:sz w:val="24"/>
          <w:szCs w:val="24"/>
        </w:rPr>
        <w:t xml:space="preserve">stratification have been identified and have been used to update the </w:t>
      </w:r>
      <w:proofErr w:type="spellStart"/>
      <w:r w:rsidR="00F4489D">
        <w:rPr>
          <w:rFonts w:ascii="Times New Roman" w:hAnsi="Times New Roman"/>
          <w:sz w:val="24"/>
          <w:szCs w:val="24"/>
        </w:rPr>
        <w:t>program</w:t>
      </w:r>
      <w:r w:rsidR="00C32497">
        <w:rPr>
          <w:rFonts w:ascii="Times New Roman" w:hAnsi="Times New Roman"/>
          <w:sz w:val="24"/>
          <w:szCs w:val="24"/>
        </w:rPr>
        <w:t>me</w:t>
      </w:r>
      <w:r w:rsidR="00F4489D">
        <w:rPr>
          <w:rFonts w:ascii="Times New Roman" w:hAnsi="Times New Roman"/>
          <w:sz w:val="24"/>
          <w:szCs w:val="24"/>
        </w:rPr>
        <w:t>s</w:t>
      </w:r>
      <w:proofErr w:type="spellEnd"/>
      <w:r w:rsidR="00796AA8">
        <w:rPr>
          <w:rFonts w:ascii="Times New Roman" w:hAnsi="Times New Roman"/>
          <w:sz w:val="24"/>
          <w:szCs w:val="24"/>
        </w:rPr>
        <w:t xml:space="preserve"> [</w:t>
      </w:r>
      <w:r w:rsidR="00F2210A">
        <w:rPr>
          <w:rFonts w:ascii="Times New Roman" w:hAnsi="Times New Roman"/>
          <w:sz w:val="24"/>
          <w:szCs w:val="24"/>
        </w:rPr>
        <w:t>19</w:t>
      </w:r>
      <w:r w:rsidR="00B046B3">
        <w:rPr>
          <w:rFonts w:ascii="Times New Roman" w:hAnsi="Times New Roman"/>
          <w:sz w:val="24"/>
          <w:szCs w:val="24"/>
        </w:rPr>
        <w:t>,</w:t>
      </w:r>
      <w:r w:rsidR="000609DE">
        <w:rPr>
          <w:rFonts w:ascii="Times New Roman" w:hAnsi="Times New Roman"/>
          <w:sz w:val="24"/>
          <w:szCs w:val="24"/>
        </w:rPr>
        <w:t xml:space="preserve"> </w:t>
      </w:r>
      <w:r w:rsidR="00374C76">
        <w:rPr>
          <w:rFonts w:ascii="Times New Roman" w:hAnsi="Times New Roman"/>
          <w:sz w:val="24"/>
          <w:szCs w:val="24"/>
        </w:rPr>
        <w:t>22</w:t>
      </w:r>
      <w:r w:rsidR="004C3446">
        <w:rPr>
          <w:rFonts w:ascii="Times New Roman" w:hAnsi="Times New Roman"/>
          <w:sz w:val="24"/>
          <w:szCs w:val="24"/>
        </w:rPr>
        <w:t>]</w:t>
      </w:r>
      <w:r w:rsidR="00F4489D">
        <w:rPr>
          <w:rFonts w:ascii="Times New Roman" w:hAnsi="Times New Roman"/>
          <w:sz w:val="24"/>
          <w:szCs w:val="24"/>
        </w:rPr>
        <w:t>.</w:t>
      </w:r>
      <w:r w:rsidR="00A70D35">
        <w:rPr>
          <w:rFonts w:ascii="Times New Roman" w:hAnsi="Times New Roman"/>
          <w:sz w:val="24"/>
          <w:szCs w:val="24"/>
        </w:rPr>
        <w:t xml:space="preserve"> </w:t>
      </w:r>
      <w:r w:rsidR="00C949BD">
        <w:rPr>
          <w:rFonts w:ascii="Times New Roman" w:hAnsi="Times New Roman"/>
          <w:sz w:val="24"/>
          <w:szCs w:val="24"/>
        </w:rPr>
        <w:t>Operating e</w:t>
      </w:r>
      <w:r w:rsidR="00620570">
        <w:rPr>
          <w:rFonts w:ascii="Times New Roman" w:hAnsi="Times New Roman"/>
          <w:sz w:val="24"/>
          <w:szCs w:val="24"/>
        </w:rPr>
        <w:t xml:space="preserve">xperience </w:t>
      </w:r>
      <w:r w:rsidR="00947570">
        <w:rPr>
          <w:rFonts w:ascii="Times New Roman" w:hAnsi="Times New Roman"/>
          <w:sz w:val="24"/>
          <w:szCs w:val="24"/>
        </w:rPr>
        <w:t xml:space="preserve">in different countries </w:t>
      </w:r>
      <w:r w:rsidR="00620570">
        <w:rPr>
          <w:rFonts w:ascii="Times New Roman" w:hAnsi="Times New Roman"/>
          <w:sz w:val="24"/>
          <w:szCs w:val="24"/>
        </w:rPr>
        <w:t xml:space="preserve">regarding monitoring of </w:t>
      </w:r>
      <w:r w:rsidR="00947570">
        <w:rPr>
          <w:rFonts w:ascii="Times New Roman" w:hAnsi="Times New Roman"/>
          <w:sz w:val="24"/>
          <w:szCs w:val="24"/>
        </w:rPr>
        <w:t>transients</w:t>
      </w:r>
      <w:r w:rsidR="00620570">
        <w:rPr>
          <w:rFonts w:ascii="Times New Roman" w:hAnsi="Times New Roman"/>
          <w:sz w:val="24"/>
          <w:szCs w:val="24"/>
        </w:rPr>
        <w:t xml:space="preserve"> </w:t>
      </w:r>
      <w:r w:rsidR="00947570">
        <w:rPr>
          <w:rFonts w:ascii="Times New Roman" w:hAnsi="Times New Roman"/>
          <w:sz w:val="24"/>
          <w:szCs w:val="24"/>
        </w:rPr>
        <w:t xml:space="preserve">that were initially not in the plant’s design basis </w:t>
      </w:r>
      <w:r w:rsidR="00620570">
        <w:rPr>
          <w:rFonts w:ascii="Times New Roman" w:hAnsi="Times New Roman"/>
          <w:sz w:val="24"/>
          <w:szCs w:val="24"/>
        </w:rPr>
        <w:t xml:space="preserve">may be found in </w:t>
      </w:r>
      <w:r w:rsidR="009A29A2">
        <w:rPr>
          <w:rFonts w:ascii="Times New Roman" w:hAnsi="Times New Roman"/>
          <w:sz w:val="24"/>
          <w:szCs w:val="24"/>
        </w:rPr>
        <w:t>[</w:t>
      </w:r>
      <w:r w:rsidR="00374C76">
        <w:rPr>
          <w:rFonts w:ascii="Times New Roman" w:hAnsi="Times New Roman"/>
          <w:sz w:val="24"/>
          <w:szCs w:val="24"/>
        </w:rPr>
        <w:t>23</w:t>
      </w:r>
      <w:r w:rsidR="00B046B3">
        <w:rPr>
          <w:rFonts w:ascii="Times New Roman" w:hAnsi="Times New Roman"/>
          <w:sz w:val="24"/>
          <w:szCs w:val="24"/>
        </w:rPr>
        <w:t>-</w:t>
      </w:r>
      <w:r w:rsidR="00374C76">
        <w:rPr>
          <w:rFonts w:ascii="Times New Roman" w:hAnsi="Times New Roman"/>
          <w:sz w:val="24"/>
          <w:szCs w:val="24"/>
        </w:rPr>
        <w:t>28</w:t>
      </w:r>
      <w:r w:rsidR="00620570">
        <w:rPr>
          <w:rFonts w:ascii="Times New Roman" w:hAnsi="Times New Roman"/>
          <w:sz w:val="24"/>
          <w:szCs w:val="24"/>
        </w:rPr>
        <w:t>].</w:t>
      </w:r>
    </w:p>
    <w:p w14:paraId="533A9763" w14:textId="77777777" w:rsidR="00A70D35" w:rsidRDefault="00524F63" w:rsidP="003B39D9">
      <w:pPr>
        <w:pStyle w:val="Body"/>
        <w:tabs>
          <w:tab w:val="clear" w:pos="2520"/>
        </w:tabs>
        <w:ind w:left="0" w:firstLine="0"/>
        <w:jc w:val="both"/>
        <w:rPr>
          <w:rFonts w:ascii="Times New Roman" w:hAnsi="Times New Roman"/>
          <w:sz w:val="24"/>
          <w:szCs w:val="24"/>
        </w:rPr>
      </w:pPr>
      <w:r w:rsidRPr="003E7A4B">
        <w:rPr>
          <w:rFonts w:ascii="Times New Roman" w:eastAsia="Arial" w:hAnsi="Times New Roman"/>
          <w:sz w:val="24"/>
          <w:szCs w:val="24"/>
        </w:rPr>
        <w:t>At the time when this AMP was produced, no relevant R&amp;D was identified</w:t>
      </w:r>
      <w:r w:rsidR="00A70D35">
        <w:rPr>
          <w:rFonts w:ascii="Times New Roman" w:hAnsi="Times New Roman"/>
          <w:sz w:val="24"/>
          <w:szCs w:val="24"/>
        </w:rPr>
        <w:t>.</w:t>
      </w:r>
    </w:p>
    <w:p w14:paraId="09CE8377" w14:textId="77777777" w:rsidR="00524F63" w:rsidRDefault="00524F63" w:rsidP="003B39D9">
      <w:pPr>
        <w:pStyle w:val="Body"/>
        <w:tabs>
          <w:tab w:val="clear" w:pos="2520"/>
        </w:tabs>
        <w:ind w:left="0" w:firstLine="0"/>
        <w:jc w:val="both"/>
        <w:rPr>
          <w:rFonts w:ascii="Times New Roman" w:hAnsi="Times New Roman"/>
          <w:sz w:val="24"/>
          <w:szCs w:val="24"/>
        </w:rPr>
      </w:pPr>
    </w:p>
    <w:p w14:paraId="52961F2E" w14:textId="77777777" w:rsidR="00D262E7" w:rsidRPr="00662B1D" w:rsidRDefault="00D262E7" w:rsidP="003B39D9">
      <w:pPr>
        <w:pStyle w:val="BodyNumbered"/>
        <w:numPr>
          <w:ilvl w:val="0"/>
          <w:numId w:val="7"/>
        </w:numPr>
        <w:tabs>
          <w:tab w:val="clear" w:pos="360"/>
          <w:tab w:val="num" w:pos="-2160"/>
          <w:tab w:val="left" w:pos="426"/>
        </w:tabs>
        <w:ind w:left="0" w:firstLine="0"/>
        <w:rPr>
          <w:rFonts w:ascii="Times New Roman" w:hAnsi="Times New Roman"/>
          <w:b/>
          <w:i/>
          <w:sz w:val="24"/>
          <w:szCs w:val="24"/>
        </w:rPr>
      </w:pPr>
      <w:r w:rsidRPr="00A019F7">
        <w:rPr>
          <w:rFonts w:ascii="Times New Roman" w:hAnsi="Times New Roman"/>
          <w:b/>
          <w:i/>
          <w:sz w:val="24"/>
          <w:szCs w:val="24"/>
        </w:rPr>
        <w:t>Quality management</w:t>
      </w:r>
      <w:r w:rsidR="004D08D4">
        <w:rPr>
          <w:rFonts w:ascii="Times New Roman" w:hAnsi="Times New Roman"/>
          <w:b/>
          <w:i/>
          <w:sz w:val="24"/>
          <w:szCs w:val="24"/>
        </w:rPr>
        <w:t>:</w:t>
      </w:r>
    </w:p>
    <w:p w14:paraId="64371554" w14:textId="3E8E735D" w:rsidR="00D262E7" w:rsidRPr="00A019F7" w:rsidRDefault="00D262E7" w:rsidP="003B39D9">
      <w:pPr>
        <w:pStyle w:val="Body"/>
        <w:tabs>
          <w:tab w:val="clear" w:pos="2520"/>
        </w:tabs>
        <w:ind w:left="0" w:firstLine="0"/>
        <w:jc w:val="both"/>
        <w:rPr>
          <w:rFonts w:ascii="Times New Roman" w:hAnsi="Times New Roman"/>
          <w:sz w:val="24"/>
          <w:szCs w:val="24"/>
        </w:rPr>
      </w:pPr>
      <w:r w:rsidRPr="00A019F7">
        <w:rPr>
          <w:rFonts w:ascii="Times New Roman" w:hAnsi="Times New Roman"/>
          <w:sz w:val="24"/>
          <w:szCs w:val="24"/>
        </w:rPr>
        <w:t>Administrative controls, quality assurance procedures, review and approval processes, a</w:t>
      </w:r>
      <w:r w:rsidR="005B5C52">
        <w:rPr>
          <w:rFonts w:ascii="Times New Roman" w:hAnsi="Times New Roman"/>
          <w:sz w:val="24"/>
          <w:szCs w:val="24"/>
        </w:rPr>
        <w:t>re implemented in accordance with the different national regulatory requirements (e.g., 10 CFR 50, Appendix B</w:t>
      </w:r>
      <w:r w:rsidR="00021D8B">
        <w:rPr>
          <w:rFonts w:ascii="Times New Roman" w:hAnsi="Times New Roman"/>
          <w:sz w:val="24"/>
          <w:szCs w:val="24"/>
        </w:rPr>
        <w:t xml:space="preserve"> </w:t>
      </w:r>
      <w:r w:rsidR="00E23482">
        <w:rPr>
          <w:rFonts w:ascii="Times New Roman" w:hAnsi="Times New Roman"/>
          <w:sz w:val="24"/>
          <w:szCs w:val="24"/>
        </w:rPr>
        <w:t>[</w:t>
      </w:r>
      <w:r w:rsidR="00374C76">
        <w:rPr>
          <w:rFonts w:ascii="Times New Roman" w:hAnsi="Times New Roman"/>
          <w:sz w:val="24"/>
          <w:szCs w:val="24"/>
        </w:rPr>
        <w:t>29</w:t>
      </w:r>
      <w:r w:rsidR="00E23482">
        <w:rPr>
          <w:rFonts w:ascii="Times New Roman" w:hAnsi="Times New Roman"/>
          <w:sz w:val="24"/>
          <w:szCs w:val="24"/>
        </w:rPr>
        <w:t>]).</w:t>
      </w:r>
    </w:p>
    <w:p w14:paraId="303A2DC1" w14:textId="77777777" w:rsidR="00FA5A18" w:rsidRDefault="00FA5A18" w:rsidP="003B39D9">
      <w:pPr>
        <w:pStyle w:val="Heading3"/>
        <w:spacing w:before="120"/>
        <w:rPr>
          <w:rFonts w:ascii="Times New Roman" w:hAnsi="Times New Roman"/>
          <w:sz w:val="24"/>
          <w:szCs w:val="24"/>
        </w:rPr>
      </w:pPr>
    </w:p>
    <w:p w14:paraId="42FA10B7" w14:textId="77777777" w:rsidR="00D262E7" w:rsidRPr="00A019F7" w:rsidRDefault="00D262E7" w:rsidP="003B39D9">
      <w:pPr>
        <w:pStyle w:val="Heading3"/>
        <w:spacing w:before="120"/>
        <w:rPr>
          <w:rFonts w:ascii="Times New Roman" w:hAnsi="Times New Roman"/>
          <w:sz w:val="24"/>
          <w:szCs w:val="24"/>
        </w:rPr>
      </w:pPr>
      <w:r w:rsidRPr="00A019F7">
        <w:rPr>
          <w:rFonts w:ascii="Times New Roman" w:hAnsi="Times New Roman"/>
          <w:sz w:val="24"/>
          <w:szCs w:val="24"/>
        </w:rPr>
        <w:t>References</w:t>
      </w:r>
    </w:p>
    <w:p w14:paraId="0E6020E3" w14:textId="77777777" w:rsidR="00D262E7" w:rsidRPr="00A019F7" w:rsidRDefault="00D262E7"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[1]</w:t>
      </w:r>
      <w:r w:rsidRPr="00A019F7">
        <w:rPr>
          <w:rFonts w:ascii="Times New Roman" w:hAnsi="Times New Roman" w:cs="Times New Roman"/>
          <w:sz w:val="24"/>
          <w:szCs w:val="24"/>
        </w:rPr>
        <w:tab/>
      </w:r>
      <w:r w:rsidR="00545AA3">
        <w:rPr>
          <w:rFonts w:ascii="Times New Roman" w:hAnsi="Times New Roman" w:cs="Times New Roman"/>
          <w:sz w:val="24"/>
          <w:szCs w:val="24"/>
        </w:rPr>
        <w:t xml:space="preserve">UNITED STATES NUCLEAR REGULATORY COMMISSION, </w:t>
      </w:r>
      <w:r w:rsidRPr="00A019F7">
        <w:rPr>
          <w:rFonts w:ascii="Times New Roman" w:hAnsi="Times New Roman" w:cs="Times New Roman"/>
          <w:sz w:val="24"/>
          <w:szCs w:val="24"/>
        </w:rPr>
        <w:t xml:space="preserve">Generic Aging Lessons Learned (GALL) Report, </w:t>
      </w:r>
      <w:r w:rsidR="00545AA3">
        <w:rPr>
          <w:rFonts w:ascii="Times New Roman" w:hAnsi="Times New Roman" w:cs="Times New Roman"/>
          <w:sz w:val="24"/>
          <w:szCs w:val="24"/>
        </w:rPr>
        <w:t>NUREG-1801</w:t>
      </w:r>
      <w:r w:rsidRPr="00A019F7">
        <w:rPr>
          <w:rFonts w:ascii="Times New Roman" w:hAnsi="Times New Roman" w:cs="Times New Roman"/>
          <w:sz w:val="24"/>
          <w:szCs w:val="24"/>
        </w:rPr>
        <w:t xml:space="preserve">, Revision 2, </w:t>
      </w:r>
      <w:r w:rsidR="00545AA3">
        <w:rPr>
          <w:rFonts w:ascii="Times New Roman" w:hAnsi="Times New Roman" w:cs="Times New Roman"/>
          <w:sz w:val="24"/>
          <w:szCs w:val="24"/>
        </w:rPr>
        <w:t xml:space="preserve">USNRC, </w:t>
      </w:r>
      <w:r w:rsidRPr="00A019F7">
        <w:rPr>
          <w:rFonts w:ascii="Times New Roman" w:hAnsi="Times New Roman" w:cs="Times New Roman"/>
          <w:sz w:val="24"/>
          <w:szCs w:val="24"/>
        </w:rPr>
        <w:t>December 2010</w:t>
      </w:r>
    </w:p>
    <w:p w14:paraId="18DA673B" w14:textId="77777777" w:rsidR="00B046B3" w:rsidRDefault="00765CC4"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sidR="00E664DC">
        <w:rPr>
          <w:rFonts w:ascii="Times New Roman" w:hAnsi="Times New Roman" w:cs="Times New Roman"/>
          <w:sz w:val="24"/>
          <w:szCs w:val="24"/>
        </w:rPr>
        <w:t>2</w:t>
      </w:r>
      <w:r w:rsidRPr="00A019F7">
        <w:rPr>
          <w:rFonts w:ascii="Times New Roman" w:hAnsi="Times New Roman" w:cs="Times New Roman"/>
          <w:sz w:val="24"/>
          <w:szCs w:val="24"/>
        </w:rPr>
        <w:t>]</w:t>
      </w:r>
      <w:r w:rsidRPr="00A019F7">
        <w:rPr>
          <w:rFonts w:ascii="Times New Roman" w:hAnsi="Times New Roman" w:cs="Times New Roman"/>
          <w:sz w:val="24"/>
          <w:szCs w:val="24"/>
        </w:rPr>
        <w:tab/>
      </w:r>
      <w:r w:rsidR="00B046B3">
        <w:rPr>
          <w:rFonts w:ascii="Times New Roman" w:hAnsi="Times New Roman" w:cs="Times New Roman"/>
          <w:sz w:val="24"/>
          <w:szCs w:val="24"/>
        </w:rPr>
        <w:t xml:space="preserve">UNITED STATES NUCLEAR REGULATORY COMMISSION, </w:t>
      </w:r>
      <w:r w:rsidR="00B046B3" w:rsidRPr="00A019F7">
        <w:rPr>
          <w:rFonts w:ascii="Times New Roman" w:hAnsi="Times New Roman" w:cs="Times New Roman"/>
          <w:sz w:val="24"/>
          <w:szCs w:val="24"/>
        </w:rPr>
        <w:t xml:space="preserve">Generic Aging Lessons Learned </w:t>
      </w:r>
      <w:proofErr w:type="gramStart"/>
      <w:r w:rsidR="00B046B3">
        <w:rPr>
          <w:rFonts w:ascii="Times New Roman" w:hAnsi="Times New Roman" w:cs="Times New Roman"/>
          <w:sz w:val="24"/>
          <w:szCs w:val="24"/>
        </w:rPr>
        <w:t>For</w:t>
      </w:r>
      <w:proofErr w:type="gramEnd"/>
      <w:r w:rsidR="00B046B3">
        <w:rPr>
          <w:rFonts w:ascii="Times New Roman" w:hAnsi="Times New Roman" w:cs="Times New Roman"/>
          <w:sz w:val="24"/>
          <w:szCs w:val="24"/>
        </w:rPr>
        <w:t xml:space="preserve"> Subsequent License Renewal </w:t>
      </w:r>
      <w:r w:rsidR="00B046B3" w:rsidRPr="00A019F7">
        <w:rPr>
          <w:rFonts w:ascii="Times New Roman" w:hAnsi="Times New Roman" w:cs="Times New Roman"/>
          <w:sz w:val="24"/>
          <w:szCs w:val="24"/>
        </w:rPr>
        <w:t>(GALL</w:t>
      </w:r>
      <w:r w:rsidR="00B046B3">
        <w:rPr>
          <w:rFonts w:ascii="Times New Roman" w:hAnsi="Times New Roman" w:cs="Times New Roman"/>
          <w:sz w:val="24"/>
          <w:szCs w:val="24"/>
        </w:rPr>
        <w:t>-SLR</w:t>
      </w:r>
      <w:r w:rsidR="00B046B3" w:rsidRPr="00A019F7">
        <w:rPr>
          <w:rFonts w:ascii="Times New Roman" w:hAnsi="Times New Roman" w:cs="Times New Roman"/>
          <w:sz w:val="24"/>
          <w:szCs w:val="24"/>
        </w:rPr>
        <w:t xml:space="preserve">) Report, </w:t>
      </w:r>
      <w:r w:rsidR="00B046B3">
        <w:rPr>
          <w:rFonts w:ascii="Times New Roman" w:hAnsi="Times New Roman" w:cs="Times New Roman"/>
          <w:sz w:val="24"/>
          <w:szCs w:val="24"/>
        </w:rPr>
        <w:t>NUREG-2191</w:t>
      </w:r>
      <w:r w:rsidR="00433B0A">
        <w:rPr>
          <w:rFonts w:ascii="Times New Roman" w:hAnsi="Times New Roman" w:cs="Times New Roman"/>
          <w:sz w:val="24"/>
          <w:szCs w:val="24"/>
        </w:rPr>
        <w:t>,</w:t>
      </w:r>
      <w:r w:rsidR="00B046B3" w:rsidRPr="00A019F7">
        <w:rPr>
          <w:rFonts w:ascii="Times New Roman" w:hAnsi="Times New Roman" w:cs="Times New Roman"/>
          <w:sz w:val="24"/>
          <w:szCs w:val="24"/>
        </w:rPr>
        <w:t xml:space="preserve"> </w:t>
      </w:r>
      <w:r w:rsidR="00B046B3">
        <w:rPr>
          <w:rFonts w:ascii="Times New Roman" w:hAnsi="Times New Roman" w:cs="Times New Roman"/>
          <w:sz w:val="24"/>
          <w:szCs w:val="24"/>
        </w:rPr>
        <w:t xml:space="preserve">USNRC, </w:t>
      </w:r>
      <w:r w:rsidR="007E20EA">
        <w:rPr>
          <w:rFonts w:ascii="Times New Roman" w:hAnsi="Times New Roman" w:cs="Times New Roman"/>
          <w:sz w:val="24"/>
          <w:szCs w:val="24"/>
        </w:rPr>
        <w:t>July</w:t>
      </w:r>
      <w:r w:rsidR="00B046B3">
        <w:rPr>
          <w:rFonts w:ascii="Times New Roman" w:hAnsi="Times New Roman" w:cs="Times New Roman"/>
          <w:sz w:val="24"/>
          <w:szCs w:val="24"/>
        </w:rPr>
        <w:t xml:space="preserve"> 2017</w:t>
      </w:r>
    </w:p>
    <w:p w14:paraId="0DB6EFD8" w14:textId="77777777" w:rsidR="00765CC4" w:rsidRPr="00A019F7" w:rsidRDefault="00433B0A"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[3]</w:t>
      </w:r>
      <w:r w:rsidR="00BD0C5A">
        <w:rPr>
          <w:rFonts w:ascii="Times New Roman" w:hAnsi="Times New Roman" w:cs="Times New Roman"/>
          <w:sz w:val="24"/>
          <w:szCs w:val="24"/>
        </w:rPr>
        <w:tab/>
      </w:r>
      <w:r w:rsidR="00765CC4" w:rsidRPr="00A019F7">
        <w:rPr>
          <w:rFonts w:ascii="Times New Roman" w:hAnsi="Times New Roman" w:cs="Times New Roman"/>
          <w:sz w:val="24"/>
          <w:szCs w:val="24"/>
        </w:rPr>
        <w:t>INTERNATIONAL ATOMIC ENERGY AGENCY, Assessment and Management of Ageing of Major Nuclear Power Plant Components Important to Safety: PWR Pressure Vessels, IAEA-TECDOC-1556, IAEA, Vienna</w:t>
      </w:r>
      <w:r w:rsidR="00FE5466">
        <w:rPr>
          <w:rFonts w:ascii="Times New Roman" w:hAnsi="Times New Roman" w:cs="Times New Roman"/>
          <w:sz w:val="24"/>
          <w:szCs w:val="24"/>
        </w:rPr>
        <w:t>,</w:t>
      </w:r>
      <w:r w:rsidR="00765CC4" w:rsidRPr="00A019F7">
        <w:rPr>
          <w:rFonts w:ascii="Times New Roman" w:hAnsi="Times New Roman" w:cs="Times New Roman"/>
          <w:sz w:val="24"/>
          <w:szCs w:val="24"/>
        </w:rPr>
        <w:t xml:space="preserve"> June 2007</w:t>
      </w:r>
    </w:p>
    <w:p w14:paraId="3E1BE7CB" w14:textId="77777777" w:rsidR="00765CC4" w:rsidRPr="00A019F7" w:rsidRDefault="00765CC4"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sidR="00B046B3">
        <w:rPr>
          <w:rFonts w:ascii="Times New Roman" w:hAnsi="Times New Roman" w:cs="Times New Roman"/>
          <w:sz w:val="24"/>
          <w:szCs w:val="24"/>
        </w:rPr>
        <w:t>4</w:t>
      </w:r>
      <w:r w:rsidRPr="00A019F7">
        <w:rPr>
          <w:rFonts w:ascii="Times New Roman" w:hAnsi="Times New Roman" w:cs="Times New Roman"/>
          <w:sz w:val="24"/>
          <w:szCs w:val="24"/>
        </w:rPr>
        <w:t>]</w:t>
      </w:r>
      <w:r w:rsidRPr="00A019F7">
        <w:rPr>
          <w:rFonts w:ascii="Times New Roman" w:hAnsi="Times New Roman" w:cs="Times New Roman"/>
          <w:sz w:val="24"/>
          <w:szCs w:val="24"/>
        </w:rPr>
        <w:tab/>
        <w:t>INTERNATIONAL ATOMIC ENERGY AGENCY, Assessment and management of ageing of major nuclear power plant components important to safety: BWR pressure vessel, IAEA-TECDOC-1470, IAEA, Vienna</w:t>
      </w:r>
      <w:r w:rsidR="00545AA3">
        <w:rPr>
          <w:rFonts w:ascii="Times New Roman" w:hAnsi="Times New Roman" w:cs="Times New Roman"/>
          <w:sz w:val="24"/>
          <w:szCs w:val="24"/>
        </w:rPr>
        <w:t>,</w:t>
      </w:r>
      <w:r w:rsidRPr="00A019F7">
        <w:rPr>
          <w:rFonts w:ascii="Times New Roman" w:hAnsi="Times New Roman" w:cs="Times New Roman"/>
          <w:sz w:val="24"/>
          <w:szCs w:val="24"/>
        </w:rPr>
        <w:t xml:space="preserve"> October 2005</w:t>
      </w:r>
    </w:p>
    <w:p w14:paraId="4F9824AC" w14:textId="77777777" w:rsidR="00765CC4" w:rsidRPr="00A019F7" w:rsidRDefault="00765CC4"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sidR="00B046B3">
        <w:rPr>
          <w:rFonts w:ascii="Times New Roman" w:hAnsi="Times New Roman" w:cs="Times New Roman"/>
          <w:sz w:val="24"/>
          <w:szCs w:val="24"/>
        </w:rPr>
        <w:t>5</w:t>
      </w:r>
      <w:r w:rsidRPr="00A019F7">
        <w:rPr>
          <w:rFonts w:ascii="Times New Roman" w:hAnsi="Times New Roman" w:cs="Times New Roman"/>
          <w:sz w:val="24"/>
          <w:szCs w:val="24"/>
        </w:rPr>
        <w:t>]</w:t>
      </w:r>
      <w:r w:rsidRPr="00A019F7">
        <w:rPr>
          <w:rFonts w:ascii="Times New Roman" w:hAnsi="Times New Roman" w:cs="Times New Roman"/>
          <w:sz w:val="24"/>
          <w:szCs w:val="24"/>
        </w:rPr>
        <w:tab/>
        <w:t>INTERNATIONAL ATOMIC ENERGY AGENCY, Assessment and management of ageing of major nuclear power plant components important to safety: Primary piping in PWRs, IAEA-TECDOC-1361,</w:t>
      </w:r>
      <w:r w:rsidR="00545AA3">
        <w:rPr>
          <w:rFonts w:ascii="Times New Roman" w:hAnsi="Times New Roman" w:cs="Times New Roman"/>
          <w:sz w:val="24"/>
          <w:szCs w:val="24"/>
        </w:rPr>
        <w:t xml:space="preserve"> IAEA, Vienna, July 2003</w:t>
      </w:r>
    </w:p>
    <w:p w14:paraId="1AC3B0BB" w14:textId="77777777" w:rsidR="00765CC4" w:rsidRPr="00A019F7" w:rsidRDefault="00765CC4"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sidR="00B046B3">
        <w:rPr>
          <w:rFonts w:ascii="Times New Roman" w:hAnsi="Times New Roman" w:cs="Times New Roman"/>
          <w:sz w:val="24"/>
          <w:szCs w:val="24"/>
        </w:rPr>
        <w:t>6</w:t>
      </w:r>
      <w:r w:rsidRPr="00A019F7">
        <w:rPr>
          <w:rFonts w:ascii="Times New Roman" w:hAnsi="Times New Roman" w:cs="Times New Roman"/>
          <w:sz w:val="24"/>
          <w:szCs w:val="24"/>
        </w:rPr>
        <w:t>]</w:t>
      </w:r>
      <w:r w:rsidRPr="00A019F7">
        <w:rPr>
          <w:rFonts w:ascii="Times New Roman" w:hAnsi="Times New Roman" w:cs="Times New Roman"/>
          <w:sz w:val="24"/>
          <w:szCs w:val="24"/>
        </w:rPr>
        <w:tab/>
        <w:t>INTERNATIONAL ATOMIC ENERGY AGENCY, Assessment and management of ageing of major nuclear power plant components important to safety: Steam generators, IAEA-TECDOC-981, IAEA, Vienna</w:t>
      </w:r>
      <w:r w:rsidR="00545AA3">
        <w:rPr>
          <w:rFonts w:ascii="Times New Roman" w:hAnsi="Times New Roman" w:cs="Times New Roman"/>
          <w:sz w:val="24"/>
          <w:szCs w:val="24"/>
        </w:rPr>
        <w:t>,</w:t>
      </w:r>
      <w:r w:rsidRPr="00A019F7">
        <w:rPr>
          <w:rFonts w:ascii="Times New Roman" w:hAnsi="Times New Roman" w:cs="Times New Roman"/>
          <w:sz w:val="24"/>
          <w:szCs w:val="24"/>
        </w:rPr>
        <w:t xml:space="preserve"> 1997</w:t>
      </w:r>
    </w:p>
    <w:p w14:paraId="605FAC08" w14:textId="77777777" w:rsidR="00765CC4" w:rsidRDefault="00765CC4" w:rsidP="003B39D9">
      <w:pPr>
        <w:pStyle w:val="References"/>
        <w:tabs>
          <w:tab w:val="left" w:pos="900"/>
        </w:tabs>
        <w:ind w:left="567" w:hanging="567"/>
        <w:jc w:val="both"/>
        <w:rPr>
          <w:rFonts w:ascii="Times New Roman" w:hAnsi="Times New Roman" w:cs="Times New Roman"/>
          <w:sz w:val="24"/>
          <w:szCs w:val="24"/>
        </w:rPr>
      </w:pPr>
      <w:r w:rsidRPr="00323C2C">
        <w:rPr>
          <w:rFonts w:ascii="Times New Roman" w:hAnsi="Times New Roman" w:cs="Times New Roman"/>
          <w:sz w:val="24"/>
          <w:szCs w:val="24"/>
        </w:rPr>
        <w:lastRenderedPageBreak/>
        <w:t>[</w:t>
      </w:r>
      <w:r w:rsidR="00B046B3">
        <w:rPr>
          <w:rFonts w:ascii="Times New Roman" w:hAnsi="Times New Roman" w:cs="Times New Roman"/>
          <w:sz w:val="24"/>
          <w:szCs w:val="24"/>
        </w:rPr>
        <w:t>7</w:t>
      </w:r>
      <w:r w:rsidRPr="00323C2C">
        <w:rPr>
          <w:rFonts w:ascii="Times New Roman" w:hAnsi="Times New Roman" w:cs="Times New Roman"/>
          <w:sz w:val="24"/>
          <w:szCs w:val="24"/>
        </w:rPr>
        <w:t>]</w:t>
      </w:r>
      <w:r w:rsidRPr="00323C2C">
        <w:rPr>
          <w:rFonts w:ascii="Times New Roman" w:hAnsi="Times New Roman" w:cs="Times New Roman"/>
          <w:sz w:val="24"/>
          <w:szCs w:val="24"/>
        </w:rPr>
        <w:tab/>
        <w:t>INTERNATIONAL ATOMIC ENERGY AGENCY, Assessment and management of ageing of major nuclear power plant components important to safety: BWR pressure vessel internals, IAEA-TECDOC-1471, IAEA, Vienna</w:t>
      </w:r>
      <w:r w:rsidR="00545AA3">
        <w:rPr>
          <w:rFonts w:ascii="Times New Roman" w:hAnsi="Times New Roman" w:cs="Times New Roman"/>
          <w:sz w:val="24"/>
          <w:szCs w:val="24"/>
        </w:rPr>
        <w:t xml:space="preserve">, </w:t>
      </w:r>
      <w:r w:rsidRPr="00323C2C">
        <w:rPr>
          <w:rFonts w:ascii="Times New Roman" w:hAnsi="Times New Roman" w:cs="Times New Roman"/>
          <w:sz w:val="24"/>
          <w:szCs w:val="24"/>
        </w:rPr>
        <w:t>2005</w:t>
      </w:r>
    </w:p>
    <w:p w14:paraId="51578E4A" w14:textId="77777777" w:rsidR="0054424F" w:rsidRDefault="0054424F"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w:t>
      </w:r>
      <w:r w:rsidR="00B046B3">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Pr="009A3BDE">
        <w:rPr>
          <w:rFonts w:ascii="Times New Roman" w:hAnsi="Times New Roman"/>
          <w:sz w:val="24"/>
          <w:szCs w:val="24"/>
        </w:rPr>
        <w:t xml:space="preserve">Atomic Energy Society of Japan, Code on Implementation and Review of Nuclear Power Plant Ageing Management Programs 2015, </w:t>
      </w:r>
      <w:r w:rsidRPr="005267FC">
        <w:rPr>
          <w:rFonts w:ascii="Times New Roman" w:hAnsi="Times New Roman"/>
          <w:sz w:val="24"/>
          <w:szCs w:val="24"/>
        </w:rPr>
        <w:t>AESJ-SC- P005: 20</w:t>
      </w:r>
      <w:r>
        <w:rPr>
          <w:rFonts w:ascii="Times New Roman" w:hAnsi="Times New Roman" w:hint="eastAsia"/>
          <w:sz w:val="24"/>
          <w:szCs w:val="24"/>
        </w:rPr>
        <w:t xml:space="preserve">15, </w:t>
      </w:r>
      <w:r w:rsidRPr="009A3BDE">
        <w:rPr>
          <w:rFonts w:ascii="Times New Roman" w:hAnsi="Times New Roman"/>
          <w:sz w:val="24"/>
          <w:szCs w:val="24"/>
        </w:rPr>
        <w:t>AESJ, March 2016</w:t>
      </w:r>
    </w:p>
    <w:p w14:paraId="26FA8F7E" w14:textId="77777777" w:rsidR="0054424F" w:rsidRDefault="0054424F"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w:t>
      </w:r>
      <w:r w:rsidR="00B046B3">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Pr="009A3BDE">
        <w:rPr>
          <w:rFonts w:ascii="Times New Roman" w:hAnsi="Times New Roman"/>
          <w:sz w:val="24"/>
          <w:szCs w:val="24"/>
        </w:rPr>
        <w:t xml:space="preserve">Japan Nuclear Energy Safety Organization, Review Manual for Aging Management Technical Evaluation, </w:t>
      </w:r>
      <w:r>
        <w:rPr>
          <w:rFonts w:ascii="Times New Roman" w:hAnsi="Times New Roman" w:hint="eastAsia"/>
          <w:sz w:val="24"/>
          <w:szCs w:val="24"/>
        </w:rPr>
        <w:t xml:space="preserve">JNES-RE-2013-9012, </w:t>
      </w:r>
      <w:r w:rsidRPr="009A3BDE">
        <w:rPr>
          <w:rFonts w:ascii="Times New Roman" w:hAnsi="Times New Roman"/>
          <w:sz w:val="24"/>
          <w:szCs w:val="24"/>
        </w:rPr>
        <w:t>JNES, September 2013</w:t>
      </w:r>
      <w:r>
        <w:rPr>
          <w:rFonts w:ascii="Times New Roman" w:hAnsi="Times New Roman" w:hint="eastAsia"/>
          <w:sz w:val="24"/>
          <w:szCs w:val="24"/>
        </w:rPr>
        <w:t>.</w:t>
      </w:r>
      <w:r w:rsidR="00A70D35">
        <w:rPr>
          <w:rFonts w:ascii="Times New Roman" w:hAnsi="Times New Roman"/>
          <w:sz w:val="24"/>
          <w:szCs w:val="24"/>
        </w:rPr>
        <w:t xml:space="preserve"> </w:t>
      </w:r>
      <w:r>
        <w:rPr>
          <w:rFonts w:ascii="Times New Roman" w:hAnsi="Times New Roman" w:hint="eastAsia"/>
          <w:sz w:val="24"/>
          <w:szCs w:val="24"/>
        </w:rPr>
        <w:t>pp.11-15</w:t>
      </w:r>
    </w:p>
    <w:p w14:paraId="755F89BF" w14:textId="77777777" w:rsidR="000C3D95" w:rsidRDefault="00FA2FB4" w:rsidP="003B39D9">
      <w:pPr>
        <w:pStyle w:val="References"/>
        <w:tabs>
          <w:tab w:val="left" w:pos="900"/>
        </w:tabs>
        <w:ind w:left="567" w:hanging="567"/>
        <w:jc w:val="both"/>
        <w:rPr>
          <w:rFonts w:ascii="Times New Roman" w:hAnsi="Times New Roman" w:cs="Times New Roman"/>
          <w:sz w:val="24"/>
          <w:szCs w:val="24"/>
        </w:rPr>
      </w:pPr>
      <w:r w:rsidRPr="00A70D35">
        <w:rPr>
          <w:rFonts w:ascii="Times New Roman" w:hAnsi="Times New Roman" w:cs="Times New Roman"/>
          <w:sz w:val="24"/>
          <w:szCs w:val="24"/>
        </w:rPr>
        <w:t>[</w:t>
      </w:r>
      <w:r w:rsidR="00B046B3">
        <w:rPr>
          <w:rFonts w:ascii="Times New Roman" w:hAnsi="Times New Roman" w:cs="Times New Roman"/>
          <w:sz w:val="24"/>
          <w:szCs w:val="24"/>
        </w:rPr>
        <w:t>10</w:t>
      </w:r>
      <w:r w:rsidR="000C3D95" w:rsidRPr="00A70D35">
        <w:rPr>
          <w:rFonts w:ascii="Times New Roman" w:hAnsi="Times New Roman" w:cs="Times New Roman"/>
          <w:sz w:val="24"/>
          <w:szCs w:val="24"/>
        </w:rPr>
        <w:t>]</w:t>
      </w:r>
      <w:r w:rsidR="000C3D95" w:rsidRPr="00A70D35">
        <w:rPr>
          <w:rFonts w:ascii="Times New Roman" w:hAnsi="Times New Roman" w:cs="Times New Roman"/>
          <w:sz w:val="24"/>
          <w:szCs w:val="24"/>
        </w:rPr>
        <w:tab/>
        <w:t>French regulation: Ministerial Order of 10 November 1999 relative to the monitoring of operation of the main primary system and the main secondary systems of pressurized water nuclear reactors</w:t>
      </w:r>
    </w:p>
    <w:p w14:paraId="6D344E55" w14:textId="77777777" w:rsidR="00CD1CAF" w:rsidRDefault="00CD1CAF"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[1</w:t>
      </w:r>
      <w:r w:rsidR="00B046B3">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A75A9D">
        <w:rPr>
          <w:rFonts w:ascii="Times New Roman" w:hAnsi="Times New Roman"/>
          <w:sz w:val="24"/>
          <w:szCs w:val="24"/>
        </w:rPr>
        <w:t xml:space="preserve">KERNTECHNISCHER AUSSCHUSS, </w:t>
      </w:r>
      <w:r>
        <w:rPr>
          <w:rFonts w:ascii="Times New Roman" w:hAnsi="Times New Roman" w:cs="Times New Roman"/>
          <w:sz w:val="24"/>
          <w:szCs w:val="24"/>
        </w:rPr>
        <w:t>Safety Standards of the German Nuclear Safety Standards Commission (KTA), Components of the Reactor Coolant Pressure Boundary of Light Water Reactors, Part 4: In-service Inspections and Operational Monitoring, KTA 3201.4, 2010</w:t>
      </w:r>
    </w:p>
    <w:p w14:paraId="0AAE0D17" w14:textId="77777777" w:rsidR="00CD1CAF" w:rsidRDefault="00CD1CAF"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[1</w:t>
      </w:r>
      <w:r w:rsidR="00B046B3">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A75A9D">
        <w:rPr>
          <w:rFonts w:ascii="Times New Roman" w:hAnsi="Times New Roman"/>
          <w:sz w:val="24"/>
          <w:szCs w:val="24"/>
        </w:rPr>
        <w:t xml:space="preserve">KERNTECHNISCHER AUSSCHUSS, </w:t>
      </w:r>
      <w:r>
        <w:rPr>
          <w:rFonts w:ascii="Times New Roman" w:hAnsi="Times New Roman" w:cs="Times New Roman"/>
          <w:sz w:val="24"/>
          <w:szCs w:val="24"/>
        </w:rPr>
        <w:t>Safety Standards of the German Nuclear Safety Standards Commission (KTA), Pressure and Activity Retaining Components of Systems Outside the Primary Circuit, Part 4: In-service Inspections and Operational Monitoring, KTA 3211.4, 2013</w:t>
      </w:r>
    </w:p>
    <w:p w14:paraId="5238E8B9" w14:textId="77777777" w:rsidR="00396FDA" w:rsidRPr="00B06877" w:rsidRDefault="001B1533" w:rsidP="003B39D9">
      <w:pPr>
        <w:pStyle w:val="References"/>
        <w:tabs>
          <w:tab w:val="left" w:pos="900"/>
        </w:tabs>
        <w:ind w:left="567" w:hanging="567"/>
        <w:jc w:val="both"/>
        <w:rPr>
          <w:rFonts w:ascii="Times New Roman" w:hAnsi="Times New Roman" w:cs="Times New Roman"/>
          <w:sz w:val="24"/>
          <w:szCs w:val="24"/>
        </w:rPr>
      </w:pPr>
      <w:r w:rsidRPr="00A70D35">
        <w:rPr>
          <w:rFonts w:ascii="Times New Roman" w:hAnsi="Times New Roman" w:cs="Times New Roman"/>
          <w:sz w:val="24"/>
          <w:szCs w:val="24"/>
        </w:rPr>
        <w:t>[</w:t>
      </w:r>
      <w:r w:rsidR="002B3DF4" w:rsidRPr="00A70D35">
        <w:rPr>
          <w:rFonts w:ascii="Times New Roman" w:hAnsi="Times New Roman" w:cs="Times New Roman"/>
          <w:sz w:val="24"/>
          <w:szCs w:val="24"/>
        </w:rPr>
        <w:t>1</w:t>
      </w:r>
      <w:r w:rsidR="00B046B3">
        <w:rPr>
          <w:rFonts w:ascii="Times New Roman" w:hAnsi="Times New Roman" w:cs="Times New Roman"/>
          <w:sz w:val="24"/>
          <w:szCs w:val="24"/>
        </w:rPr>
        <w:t>3</w:t>
      </w:r>
      <w:r w:rsidR="005011EC" w:rsidRPr="00A70D35">
        <w:rPr>
          <w:rFonts w:ascii="Times New Roman" w:hAnsi="Times New Roman" w:cs="Times New Roman"/>
          <w:sz w:val="24"/>
          <w:szCs w:val="24"/>
        </w:rPr>
        <w:t>]</w:t>
      </w:r>
      <w:r w:rsidR="005011EC" w:rsidRPr="00A70D35">
        <w:rPr>
          <w:rFonts w:ascii="Times New Roman" w:hAnsi="Times New Roman" w:cs="Times New Roman"/>
          <w:sz w:val="24"/>
          <w:szCs w:val="24"/>
        </w:rPr>
        <w:tab/>
      </w:r>
      <w:r w:rsidR="00B06877" w:rsidRPr="00A70D35">
        <w:rPr>
          <w:rFonts w:ascii="Times New Roman" w:hAnsi="Times New Roman"/>
          <w:sz w:val="24"/>
          <w:szCs w:val="24"/>
        </w:rPr>
        <w:t xml:space="preserve">UNITED STATES NUCLEAR REGULATORY COMMISSION, NUREG-1431, Volume 1, Rev. 4.0, Standard Technical Specifications – Westinghouse Plants, USNRC, Washington, D.C., April 2012. </w:t>
      </w:r>
      <w:r w:rsidR="00396FDA" w:rsidRPr="00A70D35">
        <w:rPr>
          <w:rFonts w:ascii="Times New Roman" w:hAnsi="Times New Roman"/>
          <w:sz w:val="24"/>
          <w:szCs w:val="24"/>
        </w:rPr>
        <w:t>(</w:t>
      </w:r>
      <w:r w:rsidR="00B06877" w:rsidRPr="00A70D35">
        <w:rPr>
          <w:rFonts w:ascii="Times New Roman" w:hAnsi="Times New Roman"/>
          <w:sz w:val="24"/>
          <w:szCs w:val="24"/>
        </w:rPr>
        <w:t>see Section 5.5.5, “Component Cyclic or Transient Limit”</w:t>
      </w:r>
      <w:r w:rsidR="00396FDA" w:rsidRPr="00A70D35">
        <w:rPr>
          <w:rFonts w:ascii="Times New Roman" w:hAnsi="Times New Roman"/>
          <w:sz w:val="24"/>
          <w:szCs w:val="24"/>
        </w:rPr>
        <w:t>)</w:t>
      </w:r>
    </w:p>
    <w:p w14:paraId="6C44D1FA" w14:textId="77777777" w:rsidR="00765CC4" w:rsidRDefault="00765CC4" w:rsidP="003B39D9">
      <w:pPr>
        <w:pStyle w:val="References"/>
        <w:tabs>
          <w:tab w:val="left" w:pos="900"/>
        </w:tabs>
        <w:ind w:left="567" w:hanging="567"/>
        <w:jc w:val="both"/>
      </w:pPr>
      <w:r>
        <w:rPr>
          <w:rFonts w:ascii="Times New Roman" w:hAnsi="Times New Roman" w:cs="Times New Roman"/>
          <w:sz w:val="24"/>
          <w:szCs w:val="24"/>
        </w:rPr>
        <w:t>[</w:t>
      </w:r>
      <w:r w:rsidR="003D7E92">
        <w:rPr>
          <w:rFonts w:ascii="Times New Roman" w:hAnsi="Times New Roman" w:cs="Times New Roman"/>
          <w:sz w:val="24"/>
          <w:szCs w:val="24"/>
        </w:rPr>
        <w:t>1</w:t>
      </w:r>
      <w:r w:rsidR="00B046B3">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8B20F5">
        <w:rPr>
          <w:rFonts w:ascii="Times New Roman" w:hAnsi="Times New Roman" w:cs="Times New Roman"/>
          <w:sz w:val="24"/>
          <w:szCs w:val="24"/>
        </w:rPr>
        <w:t xml:space="preserve">UNITED STATES NUCLEAR REGULATORY COMMISSION, </w:t>
      </w:r>
      <w:r>
        <w:rPr>
          <w:rFonts w:ascii="Times New Roman" w:hAnsi="Times New Roman" w:cs="Times New Roman"/>
          <w:sz w:val="24"/>
          <w:szCs w:val="24"/>
        </w:rPr>
        <w:t xml:space="preserve">Application of NUREG/CR-5999 Interim Fatigue Curves to Selected Nuclear Power Plant Components, </w:t>
      </w:r>
      <w:r w:rsidR="00E23482">
        <w:rPr>
          <w:rFonts w:ascii="Times New Roman" w:hAnsi="Times New Roman" w:cs="Times New Roman"/>
          <w:sz w:val="24"/>
          <w:szCs w:val="24"/>
        </w:rPr>
        <w:t>NUREG/CR-6260, USNRC</w:t>
      </w:r>
      <w:r w:rsidR="00E664DC">
        <w:rPr>
          <w:rFonts w:ascii="Times New Roman" w:hAnsi="Times New Roman" w:cs="Times New Roman"/>
          <w:sz w:val="24"/>
          <w:szCs w:val="24"/>
        </w:rPr>
        <w:t>, March 1995</w:t>
      </w:r>
    </w:p>
    <w:p w14:paraId="27385CAE" w14:textId="77777777" w:rsidR="00D262E7" w:rsidRDefault="00D262E7"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sidR="00EF4DAC">
        <w:rPr>
          <w:rFonts w:ascii="Times New Roman" w:hAnsi="Times New Roman" w:cs="Times New Roman"/>
          <w:sz w:val="24"/>
          <w:szCs w:val="24"/>
        </w:rPr>
        <w:t>1</w:t>
      </w:r>
      <w:r w:rsidR="002A51B9">
        <w:rPr>
          <w:rFonts w:ascii="Times New Roman" w:hAnsi="Times New Roman" w:cs="Times New Roman"/>
          <w:sz w:val="24"/>
          <w:szCs w:val="24"/>
        </w:rPr>
        <w:t>5</w:t>
      </w:r>
      <w:r w:rsidRPr="00A019F7">
        <w:rPr>
          <w:rFonts w:ascii="Times New Roman" w:hAnsi="Times New Roman" w:cs="Times New Roman"/>
          <w:sz w:val="24"/>
          <w:szCs w:val="24"/>
        </w:rPr>
        <w:t>]</w:t>
      </w:r>
      <w:r w:rsidRPr="00A019F7">
        <w:rPr>
          <w:rFonts w:ascii="Times New Roman" w:hAnsi="Times New Roman" w:cs="Times New Roman"/>
          <w:sz w:val="24"/>
          <w:szCs w:val="24"/>
        </w:rPr>
        <w:tab/>
      </w:r>
      <w:r w:rsidR="008B20F5">
        <w:rPr>
          <w:rFonts w:ascii="Times New Roman" w:hAnsi="Times New Roman" w:cs="Times New Roman"/>
          <w:sz w:val="24"/>
          <w:szCs w:val="24"/>
        </w:rPr>
        <w:t xml:space="preserve">UNITED STATES NUCLEAR REGULATORY COMMISSION, </w:t>
      </w:r>
      <w:r w:rsidRPr="00A019F7">
        <w:rPr>
          <w:rFonts w:ascii="Times New Roman" w:hAnsi="Times New Roman" w:cs="Times New Roman"/>
          <w:sz w:val="24"/>
          <w:szCs w:val="24"/>
        </w:rPr>
        <w:t>Effects of LWR Coolant Environments on the Fatigue Life of Reactor Materials,</w:t>
      </w:r>
      <w:r w:rsidR="008B20F5">
        <w:rPr>
          <w:rFonts w:ascii="Times New Roman" w:hAnsi="Times New Roman" w:cs="Times New Roman"/>
          <w:sz w:val="24"/>
          <w:szCs w:val="24"/>
        </w:rPr>
        <w:t xml:space="preserve"> </w:t>
      </w:r>
      <w:r w:rsidR="008B20F5" w:rsidRPr="00A019F7">
        <w:rPr>
          <w:rFonts w:ascii="Times New Roman" w:hAnsi="Times New Roman" w:cs="Times New Roman"/>
          <w:sz w:val="24"/>
          <w:szCs w:val="24"/>
        </w:rPr>
        <w:t xml:space="preserve">NUREG/CR-6909, </w:t>
      </w:r>
      <w:r w:rsidR="00B86267">
        <w:rPr>
          <w:rFonts w:ascii="Times New Roman" w:hAnsi="Times New Roman" w:cs="Times New Roman"/>
          <w:sz w:val="24"/>
          <w:szCs w:val="24"/>
        </w:rPr>
        <w:t xml:space="preserve">Rev 1, </w:t>
      </w:r>
      <w:r w:rsidR="008B20F5">
        <w:rPr>
          <w:rFonts w:ascii="Times New Roman" w:hAnsi="Times New Roman" w:cs="Times New Roman"/>
          <w:sz w:val="24"/>
          <w:szCs w:val="24"/>
        </w:rPr>
        <w:t>USNRC</w:t>
      </w:r>
      <w:r w:rsidRPr="00A019F7">
        <w:rPr>
          <w:rFonts w:ascii="Times New Roman" w:hAnsi="Times New Roman" w:cs="Times New Roman"/>
          <w:sz w:val="24"/>
          <w:szCs w:val="24"/>
        </w:rPr>
        <w:t xml:space="preserve">, </w:t>
      </w:r>
      <w:r w:rsidR="00B86267">
        <w:rPr>
          <w:rFonts w:ascii="Times New Roman" w:hAnsi="Times New Roman" w:cs="Times New Roman"/>
          <w:sz w:val="24"/>
          <w:szCs w:val="24"/>
        </w:rPr>
        <w:t>May 2018</w:t>
      </w:r>
    </w:p>
    <w:p w14:paraId="3848589A" w14:textId="77777777" w:rsidR="002A51B9" w:rsidRDefault="002A51B9"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 xml:space="preserve">[16] </w:t>
      </w:r>
      <w:r w:rsidR="00F2210A">
        <w:rPr>
          <w:rFonts w:ascii="Times New Roman" w:hAnsi="Times New Roman" w:cs="Times New Roman"/>
          <w:sz w:val="24"/>
          <w:szCs w:val="24"/>
        </w:rPr>
        <w:t>UNITED STATES NUCLEAR REGULATORY COMMISSION, Guidelines for evaluating the effects of light water reactor environments in fatigue anal</w:t>
      </w:r>
      <w:r w:rsidR="00720CAA">
        <w:rPr>
          <w:rFonts w:ascii="Times New Roman" w:hAnsi="Times New Roman" w:cs="Times New Roman"/>
          <w:sz w:val="24"/>
          <w:szCs w:val="24"/>
        </w:rPr>
        <w:t xml:space="preserve">yses of metal components, </w:t>
      </w:r>
      <w:r w:rsidR="00F2210A">
        <w:rPr>
          <w:rFonts w:ascii="Times New Roman" w:hAnsi="Times New Roman" w:cs="Times New Roman"/>
          <w:sz w:val="24"/>
          <w:szCs w:val="24"/>
        </w:rPr>
        <w:t>RG-1.207, Rev 1, USNRC, June 2018</w:t>
      </w:r>
      <w:bookmarkStart w:id="2" w:name="_GoBack"/>
      <w:bookmarkEnd w:id="2"/>
    </w:p>
    <w:p w14:paraId="4A7BDA2C" w14:textId="77777777" w:rsidR="00767C9B" w:rsidRPr="00A019F7" w:rsidRDefault="00614992"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[1</w:t>
      </w:r>
      <w:r w:rsidR="00F2210A">
        <w:rPr>
          <w:rFonts w:ascii="Times New Roman" w:hAnsi="Times New Roman" w:cs="Times New Roman"/>
          <w:sz w:val="24"/>
          <w:szCs w:val="24"/>
        </w:rPr>
        <w:t>7</w:t>
      </w:r>
      <w:r w:rsidR="0068247F">
        <w:rPr>
          <w:rFonts w:ascii="Times New Roman" w:hAnsi="Times New Roman" w:cs="Times New Roman"/>
          <w:sz w:val="24"/>
          <w:szCs w:val="24"/>
        </w:rPr>
        <w:t>]</w:t>
      </w:r>
      <w:r w:rsidR="0068247F">
        <w:rPr>
          <w:rFonts w:ascii="Times New Roman" w:hAnsi="Times New Roman" w:cs="Times New Roman"/>
          <w:sz w:val="24"/>
          <w:szCs w:val="24"/>
        </w:rPr>
        <w:tab/>
      </w:r>
      <w:r w:rsidR="0068247F" w:rsidRPr="00633FD1">
        <w:rPr>
          <w:rFonts w:ascii="Times New Roman" w:hAnsi="Times New Roman" w:cs="Times New Roman"/>
          <w:sz w:val="24"/>
          <w:szCs w:val="24"/>
        </w:rPr>
        <w:t xml:space="preserve">F.H.E. de </w:t>
      </w:r>
      <w:proofErr w:type="spellStart"/>
      <w:r w:rsidR="0068247F" w:rsidRPr="00633FD1">
        <w:rPr>
          <w:rFonts w:ascii="Times New Roman" w:hAnsi="Times New Roman" w:cs="Times New Roman"/>
          <w:sz w:val="24"/>
          <w:szCs w:val="24"/>
        </w:rPr>
        <w:t>Haan</w:t>
      </w:r>
      <w:proofErr w:type="spellEnd"/>
      <w:r w:rsidR="0068247F" w:rsidRPr="00633FD1">
        <w:rPr>
          <w:rFonts w:ascii="Times New Roman" w:hAnsi="Times New Roman" w:cs="Times New Roman"/>
          <w:sz w:val="24"/>
          <w:szCs w:val="24"/>
        </w:rPr>
        <w:t xml:space="preserve"> – de Wilde, M.H.C. </w:t>
      </w:r>
      <w:proofErr w:type="spellStart"/>
      <w:r w:rsidR="0068247F" w:rsidRPr="00633FD1">
        <w:rPr>
          <w:rFonts w:ascii="Times New Roman" w:hAnsi="Times New Roman" w:cs="Times New Roman"/>
          <w:sz w:val="24"/>
          <w:szCs w:val="24"/>
        </w:rPr>
        <w:t>Hannink</w:t>
      </w:r>
      <w:proofErr w:type="spellEnd"/>
      <w:r w:rsidR="0068247F" w:rsidRPr="00633FD1">
        <w:rPr>
          <w:rFonts w:ascii="Times New Roman" w:hAnsi="Times New Roman" w:cs="Times New Roman"/>
          <w:sz w:val="24"/>
          <w:szCs w:val="24"/>
        </w:rPr>
        <w:t xml:space="preserve">, F.J. </w:t>
      </w:r>
      <w:proofErr w:type="spellStart"/>
      <w:r w:rsidR="0068247F" w:rsidRPr="00633FD1">
        <w:rPr>
          <w:rFonts w:ascii="Times New Roman" w:hAnsi="Times New Roman" w:cs="Times New Roman"/>
          <w:sz w:val="24"/>
          <w:szCs w:val="24"/>
        </w:rPr>
        <w:t>Blom</w:t>
      </w:r>
      <w:proofErr w:type="spellEnd"/>
      <w:r w:rsidR="0068247F" w:rsidRPr="00633FD1">
        <w:rPr>
          <w:rFonts w:ascii="Times New Roman" w:hAnsi="Times New Roman" w:cs="Times New Roman"/>
          <w:sz w:val="24"/>
          <w:szCs w:val="24"/>
        </w:rPr>
        <w:t xml:space="preserve">, Overview of international implementation of environmental fatigue, PVP2013-97695, </w:t>
      </w:r>
      <w:r w:rsidR="009A0EAC">
        <w:rPr>
          <w:rFonts w:ascii="Times New Roman" w:hAnsi="Times New Roman" w:cs="Times New Roman"/>
          <w:sz w:val="24"/>
          <w:szCs w:val="24"/>
        </w:rPr>
        <w:t>ASME 2013</w:t>
      </w:r>
      <w:r w:rsidR="009A0EAC" w:rsidRPr="00557930">
        <w:rPr>
          <w:rFonts w:ascii="Times New Roman" w:hAnsi="Times New Roman" w:cs="Times New Roman"/>
          <w:sz w:val="24"/>
          <w:szCs w:val="24"/>
        </w:rPr>
        <w:t xml:space="preserve"> Pressure Vessels &amp; Piping Division Conference</w:t>
      </w:r>
      <w:r w:rsidR="009A0EAC">
        <w:rPr>
          <w:rFonts w:ascii="Times New Roman" w:hAnsi="Times New Roman" w:cs="Times New Roman"/>
          <w:sz w:val="24"/>
          <w:szCs w:val="24"/>
        </w:rPr>
        <w:t xml:space="preserve">, Paris, France, </w:t>
      </w:r>
      <w:r w:rsidR="009A0EAC" w:rsidRPr="00633FD1">
        <w:rPr>
          <w:rFonts w:ascii="Times New Roman" w:hAnsi="Times New Roman" w:cs="Times New Roman"/>
          <w:sz w:val="24"/>
          <w:szCs w:val="24"/>
        </w:rPr>
        <w:t xml:space="preserve">July </w:t>
      </w:r>
      <w:proofErr w:type="gramStart"/>
      <w:r w:rsidR="009A0EAC" w:rsidRPr="00633FD1">
        <w:rPr>
          <w:rFonts w:ascii="Times New Roman" w:hAnsi="Times New Roman" w:cs="Times New Roman"/>
          <w:sz w:val="24"/>
          <w:szCs w:val="24"/>
        </w:rPr>
        <w:t>14-18</w:t>
      </w:r>
      <w:proofErr w:type="gramEnd"/>
      <w:r w:rsidR="009A0EAC" w:rsidRPr="00633FD1">
        <w:rPr>
          <w:rFonts w:ascii="Times New Roman" w:hAnsi="Times New Roman" w:cs="Times New Roman"/>
          <w:sz w:val="24"/>
          <w:szCs w:val="24"/>
        </w:rPr>
        <w:t xml:space="preserve"> 2013</w:t>
      </w:r>
      <w:r w:rsidR="000062F9">
        <w:rPr>
          <w:rFonts w:ascii="Times New Roman" w:hAnsi="Times New Roman" w:cs="Times New Roman"/>
          <w:sz w:val="24"/>
          <w:szCs w:val="24"/>
        </w:rPr>
        <w:t xml:space="preserve"> </w:t>
      </w:r>
      <w:r w:rsidR="000062F9" w:rsidRPr="00540C1C">
        <w:rPr>
          <w:rFonts w:ascii="Times New Roman" w:hAnsi="Times New Roman"/>
          <w:sz w:val="24"/>
          <w:szCs w:val="24"/>
        </w:rPr>
        <w:t>(update is prepared for ASME-PVP 2017)</w:t>
      </w:r>
    </w:p>
    <w:p w14:paraId="0C6D95BE" w14:textId="77777777" w:rsidR="00D262E7" w:rsidRPr="00A019F7" w:rsidRDefault="00D262E7"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sidR="00580A85">
        <w:rPr>
          <w:rFonts w:ascii="Times New Roman" w:hAnsi="Times New Roman" w:cs="Times New Roman"/>
          <w:sz w:val="24"/>
          <w:szCs w:val="24"/>
        </w:rPr>
        <w:t>1</w:t>
      </w:r>
      <w:r w:rsidR="00F2210A">
        <w:rPr>
          <w:rFonts w:ascii="Times New Roman" w:hAnsi="Times New Roman" w:cs="Times New Roman"/>
          <w:sz w:val="24"/>
          <w:szCs w:val="24"/>
        </w:rPr>
        <w:t>8</w:t>
      </w:r>
      <w:r w:rsidRPr="00A019F7">
        <w:rPr>
          <w:rFonts w:ascii="Times New Roman" w:hAnsi="Times New Roman" w:cs="Times New Roman"/>
          <w:sz w:val="24"/>
          <w:szCs w:val="24"/>
        </w:rPr>
        <w:t>]</w:t>
      </w:r>
      <w:r w:rsidRPr="00A019F7">
        <w:rPr>
          <w:rFonts w:ascii="Times New Roman" w:hAnsi="Times New Roman" w:cs="Times New Roman"/>
          <w:sz w:val="24"/>
          <w:szCs w:val="24"/>
        </w:rPr>
        <w:tab/>
      </w:r>
      <w:r w:rsidR="003C7567">
        <w:rPr>
          <w:rFonts w:ascii="Times New Roman" w:hAnsi="Times New Roman" w:cs="Times New Roman"/>
          <w:sz w:val="24"/>
          <w:szCs w:val="24"/>
        </w:rPr>
        <w:t xml:space="preserve">ELECTRIC POWER RESEARCH INSTITUTE, </w:t>
      </w:r>
      <w:r w:rsidRPr="00A019F7">
        <w:rPr>
          <w:rFonts w:ascii="Times New Roman" w:hAnsi="Times New Roman" w:cs="Times New Roman"/>
          <w:sz w:val="24"/>
          <w:szCs w:val="24"/>
        </w:rPr>
        <w:t>Materials Reliability Program: Thermal Fatigue Licensing Basis Monitoring Guideline MRP-149</w:t>
      </w:r>
      <w:r w:rsidR="005011EC">
        <w:rPr>
          <w:rFonts w:ascii="Times New Roman" w:hAnsi="Times New Roman" w:cs="Times New Roman"/>
          <w:sz w:val="24"/>
          <w:szCs w:val="24"/>
        </w:rPr>
        <w:t xml:space="preserve">, Revision </w:t>
      </w:r>
      <w:r w:rsidR="00500CCD">
        <w:rPr>
          <w:rFonts w:ascii="Times New Roman" w:hAnsi="Times New Roman" w:cs="Times New Roman"/>
          <w:sz w:val="24"/>
          <w:szCs w:val="24"/>
        </w:rPr>
        <w:t>1</w:t>
      </w:r>
      <w:r w:rsidR="00BE60B5">
        <w:rPr>
          <w:rFonts w:ascii="Times New Roman" w:hAnsi="Times New Roman" w:cs="Times New Roman"/>
          <w:sz w:val="24"/>
          <w:szCs w:val="24"/>
        </w:rPr>
        <w:t xml:space="preserve"> </w:t>
      </w:r>
      <w:r w:rsidR="00545AA3">
        <w:rPr>
          <w:rFonts w:ascii="Times New Roman" w:hAnsi="Times New Roman" w:cs="Times New Roman"/>
          <w:sz w:val="24"/>
          <w:szCs w:val="24"/>
        </w:rPr>
        <w:t>(</w:t>
      </w:r>
      <w:r w:rsidRPr="00A019F7">
        <w:rPr>
          <w:rFonts w:ascii="Times New Roman" w:hAnsi="Times New Roman" w:cs="Times New Roman"/>
          <w:sz w:val="24"/>
          <w:szCs w:val="24"/>
        </w:rPr>
        <w:t>EPRI</w:t>
      </w:r>
      <w:r w:rsidR="00545AA3">
        <w:rPr>
          <w:rFonts w:ascii="Times New Roman" w:hAnsi="Times New Roman" w:cs="Times New Roman"/>
          <w:sz w:val="24"/>
          <w:szCs w:val="24"/>
        </w:rPr>
        <w:t xml:space="preserve"> </w:t>
      </w:r>
      <w:r w:rsidR="00DA622A">
        <w:rPr>
          <w:rFonts w:ascii="Times New Roman" w:hAnsi="Times New Roman" w:cs="Times New Roman"/>
          <w:sz w:val="24"/>
          <w:szCs w:val="24"/>
        </w:rPr>
        <w:t>3002000684</w:t>
      </w:r>
      <w:r w:rsidR="00545AA3">
        <w:rPr>
          <w:rFonts w:ascii="Times New Roman" w:hAnsi="Times New Roman" w:cs="Times New Roman"/>
          <w:sz w:val="24"/>
          <w:szCs w:val="24"/>
        </w:rPr>
        <w:t>)</w:t>
      </w:r>
      <w:r w:rsidRPr="00A019F7">
        <w:rPr>
          <w:rFonts w:ascii="Times New Roman" w:hAnsi="Times New Roman" w:cs="Times New Roman"/>
          <w:sz w:val="24"/>
          <w:szCs w:val="24"/>
        </w:rPr>
        <w:t xml:space="preserve">, </w:t>
      </w:r>
      <w:r w:rsidR="003C7567">
        <w:rPr>
          <w:rFonts w:ascii="Times New Roman" w:hAnsi="Times New Roman" w:cs="Times New Roman"/>
          <w:sz w:val="24"/>
          <w:szCs w:val="24"/>
        </w:rPr>
        <w:t xml:space="preserve">EPRI, </w:t>
      </w:r>
      <w:r w:rsidRPr="00A019F7">
        <w:rPr>
          <w:rFonts w:ascii="Times New Roman" w:hAnsi="Times New Roman" w:cs="Times New Roman"/>
          <w:sz w:val="24"/>
          <w:szCs w:val="24"/>
        </w:rPr>
        <w:t>Palo Alto, CA</w:t>
      </w:r>
      <w:r w:rsidR="00FE5466">
        <w:rPr>
          <w:rFonts w:ascii="Times New Roman" w:hAnsi="Times New Roman" w:cs="Times New Roman"/>
          <w:sz w:val="24"/>
          <w:szCs w:val="24"/>
        </w:rPr>
        <w:t>,</w:t>
      </w:r>
      <w:r w:rsidRPr="00A019F7">
        <w:rPr>
          <w:rFonts w:ascii="Times New Roman" w:hAnsi="Times New Roman" w:cs="Times New Roman"/>
          <w:sz w:val="24"/>
          <w:szCs w:val="24"/>
        </w:rPr>
        <w:t xml:space="preserve"> </w:t>
      </w:r>
      <w:r w:rsidR="00DA622A">
        <w:rPr>
          <w:rFonts w:ascii="Times New Roman" w:hAnsi="Times New Roman" w:cs="Times New Roman"/>
          <w:sz w:val="24"/>
          <w:szCs w:val="24"/>
        </w:rPr>
        <w:t>2013</w:t>
      </w:r>
    </w:p>
    <w:p w14:paraId="63163FA3" w14:textId="2CC06A41" w:rsidR="00D262E7" w:rsidRDefault="00D262E7"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sidR="00F2210A">
        <w:rPr>
          <w:rFonts w:ascii="Times New Roman" w:hAnsi="Times New Roman" w:cs="Times New Roman"/>
          <w:sz w:val="24"/>
          <w:szCs w:val="24"/>
        </w:rPr>
        <w:t>19</w:t>
      </w:r>
      <w:r w:rsidRPr="00A019F7">
        <w:rPr>
          <w:rFonts w:ascii="Times New Roman" w:hAnsi="Times New Roman" w:cs="Times New Roman"/>
          <w:sz w:val="24"/>
          <w:szCs w:val="24"/>
        </w:rPr>
        <w:t>]</w:t>
      </w:r>
      <w:r w:rsidRPr="00A019F7">
        <w:rPr>
          <w:rFonts w:ascii="Times New Roman" w:hAnsi="Times New Roman" w:cs="Times New Roman"/>
          <w:sz w:val="24"/>
          <w:szCs w:val="24"/>
        </w:rPr>
        <w:tab/>
      </w:r>
      <w:r w:rsidR="003C7567" w:rsidRPr="00471359">
        <w:rPr>
          <w:rFonts w:ascii="Times New Roman" w:hAnsi="Times New Roman" w:cs="Times New Roman"/>
          <w:color w:val="FF0000"/>
          <w:sz w:val="24"/>
          <w:szCs w:val="24"/>
        </w:rPr>
        <w:t xml:space="preserve">ELECTRIC POWER RESEARCH INSTITUTE, </w:t>
      </w:r>
      <w:r w:rsidRPr="00471359">
        <w:rPr>
          <w:rFonts w:ascii="Times New Roman" w:hAnsi="Times New Roman" w:cs="Times New Roman"/>
          <w:color w:val="FF0000"/>
          <w:sz w:val="24"/>
          <w:szCs w:val="24"/>
        </w:rPr>
        <w:t xml:space="preserve">Materials Reliability Program: Thermal Fatigue Monitoring Guidelines MRP-32, Revision </w:t>
      </w:r>
      <w:r w:rsidR="000E79D3" w:rsidRPr="00471359">
        <w:rPr>
          <w:rFonts w:ascii="Times New Roman" w:hAnsi="Times New Roman" w:cs="Times New Roman"/>
          <w:color w:val="FF0000"/>
          <w:sz w:val="24"/>
          <w:szCs w:val="24"/>
        </w:rPr>
        <w:t>2</w:t>
      </w:r>
      <w:r w:rsidR="00BE60B5" w:rsidRPr="00471359">
        <w:rPr>
          <w:rFonts w:ascii="Times New Roman" w:hAnsi="Times New Roman" w:cs="Times New Roman"/>
          <w:color w:val="FF0000"/>
          <w:sz w:val="24"/>
          <w:szCs w:val="24"/>
        </w:rPr>
        <w:t xml:space="preserve"> </w:t>
      </w:r>
      <w:r w:rsidR="003C7567" w:rsidRPr="00471359">
        <w:rPr>
          <w:rFonts w:ascii="Times New Roman" w:hAnsi="Times New Roman" w:cs="Times New Roman"/>
          <w:color w:val="FF0000"/>
          <w:sz w:val="24"/>
          <w:szCs w:val="24"/>
        </w:rPr>
        <w:t>(</w:t>
      </w:r>
      <w:r w:rsidRPr="00471359">
        <w:rPr>
          <w:rFonts w:ascii="Times New Roman" w:hAnsi="Times New Roman" w:cs="Times New Roman"/>
          <w:color w:val="FF0000"/>
          <w:sz w:val="24"/>
          <w:szCs w:val="24"/>
        </w:rPr>
        <w:t>EPRI</w:t>
      </w:r>
      <w:r w:rsidR="003C7567" w:rsidRPr="00471359">
        <w:rPr>
          <w:rFonts w:ascii="Times New Roman" w:hAnsi="Times New Roman" w:cs="Times New Roman"/>
          <w:color w:val="FF0000"/>
          <w:sz w:val="24"/>
          <w:szCs w:val="24"/>
        </w:rPr>
        <w:t xml:space="preserve"> </w:t>
      </w:r>
      <w:r w:rsidR="000E79D3" w:rsidRPr="00471359">
        <w:rPr>
          <w:rFonts w:ascii="Times New Roman" w:hAnsi="Times New Roman" w:cs="Times New Roman"/>
          <w:color w:val="FF0000"/>
          <w:sz w:val="24"/>
          <w:szCs w:val="24"/>
        </w:rPr>
        <w:t>3002016012</w:t>
      </w:r>
      <w:r w:rsidR="003C7567" w:rsidRPr="00471359">
        <w:rPr>
          <w:rFonts w:ascii="Times New Roman" w:hAnsi="Times New Roman" w:cs="Times New Roman"/>
          <w:color w:val="FF0000"/>
          <w:sz w:val="24"/>
          <w:szCs w:val="24"/>
        </w:rPr>
        <w:t>)</w:t>
      </w:r>
      <w:r w:rsidRPr="00471359">
        <w:rPr>
          <w:rFonts w:ascii="Times New Roman" w:hAnsi="Times New Roman" w:cs="Times New Roman"/>
          <w:color w:val="FF0000"/>
          <w:sz w:val="24"/>
          <w:szCs w:val="24"/>
        </w:rPr>
        <w:t xml:space="preserve">, </w:t>
      </w:r>
      <w:r w:rsidR="003C7567" w:rsidRPr="00471359">
        <w:rPr>
          <w:rFonts w:ascii="Times New Roman" w:hAnsi="Times New Roman" w:cs="Times New Roman"/>
          <w:color w:val="FF0000"/>
          <w:sz w:val="24"/>
          <w:szCs w:val="24"/>
        </w:rPr>
        <w:t xml:space="preserve">EPRI, </w:t>
      </w:r>
      <w:r w:rsidRPr="00471359">
        <w:rPr>
          <w:rFonts w:ascii="Times New Roman" w:hAnsi="Times New Roman" w:cs="Times New Roman"/>
          <w:color w:val="FF0000"/>
          <w:sz w:val="24"/>
          <w:szCs w:val="24"/>
        </w:rPr>
        <w:t>Palo Alto, CA</w:t>
      </w:r>
      <w:r w:rsidR="00FE5466" w:rsidRPr="00471359">
        <w:rPr>
          <w:rFonts w:ascii="Times New Roman" w:hAnsi="Times New Roman" w:cs="Times New Roman"/>
          <w:color w:val="FF0000"/>
          <w:sz w:val="24"/>
          <w:szCs w:val="24"/>
        </w:rPr>
        <w:t>,</w:t>
      </w:r>
      <w:r w:rsidRPr="00471359">
        <w:rPr>
          <w:rFonts w:ascii="Times New Roman" w:hAnsi="Times New Roman" w:cs="Times New Roman"/>
          <w:color w:val="FF0000"/>
          <w:sz w:val="24"/>
          <w:szCs w:val="24"/>
        </w:rPr>
        <w:t xml:space="preserve"> </w:t>
      </w:r>
      <w:r w:rsidR="000E79D3" w:rsidRPr="00471359">
        <w:rPr>
          <w:rFonts w:ascii="Times New Roman" w:hAnsi="Times New Roman" w:cs="Times New Roman"/>
          <w:color w:val="FF0000"/>
          <w:sz w:val="24"/>
          <w:szCs w:val="24"/>
        </w:rPr>
        <w:t>2019</w:t>
      </w:r>
    </w:p>
    <w:p w14:paraId="67943118" w14:textId="77777777" w:rsidR="004564A6" w:rsidRDefault="004564A6" w:rsidP="003B39D9">
      <w:pPr>
        <w:pStyle w:val="References"/>
        <w:tabs>
          <w:tab w:val="left" w:pos="900"/>
        </w:tabs>
        <w:ind w:left="567" w:hanging="567"/>
        <w:jc w:val="both"/>
        <w:rPr>
          <w:rFonts w:ascii="Times New Roman" w:hAnsi="Times New Roman" w:cs="Times New Roman"/>
          <w:sz w:val="24"/>
          <w:szCs w:val="24"/>
        </w:rPr>
      </w:pPr>
      <w:r w:rsidRPr="00A019F7">
        <w:rPr>
          <w:rFonts w:ascii="Times New Roman" w:hAnsi="Times New Roman" w:cs="Times New Roman"/>
          <w:sz w:val="24"/>
          <w:szCs w:val="24"/>
        </w:rPr>
        <w:t>[</w:t>
      </w:r>
      <w:r>
        <w:rPr>
          <w:rFonts w:ascii="Times New Roman" w:hAnsi="Times New Roman" w:cs="Times New Roman"/>
          <w:sz w:val="24"/>
          <w:szCs w:val="24"/>
        </w:rPr>
        <w:t>20</w:t>
      </w:r>
      <w:r w:rsidRPr="00A019F7">
        <w:rPr>
          <w:rFonts w:ascii="Times New Roman" w:hAnsi="Times New Roman" w:cs="Times New Roman"/>
          <w:sz w:val="24"/>
          <w:szCs w:val="24"/>
        </w:rPr>
        <w:t>]</w:t>
      </w:r>
      <w:r w:rsidRPr="00471359">
        <w:rPr>
          <w:rFonts w:ascii="Times New Roman" w:hAnsi="Times New Roman" w:cs="Times New Roman"/>
          <w:color w:val="FF0000"/>
          <w:sz w:val="24"/>
          <w:szCs w:val="24"/>
        </w:rPr>
        <w:tab/>
      </w:r>
      <w:r w:rsidR="009F2CB9" w:rsidRPr="00471359">
        <w:rPr>
          <w:rFonts w:ascii="Times New Roman" w:hAnsi="Times New Roman" w:cs="Times New Roman"/>
          <w:color w:val="FF0000"/>
          <w:sz w:val="24"/>
          <w:szCs w:val="24"/>
        </w:rPr>
        <w:t xml:space="preserve">EUROPEAN COMMISSION COMMUNITY RESEARCH, </w:t>
      </w:r>
      <w:r w:rsidR="00D95712" w:rsidRPr="00471359">
        <w:rPr>
          <w:rFonts w:ascii="Times New Roman" w:hAnsi="Times New Roman" w:cs="Times New Roman"/>
          <w:color w:val="FF0000"/>
          <w:sz w:val="24"/>
          <w:szCs w:val="24"/>
        </w:rPr>
        <w:t>Guidelines for Integrity and Lifetime Assessment of Components and Piping in WWER Nuclear Power Plants (VERLIFE), 2013</w:t>
      </w:r>
    </w:p>
    <w:p w14:paraId="3B2C609A" w14:textId="0F3B608E" w:rsidR="009E73D9" w:rsidRDefault="002B3DF4"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sidR="00374C76">
        <w:rPr>
          <w:rFonts w:ascii="Times New Roman" w:hAnsi="Times New Roman" w:cs="Times New Roman"/>
          <w:sz w:val="24"/>
          <w:szCs w:val="24"/>
        </w:rPr>
        <w:t>21</w:t>
      </w:r>
      <w:r w:rsidR="00E552B2">
        <w:rPr>
          <w:rFonts w:ascii="Times New Roman" w:hAnsi="Times New Roman" w:cs="Times New Roman"/>
          <w:sz w:val="24"/>
          <w:szCs w:val="24"/>
        </w:rPr>
        <w:t>]</w:t>
      </w:r>
      <w:r w:rsidR="00E552B2">
        <w:rPr>
          <w:rFonts w:ascii="Times New Roman" w:hAnsi="Times New Roman" w:cs="Times New Roman"/>
          <w:sz w:val="24"/>
          <w:szCs w:val="24"/>
        </w:rPr>
        <w:tab/>
      </w:r>
      <w:r w:rsidR="009E73D9" w:rsidRPr="00F2309E">
        <w:rPr>
          <w:rFonts w:ascii="Times New Roman" w:hAnsi="Times New Roman" w:cs="Times New Roman"/>
          <w:sz w:val="24"/>
          <w:szCs w:val="24"/>
        </w:rPr>
        <w:t>AMERICAN SOCIETY OF MECHANICAL ENGINEERS, ASME Section XI, Rules for Inservice Inspection of Nuclear Power Plant Components, The ASME Boiler and Pressure Vessel Code, as approved in 10 CFR 50.55a, ASME, New York, NY</w:t>
      </w:r>
    </w:p>
    <w:p w14:paraId="3082C997" w14:textId="6ED13357" w:rsidR="00E552B2" w:rsidRDefault="00B046B3"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w:t>
      </w:r>
      <w:r w:rsidR="00374C76">
        <w:rPr>
          <w:rFonts w:ascii="Times New Roman" w:hAnsi="Times New Roman" w:cs="Times New Roman"/>
          <w:sz w:val="24"/>
          <w:szCs w:val="24"/>
        </w:rPr>
        <w:t>22</w:t>
      </w:r>
      <w:r w:rsidR="009E73D9">
        <w:rPr>
          <w:rFonts w:ascii="Times New Roman" w:hAnsi="Times New Roman" w:cs="Times New Roman"/>
          <w:sz w:val="24"/>
          <w:szCs w:val="24"/>
        </w:rPr>
        <w:t xml:space="preserve">] </w:t>
      </w:r>
      <w:r w:rsidR="00BD0C5A">
        <w:rPr>
          <w:rFonts w:ascii="Times New Roman" w:hAnsi="Times New Roman" w:cs="Times New Roman"/>
          <w:sz w:val="24"/>
          <w:szCs w:val="24"/>
        </w:rPr>
        <w:tab/>
      </w:r>
      <w:r w:rsidR="00E552B2">
        <w:rPr>
          <w:rFonts w:ascii="Times New Roman" w:hAnsi="Times New Roman" w:cs="Times New Roman"/>
          <w:sz w:val="24"/>
          <w:szCs w:val="24"/>
        </w:rPr>
        <w:t>UNITED STATES NUCLEAR REGULATORY COMMISSION, Pressurizer Surge Line Thermal Stratification</w:t>
      </w:r>
      <w:r w:rsidR="00E552B2" w:rsidRPr="00A019F7">
        <w:rPr>
          <w:rFonts w:ascii="Times New Roman" w:hAnsi="Times New Roman" w:cs="Times New Roman"/>
          <w:sz w:val="24"/>
          <w:szCs w:val="24"/>
        </w:rPr>
        <w:t xml:space="preserve">, </w:t>
      </w:r>
      <w:r w:rsidR="00E552B2">
        <w:rPr>
          <w:rFonts w:ascii="Times New Roman" w:hAnsi="Times New Roman" w:cs="Times New Roman"/>
          <w:sz w:val="24"/>
          <w:szCs w:val="24"/>
        </w:rPr>
        <w:t>Bulletin 88-11</w:t>
      </w:r>
      <w:r w:rsidR="00E552B2" w:rsidRPr="00A019F7">
        <w:rPr>
          <w:rFonts w:ascii="Times New Roman" w:hAnsi="Times New Roman" w:cs="Times New Roman"/>
          <w:sz w:val="24"/>
          <w:szCs w:val="24"/>
        </w:rPr>
        <w:t xml:space="preserve">, </w:t>
      </w:r>
      <w:r w:rsidR="00E552B2">
        <w:rPr>
          <w:rFonts w:ascii="Times New Roman" w:hAnsi="Times New Roman" w:cs="Times New Roman"/>
          <w:sz w:val="24"/>
          <w:szCs w:val="24"/>
        </w:rPr>
        <w:t>USNRC</w:t>
      </w:r>
      <w:r w:rsidR="00E552B2" w:rsidRPr="00A019F7">
        <w:rPr>
          <w:rFonts w:ascii="Times New Roman" w:hAnsi="Times New Roman" w:cs="Times New Roman"/>
          <w:sz w:val="24"/>
          <w:szCs w:val="24"/>
        </w:rPr>
        <w:t xml:space="preserve">, </w:t>
      </w:r>
      <w:r w:rsidR="00E552B2">
        <w:rPr>
          <w:rFonts w:ascii="Times New Roman" w:hAnsi="Times New Roman" w:cs="Times New Roman"/>
          <w:sz w:val="24"/>
          <w:szCs w:val="24"/>
        </w:rPr>
        <w:t>December 20, 1988</w:t>
      </w:r>
    </w:p>
    <w:p w14:paraId="247C70F0" w14:textId="536920BD" w:rsidR="005070EB" w:rsidRDefault="005070EB"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w:t>
      </w:r>
      <w:r w:rsidR="00374C76">
        <w:rPr>
          <w:rFonts w:ascii="Times New Roman" w:hAnsi="Times New Roman" w:cs="Times New Roman"/>
          <w:sz w:val="24"/>
          <w:szCs w:val="24"/>
        </w:rPr>
        <w:t>23</w:t>
      </w:r>
      <w:r>
        <w:rPr>
          <w:rFonts w:ascii="Times New Roman" w:hAnsi="Times New Roman" w:cs="Times New Roman"/>
          <w:sz w:val="24"/>
          <w:szCs w:val="24"/>
        </w:rPr>
        <w:t>]</w:t>
      </w:r>
      <w:r>
        <w:rPr>
          <w:rFonts w:ascii="Times New Roman" w:hAnsi="Times New Roman" w:cs="Times New Roman"/>
          <w:sz w:val="24"/>
          <w:szCs w:val="24"/>
        </w:rPr>
        <w:tab/>
        <w:t xml:space="preserve">M. De Smet, M. </w:t>
      </w:r>
      <w:proofErr w:type="spellStart"/>
      <w:r>
        <w:rPr>
          <w:rFonts w:ascii="Times New Roman" w:hAnsi="Times New Roman" w:cs="Times New Roman"/>
          <w:sz w:val="24"/>
          <w:szCs w:val="24"/>
        </w:rPr>
        <w:t>Guyette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Justifying</w:t>
      </w:r>
      <w:proofErr w:type="gramEnd"/>
      <w:r>
        <w:rPr>
          <w:rFonts w:ascii="Times New Roman" w:hAnsi="Times New Roman" w:cs="Times New Roman"/>
          <w:sz w:val="24"/>
          <w:szCs w:val="24"/>
        </w:rPr>
        <w:t xml:space="preserve"> fatigue induced by severe thermal stratification transients in feed water systems, ASME Pressure Vessels and Piping</w:t>
      </w:r>
      <w:r w:rsidR="00144901">
        <w:rPr>
          <w:rFonts w:ascii="Times New Roman" w:hAnsi="Times New Roman" w:cs="Times New Roman"/>
          <w:sz w:val="24"/>
          <w:szCs w:val="24"/>
        </w:rPr>
        <w:t xml:space="preserve"> Conference, Orlando, July 1997. PVP-Vol.350, Fatigue and Fracture:</w:t>
      </w:r>
      <w:r>
        <w:rPr>
          <w:rFonts w:ascii="Times New Roman" w:hAnsi="Times New Roman" w:cs="Times New Roman"/>
          <w:sz w:val="24"/>
          <w:szCs w:val="24"/>
        </w:rPr>
        <w:t xml:space="preserve"> 19</w:t>
      </w:r>
      <w:r w:rsidR="007F5D78">
        <w:rPr>
          <w:rFonts w:ascii="Times New Roman" w:hAnsi="Times New Roman" w:cs="Times New Roman"/>
          <w:sz w:val="24"/>
          <w:szCs w:val="24"/>
        </w:rPr>
        <w:t>97, Volume 1, pp. 441-445</w:t>
      </w:r>
    </w:p>
    <w:p w14:paraId="55055AD0" w14:textId="0FDB3B45" w:rsidR="00E01428" w:rsidRDefault="00E01428"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w:t>
      </w:r>
      <w:r w:rsidR="00374C76">
        <w:rPr>
          <w:rFonts w:ascii="Times New Roman" w:hAnsi="Times New Roman" w:cs="Times New Roman"/>
          <w:sz w:val="24"/>
          <w:szCs w:val="24"/>
        </w:rPr>
        <w:t>24</w:t>
      </w:r>
      <w:r>
        <w:rPr>
          <w:rFonts w:ascii="Times New Roman" w:hAnsi="Times New Roman" w:cs="Times New Roman"/>
          <w:sz w:val="24"/>
          <w:szCs w:val="24"/>
        </w:rPr>
        <w:t>]</w:t>
      </w:r>
      <w:r>
        <w:rPr>
          <w:rFonts w:ascii="Times New Roman" w:hAnsi="Times New Roman" w:cs="Times New Roman"/>
          <w:sz w:val="24"/>
          <w:szCs w:val="24"/>
        </w:rPr>
        <w:tab/>
        <w:t xml:space="preserve">A. </w:t>
      </w:r>
      <w:proofErr w:type="spellStart"/>
      <w:r>
        <w:rPr>
          <w:rFonts w:ascii="Times New Roman" w:hAnsi="Times New Roman" w:cs="Times New Roman"/>
          <w:sz w:val="24"/>
          <w:szCs w:val="24"/>
        </w:rPr>
        <w:t>Diaby</w:t>
      </w:r>
      <w:proofErr w:type="spellEnd"/>
      <w:r>
        <w:rPr>
          <w:rFonts w:ascii="Times New Roman" w:hAnsi="Times New Roman" w:cs="Times New Roman"/>
          <w:sz w:val="24"/>
          <w:szCs w:val="24"/>
        </w:rPr>
        <w:t xml:space="preserve">, M. De Smet, Stress and Fatigue Analysis considering Thermal Stratification with the THERMAXS Code, </w:t>
      </w:r>
      <w:r w:rsidR="006B1023">
        <w:rPr>
          <w:rFonts w:ascii="Times New Roman" w:hAnsi="Times New Roman" w:cs="Times New Roman"/>
          <w:sz w:val="24"/>
          <w:szCs w:val="24"/>
        </w:rPr>
        <w:t xml:space="preserve">PVP2009-77912, </w:t>
      </w:r>
      <w:r>
        <w:rPr>
          <w:rFonts w:ascii="Times New Roman" w:hAnsi="Times New Roman" w:cs="Times New Roman"/>
          <w:sz w:val="24"/>
          <w:szCs w:val="24"/>
        </w:rPr>
        <w:t>ASME 2009 Pressure Vessels and Piping Division Conference, Prague, Czech Republic, 2009.</w:t>
      </w:r>
    </w:p>
    <w:p w14:paraId="4979BD2C" w14:textId="0B841F15" w:rsidR="00273BB2" w:rsidRDefault="008F641A" w:rsidP="003B39D9">
      <w:pPr>
        <w:pStyle w:val="References"/>
        <w:tabs>
          <w:tab w:val="left" w:pos="900"/>
        </w:tabs>
        <w:ind w:left="567" w:hanging="567"/>
        <w:jc w:val="both"/>
        <w:rPr>
          <w:rFonts w:ascii="Times New Roman" w:hAnsi="Times New Roman" w:cs="Times New Roman"/>
          <w:sz w:val="24"/>
          <w:szCs w:val="24"/>
          <w:lang w:val="fr-FR" w:eastAsia="ja-JP"/>
        </w:rPr>
      </w:pPr>
      <w:r>
        <w:rPr>
          <w:rFonts w:ascii="Times New Roman" w:hAnsi="Times New Roman" w:cs="Times New Roman"/>
          <w:sz w:val="24"/>
          <w:szCs w:val="24"/>
          <w:lang w:val="fr-FR" w:eastAsia="ja-JP"/>
        </w:rPr>
        <w:t>[</w:t>
      </w:r>
      <w:r w:rsidR="00374C76">
        <w:rPr>
          <w:rFonts w:ascii="Times New Roman" w:hAnsi="Times New Roman" w:cs="Times New Roman"/>
          <w:sz w:val="24"/>
          <w:szCs w:val="24"/>
          <w:lang w:val="fr-FR" w:eastAsia="ja-JP"/>
        </w:rPr>
        <w:t>25</w:t>
      </w:r>
      <w:r>
        <w:rPr>
          <w:rFonts w:ascii="Times New Roman" w:hAnsi="Times New Roman" w:cs="Times New Roman"/>
          <w:sz w:val="24"/>
          <w:szCs w:val="24"/>
          <w:lang w:val="fr-FR" w:eastAsia="ja-JP"/>
        </w:rPr>
        <w:t>]</w:t>
      </w:r>
      <w:r>
        <w:rPr>
          <w:rFonts w:ascii="Times New Roman" w:hAnsi="Times New Roman" w:cs="Times New Roman"/>
          <w:sz w:val="24"/>
          <w:szCs w:val="24"/>
          <w:lang w:val="fr-FR" w:eastAsia="ja-JP"/>
        </w:rPr>
        <w:tab/>
      </w:r>
      <w:r w:rsidRPr="005A0C63">
        <w:rPr>
          <w:rFonts w:ascii="Times New Roman" w:hAnsi="Times New Roman" w:cs="Times New Roman"/>
          <w:sz w:val="24"/>
          <w:szCs w:val="24"/>
          <w:lang w:val="fr-FR" w:eastAsia="ja-JP"/>
        </w:rPr>
        <w:t xml:space="preserve">Chargements de fatigue dans l’industrie nucléaire, Claire NAUDIN, EDF/SEPTEN - SF2M – </w:t>
      </w:r>
      <w:r>
        <w:rPr>
          <w:rFonts w:ascii="Times New Roman" w:hAnsi="Times New Roman" w:cs="Times New Roman"/>
          <w:sz w:val="24"/>
          <w:szCs w:val="24"/>
          <w:lang w:val="fr-FR" w:eastAsia="ja-JP"/>
        </w:rPr>
        <w:t>C</w:t>
      </w:r>
      <w:r w:rsidRPr="005A0C63">
        <w:rPr>
          <w:rFonts w:ascii="Times New Roman" w:hAnsi="Times New Roman" w:cs="Times New Roman"/>
          <w:sz w:val="24"/>
          <w:szCs w:val="24"/>
          <w:lang w:val="fr-FR" w:eastAsia="ja-JP"/>
        </w:rPr>
        <w:t>ommission Fatigue</w:t>
      </w:r>
      <w:r>
        <w:rPr>
          <w:rFonts w:ascii="Times New Roman" w:hAnsi="Times New Roman" w:cs="Times New Roman"/>
          <w:sz w:val="24"/>
          <w:szCs w:val="24"/>
          <w:lang w:val="fr-FR" w:eastAsia="ja-JP"/>
        </w:rPr>
        <w:t>,</w:t>
      </w:r>
      <w:r w:rsidRPr="005A0C63">
        <w:rPr>
          <w:rFonts w:ascii="Times New Roman" w:hAnsi="Times New Roman" w:cs="Times New Roman"/>
          <w:sz w:val="24"/>
          <w:szCs w:val="24"/>
          <w:lang w:val="fr-FR" w:eastAsia="ja-JP"/>
        </w:rPr>
        <w:t xml:space="preserve"> Séminaire du 16 juin 2011</w:t>
      </w:r>
    </w:p>
    <w:p w14:paraId="5E5B1221" w14:textId="00157015" w:rsidR="00222B1A" w:rsidRDefault="00784215" w:rsidP="003B39D9">
      <w:pPr>
        <w:pStyle w:val="References"/>
        <w:tabs>
          <w:tab w:val="left" w:pos="900"/>
        </w:tabs>
        <w:ind w:left="567" w:hanging="567"/>
        <w:jc w:val="both"/>
        <w:rPr>
          <w:rFonts w:ascii="Times New Roman" w:hAnsi="Times New Roman" w:cs="Times New Roman"/>
          <w:sz w:val="24"/>
          <w:szCs w:val="24"/>
        </w:rPr>
      </w:pPr>
      <w:r w:rsidRPr="00784215">
        <w:rPr>
          <w:rFonts w:ascii="Times New Roman" w:hAnsi="Times New Roman" w:cs="Times New Roman"/>
          <w:sz w:val="24"/>
          <w:szCs w:val="24"/>
          <w:lang w:val="en-GB" w:eastAsia="ja-JP"/>
        </w:rPr>
        <w:t>[</w:t>
      </w:r>
      <w:r w:rsidR="00374C76">
        <w:rPr>
          <w:rFonts w:ascii="Times New Roman" w:hAnsi="Times New Roman" w:cs="Times New Roman"/>
          <w:sz w:val="24"/>
          <w:szCs w:val="24"/>
          <w:lang w:val="en-GB" w:eastAsia="ja-JP"/>
        </w:rPr>
        <w:t>26</w:t>
      </w:r>
      <w:r w:rsidR="00302CE0" w:rsidRPr="00A70D35">
        <w:rPr>
          <w:rFonts w:ascii="Times New Roman" w:hAnsi="Times New Roman" w:cs="Times New Roman"/>
          <w:sz w:val="24"/>
          <w:szCs w:val="24"/>
          <w:lang w:val="en-GB" w:eastAsia="ja-JP"/>
        </w:rPr>
        <w:t>]</w:t>
      </w:r>
      <w:r w:rsidR="00302CE0" w:rsidRPr="00A70D35">
        <w:rPr>
          <w:rFonts w:ascii="Times New Roman" w:hAnsi="Times New Roman" w:cs="Times New Roman"/>
          <w:sz w:val="24"/>
          <w:szCs w:val="24"/>
          <w:lang w:val="en-GB" w:eastAsia="ja-JP"/>
        </w:rPr>
        <w:tab/>
      </w:r>
      <w:r w:rsidR="006308EC">
        <w:rPr>
          <w:rFonts w:ascii="Times New Roman" w:hAnsi="Times New Roman" w:cs="Times New Roman"/>
          <w:sz w:val="24"/>
          <w:szCs w:val="24"/>
        </w:rPr>
        <w:t xml:space="preserve">H. </w:t>
      </w:r>
      <w:proofErr w:type="spellStart"/>
      <w:r w:rsidR="006308EC">
        <w:rPr>
          <w:rFonts w:ascii="Times New Roman" w:hAnsi="Times New Roman" w:cs="Times New Roman"/>
          <w:sz w:val="24"/>
          <w:szCs w:val="24"/>
        </w:rPr>
        <w:t>Rothenhöfer</w:t>
      </w:r>
      <w:proofErr w:type="spellEnd"/>
      <w:r w:rsidR="006308EC">
        <w:rPr>
          <w:rFonts w:ascii="Times New Roman" w:hAnsi="Times New Roman" w:cs="Times New Roman"/>
          <w:sz w:val="24"/>
          <w:szCs w:val="24"/>
        </w:rPr>
        <w:t xml:space="preserve">, A. </w:t>
      </w:r>
      <w:proofErr w:type="spellStart"/>
      <w:r w:rsidR="006308EC">
        <w:rPr>
          <w:rFonts w:ascii="Times New Roman" w:hAnsi="Times New Roman" w:cs="Times New Roman"/>
          <w:sz w:val="24"/>
          <w:szCs w:val="24"/>
        </w:rPr>
        <w:t>Manke</w:t>
      </w:r>
      <w:proofErr w:type="spellEnd"/>
      <w:r w:rsidR="006308EC">
        <w:rPr>
          <w:rFonts w:ascii="Times New Roman" w:hAnsi="Times New Roman" w:cs="Times New Roman"/>
          <w:sz w:val="24"/>
          <w:szCs w:val="24"/>
        </w:rPr>
        <w:t xml:space="preserve">, Monitoring with good cause – Basic principles and current status, PVP2013-97029, ASME 2013 </w:t>
      </w:r>
      <w:r w:rsidR="006308EC" w:rsidRPr="00704CA8">
        <w:rPr>
          <w:rFonts w:ascii="Times New Roman" w:hAnsi="Times New Roman" w:cs="Times New Roman"/>
          <w:sz w:val="24"/>
          <w:szCs w:val="24"/>
        </w:rPr>
        <w:t>Pressure Vessels &amp; Piping Division Conference</w:t>
      </w:r>
      <w:r w:rsidR="006308EC">
        <w:rPr>
          <w:rFonts w:ascii="Times New Roman" w:hAnsi="Times New Roman" w:cs="Times New Roman"/>
          <w:sz w:val="24"/>
          <w:szCs w:val="24"/>
        </w:rPr>
        <w:t>, Paris, France, 2013</w:t>
      </w:r>
    </w:p>
    <w:p w14:paraId="66D37153" w14:textId="3B7CE5CA" w:rsidR="00D033D2" w:rsidRPr="00A70D35" w:rsidRDefault="003D7E92" w:rsidP="003B39D9">
      <w:pPr>
        <w:pStyle w:val="References"/>
        <w:tabs>
          <w:tab w:val="left" w:pos="900"/>
        </w:tabs>
        <w:ind w:left="567" w:hanging="567"/>
        <w:jc w:val="both"/>
        <w:rPr>
          <w:rFonts w:ascii="Times New Roman" w:hAnsi="Times New Roman" w:cs="Times New Roman"/>
          <w:sz w:val="24"/>
          <w:szCs w:val="24"/>
          <w:lang w:val="en-GB"/>
        </w:rPr>
      </w:pPr>
      <w:r>
        <w:rPr>
          <w:rFonts w:ascii="Times New Roman" w:hAnsi="Times New Roman" w:cs="Times New Roman"/>
          <w:sz w:val="24"/>
          <w:szCs w:val="24"/>
          <w:lang w:val="en-GB" w:eastAsia="ja-JP"/>
        </w:rPr>
        <w:t>[</w:t>
      </w:r>
      <w:r w:rsidR="00374C76">
        <w:rPr>
          <w:rFonts w:ascii="Times New Roman" w:hAnsi="Times New Roman" w:cs="Times New Roman"/>
          <w:sz w:val="24"/>
          <w:szCs w:val="24"/>
          <w:lang w:val="en-GB" w:eastAsia="ja-JP"/>
        </w:rPr>
        <w:t>27</w:t>
      </w:r>
      <w:r w:rsidR="00D033D2" w:rsidRPr="00537252">
        <w:rPr>
          <w:rFonts w:ascii="Times New Roman" w:hAnsi="Times New Roman" w:cs="Times New Roman"/>
          <w:sz w:val="24"/>
          <w:szCs w:val="24"/>
          <w:lang w:val="en-GB" w:eastAsia="ja-JP"/>
        </w:rPr>
        <w:t>]</w:t>
      </w:r>
      <w:r w:rsidR="00D033D2" w:rsidRPr="00537252">
        <w:rPr>
          <w:rFonts w:ascii="Times New Roman" w:hAnsi="Times New Roman" w:cs="Times New Roman"/>
          <w:sz w:val="24"/>
          <w:szCs w:val="24"/>
          <w:lang w:val="en-GB" w:eastAsia="ja-JP"/>
        </w:rPr>
        <w:tab/>
        <w:t xml:space="preserve">B. </w:t>
      </w:r>
      <w:proofErr w:type="spellStart"/>
      <w:r w:rsidR="00D033D2" w:rsidRPr="00537252">
        <w:rPr>
          <w:rFonts w:ascii="Times New Roman" w:hAnsi="Times New Roman" w:cs="Times New Roman"/>
          <w:sz w:val="24"/>
          <w:szCs w:val="24"/>
          <w:lang w:val="en-GB" w:eastAsia="ja-JP"/>
        </w:rPr>
        <w:t>Jouan</w:t>
      </w:r>
      <w:proofErr w:type="spellEnd"/>
      <w:r w:rsidR="00D033D2" w:rsidRPr="00537252">
        <w:rPr>
          <w:rFonts w:ascii="Times New Roman" w:hAnsi="Times New Roman" w:cs="Times New Roman"/>
          <w:sz w:val="24"/>
          <w:szCs w:val="24"/>
          <w:lang w:val="en-GB" w:eastAsia="ja-JP"/>
        </w:rPr>
        <w:t xml:space="preserve">, S. </w:t>
      </w:r>
      <w:proofErr w:type="spellStart"/>
      <w:r w:rsidR="00D033D2" w:rsidRPr="00537252">
        <w:rPr>
          <w:rFonts w:ascii="Times New Roman" w:hAnsi="Times New Roman" w:cs="Times New Roman"/>
          <w:sz w:val="24"/>
          <w:szCs w:val="24"/>
          <w:lang w:val="en-GB" w:eastAsia="ja-JP"/>
        </w:rPr>
        <w:t>Bergholz</w:t>
      </w:r>
      <w:proofErr w:type="spellEnd"/>
      <w:r w:rsidR="00537252" w:rsidRPr="00537252">
        <w:rPr>
          <w:rFonts w:ascii="Times New Roman" w:hAnsi="Times New Roman" w:cs="Times New Roman"/>
          <w:sz w:val="24"/>
          <w:szCs w:val="24"/>
          <w:lang w:val="en-GB" w:eastAsia="ja-JP"/>
        </w:rPr>
        <w:t xml:space="preserve">, J. </w:t>
      </w:r>
      <w:r w:rsidR="00537252" w:rsidRPr="00A70D35">
        <w:rPr>
          <w:rFonts w:ascii="Times New Roman" w:hAnsi="Times New Roman" w:cs="Times New Roman"/>
          <w:sz w:val="24"/>
          <w:szCs w:val="24"/>
          <w:lang w:val="en-GB" w:eastAsia="ja-JP"/>
        </w:rPr>
        <w:t xml:space="preserve">Rudolph, G. König, A. </w:t>
      </w:r>
      <w:proofErr w:type="spellStart"/>
      <w:r w:rsidR="00537252" w:rsidRPr="00A70D35">
        <w:rPr>
          <w:rFonts w:ascii="Times New Roman" w:hAnsi="Times New Roman" w:cs="Times New Roman"/>
          <w:sz w:val="24"/>
          <w:szCs w:val="24"/>
          <w:lang w:val="en-GB" w:eastAsia="ja-JP"/>
        </w:rPr>
        <w:t>Manke</w:t>
      </w:r>
      <w:proofErr w:type="spellEnd"/>
      <w:r w:rsidR="00537252" w:rsidRPr="00A70D35">
        <w:rPr>
          <w:rFonts w:ascii="Times New Roman" w:hAnsi="Times New Roman" w:cs="Times New Roman"/>
          <w:sz w:val="24"/>
          <w:szCs w:val="24"/>
          <w:lang w:val="en-GB" w:eastAsia="ja-JP"/>
        </w:rPr>
        <w:t xml:space="preserve">, Automatic fatigue monitoring based on real loads – Calculation </w:t>
      </w:r>
      <w:r w:rsidR="00537252">
        <w:rPr>
          <w:rFonts w:ascii="Times New Roman" w:hAnsi="Times New Roman" w:cs="Times New Roman"/>
          <w:sz w:val="24"/>
          <w:szCs w:val="24"/>
          <w:lang w:val="en-GB" w:eastAsia="ja-JP"/>
        </w:rPr>
        <w:t xml:space="preserve">example of a flange, PVP2013-97660, </w:t>
      </w:r>
      <w:r w:rsidR="00537252">
        <w:rPr>
          <w:rFonts w:ascii="Times New Roman" w:hAnsi="Times New Roman" w:cs="Times New Roman"/>
          <w:sz w:val="24"/>
          <w:szCs w:val="24"/>
        </w:rPr>
        <w:t xml:space="preserve">ASME 2013 </w:t>
      </w:r>
      <w:r w:rsidR="00537252" w:rsidRPr="00704CA8">
        <w:rPr>
          <w:rFonts w:ascii="Times New Roman" w:hAnsi="Times New Roman" w:cs="Times New Roman"/>
          <w:sz w:val="24"/>
          <w:szCs w:val="24"/>
        </w:rPr>
        <w:t>Pressure Vessels &amp; Piping Division Conference</w:t>
      </w:r>
      <w:r w:rsidR="00537252">
        <w:rPr>
          <w:rFonts w:ascii="Times New Roman" w:hAnsi="Times New Roman" w:cs="Times New Roman"/>
          <w:sz w:val="24"/>
          <w:szCs w:val="24"/>
        </w:rPr>
        <w:t>, Paris, France, 2013</w:t>
      </w:r>
    </w:p>
    <w:p w14:paraId="58AF6839" w14:textId="2394A23D" w:rsidR="00500CCD" w:rsidRDefault="00784215"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lang w:val="en-GB" w:eastAsia="ja-JP"/>
        </w:rPr>
        <w:t>[</w:t>
      </w:r>
      <w:r w:rsidR="00374C76">
        <w:rPr>
          <w:rFonts w:ascii="Times New Roman" w:hAnsi="Times New Roman" w:cs="Times New Roman"/>
          <w:sz w:val="24"/>
          <w:szCs w:val="24"/>
          <w:lang w:val="en-GB" w:eastAsia="ja-JP"/>
        </w:rPr>
        <w:t>28</w:t>
      </w:r>
      <w:r w:rsidR="00500CCD">
        <w:rPr>
          <w:rFonts w:ascii="Times New Roman" w:hAnsi="Times New Roman" w:cs="Times New Roman"/>
          <w:sz w:val="24"/>
          <w:szCs w:val="24"/>
          <w:lang w:val="en-GB" w:eastAsia="ja-JP"/>
        </w:rPr>
        <w:t>]</w:t>
      </w:r>
      <w:r w:rsidR="00500CCD">
        <w:rPr>
          <w:rFonts w:ascii="Times New Roman" w:hAnsi="Times New Roman" w:cs="Times New Roman"/>
          <w:sz w:val="24"/>
          <w:szCs w:val="24"/>
          <w:lang w:val="en-GB" w:eastAsia="ja-JP"/>
        </w:rPr>
        <w:tab/>
      </w:r>
      <w:r w:rsidR="00500CCD" w:rsidRPr="00A70D35">
        <w:rPr>
          <w:rFonts w:ascii="Times New Roman" w:hAnsi="Times New Roman" w:cs="Times New Roman"/>
          <w:sz w:val="24"/>
          <w:szCs w:val="24"/>
        </w:rPr>
        <w:t xml:space="preserve">M.H.C. </w:t>
      </w:r>
      <w:proofErr w:type="spellStart"/>
      <w:r w:rsidR="00500CCD" w:rsidRPr="00A70D35">
        <w:rPr>
          <w:rFonts w:ascii="Times New Roman" w:hAnsi="Times New Roman" w:cs="Times New Roman"/>
          <w:sz w:val="24"/>
          <w:szCs w:val="24"/>
        </w:rPr>
        <w:t>Hannink</w:t>
      </w:r>
      <w:proofErr w:type="spellEnd"/>
      <w:r w:rsidR="00500CCD" w:rsidRPr="00A70D35">
        <w:rPr>
          <w:rFonts w:ascii="Times New Roman" w:hAnsi="Times New Roman" w:cs="Times New Roman"/>
          <w:sz w:val="24"/>
          <w:szCs w:val="24"/>
        </w:rPr>
        <w:t xml:space="preserve">, C.G.M. de </w:t>
      </w:r>
      <w:proofErr w:type="spellStart"/>
      <w:r w:rsidR="00500CCD" w:rsidRPr="00A70D35">
        <w:rPr>
          <w:rFonts w:ascii="Times New Roman" w:hAnsi="Times New Roman" w:cs="Times New Roman"/>
          <w:sz w:val="24"/>
          <w:szCs w:val="24"/>
        </w:rPr>
        <w:t>Bont</w:t>
      </w:r>
      <w:proofErr w:type="spellEnd"/>
      <w:r w:rsidR="00500CCD" w:rsidRPr="00A70D35">
        <w:rPr>
          <w:rFonts w:ascii="Times New Roman" w:hAnsi="Times New Roman" w:cs="Times New Roman"/>
          <w:sz w:val="24"/>
          <w:szCs w:val="24"/>
        </w:rPr>
        <w:t xml:space="preserve">, F.J. </w:t>
      </w:r>
      <w:proofErr w:type="spellStart"/>
      <w:r w:rsidR="00500CCD" w:rsidRPr="00A70D35">
        <w:rPr>
          <w:rFonts w:ascii="Times New Roman" w:hAnsi="Times New Roman" w:cs="Times New Roman"/>
          <w:sz w:val="24"/>
          <w:szCs w:val="24"/>
        </w:rPr>
        <w:t>Blom</w:t>
      </w:r>
      <w:proofErr w:type="spellEnd"/>
      <w:r w:rsidR="00500CCD" w:rsidRPr="00A70D35">
        <w:rPr>
          <w:rFonts w:ascii="Times New Roman" w:hAnsi="Times New Roman" w:cs="Times New Roman"/>
          <w:sz w:val="24"/>
          <w:szCs w:val="24"/>
        </w:rPr>
        <w:t xml:space="preserve">, P.W.B. Quist, A.E. de Jong, W. </w:t>
      </w:r>
      <w:proofErr w:type="spellStart"/>
      <w:r w:rsidR="00500CCD" w:rsidRPr="00A70D35">
        <w:rPr>
          <w:rFonts w:ascii="Times New Roman" w:hAnsi="Times New Roman" w:cs="Times New Roman"/>
          <w:sz w:val="24"/>
          <w:szCs w:val="24"/>
        </w:rPr>
        <w:t>Besuijen</w:t>
      </w:r>
      <w:proofErr w:type="spellEnd"/>
      <w:r w:rsidR="00500CCD" w:rsidRPr="00A70D35">
        <w:rPr>
          <w:rFonts w:ascii="Times New Roman" w:hAnsi="Times New Roman" w:cs="Times New Roman"/>
          <w:sz w:val="24"/>
          <w:szCs w:val="24"/>
        </w:rPr>
        <w:t xml:space="preserve">, Fatigue Management during LTO of NPP </w:t>
      </w:r>
      <w:proofErr w:type="spellStart"/>
      <w:r w:rsidR="00500CCD" w:rsidRPr="00A70D35">
        <w:rPr>
          <w:rFonts w:ascii="Times New Roman" w:hAnsi="Times New Roman" w:cs="Times New Roman"/>
          <w:sz w:val="24"/>
          <w:szCs w:val="24"/>
        </w:rPr>
        <w:t>Borssele</w:t>
      </w:r>
      <w:proofErr w:type="spellEnd"/>
      <w:r w:rsidR="00500CCD" w:rsidRPr="00A70D35">
        <w:rPr>
          <w:rFonts w:ascii="Times New Roman" w:hAnsi="Times New Roman" w:cs="Times New Roman"/>
          <w:sz w:val="24"/>
          <w:szCs w:val="24"/>
        </w:rPr>
        <w:t>, PVP20</w:t>
      </w:r>
      <w:r w:rsidR="00500CCD" w:rsidRPr="00500CCD">
        <w:rPr>
          <w:rFonts w:ascii="Times New Roman" w:hAnsi="Times New Roman" w:cs="Times New Roman"/>
          <w:sz w:val="24"/>
          <w:szCs w:val="24"/>
        </w:rPr>
        <w:t xml:space="preserve">16-63247, </w:t>
      </w:r>
      <w:r w:rsidR="00500CCD" w:rsidRPr="00A70D35">
        <w:rPr>
          <w:rFonts w:ascii="Times New Roman" w:hAnsi="Times New Roman" w:cs="Times New Roman"/>
          <w:sz w:val="24"/>
          <w:szCs w:val="24"/>
        </w:rPr>
        <w:t>ASME 2016 Pressure Vessels &amp; Piping Division Conference, Vancouver, Canada, 2016</w:t>
      </w:r>
    </w:p>
    <w:p w14:paraId="5C3E4233" w14:textId="3A1D6272" w:rsidR="008775BD" w:rsidRDefault="002A7E07" w:rsidP="003B39D9">
      <w:pPr>
        <w:pStyle w:val="References"/>
        <w:tabs>
          <w:tab w:val="left" w:pos="900"/>
        </w:tabs>
        <w:ind w:left="567" w:hanging="567"/>
        <w:jc w:val="both"/>
        <w:rPr>
          <w:rFonts w:ascii="Times New Roman" w:hAnsi="Times New Roman" w:cs="Times New Roman"/>
          <w:sz w:val="24"/>
          <w:szCs w:val="24"/>
        </w:rPr>
      </w:pPr>
      <w:r>
        <w:rPr>
          <w:rFonts w:ascii="Times New Roman" w:hAnsi="Times New Roman" w:cs="Times New Roman"/>
          <w:sz w:val="24"/>
          <w:szCs w:val="24"/>
        </w:rPr>
        <w:t>[</w:t>
      </w:r>
      <w:r w:rsidR="00374C76">
        <w:rPr>
          <w:rFonts w:ascii="Times New Roman" w:hAnsi="Times New Roman" w:cs="Times New Roman"/>
          <w:sz w:val="24"/>
          <w:szCs w:val="24"/>
        </w:rPr>
        <w:t>29</w:t>
      </w:r>
      <w:r w:rsidR="008775BD">
        <w:rPr>
          <w:rFonts w:ascii="Times New Roman" w:hAnsi="Times New Roman" w:cs="Times New Roman"/>
          <w:sz w:val="24"/>
          <w:szCs w:val="24"/>
        </w:rPr>
        <w:t>]</w:t>
      </w:r>
      <w:r w:rsidR="008775BD">
        <w:rPr>
          <w:rFonts w:ascii="Times New Roman" w:hAnsi="Times New Roman" w:cs="Times New Roman"/>
          <w:sz w:val="24"/>
          <w:szCs w:val="24"/>
        </w:rPr>
        <w:tab/>
        <w:t xml:space="preserve">UNITED STATES NUCLEAR REGULATORY COMMISSION, 10 CFR Part 50, Appendix B, Quality Assurance criteria for Nuclear Power plants, Office of the Federal, Register, National Archives and Records Administration, UNRC, </w:t>
      </w:r>
      <w:r w:rsidR="000609DE">
        <w:rPr>
          <w:rFonts w:ascii="Times New Roman" w:hAnsi="Times New Roman" w:cs="Times New Roman"/>
          <w:sz w:val="24"/>
          <w:szCs w:val="24"/>
        </w:rPr>
        <w:t>Latest Edition</w:t>
      </w:r>
    </w:p>
    <w:p w14:paraId="5B7E8328" w14:textId="77777777" w:rsidR="008B20F5" w:rsidRPr="00A70D35" w:rsidRDefault="008B20F5" w:rsidP="00662B1D">
      <w:pPr>
        <w:pStyle w:val="References"/>
        <w:tabs>
          <w:tab w:val="left" w:pos="900"/>
        </w:tabs>
        <w:ind w:left="0" w:firstLine="0"/>
        <w:rPr>
          <w:rFonts w:ascii="Times New Roman" w:hAnsi="Times New Roman" w:cs="Times New Roman"/>
          <w:sz w:val="24"/>
          <w:szCs w:val="24"/>
          <w:lang w:val="en-GB"/>
        </w:rPr>
      </w:pPr>
    </w:p>
    <w:sectPr w:rsidR="008B20F5" w:rsidRPr="00A70D35" w:rsidSect="00662B1D">
      <w:footerReference w:type="even" r:id="rId12"/>
      <w:footerReference w:type="default" r:id="rId13"/>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956A1" w14:textId="77777777" w:rsidR="00C9651A" w:rsidRDefault="00C9651A">
      <w:r>
        <w:separator/>
      </w:r>
    </w:p>
  </w:endnote>
  <w:endnote w:type="continuationSeparator" w:id="0">
    <w:p w14:paraId="78C3CB82" w14:textId="77777777" w:rsidR="00C9651A" w:rsidRDefault="00C9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utura Std Book">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C8F71" w14:textId="77777777" w:rsidR="000D2BCB" w:rsidRDefault="000D2BCB"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9670" w14:textId="29C76DCA" w:rsidR="000D2BCB" w:rsidRPr="00AC1127" w:rsidRDefault="000D2BCB" w:rsidP="00F84AD6">
    <w:pPr>
      <w:tabs>
        <w:tab w:val="center" w:pos="4680"/>
        <w:tab w:val="right" w:pos="9360"/>
      </w:tabs>
      <w:rPr>
        <w:sz w:val="20"/>
      </w:rPr>
    </w:pPr>
    <w:r>
      <w:rPr>
        <w:sz w:val="20"/>
      </w:rPr>
      <w:tab/>
    </w:r>
    <w:r w:rsidRPr="00E12010">
      <w:rPr>
        <w:sz w:val="20"/>
      </w:rPr>
      <w:fldChar w:fldCharType="begin"/>
    </w:r>
    <w:r w:rsidRPr="00E12010">
      <w:rPr>
        <w:sz w:val="20"/>
      </w:rPr>
      <w:instrText xml:space="preserve"> PAGE  \* MERGEFORMAT </w:instrText>
    </w:r>
    <w:r w:rsidRPr="00E12010">
      <w:rPr>
        <w:sz w:val="20"/>
      </w:rPr>
      <w:fldChar w:fldCharType="separate"/>
    </w:r>
    <w:r w:rsidR="001609CF">
      <w:rPr>
        <w:noProof/>
        <w:sz w:val="20"/>
      </w:rPr>
      <w:t>7</w:t>
    </w:r>
    <w:r w:rsidRPr="00E12010">
      <w:rPr>
        <w:sz w:val="20"/>
      </w:rPr>
      <w:fldChar w:fldCharType="end"/>
    </w:r>
    <w:r w:rsidRPr="00E12010">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CE8D5" w14:textId="77777777" w:rsidR="00C9651A" w:rsidRDefault="00C9651A">
      <w:r>
        <w:separator/>
      </w:r>
    </w:p>
  </w:footnote>
  <w:footnote w:type="continuationSeparator" w:id="0">
    <w:p w14:paraId="609BD116" w14:textId="77777777" w:rsidR="00C9651A" w:rsidRDefault="00C96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2" w15:restartNumberingAfterBreak="0">
    <w:nsid w:val="107054DE"/>
    <w:multiLevelType w:val="hybridMultilevel"/>
    <w:tmpl w:val="440857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4" w15:restartNumberingAfterBreak="0">
    <w:nsid w:val="5660760C"/>
    <w:multiLevelType w:val="hybridMultilevel"/>
    <w:tmpl w:val="02B2B638"/>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923521E"/>
    <w:multiLevelType w:val="hybridMultilevel"/>
    <w:tmpl w:val="206E9F04"/>
    <w:lvl w:ilvl="0" w:tplc="F20A1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95272"/>
    <w:multiLevelType w:val="hybridMultilevel"/>
    <w:tmpl w:val="3FB8D298"/>
    <w:lvl w:ilvl="0" w:tplc="1C0E94C8">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3"/>
  </w:num>
  <w:num w:numId="8">
    <w:abstractNumId w:val="4"/>
  </w:num>
  <w:num w:numId="9">
    <w:abstractNumId w:val="2"/>
  </w:num>
  <w:num w:numId="10">
    <w:abstractNumId w:val="1"/>
  </w:num>
  <w:num w:numId="11">
    <w:abstractNumId w:val="5"/>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D6"/>
    <w:rsid w:val="00004CCA"/>
    <w:rsid w:val="000062F9"/>
    <w:rsid w:val="00010691"/>
    <w:rsid w:val="00011FA7"/>
    <w:rsid w:val="0001291C"/>
    <w:rsid w:val="00015AB8"/>
    <w:rsid w:val="000161E9"/>
    <w:rsid w:val="0002000D"/>
    <w:rsid w:val="00020372"/>
    <w:rsid w:val="00021D8B"/>
    <w:rsid w:val="00022637"/>
    <w:rsid w:val="00032551"/>
    <w:rsid w:val="00033F56"/>
    <w:rsid w:val="00034313"/>
    <w:rsid w:val="00042918"/>
    <w:rsid w:val="0005309E"/>
    <w:rsid w:val="000609DE"/>
    <w:rsid w:val="00061098"/>
    <w:rsid w:val="000640D3"/>
    <w:rsid w:val="0006442B"/>
    <w:rsid w:val="00064936"/>
    <w:rsid w:val="00065F54"/>
    <w:rsid w:val="000703C6"/>
    <w:rsid w:val="0008545D"/>
    <w:rsid w:val="00085ED9"/>
    <w:rsid w:val="00087F90"/>
    <w:rsid w:val="000936C2"/>
    <w:rsid w:val="00094765"/>
    <w:rsid w:val="00094833"/>
    <w:rsid w:val="0009682F"/>
    <w:rsid w:val="00097245"/>
    <w:rsid w:val="00097DC1"/>
    <w:rsid w:val="000A14F0"/>
    <w:rsid w:val="000A7AA4"/>
    <w:rsid w:val="000B2927"/>
    <w:rsid w:val="000B6BCD"/>
    <w:rsid w:val="000C2FBA"/>
    <w:rsid w:val="000C3D95"/>
    <w:rsid w:val="000C4C57"/>
    <w:rsid w:val="000C6598"/>
    <w:rsid w:val="000C75CE"/>
    <w:rsid w:val="000D2BCB"/>
    <w:rsid w:val="000D5EC3"/>
    <w:rsid w:val="000D703C"/>
    <w:rsid w:val="000D7D96"/>
    <w:rsid w:val="000E050E"/>
    <w:rsid w:val="000E22B1"/>
    <w:rsid w:val="000E37F5"/>
    <w:rsid w:val="000E3D33"/>
    <w:rsid w:val="000E4F51"/>
    <w:rsid w:val="000E5490"/>
    <w:rsid w:val="000E5C1C"/>
    <w:rsid w:val="000E6BAB"/>
    <w:rsid w:val="000E78AB"/>
    <w:rsid w:val="000E79D3"/>
    <w:rsid w:val="000E7AC5"/>
    <w:rsid w:val="000F7598"/>
    <w:rsid w:val="00105C92"/>
    <w:rsid w:val="00105DC2"/>
    <w:rsid w:val="0010745D"/>
    <w:rsid w:val="00111F2E"/>
    <w:rsid w:val="001135D7"/>
    <w:rsid w:val="001161DB"/>
    <w:rsid w:val="00125C48"/>
    <w:rsid w:val="00126734"/>
    <w:rsid w:val="001272BC"/>
    <w:rsid w:val="001324E3"/>
    <w:rsid w:val="001428BF"/>
    <w:rsid w:val="00144901"/>
    <w:rsid w:val="00145649"/>
    <w:rsid w:val="00157AC1"/>
    <w:rsid w:val="001609CF"/>
    <w:rsid w:val="00162858"/>
    <w:rsid w:val="001636EA"/>
    <w:rsid w:val="001655F1"/>
    <w:rsid w:val="00170B32"/>
    <w:rsid w:val="00170CFE"/>
    <w:rsid w:val="001716DF"/>
    <w:rsid w:val="00172A02"/>
    <w:rsid w:val="00177102"/>
    <w:rsid w:val="001810F4"/>
    <w:rsid w:val="00184830"/>
    <w:rsid w:val="00187116"/>
    <w:rsid w:val="00195F1B"/>
    <w:rsid w:val="001A1475"/>
    <w:rsid w:val="001A4B37"/>
    <w:rsid w:val="001A56A9"/>
    <w:rsid w:val="001A613C"/>
    <w:rsid w:val="001B1533"/>
    <w:rsid w:val="001B59EC"/>
    <w:rsid w:val="001B5E7B"/>
    <w:rsid w:val="001B75BC"/>
    <w:rsid w:val="001C0A68"/>
    <w:rsid w:val="001C2DDA"/>
    <w:rsid w:val="001C34BD"/>
    <w:rsid w:val="001C3F5E"/>
    <w:rsid w:val="001D1612"/>
    <w:rsid w:val="001D340F"/>
    <w:rsid w:val="001D3FD9"/>
    <w:rsid w:val="001D4C6F"/>
    <w:rsid w:val="001D5617"/>
    <w:rsid w:val="001D57D6"/>
    <w:rsid w:val="001D6367"/>
    <w:rsid w:val="001E0780"/>
    <w:rsid w:val="001E49C6"/>
    <w:rsid w:val="001E638D"/>
    <w:rsid w:val="001E73FB"/>
    <w:rsid w:val="002025BE"/>
    <w:rsid w:val="00202A30"/>
    <w:rsid w:val="0020330F"/>
    <w:rsid w:val="002043A3"/>
    <w:rsid w:val="00207959"/>
    <w:rsid w:val="002108B0"/>
    <w:rsid w:val="0022062E"/>
    <w:rsid w:val="002219CD"/>
    <w:rsid w:val="00221E4C"/>
    <w:rsid w:val="00222B1A"/>
    <w:rsid w:val="00225409"/>
    <w:rsid w:val="00225EA5"/>
    <w:rsid w:val="002309AF"/>
    <w:rsid w:val="002418F0"/>
    <w:rsid w:val="00242541"/>
    <w:rsid w:val="00243EB4"/>
    <w:rsid w:val="002467DE"/>
    <w:rsid w:val="00247578"/>
    <w:rsid w:val="00252C3A"/>
    <w:rsid w:val="00254308"/>
    <w:rsid w:val="00254D95"/>
    <w:rsid w:val="002554CE"/>
    <w:rsid w:val="00255C06"/>
    <w:rsid w:val="00256869"/>
    <w:rsid w:val="002613AD"/>
    <w:rsid w:val="00261647"/>
    <w:rsid w:val="00263D60"/>
    <w:rsid w:val="00264074"/>
    <w:rsid w:val="002678FC"/>
    <w:rsid w:val="002706CD"/>
    <w:rsid w:val="002736DB"/>
    <w:rsid w:val="00273846"/>
    <w:rsid w:val="00273BB2"/>
    <w:rsid w:val="00275D64"/>
    <w:rsid w:val="00285E3E"/>
    <w:rsid w:val="002875CB"/>
    <w:rsid w:val="002901F9"/>
    <w:rsid w:val="002958FF"/>
    <w:rsid w:val="00297C6A"/>
    <w:rsid w:val="002A1A93"/>
    <w:rsid w:val="002A2B03"/>
    <w:rsid w:val="002A47AC"/>
    <w:rsid w:val="002A51B9"/>
    <w:rsid w:val="002A7E07"/>
    <w:rsid w:val="002A7FE6"/>
    <w:rsid w:val="002B3DF4"/>
    <w:rsid w:val="002B7222"/>
    <w:rsid w:val="002C579C"/>
    <w:rsid w:val="002C608D"/>
    <w:rsid w:val="002C65C4"/>
    <w:rsid w:val="002C7962"/>
    <w:rsid w:val="002D5F55"/>
    <w:rsid w:val="002E0608"/>
    <w:rsid w:val="002E0FA4"/>
    <w:rsid w:val="002E6771"/>
    <w:rsid w:val="002F2E8E"/>
    <w:rsid w:val="002F346E"/>
    <w:rsid w:val="002F7D1E"/>
    <w:rsid w:val="002F7DF4"/>
    <w:rsid w:val="00302CE0"/>
    <w:rsid w:val="003065BA"/>
    <w:rsid w:val="003109DC"/>
    <w:rsid w:val="0031172D"/>
    <w:rsid w:val="00311A61"/>
    <w:rsid w:val="00313E69"/>
    <w:rsid w:val="00316288"/>
    <w:rsid w:val="00321164"/>
    <w:rsid w:val="0032271F"/>
    <w:rsid w:val="00323C2C"/>
    <w:rsid w:val="003333FB"/>
    <w:rsid w:val="0033455B"/>
    <w:rsid w:val="00336D12"/>
    <w:rsid w:val="00342928"/>
    <w:rsid w:val="0035235E"/>
    <w:rsid w:val="00353654"/>
    <w:rsid w:val="00360B4A"/>
    <w:rsid w:val="0036560A"/>
    <w:rsid w:val="00374C76"/>
    <w:rsid w:val="00382782"/>
    <w:rsid w:val="00384BA9"/>
    <w:rsid w:val="00390FD5"/>
    <w:rsid w:val="0039220F"/>
    <w:rsid w:val="00394933"/>
    <w:rsid w:val="00396FDA"/>
    <w:rsid w:val="003A0D65"/>
    <w:rsid w:val="003A608C"/>
    <w:rsid w:val="003A6953"/>
    <w:rsid w:val="003A6A45"/>
    <w:rsid w:val="003B03BB"/>
    <w:rsid w:val="003B27D5"/>
    <w:rsid w:val="003B31FA"/>
    <w:rsid w:val="003B38A3"/>
    <w:rsid w:val="003B38EC"/>
    <w:rsid w:val="003B39D9"/>
    <w:rsid w:val="003B4401"/>
    <w:rsid w:val="003B51AF"/>
    <w:rsid w:val="003B5BC1"/>
    <w:rsid w:val="003B70B2"/>
    <w:rsid w:val="003B7630"/>
    <w:rsid w:val="003C012A"/>
    <w:rsid w:val="003C2C66"/>
    <w:rsid w:val="003C303A"/>
    <w:rsid w:val="003C74CA"/>
    <w:rsid w:val="003C7567"/>
    <w:rsid w:val="003D2054"/>
    <w:rsid w:val="003D5709"/>
    <w:rsid w:val="003D7E92"/>
    <w:rsid w:val="003E77FC"/>
    <w:rsid w:val="003E7968"/>
    <w:rsid w:val="003F1B6A"/>
    <w:rsid w:val="003F1C01"/>
    <w:rsid w:val="003F3DD4"/>
    <w:rsid w:val="0040306F"/>
    <w:rsid w:val="00403D07"/>
    <w:rsid w:val="00410474"/>
    <w:rsid w:val="0041366E"/>
    <w:rsid w:val="00414157"/>
    <w:rsid w:val="0042223C"/>
    <w:rsid w:val="00423599"/>
    <w:rsid w:val="00426ECA"/>
    <w:rsid w:val="00430342"/>
    <w:rsid w:val="00433B0A"/>
    <w:rsid w:val="00435DFC"/>
    <w:rsid w:val="00436525"/>
    <w:rsid w:val="004429D2"/>
    <w:rsid w:val="00443410"/>
    <w:rsid w:val="00445699"/>
    <w:rsid w:val="00446CAF"/>
    <w:rsid w:val="004514DD"/>
    <w:rsid w:val="004528B8"/>
    <w:rsid w:val="0045517F"/>
    <w:rsid w:val="00455C7A"/>
    <w:rsid w:val="004564A6"/>
    <w:rsid w:val="00467670"/>
    <w:rsid w:val="00471359"/>
    <w:rsid w:val="004724AB"/>
    <w:rsid w:val="00474D7E"/>
    <w:rsid w:val="004822AD"/>
    <w:rsid w:val="00482613"/>
    <w:rsid w:val="004859A6"/>
    <w:rsid w:val="00486A57"/>
    <w:rsid w:val="004906DF"/>
    <w:rsid w:val="004A27F1"/>
    <w:rsid w:val="004A5DCE"/>
    <w:rsid w:val="004B5C1E"/>
    <w:rsid w:val="004B6BDF"/>
    <w:rsid w:val="004B75D7"/>
    <w:rsid w:val="004C1EE9"/>
    <w:rsid w:val="004C3446"/>
    <w:rsid w:val="004C4E0F"/>
    <w:rsid w:val="004D08D4"/>
    <w:rsid w:val="004D34DC"/>
    <w:rsid w:val="004D6C1B"/>
    <w:rsid w:val="004E3D90"/>
    <w:rsid w:val="004E75BC"/>
    <w:rsid w:val="004F3044"/>
    <w:rsid w:val="004F4BC6"/>
    <w:rsid w:val="004F6336"/>
    <w:rsid w:val="00500CCD"/>
    <w:rsid w:val="005011EC"/>
    <w:rsid w:val="00503893"/>
    <w:rsid w:val="005070EB"/>
    <w:rsid w:val="00512BA8"/>
    <w:rsid w:val="005148B6"/>
    <w:rsid w:val="00517214"/>
    <w:rsid w:val="00517C36"/>
    <w:rsid w:val="00520871"/>
    <w:rsid w:val="0052363A"/>
    <w:rsid w:val="00524F63"/>
    <w:rsid w:val="005322A7"/>
    <w:rsid w:val="00536B25"/>
    <w:rsid w:val="00536F19"/>
    <w:rsid w:val="00537252"/>
    <w:rsid w:val="00540DFA"/>
    <w:rsid w:val="005423A5"/>
    <w:rsid w:val="00542CA5"/>
    <w:rsid w:val="0054424F"/>
    <w:rsid w:val="00545AA3"/>
    <w:rsid w:val="00547EDC"/>
    <w:rsid w:val="00553330"/>
    <w:rsid w:val="00555086"/>
    <w:rsid w:val="00564416"/>
    <w:rsid w:val="00567D25"/>
    <w:rsid w:val="00571B2C"/>
    <w:rsid w:val="005756CE"/>
    <w:rsid w:val="00576129"/>
    <w:rsid w:val="00576176"/>
    <w:rsid w:val="005765D5"/>
    <w:rsid w:val="00580A85"/>
    <w:rsid w:val="005843AF"/>
    <w:rsid w:val="00584831"/>
    <w:rsid w:val="0058519E"/>
    <w:rsid w:val="00594280"/>
    <w:rsid w:val="00597254"/>
    <w:rsid w:val="00597C4C"/>
    <w:rsid w:val="005A0D49"/>
    <w:rsid w:val="005A19C0"/>
    <w:rsid w:val="005A211C"/>
    <w:rsid w:val="005A25C8"/>
    <w:rsid w:val="005A558B"/>
    <w:rsid w:val="005A6DAC"/>
    <w:rsid w:val="005A710D"/>
    <w:rsid w:val="005B0B02"/>
    <w:rsid w:val="005B2A49"/>
    <w:rsid w:val="005B49A6"/>
    <w:rsid w:val="005B58E7"/>
    <w:rsid w:val="005B5C52"/>
    <w:rsid w:val="005B5D6E"/>
    <w:rsid w:val="005C09A0"/>
    <w:rsid w:val="005C3002"/>
    <w:rsid w:val="005D0404"/>
    <w:rsid w:val="005E4DE0"/>
    <w:rsid w:val="005E60C6"/>
    <w:rsid w:val="005E6D1B"/>
    <w:rsid w:val="005F0956"/>
    <w:rsid w:val="005F4A27"/>
    <w:rsid w:val="00610188"/>
    <w:rsid w:val="00612800"/>
    <w:rsid w:val="00614992"/>
    <w:rsid w:val="006160DD"/>
    <w:rsid w:val="00620570"/>
    <w:rsid w:val="00622F3F"/>
    <w:rsid w:val="00627B6B"/>
    <w:rsid w:val="006308EC"/>
    <w:rsid w:val="00633FD1"/>
    <w:rsid w:val="00640785"/>
    <w:rsid w:val="0064140D"/>
    <w:rsid w:val="00641A49"/>
    <w:rsid w:val="0064292B"/>
    <w:rsid w:val="00644C55"/>
    <w:rsid w:val="006518C5"/>
    <w:rsid w:val="00652A87"/>
    <w:rsid w:val="00652C7B"/>
    <w:rsid w:val="00655854"/>
    <w:rsid w:val="00662A4C"/>
    <w:rsid w:val="00662B1D"/>
    <w:rsid w:val="00665BAE"/>
    <w:rsid w:val="00672341"/>
    <w:rsid w:val="006807D5"/>
    <w:rsid w:val="00680F5D"/>
    <w:rsid w:val="0068247F"/>
    <w:rsid w:val="006848FD"/>
    <w:rsid w:val="00684A23"/>
    <w:rsid w:val="006909B2"/>
    <w:rsid w:val="006947A8"/>
    <w:rsid w:val="00695B52"/>
    <w:rsid w:val="00697953"/>
    <w:rsid w:val="00697974"/>
    <w:rsid w:val="006A124B"/>
    <w:rsid w:val="006A1705"/>
    <w:rsid w:val="006A23BA"/>
    <w:rsid w:val="006B1023"/>
    <w:rsid w:val="006B3513"/>
    <w:rsid w:val="006B355B"/>
    <w:rsid w:val="006B535E"/>
    <w:rsid w:val="006B55B8"/>
    <w:rsid w:val="006B561C"/>
    <w:rsid w:val="006B6872"/>
    <w:rsid w:val="006C0D16"/>
    <w:rsid w:val="006C1B1B"/>
    <w:rsid w:val="006C4AF8"/>
    <w:rsid w:val="006C508B"/>
    <w:rsid w:val="006D0A36"/>
    <w:rsid w:val="006D41ED"/>
    <w:rsid w:val="006D612A"/>
    <w:rsid w:val="006E1283"/>
    <w:rsid w:val="006E1F32"/>
    <w:rsid w:val="006E3B2C"/>
    <w:rsid w:val="006E6BAB"/>
    <w:rsid w:val="006F269D"/>
    <w:rsid w:val="006F3FB1"/>
    <w:rsid w:val="006F5FB7"/>
    <w:rsid w:val="006F754B"/>
    <w:rsid w:val="0070117D"/>
    <w:rsid w:val="00703F32"/>
    <w:rsid w:val="0071521F"/>
    <w:rsid w:val="00716E26"/>
    <w:rsid w:val="00716E65"/>
    <w:rsid w:val="00720CAA"/>
    <w:rsid w:val="00722D07"/>
    <w:rsid w:val="00723493"/>
    <w:rsid w:val="00725D8E"/>
    <w:rsid w:val="0073120A"/>
    <w:rsid w:val="00733AAD"/>
    <w:rsid w:val="00734570"/>
    <w:rsid w:val="007356B6"/>
    <w:rsid w:val="007360BE"/>
    <w:rsid w:val="00742ACB"/>
    <w:rsid w:val="00745330"/>
    <w:rsid w:val="0074609B"/>
    <w:rsid w:val="00747218"/>
    <w:rsid w:val="00754E0B"/>
    <w:rsid w:val="0075649F"/>
    <w:rsid w:val="007565BE"/>
    <w:rsid w:val="00757188"/>
    <w:rsid w:val="007621D1"/>
    <w:rsid w:val="00765CC4"/>
    <w:rsid w:val="00767C9B"/>
    <w:rsid w:val="00770185"/>
    <w:rsid w:val="007733E0"/>
    <w:rsid w:val="00776762"/>
    <w:rsid w:val="00776B7E"/>
    <w:rsid w:val="00784215"/>
    <w:rsid w:val="007847D3"/>
    <w:rsid w:val="007851E1"/>
    <w:rsid w:val="00787182"/>
    <w:rsid w:val="00792BB0"/>
    <w:rsid w:val="00793401"/>
    <w:rsid w:val="00796035"/>
    <w:rsid w:val="00796AA8"/>
    <w:rsid w:val="007970F9"/>
    <w:rsid w:val="0079725B"/>
    <w:rsid w:val="0079756F"/>
    <w:rsid w:val="00797AC3"/>
    <w:rsid w:val="007A0B88"/>
    <w:rsid w:val="007A1673"/>
    <w:rsid w:val="007A592E"/>
    <w:rsid w:val="007A6D99"/>
    <w:rsid w:val="007A7EDB"/>
    <w:rsid w:val="007B1ACD"/>
    <w:rsid w:val="007B200A"/>
    <w:rsid w:val="007B24B0"/>
    <w:rsid w:val="007B2DFE"/>
    <w:rsid w:val="007B3137"/>
    <w:rsid w:val="007B6E69"/>
    <w:rsid w:val="007B780D"/>
    <w:rsid w:val="007C210E"/>
    <w:rsid w:val="007C3065"/>
    <w:rsid w:val="007D5D40"/>
    <w:rsid w:val="007D7A0E"/>
    <w:rsid w:val="007E00C0"/>
    <w:rsid w:val="007E20EA"/>
    <w:rsid w:val="007E2799"/>
    <w:rsid w:val="007E28DC"/>
    <w:rsid w:val="007E38D4"/>
    <w:rsid w:val="007F0D0D"/>
    <w:rsid w:val="007F10E1"/>
    <w:rsid w:val="007F2435"/>
    <w:rsid w:val="007F27AE"/>
    <w:rsid w:val="007F2908"/>
    <w:rsid w:val="007F5D78"/>
    <w:rsid w:val="007F6422"/>
    <w:rsid w:val="007F6970"/>
    <w:rsid w:val="00803FB7"/>
    <w:rsid w:val="00804CE1"/>
    <w:rsid w:val="00805B37"/>
    <w:rsid w:val="00810C61"/>
    <w:rsid w:val="00811D5B"/>
    <w:rsid w:val="008122E1"/>
    <w:rsid w:val="00825A26"/>
    <w:rsid w:val="008265A2"/>
    <w:rsid w:val="00826D35"/>
    <w:rsid w:val="00826FF3"/>
    <w:rsid w:val="00830E84"/>
    <w:rsid w:val="00831D0F"/>
    <w:rsid w:val="008340B4"/>
    <w:rsid w:val="00834A31"/>
    <w:rsid w:val="008355A8"/>
    <w:rsid w:val="00836153"/>
    <w:rsid w:val="008366BB"/>
    <w:rsid w:val="0084207B"/>
    <w:rsid w:val="00843B39"/>
    <w:rsid w:val="00845FB9"/>
    <w:rsid w:val="00847B35"/>
    <w:rsid w:val="00855850"/>
    <w:rsid w:val="00857940"/>
    <w:rsid w:val="00862082"/>
    <w:rsid w:val="00871D04"/>
    <w:rsid w:val="00876031"/>
    <w:rsid w:val="00876195"/>
    <w:rsid w:val="008775BD"/>
    <w:rsid w:val="00880BE8"/>
    <w:rsid w:val="00880F40"/>
    <w:rsid w:val="00883E48"/>
    <w:rsid w:val="008854A3"/>
    <w:rsid w:val="00890478"/>
    <w:rsid w:val="0089175B"/>
    <w:rsid w:val="00891CF0"/>
    <w:rsid w:val="00894D3A"/>
    <w:rsid w:val="008A0F26"/>
    <w:rsid w:val="008A24B2"/>
    <w:rsid w:val="008A4A1D"/>
    <w:rsid w:val="008A756E"/>
    <w:rsid w:val="008B20F5"/>
    <w:rsid w:val="008B2D7B"/>
    <w:rsid w:val="008B54C4"/>
    <w:rsid w:val="008C005D"/>
    <w:rsid w:val="008C5AFA"/>
    <w:rsid w:val="008C5EC4"/>
    <w:rsid w:val="008C71F8"/>
    <w:rsid w:val="008D323F"/>
    <w:rsid w:val="008D49F2"/>
    <w:rsid w:val="008D67A9"/>
    <w:rsid w:val="008D6CB8"/>
    <w:rsid w:val="008E4023"/>
    <w:rsid w:val="008E76A9"/>
    <w:rsid w:val="008F1318"/>
    <w:rsid w:val="008F2B9E"/>
    <w:rsid w:val="008F2D89"/>
    <w:rsid w:val="008F4C2D"/>
    <w:rsid w:val="008F4F81"/>
    <w:rsid w:val="008F641A"/>
    <w:rsid w:val="009044F3"/>
    <w:rsid w:val="0090454A"/>
    <w:rsid w:val="00904843"/>
    <w:rsid w:val="009075F9"/>
    <w:rsid w:val="00907D65"/>
    <w:rsid w:val="00921551"/>
    <w:rsid w:val="009221F6"/>
    <w:rsid w:val="00924DD6"/>
    <w:rsid w:val="009274A6"/>
    <w:rsid w:val="0093326F"/>
    <w:rsid w:val="00934818"/>
    <w:rsid w:val="009350E6"/>
    <w:rsid w:val="00947570"/>
    <w:rsid w:val="009507FC"/>
    <w:rsid w:val="00950838"/>
    <w:rsid w:val="00953232"/>
    <w:rsid w:val="00953F5F"/>
    <w:rsid w:val="00961552"/>
    <w:rsid w:val="00964277"/>
    <w:rsid w:val="009676BB"/>
    <w:rsid w:val="00972045"/>
    <w:rsid w:val="00974385"/>
    <w:rsid w:val="0097798F"/>
    <w:rsid w:val="00981224"/>
    <w:rsid w:val="00991100"/>
    <w:rsid w:val="00997C5E"/>
    <w:rsid w:val="009A0EAC"/>
    <w:rsid w:val="009A1719"/>
    <w:rsid w:val="009A29A2"/>
    <w:rsid w:val="009A2AEE"/>
    <w:rsid w:val="009A2B0B"/>
    <w:rsid w:val="009B4681"/>
    <w:rsid w:val="009C0629"/>
    <w:rsid w:val="009C1E55"/>
    <w:rsid w:val="009C5A4E"/>
    <w:rsid w:val="009C761B"/>
    <w:rsid w:val="009D2315"/>
    <w:rsid w:val="009D2AE6"/>
    <w:rsid w:val="009D30D5"/>
    <w:rsid w:val="009D30E3"/>
    <w:rsid w:val="009D403B"/>
    <w:rsid w:val="009D5241"/>
    <w:rsid w:val="009D71D4"/>
    <w:rsid w:val="009E6721"/>
    <w:rsid w:val="009E73D9"/>
    <w:rsid w:val="009F18D3"/>
    <w:rsid w:val="009F2CB9"/>
    <w:rsid w:val="009F5C2A"/>
    <w:rsid w:val="009F7FAC"/>
    <w:rsid w:val="00A019F7"/>
    <w:rsid w:val="00A02337"/>
    <w:rsid w:val="00A06543"/>
    <w:rsid w:val="00A07A80"/>
    <w:rsid w:val="00A158AF"/>
    <w:rsid w:val="00A1612C"/>
    <w:rsid w:val="00A21B1A"/>
    <w:rsid w:val="00A21E1D"/>
    <w:rsid w:val="00A23D3C"/>
    <w:rsid w:val="00A24064"/>
    <w:rsid w:val="00A24390"/>
    <w:rsid w:val="00A26D51"/>
    <w:rsid w:val="00A30489"/>
    <w:rsid w:val="00A361CD"/>
    <w:rsid w:val="00A37055"/>
    <w:rsid w:val="00A41E1A"/>
    <w:rsid w:val="00A474AF"/>
    <w:rsid w:val="00A5085C"/>
    <w:rsid w:val="00A67AEB"/>
    <w:rsid w:val="00A67DE7"/>
    <w:rsid w:val="00A70D35"/>
    <w:rsid w:val="00A72997"/>
    <w:rsid w:val="00A75A9D"/>
    <w:rsid w:val="00A851C6"/>
    <w:rsid w:val="00A876A7"/>
    <w:rsid w:val="00A91539"/>
    <w:rsid w:val="00A959BE"/>
    <w:rsid w:val="00AA2A67"/>
    <w:rsid w:val="00AA491E"/>
    <w:rsid w:val="00AA5565"/>
    <w:rsid w:val="00AA568D"/>
    <w:rsid w:val="00AB2C59"/>
    <w:rsid w:val="00AC0B59"/>
    <w:rsid w:val="00AC0F87"/>
    <w:rsid w:val="00AC1127"/>
    <w:rsid w:val="00AC2FC0"/>
    <w:rsid w:val="00AD3BD2"/>
    <w:rsid w:val="00AD4A0A"/>
    <w:rsid w:val="00AD5AD0"/>
    <w:rsid w:val="00AD64B5"/>
    <w:rsid w:val="00AD654B"/>
    <w:rsid w:val="00AE27FF"/>
    <w:rsid w:val="00AE3E1B"/>
    <w:rsid w:val="00AE7231"/>
    <w:rsid w:val="00AF0F9D"/>
    <w:rsid w:val="00AF7A30"/>
    <w:rsid w:val="00B046B3"/>
    <w:rsid w:val="00B06877"/>
    <w:rsid w:val="00B0739C"/>
    <w:rsid w:val="00B07DF3"/>
    <w:rsid w:val="00B1355E"/>
    <w:rsid w:val="00B137D6"/>
    <w:rsid w:val="00B16C51"/>
    <w:rsid w:val="00B1703A"/>
    <w:rsid w:val="00B173F0"/>
    <w:rsid w:val="00B21875"/>
    <w:rsid w:val="00B32BF1"/>
    <w:rsid w:val="00B35E43"/>
    <w:rsid w:val="00B3647B"/>
    <w:rsid w:val="00B461E0"/>
    <w:rsid w:val="00B53B39"/>
    <w:rsid w:val="00B57D57"/>
    <w:rsid w:val="00B638E9"/>
    <w:rsid w:val="00B70C8D"/>
    <w:rsid w:val="00B73C51"/>
    <w:rsid w:val="00B84D9A"/>
    <w:rsid w:val="00B84E7B"/>
    <w:rsid w:val="00B86267"/>
    <w:rsid w:val="00B8669C"/>
    <w:rsid w:val="00B901B1"/>
    <w:rsid w:val="00B91484"/>
    <w:rsid w:val="00B93B28"/>
    <w:rsid w:val="00B95C9E"/>
    <w:rsid w:val="00B978FC"/>
    <w:rsid w:val="00BA4BA1"/>
    <w:rsid w:val="00BA541D"/>
    <w:rsid w:val="00BB57BB"/>
    <w:rsid w:val="00BC0AB8"/>
    <w:rsid w:val="00BC47BD"/>
    <w:rsid w:val="00BC4A55"/>
    <w:rsid w:val="00BC4ACE"/>
    <w:rsid w:val="00BD0C5A"/>
    <w:rsid w:val="00BD2627"/>
    <w:rsid w:val="00BD3112"/>
    <w:rsid w:val="00BD4508"/>
    <w:rsid w:val="00BE15B5"/>
    <w:rsid w:val="00BE3C74"/>
    <w:rsid w:val="00BE4CF5"/>
    <w:rsid w:val="00BE4E14"/>
    <w:rsid w:val="00BE60B5"/>
    <w:rsid w:val="00BE7EF2"/>
    <w:rsid w:val="00BF090A"/>
    <w:rsid w:val="00BF1428"/>
    <w:rsid w:val="00BF1BE5"/>
    <w:rsid w:val="00BF44F3"/>
    <w:rsid w:val="00BF6F23"/>
    <w:rsid w:val="00C01CD2"/>
    <w:rsid w:val="00C051C9"/>
    <w:rsid w:val="00C05C97"/>
    <w:rsid w:val="00C05CD9"/>
    <w:rsid w:val="00C14938"/>
    <w:rsid w:val="00C16A40"/>
    <w:rsid w:val="00C16F6B"/>
    <w:rsid w:val="00C17AAD"/>
    <w:rsid w:val="00C205A9"/>
    <w:rsid w:val="00C247D3"/>
    <w:rsid w:val="00C31512"/>
    <w:rsid w:val="00C32497"/>
    <w:rsid w:val="00C33D13"/>
    <w:rsid w:val="00C40D0F"/>
    <w:rsid w:val="00C414C2"/>
    <w:rsid w:val="00C42981"/>
    <w:rsid w:val="00C4394E"/>
    <w:rsid w:val="00C45B5F"/>
    <w:rsid w:val="00C46A2B"/>
    <w:rsid w:val="00C475BF"/>
    <w:rsid w:val="00C512A5"/>
    <w:rsid w:val="00C53501"/>
    <w:rsid w:val="00C53782"/>
    <w:rsid w:val="00C565AC"/>
    <w:rsid w:val="00C57E13"/>
    <w:rsid w:val="00C60113"/>
    <w:rsid w:val="00C62C96"/>
    <w:rsid w:val="00C63BCF"/>
    <w:rsid w:val="00C65001"/>
    <w:rsid w:val="00C67642"/>
    <w:rsid w:val="00C7042B"/>
    <w:rsid w:val="00C82741"/>
    <w:rsid w:val="00C8299F"/>
    <w:rsid w:val="00C83FBB"/>
    <w:rsid w:val="00C84201"/>
    <w:rsid w:val="00C84572"/>
    <w:rsid w:val="00C84D13"/>
    <w:rsid w:val="00C85058"/>
    <w:rsid w:val="00C85BF8"/>
    <w:rsid w:val="00C91AB8"/>
    <w:rsid w:val="00C9276B"/>
    <w:rsid w:val="00C9298A"/>
    <w:rsid w:val="00C949BD"/>
    <w:rsid w:val="00C9651A"/>
    <w:rsid w:val="00C96B17"/>
    <w:rsid w:val="00CA5129"/>
    <w:rsid w:val="00CA5E77"/>
    <w:rsid w:val="00CA7229"/>
    <w:rsid w:val="00CB0122"/>
    <w:rsid w:val="00CB0689"/>
    <w:rsid w:val="00CB1D7A"/>
    <w:rsid w:val="00CB5840"/>
    <w:rsid w:val="00CC019E"/>
    <w:rsid w:val="00CC0A8E"/>
    <w:rsid w:val="00CC2167"/>
    <w:rsid w:val="00CC5E99"/>
    <w:rsid w:val="00CD1CAF"/>
    <w:rsid w:val="00CD622D"/>
    <w:rsid w:val="00CD65E8"/>
    <w:rsid w:val="00CE150E"/>
    <w:rsid w:val="00CE2CC1"/>
    <w:rsid w:val="00CE47E1"/>
    <w:rsid w:val="00CE5F7C"/>
    <w:rsid w:val="00CE68E1"/>
    <w:rsid w:val="00CE7C20"/>
    <w:rsid w:val="00CE7C24"/>
    <w:rsid w:val="00CF6DAD"/>
    <w:rsid w:val="00CF7806"/>
    <w:rsid w:val="00D033D2"/>
    <w:rsid w:val="00D03C48"/>
    <w:rsid w:val="00D04A20"/>
    <w:rsid w:val="00D05432"/>
    <w:rsid w:val="00D121BE"/>
    <w:rsid w:val="00D1651C"/>
    <w:rsid w:val="00D241FD"/>
    <w:rsid w:val="00D24DBD"/>
    <w:rsid w:val="00D2516A"/>
    <w:rsid w:val="00D262E7"/>
    <w:rsid w:val="00D26C6D"/>
    <w:rsid w:val="00D32B26"/>
    <w:rsid w:val="00D3689A"/>
    <w:rsid w:val="00D510B4"/>
    <w:rsid w:val="00D56F86"/>
    <w:rsid w:val="00D61BBA"/>
    <w:rsid w:val="00D62BAC"/>
    <w:rsid w:val="00D6325D"/>
    <w:rsid w:val="00D63522"/>
    <w:rsid w:val="00D67733"/>
    <w:rsid w:val="00D724C0"/>
    <w:rsid w:val="00D72757"/>
    <w:rsid w:val="00D732AF"/>
    <w:rsid w:val="00D736B3"/>
    <w:rsid w:val="00D76BF9"/>
    <w:rsid w:val="00D8055D"/>
    <w:rsid w:val="00D837DD"/>
    <w:rsid w:val="00D86FE4"/>
    <w:rsid w:val="00D8702E"/>
    <w:rsid w:val="00D92D16"/>
    <w:rsid w:val="00D94360"/>
    <w:rsid w:val="00D95185"/>
    <w:rsid w:val="00D95468"/>
    <w:rsid w:val="00D95712"/>
    <w:rsid w:val="00D95DB3"/>
    <w:rsid w:val="00D97F0A"/>
    <w:rsid w:val="00DA622A"/>
    <w:rsid w:val="00DB4E8A"/>
    <w:rsid w:val="00DC00E1"/>
    <w:rsid w:val="00DC2A56"/>
    <w:rsid w:val="00DC2DE3"/>
    <w:rsid w:val="00DD2D1A"/>
    <w:rsid w:val="00DD57A7"/>
    <w:rsid w:val="00DD610E"/>
    <w:rsid w:val="00DE07AB"/>
    <w:rsid w:val="00DF2184"/>
    <w:rsid w:val="00DF2FA1"/>
    <w:rsid w:val="00DF39BC"/>
    <w:rsid w:val="00DF666F"/>
    <w:rsid w:val="00E01428"/>
    <w:rsid w:val="00E04AED"/>
    <w:rsid w:val="00E0531C"/>
    <w:rsid w:val="00E059D2"/>
    <w:rsid w:val="00E05AE7"/>
    <w:rsid w:val="00E05DD0"/>
    <w:rsid w:val="00E06098"/>
    <w:rsid w:val="00E076B3"/>
    <w:rsid w:val="00E12010"/>
    <w:rsid w:val="00E13FE9"/>
    <w:rsid w:val="00E14E61"/>
    <w:rsid w:val="00E17114"/>
    <w:rsid w:val="00E178D8"/>
    <w:rsid w:val="00E20264"/>
    <w:rsid w:val="00E225DE"/>
    <w:rsid w:val="00E23482"/>
    <w:rsid w:val="00E23990"/>
    <w:rsid w:val="00E2512B"/>
    <w:rsid w:val="00E31603"/>
    <w:rsid w:val="00E354E3"/>
    <w:rsid w:val="00E3739E"/>
    <w:rsid w:val="00E40626"/>
    <w:rsid w:val="00E44BFC"/>
    <w:rsid w:val="00E44C0E"/>
    <w:rsid w:val="00E45D5C"/>
    <w:rsid w:val="00E552B2"/>
    <w:rsid w:val="00E556B2"/>
    <w:rsid w:val="00E6415A"/>
    <w:rsid w:val="00E664DC"/>
    <w:rsid w:val="00E6669F"/>
    <w:rsid w:val="00E709A9"/>
    <w:rsid w:val="00E71C93"/>
    <w:rsid w:val="00E72560"/>
    <w:rsid w:val="00E937ED"/>
    <w:rsid w:val="00E93979"/>
    <w:rsid w:val="00EA5428"/>
    <w:rsid w:val="00EA729C"/>
    <w:rsid w:val="00EA77F8"/>
    <w:rsid w:val="00EB1323"/>
    <w:rsid w:val="00EB5B2B"/>
    <w:rsid w:val="00EB7576"/>
    <w:rsid w:val="00EC342E"/>
    <w:rsid w:val="00ED26BB"/>
    <w:rsid w:val="00ED57EF"/>
    <w:rsid w:val="00ED581B"/>
    <w:rsid w:val="00EF4101"/>
    <w:rsid w:val="00EF4DAC"/>
    <w:rsid w:val="00F1352E"/>
    <w:rsid w:val="00F171C8"/>
    <w:rsid w:val="00F2210A"/>
    <w:rsid w:val="00F2228A"/>
    <w:rsid w:val="00F23F45"/>
    <w:rsid w:val="00F24BE6"/>
    <w:rsid w:val="00F30D90"/>
    <w:rsid w:val="00F405F1"/>
    <w:rsid w:val="00F4489D"/>
    <w:rsid w:val="00F45162"/>
    <w:rsid w:val="00F45AB1"/>
    <w:rsid w:val="00F50C8C"/>
    <w:rsid w:val="00F53029"/>
    <w:rsid w:val="00F53887"/>
    <w:rsid w:val="00F61464"/>
    <w:rsid w:val="00F61825"/>
    <w:rsid w:val="00F618A5"/>
    <w:rsid w:val="00F62F17"/>
    <w:rsid w:val="00F66334"/>
    <w:rsid w:val="00F66BD5"/>
    <w:rsid w:val="00F73F22"/>
    <w:rsid w:val="00F761DC"/>
    <w:rsid w:val="00F76F9D"/>
    <w:rsid w:val="00F83590"/>
    <w:rsid w:val="00F83F69"/>
    <w:rsid w:val="00F84AD6"/>
    <w:rsid w:val="00F8504E"/>
    <w:rsid w:val="00F87BE8"/>
    <w:rsid w:val="00F90633"/>
    <w:rsid w:val="00F92ACE"/>
    <w:rsid w:val="00F96B6C"/>
    <w:rsid w:val="00FA2FB4"/>
    <w:rsid w:val="00FA5A18"/>
    <w:rsid w:val="00FA7382"/>
    <w:rsid w:val="00FB0684"/>
    <w:rsid w:val="00FB195B"/>
    <w:rsid w:val="00FB2136"/>
    <w:rsid w:val="00FB522D"/>
    <w:rsid w:val="00FC4878"/>
    <w:rsid w:val="00FC66C9"/>
    <w:rsid w:val="00FC7C62"/>
    <w:rsid w:val="00FD10FD"/>
    <w:rsid w:val="00FD1C5F"/>
    <w:rsid w:val="00FD6CE1"/>
    <w:rsid w:val="00FE1753"/>
    <w:rsid w:val="00FE2F7B"/>
    <w:rsid w:val="00FE5466"/>
    <w:rsid w:val="00FE7B17"/>
    <w:rsid w:val="00FF046F"/>
    <w:rsid w:val="00FF2FF3"/>
    <w:rsid w:val="00FF6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60C99225"/>
  <w15:chartTrackingRefBased/>
  <w15:docId w15:val="{7C9D0796-0714-44DC-8292-ACC0A0B5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A"/>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747218"/>
    <w:pPr>
      <w:keepNext/>
      <w:numPr>
        <w:ilvl w:val="1"/>
        <w:numId w:val="3"/>
      </w:numPr>
      <w:tabs>
        <w:tab w:val="clear" w:pos="360"/>
        <w:tab w:val="num" w:pos="936"/>
      </w:tabs>
      <w:spacing w:before="240" w:after="60"/>
      <w:ind w:left="936" w:hanging="576"/>
      <w:outlineLvl w:val="1"/>
    </w:pPr>
    <w:rPr>
      <w:rFonts w:ascii="Cambria" w:hAnsi="Cambria"/>
      <w:b/>
      <w:bCs/>
      <w:i/>
      <w:iCs/>
      <w:sz w:val="28"/>
      <w:szCs w:val="28"/>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Pr>
      <w:rFonts w:ascii="Cambria" w:hAnsi="Cambria"/>
      <w:b/>
      <w:bCs/>
      <w:kern w:val="32"/>
      <w:sz w:val="32"/>
      <w:szCs w:val="32"/>
      <w:lang w:val="en-US" w:eastAsia="en-US"/>
    </w:rPr>
  </w:style>
  <w:style w:type="character" w:customStyle="1" w:styleId="Heading2Char">
    <w:name w:val="Heading 2 Char"/>
    <w:link w:val="Heading2"/>
    <w:uiPriority w:val="99"/>
    <w:locked/>
    <w:rPr>
      <w:rFonts w:ascii="Cambria" w:hAnsi="Cambria"/>
      <w:b/>
      <w:bCs/>
      <w:i/>
      <w:iCs/>
      <w:sz w:val="28"/>
      <w:szCs w:val="28"/>
      <w:lang w:val="en-US" w:eastAsia="en-US"/>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rsid w:val="00F84AD6"/>
    <w:pPr>
      <w:tabs>
        <w:tab w:val="num" w:pos="2520"/>
      </w:tabs>
      <w:spacing w:before="120" w:after="120"/>
      <w:ind w:left="252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A21B1A"/>
    <w:rPr>
      <w:rFonts w:ascii="Times New Roman" w:hAnsi="Times New Roman"/>
    </w:rPr>
  </w:style>
  <w:style w:type="character" w:customStyle="1" w:styleId="BalloonTextChar">
    <w:name w:val="Balloon Text Char"/>
    <w:link w:val="BalloonText"/>
    <w:uiPriority w:val="99"/>
    <w:semiHidden/>
    <w:locked/>
    <w:rsid w:val="00A21B1A"/>
    <w:rPr>
      <w:sz w:val="22"/>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semiHidden/>
    <w:locked/>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Pr>
      <w:rFonts w:ascii="Arial" w:hAnsi="Arial" w:cs="Times New Roman"/>
      <w:b/>
      <w:bCs/>
      <w:sz w:val="20"/>
      <w:szCs w:val="20"/>
      <w:lang w:val="en-US" w:eastAsia="en-US"/>
    </w:rPr>
  </w:style>
  <w:style w:type="character" w:styleId="Strong">
    <w:name w:val="Strong"/>
    <w:qFormat/>
    <w:locked/>
    <w:rsid w:val="008A4A1D"/>
    <w:rPr>
      <w:b/>
      <w:bCs/>
    </w:rPr>
  </w:style>
  <w:style w:type="paragraph" w:styleId="ListParagraph">
    <w:name w:val="List Paragraph"/>
    <w:basedOn w:val="Normal"/>
    <w:link w:val="ListParagraphChar"/>
    <w:uiPriority w:val="34"/>
    <w:qFormat/>
    <w:rsid w:val="00A72997"/>
    <w:pPr>
      <w:spacing w:after="200" w:line="276" w:lineRule="auto"/>
      <w:ind w:left="720"/>
      <w:contextualSpacing/>
    </w:pPr>
    <w:rPr>
      <w:rFonts w:ascii="Calibri" w:eastAsia="Calibri" w:hAnsi="Calibri"/>
      <w:szCs w:val="22"/>
      <w:lang w:bidi="en-US"/>
    </w:rPr>
  </w:style>
  <w:style w:type="character" w:customStyle="1" w:styleId="ListParagraphChar">
    <w:name w:val="List Paragraph Char"/>
    <w:link w:val="ListParagraph"/>
    <w:uiPriority w:val="34"/>
    <w:rsid w:val="00A72997"/>
    <w:rPr>
      <w:rFonts w:ascii="Calibri" w:eastAsia="Calibri" w:hAnsi="Calibri"/>
      <w:sz w:val="22"/>
      <w:szCs w:val="22"/>
      <w:lang w:val="en-US" w:eastAsia="en-US" w:bidi="en-US"/>
    </w:rPr>
  </w:style>
  <w:style w:type="paragraph" w:customStyle="1" w:styleId="Default">
    <w:name w:val="Default"/>
    <w:rsid w:val="004B6BDF"/>
    <w:pPr>
      <w:autoSpaceDE w:val="0"/>
      <w:autoSpaceDN w:val="0"/>
      <w:adjustRightInd w:val="0"/>
    </w:pPr>
    <w:rPr>
      <w:rFonts w:ascii="Futura Std Book" w:hAnsi="Futura Std Book" w:cs="Futura Std Book"/>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38843">
      <w:bodyDiv w:val="1"/>
      <w:marLeft w:val="0"/>
      <w:marRight w:val="0"/>
      <w:marTop w:val="0"/>
      <w:marBottom w:val="0"/>
      <w:divBdr>
        <w:top w:val="none" w:sz="0" w:space="0" w:color="auto"/>
        <w:left w:val="none" w:sz="0" w:space="0" w:color="auto"/>
        <w:bottom w:val="none" w:sz="0" w:space="0" w:color="auto"/>
        <w:right w:val="none" w:sz="0" w:space="0" w:color="auto"/>
      </w:divBdr>
    </w:div>
    <w:div w:id="915478636">
      <w:bodyDiv w:val="1"/>
      <w:marLeft w:val="0"/>
      <w:marRight w:val="0"/>
      <w:marTop w:val="0"/>
      <w:marBottom w:val="0"/>
      <w:divBdr>
        <w:top w:val="none" w:sz="0" w:space="0" w:color="auto"/>
        <w:left w:val="none" w:sz="0" w:space="0" w:color="auto"/>
        <w:bottom w:val="none" w:sz="0" w:space="0" w:color="auto"/>
        <w:right w:val="none" w:sz="0" w:space="0" w:color="auto"/>
      </w:divBdr>
      <w:divsChild>
        <w:div w:id="833567340">
          <w:marLeft w:val="0"/>
          <w:marRight w:val="0"/>
          <w:marTop w:val="0"/>
          <w:marBottom w:val="0"/>
          <w:divBdr>
            <w:top w:val="none" w:sz="0" w:space="0" w:color="auto"/>
            <w:left w:val="none" w:sz="0" w:space="0" w:color="auto"/>
            <w:bottom w:val="none" w:sz="0" w:space="0" w:color="auto"/>
            <w:right w:val="none" w:sz="0" w:space="0" w:color="auto"/>
          </w:divBdr>
        </w:div>
        <w:div w:id="1235705437">
          <w:marLeft w:val="0"/>
          <w:marRight w:val="0"/>
          <w:marTop w:val="0"/>
          <w:marBottom w:val="0"/>
          <w:divBdr>
            <w:top w:val="none" w:sz="0" w:space="0" w:color="auto"/>
            <w:left w:val="none" w:sz="0" w:space="0" w:color="auto"/>
            <w:bottom w:val="none" w:sz="0" w:space="0" w:color="auto"/>
            <w:right w:val="none" w:sz="0" w:space="0" w:color="auto"/>
          </w:divBdr>
        </w:div>
        <w:div w:id="1520050695">
          <w:marLeft w:val="0"/>
          <w:marRight w:val="0"/>
          <w:marTop w:val="0"/>
          <w:marBottom w:val="0"/>
          <w:divBdr>
            <w:top w:val="none" w:sz="0" w:space="0" w:color="auto"/>
            <w:left w:val="none" w:sz="0" w:space="0" w:color="auto"/>
            <w:bottom w:val="none" w:sz="0" w:space="0" w:color="auto"/>
            <w:right w:val="none" w:sz="0" w:space="0" w:color="auto"/>
          </w:divBdr>
        </w:div>
        <w:div w:id="1750082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BA69-CB0C-4426-AC27-7AF0E0625456}">
  <ds:schemaRefs>
    <ds:schemaRef ds:uri="http://schemas.microsoft.com/sharepoint/v3/contenttype/forms"/>
  </ds:schemaRefs>
</ds:datastoreItem>
</file>

<file path=customXml/itemProps2.xml><?xml version="1.0" encoding="utf-8"?>
<ds:datastoreItem xmlns:ds="http://schemas.openxmlformats.org/officeDocument/2006/customXml" ds:itemID="{567A1E6D-FD0B-4387-A9F2-6633CFB039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34BF37-D2E6-443B-BAD2-943F33E54D54}">
  <ds:schemaRefs>
    <ds:schemaRef ds:uri="http://schemas.microsoft.com/office/2006/metadata/customXsn"/>
  </ds:schemaRefs>
</ds:datastoreItem>
</file>

<file path=customXml/itemProps4.xml><?xml version="1.0" encoding="utf-8"?>
<ds:datastoreItem xmlns:ds="http://schemas.openxmlformats.org/officeDocument/2006/customXml" ds:itemID="{5E5CC18F-66F2-44E7-A63D-32CF57386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98D33F1-245E-4CAE-A9FF-D0397B22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2484</Words>
  <Characters>14937</Characters>
  <Application>Microsoft Office Word</Application>
  <DocSecurity>0</DocSecurity>
  <Lines>124</Lines>
  <Paragraphs>34</Paragraphs>
  <ScaleCrop>false</ScaleCrop>
  <HeadingPairs>
    <vt:vector size="12" baseType="variant">
      <vt:variant>
        <vt:lpstr>Titel</vt:lpstr>
      </vt:variant>
      <vt:variant>
        <vt:i4>1</vt:i4>
      </vt:variant>
      <vt:variant>
        <vt:lpstr>Title</vt:lpstr>
      </vt:variant>
      <vt:variant>
        <vt:i4>1</vt:i4>
      </vt:variant>
      <vt:variant>
        <vt:lpstr>Headings</vt:lpstr>
      </vt:variant>
      <vt:variant>
        <vt:i4>6</vt:i4>
      </vt:variant>
      <vt:variant>
        <vt:lpstr>タイトル</vt:lpstr>
      </vt:variant>
      <vt:variant>
        <vt:i4>1</vt:i4>
      </vt:variant>
      <vt:variant>
        <vt:lpstr>Titre</vt:lpstr>
      </vt:variant>
      <vt:variant>
        <vt:i4>1</vt:i4>
      </vt:variant>
      <vt:variant>
        <vt:lpstr>Título</vt:lpstr>
      </vt:variant>
      <vt:variant>
        <vt:i4>1</vt:i4>
      </vt:variant>
    </vt:vector>
  </HeadingPairs>
  <TitlesOfParts>
    <vt:vector size="11" baseType="lpstr">
      <vt:lpstr>CHAPTER X</vt:lpstr>
      <vt:lpstr>CHAPTER X</vt:lpstr>
      <vt:lpstr>        AMP 101 	LOW -CYCLE FATIGUE MONITORING (Version 20XX18)</vt:lpstr>
      <vt:lpstr>        </vt:lpstr>
      <vt:lpstr>        Programme Description</vt:lpstr>
      <vt:lpstr>        Evaluation and Technical Basis</vt:lpstr>
      <vt:lpstr>        </vt:lpstr>
      <vt:lpstr>        References</vt:lpstr>
      <vt:lpstr>CHAPTER X</vt:lpstr>
      <vt:lpstr>CHAPTER X</vt:lpstr>
      <vt:lpstr>CHAPTER X</vt:lpstr>
    </vt:vector>
  </TitlesOfParts>
  <Company>Nome da sua empresa</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KRIVANEK, Robert</cp:lastModifiedBy>
  <cp:revision>3</cp:revision>
  <cp:lastPrinted>2012-03-07T13:51:00Z</cp:lastPrinted>
  <dcterms:created xsi:type="dcterms:W3CDTF">2020-12-22T15:49:00Z</dcterms:created>
  <dcterms:modified xsi:type="dcterms:W3CDTF">2020-12-22T15:51:00Z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_NewReviewCycle">
    <vt:lpwstr/>
  </property>
</Properties>
</file>